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1940" w:right="1940" w:firstLine="0"/>
        <w:jc w:val="center"/>
        <w:rPr>
          <w:rFonts w:ascii="宋体" w:hAnsi="宋体" w:cs="宋体" w:eastAsia="宋体" w:hint="default"/>
          <w:sz w:val="36"/>
          <w:szCs w:val="36"/>
        </w:rPr>
      </w:pPr>
      <w:r>
        <w:rPr/>
        <w:pict>
          <v:group style="position:absolute;margin-left:55.200001pt;margin-top:-84.77626pt;width:484.95pt;height:.1pt;mso-position-horizontal-relative:page;mso-position-vertical-relative:paragraph;z-index:0" coordorigin="1104,-1696" coordsize="9699,2">
            <v:shape style="position:absolute;left:1104;top:-1696;width:9699;height:2" coordorigin="1104,-1696" coordsize="9699,0" path="m1104,-1696l10802,-1696e" filled="false" stroked="true" strokeweight=".71997pt" strokecolor="#000000">
              <v:path arrowok="t"/>
            </v:shape>
            <w10:wrap type="none"/>
          </v:group>
        </w:pict>
      </w:r>
      <w:r>
        <w:rPr>
          <w:rFonts w:ascii="宋体" w:hAnsi="宋体" w:cs="宋体" w:eastAsia="宋体" w:hint="default"/>
          <w:b/>
          <w:bCs/>
          <w:sz w:val="36"/>
          <w:szCs w:val="36"/>
        </w:rPr>
        <w:t>石家庄常山北明科技股份有限公司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940" w:right="19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spacing w:line="2572" w:lineRule="exact"/>
        <w:ind w:left="3847"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1505130" cy="16337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505130" cy="1633727"/>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1"/>
        <w:rPr>
          <w:rFonts w:ascii="宋体" w:hAnsi="宋体" w:cs="宋体" w:eastAsia="宋体" w:hint="default"/>
          <w:b/>
          <w:bCs/>
          <w:sz w:val="46"/>
          <w:szCs w:val="46"/>
        </w:rPr>
      </w:pPr>
    </w:p>
    <w:p>
      <w:pPr>
        <w:spacing w:before="0"/>
        <w:ind w:left="1940" w:right="19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2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公司负责人肖荣智、主管会计工作负责人赵英涛及会计机构负责人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曹金霞声明：保证年度报告中财务报告的真实、准确、完整。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23"/>
        <w:gridCol w:w="2222"/>
        <w:gridCol w:w="2212"/>
        <w:gridCol w:w="2210"/>
      </w:tblGrid>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222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因公出差</w:t>
            </w:r>
          </w:p>
        </w:tc>
        <w:tc>
          <w:tcPr>
            <w:tcW w:w="22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r>
    </w:tbl>
    <w:p>
      <w:pPr>
        <w:spacing w:line="240" w:lineRule="auto" w:before="2"/>
        <w:rPr>
          <w:rFonts w:ascii="宋体" w:hAnsi="宋体" w:cs="宋体" w:eastAsia="宋体" w:hint="default"/>
          <w:b/>
          <w:bCs/>
          <w:sz w:val="13"/>
          <w:szCs w:val="13"/>
        </w:rPr>
      </w:pPr>
    </w:p>
    <w:p>
      <w:pPr>
        <w:spacing w:line="408" w:lineRule="auto" w:before="13"/>
        <w:ind w:left="153" w:right="0" w:firstLine="561"/>
        <w:jc w:val="left"/>
        <w:rPr>
          <w:rFonts w:ascii="宋体" w:hAnsi="宋体" w:cs="宋体" w:eastAsia="宋体" w:hint="default"/>
          <w:sz w:val="28"/>
          <w:szCs w:val="28"/>
        </w:rPr>
      </w:pPr>
      <w:r>
        <w:rPr>
          <w:rFonts w:ascii="宋体" w:hAnsi="宋体" w:cs="宋体" w:eastAsia="宋体" w:hint="default"/>
          <w:b/>
          <w:bCs/>
          <w:spacing w:val="-1"/>
          <w:w w:val="95"/>
          <w:sz w:val="28"/>
          <w:szCs w:val="28"/>
        </w:rPr>
        <w:t>本年度报告涉及未来计划等前瞻性陈述，不构成公司对投资者的实质承诺，</w:t>
      </w:r>
      <w:r>
        <w:rPr>
          <w:rFonts w:ascii="宋体" w:hAnsi="宋体" w:cs="宋体" w:eastAsia="宋体" w:hint="default"/>
          <w:b/>
          <w:bCs/>
          <w:spacing w:val="1"/>
          <w:w w:val="99"/>
          <w:sz w:val="28"/>
          <w:szCs w:val="28"/>
        </w:rPr>
        <w:t> </w:t>
      </w:r>
      <w:r>
        <w:rPr>
          <w:rFonts w:ascii="宋体" w:hAnsi="宋体" w:cs="宋体" w:eastAsia="宋体" w:hint="default"/>
          <w:b/>
          <w:bCs/>
          <w:spacing w:val="3"/>
          <w:sz w:val="28"/>
          <w:szCs w:val="28"/>
        </w:rPr>
        <w:t>投资者及相关人士均应当对此保持足够的风险认识，并且应当理解计划、预测</w:t>
      </w:r>
      <w:r>
        <w:rPr>
          <w:rFonts w:ascii="宋体" w:hAnsi="宋体" w:cs="宋体" w:eastAsia="宋体" w:hint="default"/>
          <w:b/>
          <w:bCs/>
          <w:spacing w:val="3"/>
          <w:w w:val="99"/>
          <w:sz w:val="28"/>
          <w:szCs w:val="28"/>
        </w:rPr>
        <w:t> </w:t>
      </w:r>
      <w:r>
        <w:rPr>
          <w:rFonts w:ascii="宋体" w:hAnsi="宋体" w:cs="宋体" w:eastAsia="宋体" w:hint="default"/>
          <w:b/>
          <w:bCs/>
          <w:sz w:val="28"/>
          <w:szCs w:val="28"/>
        </w:rPr>
        <w:t>与承诺之间的差异。</w:t>
      </w:r>
      <w:r>
        <w:rPr>
          <w:rFonts w:ascii="宋体" w:hAnsi="宋体" w:cs="宋体" w:eastAsia="宋体" w:hint="default"/>
          <w:sz w:val="28"/>
          <w:szCs w:val="28"/>
        </w:rPr>
      </w:r>
    </w:p>
    <w:p>
      <w:pPr>
        <w:spacing w:line="391" w:lineRule="auto" w:before="160"/>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公司已在本报告中详细描述可能存在的相关风险，敬请查阅第四节管理层</w:t>
      </w:r>
      <w:r>
        <w:rPr>
          <w:rFonts w:ascii="宋体" w:hAnsi="宋体" w:cs="宋体" w:eastAsia="宋体" w:hint="default"/>
          <w:b/>
          <w:bCs/>
          <w:spacing w:val="4"/>
          <w:w w:val="99"/>
          <w:sz w:val="28"/>
          <w:szCs w:val="28"/>
        </w:rPr>
        <w:t> </w:t>
      </w:r>
      <w:r>
        <w:rPr>
          <w:rFonts w:ascii="宋体" w:hAnsi="宋体" w:cs="宋体" w:eastAsia="宋体" w:hint="default"/>
          <w:b/>
          <w:bCs/>
          <w:sz w:val="28"/>
          <w:szCs w:val="28"/>
        </w:rPr>
        <w:t>讨论与分析中公司未来发展的展望中</w:t>
      </w:r>
      <w:r>
        <w:rPr>
          <w:rFonts w:ascii="宋体" w:hAnsi="宋体" w:cs="宋体" w:eastAsia="宋体" w:hint="default"/>
          <w:b/>
          <w:bCs/>
          <w:spacing w:val="-104"/>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5"/>
          <w:sz w:val="28"/>
          <w:szCs w:val="28"/>
        </w:rPr>
        <w:t> </w:t>
      </w:r>
      <w:r>
        <w:rPr>
          <w:rFonts w:ascii="宋体" w:hAnsi="宋体" w:cs="宋体" w:eastAsia="宋体" w:hint="default"/>
          <w:b/>
          <w:bCs/>
          <w:sz w:val="28"/>
          <w:szCs w:val="28"/>
        </w:rPr>
        <w:t>年的经营计划及面对的风险部分的内</w:t>
      </w:r>
      <w:r>
        <w:rPr>
          <w:rFonts w:ascii="宋体" w:hAnsi="宋体" w:cs="宋体" w:eastAsia="宋体" w:hint="default"/>
          <w:b/>
          <w:bCs/>
          <w:spacing w:val="1"/>
          <w:w w:val="99"/>
          <w:sz w:val="28"/>
          <w:szCs w:val="28"/>
        </w:rPr>
        <w:t> </w:t>
      </w:r>
      <w:r>
        <w:rPr>
          <w:rFonts w:ascii="宋体" w:hAnsi="宋体" w:cs="宋体" w:eastAsia="宋体" w:hint="default"/>
          <w:b/>
          <w:bCs/>
          <w:spacing w:val="-10"/>
          <w:w w:val="99"/>
          <w:sz w:val="28"/>
          <w:szCs w:val="28"/>
        </w:rPr>
        <w:t>容。《中国证券报》、《证券时报》和巨潮资讯网（</w:t>
      </w:r>
      <w:hyperlink r:id="rId9">
        <w:r>
          <w:rPr>
            <w:rFonts w:ascii="Times New Roman" w:hAnsi="Times New Roman" w:cs="Times New Roman" w:eastAsia="Times New Roman" w:hint="default"/>
            <w:b/>
            <w:bCs/>
            <w:spacing w:val="-10"/>
            <w:w w:val="99"/>
            <w:sz w:val="28"/>
            <w:szCs w:val="28"/>
          </w:rPr>
          <w:t>http://www.cninfo.com.cn</w:t>
        </w:r>
      </w:hyperlink>
      <w:r>
        <w:rPr>
          <w:rFonts w:ascii="宋体" w:hAnsi="宋体" w:cs="宋体" w:eastAsia="宋体" w:hint="default"/>
          <w:b/>
          <w:bCs/>
          <w:spacing w:val="-10"/>
          <w:w w:val="99"/>
          <w:sz w:val="28"/>
          <w:szCs w:val="28"/>
        </w:rPr>
        <w:t>）为</w:t>
      </w:r>
      <w:r>
        <w:rPr>
          <w:rFonts w:ascii="宋体" w:hAnsi="宋体" w:cs="宋体" w:eastAsia="宋体" w:hint="default"/>
          <w:b/>
          <w:bCs/>
          <w:spacing w:val="-124"/>
          <w:w w:val="99"/>
          <w:sz w:val="28"/>
          <w:szCs w:val="28"/>
        </w:rPr>
        <w:t> </w:t>
      </w:r>
      <w:r>
        <w:rPr>
          <w:rFonts w:ascii="宋体" w:hAnsi="宋体" w:cs="宋体" w:eastAsia="宋体" w:hint="default"/>
          <w:b/>
          <w:bCs/>
          <w:w w:val="99"/>
          <w:sz w:val="28"/>
          <w:szCs w:val="28"/>
        </w:rPr>
        <w:t>本公司</w:t>
      </w:r>
      <w:r>
        <w:rPr>
          <w:rFonts w:ascii="宋体" w:hAnsi="宋体" w:cs="宋体" w:eastAsia="宋体" w:hint="default"/>
          <w:b/>
          <w:bCs/>
          <w:spacing w:val="11"/>
          <w:w w:val="99"/>
          <w:sz w:val="28"/>
          <w:szCs w:val="28"/>
        </w:rPr>
        <w:t> </w:t>
      </w:r>
      <w:r>
        <w:rPr>
          <w:rFonts w:ascii="Times New Roman" w:hAnsi="Times New Roman" w:cs="Times New Roman" w:eastAsia="Times New Roman" w:hint="default"/>
          <w:b/>
          <w:bCs/>
          <w:w w:val="99"/>
          <w:sz w:val="28"/>
          <w:szCs w:val="28"/>
        </w:rPr>
        <w:t>2018</w:t>
      </w:r>
      <w:r>
        <w:rPr>
          <w:rFonts w:ascii="Times New Roman" w:hAnsi="Times New Roman" w:cs="Times New Roman" w:eastAsia="Times New Roman" w:hint="default"/>
          <w:b/>
          <w:bCs/>
          <w:spacing w:val="6"/>
          <w:w w:val="99"/>
          <w:sz w:val="28"/>
          <w:szCs w:val="28"/>
        </w:rPr>
        <w:t> </w:t>
      </w:r>
      <w:r>
        <w:rPr>
          <w:rFonts w:ascii="宋体" w:hAnsi="宋体" w:cs="宋体" w:eastAsia="宋体" w:hint="default"/>
          <w:b/>
          <w:bCs/>
          <w:spacing w:val="-4"/>
          <w:w w:val="99"/>
          <w:sz w:val="28"/>
          <w:szCs w:val="28"/>
        </w:rPr>
        <w:t>年度选定的信息披露媒体，本公司所有信息均以在上述选定媒体刊</w:t>
      </w:r>
      <w:r>
        <w:rPr>
          <w:rFonts w:ascii="宋体" w:hAnsi="宋体" w:cs="宋体" w:eastAsia="宋体" w:hint="default"/>
          <w:b/>
          <w:bCs/>
          <w:spacing w:val="-139"/>
          <w:w w:val="99"/>
          <w:sz w:val="28"/>
          <w:szCs w:val="28"/>
        </w:rPr>
        <w:t> </w:t>
      </w:r>
      <w:r>
        <w:rPr>
          <w:rFonts w:ascii="宋体" w:hAnsi="宋体" w:cs="宋体" w:eastAsia="宋体" w:hint="default"/>
          <w:b/>
          <w:bCs/>
          <w:spacing w:val="-139"/>
          <w:w w:val="99"/>
          <w:sz w:val="28"/>
          <w:szCs w:val="28"/>
        </w:rPr>
      </w:r>
      <w:r>
        <w:rPr>
          <w:rFonts w:ascii="宋体" w:hAnsi="宋体" w:cs="宋体" w:eastAsia="宋体" w:hint="default"/>
          <w:b/>
          <w:bCs/>
          <w:sz w:val="28"/>
          <w:szCs w:val="28"/>
        </w:rPr>
        <w:t>登的信息为准，敬请投资者注意投资风险。</w:t>
      </w:r>
      <w:r>
        <w:rPr>
          <w:rFonts w:ascii="宋体" w:hAnsi="宋体" w:cs="宋体" w:eastAsia="宋体" w:hint="default"/>
          <w:sz w:val="28"/>
          <w:szCs w:val="28"/>
        </w:rPr>
      </w:r>
    </w:p>
    <w:p>
      <w:pPr>
        <w:spacing w:before="180"/>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1,652,874,961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86" w:lineRule="auto" w:before="236"/>
        <w:ind w:left="153" w:right="0" w:hanging="1"/>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2"/>
          <w:w w:val="99"/>
          <w:sz w:val="28"/>
          <w:szCs w:val="28"/>
        </w:rPr>
        <w:t>元（含税），送红股</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2"/>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428" w:right="346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660" w:val="left" w:leader="dot"/>
            </w:tabs>
            <w:spacing w:line="240" w:lineRule="auto" w:before="0"/>
            <w:ind w:left="154" w:right="0"/>
            <w:jc w:val="left"/>
            <w:rPr>
              <w:b w:val="0"/>
              <w:bCs w:val="0"/>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b w:val="0"/>
                <w:bCs w:val="0"/>
              </w:rPr>
              <w:tab/>
            </w:r>
            <w:r>
              <w:rPr/>
              <w:t>2</w:t>
            </w:r>
            <w:r>
              <w:rPr>
                <w:spacing w:val="-24"/>
              </w:rPr>
              <w:t> </w:t>
            </w:r>
            <w:r>
              <w:rPr>
                <w:b w:val="0"/>
                <w:bCs w:val="0"/>
              </w:rPr>
            </w:r>
          </w:hyperlink>
        </w:p>
        <w:p>
          <w:pPr>
            <w:pStyle w:val="TOC1"/>
            <w:tabs>
              <w:tab w:pos="9660" w:val="left" w:leader="dot"/>
            </w:tabs>
            <w:spacing w:line="240" w:lineRule="auto"/>
            <w:ind w:right="0"/>
            <w:jc w:val="left"/>
            <w:rPr>
              <w:b w:val="0"/>
              <w:bCs w:val="0"/>
            </w:rPr>
          </w:pPr>
          <w:hyperlink w:history="true" w:anchor="_TOC_250010">
            <w:r>
              <w:rPr/>
              <w:t>第二节 公司简介和主要财务指标</w:t>
            </w:r>
            <w:r>
              <w:rPr>
                <w:rFonts w:ascii="Times New Roman" w:hAnsi="Times New Roman" w:cs="Times New Roman" w:eastAsia="Times New Roman" w:hint="default"/>
                <w:b w:val="0"/>
                <w:bCs w:val="0"/>
              </w:rPr>
              <w:tab/>
            </w:r>
            <w:r>
              <w:rPr/>
              <w:t>5</w:t>
            </w:r>
            <w:r>
              <w:rPr>
                <w:b w:val="0"/>
                <w:bCs w:val="0"/>
              </w:rPr>
            </w:r>
          </w:hyperlink>
        </w:p>
        <w:p>
          <w:pPr>
            <w:pStyle w:val="TOC1"/>
            <w:tabs>
              <w:tab w:pos="9660" w:val="left" w:leader="dot"/>
            </w:tabs>
            <w:spacing w:line="240" w:lineRule="auto"/>
            <w:ind w:right="0"/>
            <w:jc w:val="left"/>
            <w:rPr>
              <w:b w:val="0"/>
              <w:bCs w:val="0"/>
            </w:rPr>
          </w:pPr>
          <w:hyperlink w:history="true" w:anchor="_TOC_250009">
            <w:r>
              <w:rPr/>
              <w:t>第三节 公司业务概要</w:t>
            </w:r>
            <w:r>
              <w:rPr>
                <w:rFonts w:ascii="Times New Roman" w:hAnsi="Times New Roman" w:cs="Times New Roman" w:eastAsia="Times New Roman" w:hint="default"/>
                <w:b w:val="0"/>
                <w:bCs w:val="0"/>
              </w:rPr>
              <w:tab/>
            </w:r>
            <w:r>
              <w:rPr/>
              <w:t>9</w:t>
            </w:r>
            <w:r>
              <w:rPr>
                <w:b w:val="0"/>
                <w:bCs w:val="0"/>
              </w:rPr>
            </w:r>
          </w:hyperlink>
        </w:p>
        <w:p>
          <w:pPr>
            <w:pStyle w:val="TOC1"/>
            <w:tabs>
              <w:tab w:pos="9539" w:val="left" w:leader="dot"/>
            </w:tabs>
            <w:spacing w:line="240" w:lineRule="auto"/>
            <w:ind w:right="0"/>
            <w:jc w:val="left"/>
            <w:rPr>
              <w:b w:val="0"/>
              <w:bCs w:val="0"/>
            </w:rPr>
          </w:pPr>
          <w:hyperlink w:history="true" w:anchor="_TOC_250008">
            <w:r>
              <w:rPr/>
              <w:t>第四节 经营情况讨论与分析</w:t>
            </w:r>
            <w:r>
              <w:rPr>
                <w:rFonts w:ascii="Times New Roman" w:hAnsi="Times New Roman" w:cs="Times New Roman" w:eastAsia="Times New Roman" w:hint="default"/>
                <w:b w:val="0"/>
                <w:bCs w:val="0"/>
              </w:rPr>
              <w:tab/>
            </w:r>
            <w:r>
              <w:rPr/>
              <w:t>12</w:t>
            </w:r>
            <w:r>
              <w:rPr>
                <w:b w:val="0"/>
                <w:bCs w:val="0"/>
              </w:rPr>
            </w:r>
          </w:hyperlink>
        </w:p>
        <w:p>
          <w:pPr>
            <w:pStyle w:val="TOC1"/>
            <w:tabs>
              <w:tab w:pos="9539" w:val="left" w:leader="dot"/>
            </w:tabs>
            <w:spacing w:line="240" w:lineRule="auto"/>
            <w:ind w:right="0"/>
            <w:jc w:val="left"/>
            <w:rPr>
              <w:b w:val="0"/>
              <w:bCs w:val="0"/>
            </w:rPr>
          </w:pPr>
          <w:hyperlink w:history="true" w:anchor="_TOC_250007">
            <w:r>
              <w:rPr/>
              <w:t>第五节 重要事项</w:t>
            </w:r>
            <w:r>
              <w:rPr>
                <w:rFonts w:ascii="Times New Roman" w:hAnsi="Times New Roman" w:cs="Times New Roman" w:eastAsia="Times New Roman" w:hint="default"/>
                <w:b w:val="0"/>
                <w:bCs w:val="0"/>
              </w:rPr>
              <w:tab/>
            </w:r>
            <w:r>
              <w:rPr/>
              <w:t>30</w:t>
            </w:r>
            <w:r>
              <w:rPr>
                <w:b w:val="0"/>
                <w:bCs w:val="0"/>
              </w:rPr>
            </w:r>
          </w:hyperlink>
        </w:p>
        <w:p>
          <w:pPr>
            <w:pStyle w:val="TOC1"/>
            <w:tabs>
              <w:tab w:pos="9539" w:val="left" w:leader="dot"/>
            </w:tabs>
            <w:spacing w:line="240" w:lineRule="auto"/>
            <w:ind w:right="0"/>
            <w:jc w:val="left"/>
            <w:rPr>
              <w:b w:val="0"/>
              <w:bCs w:val="0"/>
            </w:rPr>
          </w:pPr>
          <w:hyperlink w:history="true" w:anchor="_TOC_250006">
            <w:r>
              <w:rPr/>
              <w:t>第六节 股份变动及股东情况</w:t>
            </w:r>
            <w:r>
              <w:rPr>
                <w:rFonts w:ascii="Times New Roman" w:hAnsi="Times New Roman" w:cs="Times New Roman" w:eastAsia="Times New Roman" w:hint="default"/>
                <w:b w:val="0"/>
                <w:bCs w:val="0"/>
              </w:rPr>
              <w:tab/>
            </w:r>
            <w:r>
              <w:rPr/>
              <w:t>46</w:t>
            </w:r>
            <w:r>
              <w:rPr>
                <w:b w:val="0"/>
                <w:bCs w:val="0"/>
              </w:rPr>
            </w:r>
          </w:hyperlink>
        </w:p>
        <w:p>
          <w:pPr>
            <w:pStyle w:val="TOC1"/>
            <w:tabs>
              <w:tab w:pos="9539" w:val="left" w:leader="dot"/>
            </w:tabs>
            <w:spacing w:line="240" w:lineRule="auto"/>
            <w:ind w:right="0"/>
            <w:jc w:val="left"/>
            <w:rPr>
              <w:b w:val="0"/>
              <w:bCs w:val="0"/>
            </w:rPr>
          </w:pPr>
          <w:hyperlink w:history="true" w:anchor="_TOC_250005">
            <w:r>
              <w:rPr/>
              <w:t>第七节 优先股相关情况</w:t>
            </w:r>
            <w:r>
              <w:rPr>
                <w:rFonts w:ascii="Times New Roman" w:hAnsi="Times New Roman" w:cs="Times New Roman" w:eastAsia="Times New Roman" w:hint="default"/>
                <w:b w:val="0"/>
                <w:bCs w:val="0"/>
              </w:rPr>
              <w:tab/>
            </w:r>
            <w:r>
              <w:rPr/>
              <w:t>52</w:t>
            </w:r>
            <w:r>
              <w:rPr>
                <w:b w:val="0"/>
                <w:bCs w:val="0"/>
              </w:rPr>
            </w:r>
          </w:hyperlink>
        </w:p>
        <w:p>
          <w:pPr>
            <w:pStyle w:val="TOC1"/>
            <w:tabs>
              <w:tab w:pos="9539" w:val="left" w:leader="dot"/>
            </w:tabs>
            <w:spacing w:line="240" w:lineRule="auto"/>
            <w:ind w:right="0"/>
            <w:jc w:val="left"/>
            <w:rPr>
              <w:b w:val="0"/>
              <w:bCs w:val="0"/>
            </w:rPr>
          </w:pPr>
          <w:hyperlink w:history="true" w:anchor="_TOC_250004">
            <w:r>
              <w:rPr/>
              <w:t>第八节</w:t>
            </w:r>
            <w:r>
              <w:rPr>
                <w:spacing w:val="1"/>
              </w:rPr>
              <w:t> </w:t>
            </w:r>
            <w:r>
              <w:rPr/>
              <w:t>董事、监事、高级管理人员和员工情况</w:t>
            </w:r>
            <w:r>
              <w:rPr>
                <w:rFonts w:ascii="Times New Roman" w:hAnsi="Times New Roman" w:cs="Times New Roman" w:eastAsia="Times New Roman" w:hint="default"/>
                <w:b w:val="0"/>
                <w:bCs w:val="0"/>
              </w:rPr>
              <w:tab/>
            </w:r>
            <w:r>
              <w:rPr/>
              <w:t>53</w:t>
            </w:r>
            <w:r>
              <w:rPr>
                <w:b w:val="0"/>
                <w:bCs w:val="0"/>
              </w:rPr>
            </w:r>
          </w:hyperlink>
        </w:p>
        <w:p>
          <w:pPr>
            <w:pStyle w:val="TOC1"/>
            <w:tabs>
              <w:tab w:pos="9539" w:val="left" w:leader="dot"/>
            </w:tabs>
            <w:spacing w:line="240" w:lineRule="auto"/>
            <w:ind w:right="0"/>
            <w:jc w:val="left"/>
            <w:rPr>
              <w:b w:val="0"/>
              <w:bCs w:val="0"/>
            </w:rPr>
          </w:pPr>
          <w:hyperlink w:history="true" w:anchor="_TOC_250003">
            <w:r>
              <w:rPr/>
              <w:t>第九节 公司治理</w:t>
            </w:r>
            <w:r>
              <w:rPr>
                <w:rFonts w:ascii="Times New Roman" w:hAnsi="Times New Roman" w:cs="Times New Roman" w:eastAsia="Times New Roman" w:hint="default"/>
                <w:b w:val="0"/>
                <w:bCs w:val="0"/>
              </w:rPr>
              <w:tab/>
            </w:r>
            <w:r>
              <w:rPr/>
              <w:t>60</w:t>
            </w:r>
            <w:r>
              <w:rPr>
                <w:b w:val="0"/>
                <w:bCs w:val="0"/>
              </w:rPr>
            </w:r>
          </w:hyperlink>
        </w:p>
        <w:p>
          <w:pPr>
            <w:pStyle w:val="TOC1"/>
            <w:tabs>
              <w:tab w:pos="9539" w:val="left" w:leader="dot"/>
            </w:tabs>
            <w:spacing w:line="240" w:lineRule="auto"/>
            <w:ind w:right="0"/>
            <w:jc w:val="left"/>
            <w:rPr>
              <w:b w:val="0"/>
              <w:bCs w:val="0"/>
            </w:rPr>
          </w:pPr>
          <w:hyperlink w:history="true" w:anchor="_TOC_250002">
            <w:r>
              <w:rPr/>
              <w:t>第十节 公司债券相关情况</w:t>
            </w:r>
            <w:r>
              <w:rPr>
                <w:rFonts w:ascii="Times New Roman" w:hAnsi="Times New Roman" w:cs="Times New Roman" w:eastAsia="Times New Roman" w:hint="default"/>
                <w:b w:val="0"/>
                <w:bCs w:val="0"/>
              </w:rPr>
              <w:tab/>
            </w:r>
            <w:r>
              <w:rPr/>
              <w:t>65</w:t>
            </w:r>
            <w:r>
              <w:rPr>
                <w:b w:val="0"/>
                <w:bCs w:val="0"/>
              </w:rPr>
            </w:r>
          </w:hyperlink>
        </w:p>
        <w:p>
          <w:pPr>
            <w:pStyle w:val="TOC1"/>
            <w:tabs>
              <w:tab w:pos="9539" w:val="left" w:leader="dot"/>
            </w:tabs>
            <w:spacing w:line="240" w:lineRule="auto"/>
            <w:ind w:right="0"/>
            <w:jc w:val="left"/>
            <w:rPr>
              <w:b w:val="0"/>
              <w:bCs w:val="0"/>
            </w:rPr>
          </w:pPr>
          <w:hyperlink w:history="true" w:anchor="_TOC_250001">
            <w:r>
              <w:rPr/>
              <w:t>第十一节 财务报告</w:t>
            </w:r>
            <w:r>
              <w:rPr>
                <w:rFonts w:ascii="Times New Roman" w:hAnsi="Times New Roman" w:cs="Times New Roman" w:eastAsia="Times New Roman" w:hint="default"/>
                <w:b w:val="0"/>
                <w:bCs w:val="0"/>
              </w:rPr>
              <w:tab/>
            </w:r>
            <w:r>
              <w:rPr/>
              <w:t>66</w:t>
            </w:r>
            <w:r>
              <w:rPr>
                <w:b w:val="0"/>
                <w:bCs w:val="0"/>
              </w:rPr>
            </w:r>
          </w:hyperlink>
        </w:p>
        <w:p>
          <w:pPr>
            <w:pStyle w:val="TOC1"/>
            <w:tabs>
              <w:tab w:pos="9417" w:val="left" w:leader="dot"/>
            </w:tabs>
            <w:spacing w:line="240" w:lineRule="auto"/>
            <w:ind w:right="0"/>
            <w:jc w:val="left"/>
            <w:rPr>
              <w:b w:val="0"/>
              <w:bCs w:val="0"/>
            </w:rPr>
          </w:pPr>
          <w:hyperlink w:history="true" w:anchor="_TOC_250000">
            <w:r>
              <w:rPr/>
              <w:t>第十二节 备查文件目录</w:t>
            </w:r>
            <w:r>
              <w:rPr>
                <w:rFonts w:ascii="Times New Roman" w:hAnsi="Times New Roman" w:cs="Times New Roman" w:eastAsia="Times New Roman" w:hint="default"/>
                <w:b w:val="0"/>
                <w:bCs w:val="0"/>
              </w:rPr>
              <w:tab/>
            </w:r>
            <w:r>
              <w:rPr/>
              <w:t>181</w:t>
            </w:r>
            <w:r>
              <w:rPr>
                <w:b w:val="0"/>
                <w:bCs w:val="0"/>
              </w:rPr>
            </w:r>
          </w:hyperlink>
        </w:p>
        <w:p>
          <w:pPr/>
          <w:r>
            <w:fldChar w:fldCharType="end"/>
          </w:r>
        </w:p>
      </w:sdtContent>
    </w:sdt>
    <w:p>
      <w:pPr>
        <w:spacing w:after="0"/>
        <w:sectPr>
          <w:pgSz w:w="11910" w:h="16840"/>
          <w:pgMar w:header="747" w:footer="982" w:top="1060" w:bottom="1180" w:left="980" w:right="940"/>
        </w:sectPr>
      </w:pPr>
    </w:p>
    <w:p>
      <w:pPr>
        <w:spacing w:before="946"/>
        <w:ind w:left="1941" w:right="194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08"/>
        <w:gridCol w:w="614"/>
        <w:gridCol w:w="5435"/>
      </w:tblGrid>
      <w:tr>
        <w:trPr>
          <w:trHeight w:val="402" w:hRule="exact"/>
        </w:trPr>
        <w:tc>
          <w:tcPr>
            <w:tcW w:w="3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公司、本公司或常山北明</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河北证监局</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中国证券监督管理委员会河北证监局</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《石家庄常山北明科技股份有限公司章程》</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报告期、本报告期、本期</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北明软件</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索科维尔</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天时前程</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山东成功</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明润华创</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金实盈信</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郑州郑热</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赛孚纺织</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r>
      <w:tr>
        <w:trPr>
          <w:trHeight w:val="402" w:hRule="exact"/>
        </w:trPr>
        <w:tc>
          <w:tcPr>
            <w:tcW w:w="3508"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国智云鼎</w:t>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41"/>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41"/>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65"/>
        <w:gridCol w:w="2156"/>
        <w:gridCol w:w="2176"/>
      </w:tblGrid>
      <w:tr>
        <w:trPr>
          <w:trHeight w:val="402" w:hRule="exact"/>
        </w:trPr>
        <w:tc>
          <w:tcPr>
            <w:tcW w:w="2261" w:type="dxa"/>
            <w:tcBorders>
              <w:top w:val="single" w:sz="4" w:space="0" w:color="000000"/>
              <w:left w:val="single" w:sz="4" w:space="0" w:color="000000"/>
              <w:bottom w:val="single" w:sz="4" w:space="0" w:color="000000"/>
              <w:right w:val="single" w:sz="10"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13" w:space="0" w:color="D3D3D3"/>
              <w:bottom w:val="single" w:sz="4" w:space="0" w:color="000000"/>
              <w:right w:val="single" w:sz="13" w:space="0" w:color="D3D3D3"/>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常山北明</w:t>
            </w:r>
          </w:p>
        </w:tc>
        <w:tc>
          <w:tcPr>
            <w:tcW w:w="2156" w:type="dxa"/>
            <w:tcBorders>
              <w:top w:val="single" w:sz="4" w:space="0" w:color="000000"/>
              <w:left w:val="single" w:sz="9" w:space="0" w:color="C7EDCC"/>
              <w:bottom w:val="single" w:sz="4" w:space="0" w:color="000000"/>
              <w:right w:val="single" w:sz="13" w:space="0" w:color="C7EDCC"/>
            </w:tcBorders>
            <w:shd w:val="clear" w:color="auto" w:fill="D3D3D3"/>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000158</w:t>
            </w:r>
          </w:p>
        </w:tc>
      </w:tr>
      <w:tr>
        <w:trPr>
          <w:trHeight w:val="402" w:hRule="exact"/>
        </w:trPr>
        <w:tc>
          <w:tcPr>
            <w:tcW w:w="2261" w:type="dxa"/>
            <w:tcBorders>
              <w:top w:val="single" w:sz="4" w:space="0" w:color="000000"/>
              <w:left w:val="single" w:sz="4" w:space="0" w:color="000000"/>
              <w:bottom w:val="single" w:sz="4" w:space="0" w:color="000000"/>
              <w:right w:val="single" w:sz="10"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常山北明</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Shijiazhuang ChangShan BeiMing Technology</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89"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CSBM</w:t>
            </w:r>
            <w:r>
              <w:rPr>
                <w:rFonts w:ascii="Times New Roman" w:hAnsi="Times New Roman" w:cs="Times New Roman" w:eastAsia="Times New Roman" w:hint="default"/>
                <w:sz w:val="18"/>
                <w:szCs w:val="18"/>
              </w:rPr>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肖荣智</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http://www.changshantex.com</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chshgf@heinfo.net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41"/>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莉</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0311-86673856</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0311-86673856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0311-86673929</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0311-86673929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chijunp52@sohu.com</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ally</w:t>
              </w:r>
            </w:hyperlink>
            <w:hyperlink r:id="rId14">
              <w:r>
                <w:rPr>
                  <w:rFonts w:ascii="Times New Roman"/>
                  <w:sz w:val="18"/>
                </w:rPr>
                <w:t>0629@sohu.com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41"/>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141"/>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统一社会信用代码为：</w:t>
            </w:r>
            <w:r>
              <w:rPr>
                <w:rFonts w:ascii="Times New Roman" w:hAnsi="Times New Roman" w:cs="Times New Roman" w:eastAsia="Times New Roman" w:hint="default"/>
                <w:sz w:val="18"/>
                <w:szCs w:val="18"/>
              </w:rPr>
              <w:t>91130100700715920E</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年度公司完成了重大资产重组，收购北明软件有限公司，公司主营业务由单 一的纺织业务新增软件和信息技术服务业。</w:t>
            </w:r>
          </w:p>
        </w:tc>
      </w:tr>
    </w:tbl>
    <w:p>
      <w:pPr>
        <w:spacing w:line="240" w:lineRule="auto" w:before="2"/>
        <w:rPr>
          <w:rFonts w:ascii="宋体" w:hAnsi="宋体" w:cs="宋体" w:eastAsia="宋体" w:hint="default"/>
          <w:b/>
          <w:bCs/>
          <w:sz w:val="18"/>
          <w:szCs w:val="18"/>
        </w:rPr>
      </w:pPr>
    </w:p>
    <w:p>
      <w:pPr>
        <w:pStyle w:val="Heading2"/>
        <w:spacing w:line="240" w:lineRule="auto" w:before="26"/>
        <w:ind w:right="141"/>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41"/>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号万通新世界写字楼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层</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王飞、王凤岐</w:t>
            </w:r>
          </w:p>
        </w:tc>
      </w:tr>
    </w:tbl>
    <w:p>
      <w:pPr>
        <w:pStyle w:val="BodyText"/>
        <w:spacing w:line="240" w:lineRule="auto" w:before="51"/>
        <w:ind w:left="154" w:right="141"/>
        <w:jc w:val="left"/>
      </w:pPr>
      <w:r>
        <w:rPr/>
        <w:t>公司聘请的报告期内履行持续督导职责的保荐机构</w:t>
      </w:r>
    </w:p>
    <w:p>
      <w:pPr>
        <w:pStyle w:val="BodyText"/>
        <w:spacing w:line="338" w:lineRule="auto" w:before="117"/>
        <w:ind w:left="154"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41"/>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t>公司是否需追溯调整或重述以前年度会计数据</w:t>
      </w:r>
    </w:p>
    <w:p>
      <w:pPr>
        <w:pStyle w:val="BodyText"/>
        <w:spacing w:line="240" w:lineRule="auto" w:before="116"/>
        <w:ind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37"/>
        <w:gridCol w:w="1632"/>
        <w:gridCol w:w="1620"/>
        <w:gridCol w:w="1738"/>
        <w:gridCol w:w="1502"/>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11,254,467,684.79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10,974,323,090.74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2.55%</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8,901,935,987.79</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355,095,034.93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349,914,511.72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249,373,393.47</w:t>
            </w:r>
          </w:p>
        </w:tc>
      </w:tr>
      <w:tr>
        <w:trPr>
          <w:trHeight w:val="714"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3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-209,420,809.58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-37,886,565.34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-452.76%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40,762,679.02</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382,788,193.92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436,577,038.61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-12.32%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-489,098,673.08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12,789,214,507.47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12,804,191,551.46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10,941,863,134.93</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6,008,086,488.76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5,739,262,570.37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5,429,209,890.11</w:t>
            </w:r>
          </w:p>
        </w:tc>
      </w:tr>
    </w:tbl>
    <w:p>
      <w:pPr>
        <w:spacing w:line="240" w:lineRule="auto" w:before="2"/>
        <w:rPr>
          <w:rFonts w:ascii="宋体" w:hAnsi="宋体" w:cs="宋体" w:eastAsia="宋体" w:hint="default"/>
          <w:sz w:val="18"/>
          <w:szCs w:val="18"/>
        </w:rPr>
      </w:pPr>
    </w:p>
    <w:p>
      <w:pPr>
        <w:pStyle w:val="Heading2"/>
        <w:spacing w:line="240" w:lineRule="auto" w:before="26"/>
        <w:ind w:right="141"/>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公司报告期不存在按照国际会计准则与按照中国会计准则披露的财务报告中净利润和净资产差异情况。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1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7"/>
        <w:gridCol w:w="1752"/>
        <w:gridCol w:w="1739"/>
        <w:gridCol w:w="1740"/>
        <w:gridCol w:w="1729"/>
      </w:tblGrid>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1,954,769,735.37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2,590,161,906.89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1,472,271,170.77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5,237,264,871.76</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-12,408,782.07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63,641,146.87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14,179,552.82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289,683,117.31</w:t>
            </w:r>
          </w:p>
        </w:tc>
      </w:tr>
      <w:tr>
        <w:trPr>
          <w:trHeight w:val="714"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-71,445,552.67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7,756,317.49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-68,667,355.13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-77,064,219.27</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-522,954,298.64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-147,053,583.02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539,177,361.86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513,618,713.72</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57"/>
        <w:gridCol w:w="1452"/>
        <w:gridCol w:w="1440"/>
        <w:gridCol w:w="1440"/>
        <w:gridCol w:w="1620"/>
      </w:tblGrid>
      <w:tr>
        <w:trPr>
          <w:trHeight w:val="402"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的冲销部分）</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-24,205,783.87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348,984.72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-65,144,102.13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w:t>
            </w:r>
            <w:r>
              <w:rPr>
                <w:rFonts w:ascii="宋体" w:hAnsi="宋体" w:cs="宋体" w:eastAsia="宋体" w:hint="default"/>
                <w:spacing w:val="-3"/>
                <w:sz w:val="18"/>
                <w:szCs w:val="18"/>
              </w:rPr>
              <w:t>关，按照国家统一标准定额或定量享受的政府补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助除外）</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607,857,291.03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409,505,119.64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368,809,768.96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其中：政府搬迁补助</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602,102,453.29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2"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企业重组费用，如安置职工的支出、整合费用等</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-52,874,957.55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-29,109,434.94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-67,918,377.01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1650"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 </w:t>
            </w:r>
            <w:r>
              <w:rPr>
                <w:rFonts w:ascii="宋体" w:hAnsi="宋体" w:cs="宋体" w:eastAsia="宋体" w:hint="default"/>
                <w:spacing w:val="-3"/>
                <w:sz w:val="18"/>
                <w:szCs w:val="18"/>
              </w:rPr>
              <w:t>务外，持有交易性金融资产、交易性金融负债产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生的公允价值变动损益，以及处置交易性金融资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产、交易性金融负债和可供出售金融资产取得的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投资收益</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13,488,939.38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2,767,256.58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2,180,980.14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179,981.00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21,045,277.38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5,467,073.73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-1,221,779.71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火灾损失</w:t>
            </w:r>
          </w:p>
        </w:tc>
        <w:tc>
          <w:tcPr>
            <w:tcW w:w="145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-30,209,157.39</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2,996,256.82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1,201,873.22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-4,114,826.51</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68"/>
        <w:gridCol w:w="1452"/>
        <w:gridCol w:w="1440"/>
        <w:gridCol w:w="1440"/>
        <w:gridCol w:w="1620"/>
      </w:tblGrid>
      <w:tr>
        <w:trPr>
          <w:trHeight w:val="402" w:hRule="exact"/>
        </w:trPr>
        <w:tc>
          <w:tcPr>
            <w:tcW w:w="3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-20,354.82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-3,950.55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445.78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564,515,844.51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387,801,077.06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208,610,714.45</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left="154" w:right="17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left="154" w:right="17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1"/>
        <w:jc w:val="left"/>
      </w:pPr>
      <w:r>
        <w:rPr/>
        <w:t>公司是否需要遵守特殊行业的披露要求 否</w:t>
      </w:r>
    </w:p>
    <w:p>
      <w:pPr>
        <w:pStyle w:val="BodyText"/>
        <w:spacing w:line="240" w:lineRule="auto" w:before="26"/>
        <w:ind w:left="513" w:right="0"/>
        <w:jc w:val="left"/>
      </w:pPr>
      <w:r>
        <w:rPr/>
        <w:t>报告期内，公司主营业务包括纺织业务和软件、信息技术服务业务。</w:t>
      </w:r>
    </w:p>
    <w:p>
      <w:pPr>
        <w:pStyle w:val="BodyText"/>
        <w:spacing w:line="357" w:lineRule="auto" w:before="116"/>
        <w:ind w:left="513" w:right="0" w:hanging="60"/>
        <w:jc w:val="left"/>
      </w:pPr>
      <w:r>
        <w:rPr/>
        <w:t>（一）纺织板块 </w:t>
      </w:r>
      <w:r>
        <w:rPr>
          <w:spacing w:val="-2"/>
        </w:rPr>
        <w:t>纺织业务包括纯棉纱、布和涤棉纱、布的生产销售；自产产品和技术的进出口业务；棉花批发、零售。公司根据订单需</w:t>
      </w:r>
    </w:p>
    <w:p>
      <w:pPr>
        <w:pStyle w:val="BodyText"/>
        <w:spacing w:line="357" w:lineRule="auto"/>
        <w:ind w:left="513" w:right="0" w:hanging="360"/>
        <w:jc w:val="left"/>
      </w:pPr>
      <w:r>
        <w:rPr/>
        <w:t>要，采购原料，组织生产，直接销售。 </w:t>
      </w:r>
      <w:r>
        <w:rPr>
          <w:spacing w:val="-2"/>
        </w:rPr>
        <w:t>报告期内，我国纺织行业坚持深化供给侧结构性改革，努力化解各种外部风险，总体上保持了稳中有进、稳中提质的发</w:t>
      </w:r>
    </w:p>
    <w:p>
      <w:pPr>
        <w:pStyle w:val="BodyText"/>
        <w:spacing w:line="224" w:lineRule="exact"/>
        <w:ind w:right="0"/>
        <w:jc w:val="left"/>
      </w:pPr>
      <w:r>
        <w:rPr>
          <w:spacing w:val="-4"/>
        </w:rPr>
        <w:t>展态势，各项经济运行指标均实现正增长，部分指标增速较上年同期有所加快，运行质效稳步提升，转型升级成效逐步显现。</w:t>
      </w:r>
    </w:p>
    <w:p>
      <w:pPr>
        <w:pStyle w:val="BodyText"/>
        <w:spacing w:line="240" w:lineRule="auto" w:before="77"/>
        <w:ind w:right="0"/>
        <w:jc w:val="left"/>
      </w:pPr>
      <w:r>
        <w:rPr/>
        <w:t>公司作为全国纺织行业的龙头企业，营业收入、出口创汇等经济指标多年来均位居同行业前列。</w:t>
      </w:r>
    </w:p>
    <w:p>
      <w:pPr>
        <w:pStyle w:val="BodyText"/>
        <w:spacing w:line="357" w:lineRule="auto" w:before="116"/>
        <w:ind w:left="513" w:right="0"/>
        <w:jc w:val="left"/>
      </w:pPr>
      <w:r>
        <w:rPr/>
        <w:t>（二）软件板块 </w:t>
      </w:r>
      <w:r>
        <w:rPr>
          <w:spacing w:val="-2"/>
        </w:rPr>
        <w:t>软件和信息技术服务业包括软件开发、软件服务；智能化安装工程服务，技术进出口；通信设备零售，计算机应用电子</w:t>
      </w:r>
    </w:p>
    <w:p>
      <w:pPr>
        <w:pStyle w:val="BodyText"/>
        <w:spacing w:line="357" w:lineRule="auto"/>
        <w:ind w:left="514" w:right="0" w:hanging="360"/>
        <w:jc w:val="left"/>
      </w:pPr>
      <w:r>
        <w:rPr>
          <w:spacing w:val="-4"/>
        </w:rPr>
        <w:t>设备制造；环保技术开发服务，环保技术咨询、交流服务，环保技术转让服务；通信系统设备制造；信息系统集成服务等等。</w:t>
      </w:r>
      <w:r>
        <w:rPr>
          <w:spacing w:val="-44"/>
        </w:rPr>
        <w:t> </w:t>
      </w:r>
      <w:r>
        <w:rPr>
          <w:spacing w:val="-44"/>
        </w:rPr>
      </w:r>
      <w:r>
        <w:rPr>
          <w:spacing w:val="-2"/>
        </w:rPr>
        <w:t>目前，全球软件产业正处于成长期向成熟期转变的阶段，而中国的软件业正处于高速发展的成长期，中国软件行业正保</w:t>
      </w:r>
    </w:p>
    <w:p>
      <w:pPr>
        <w:pStyle w:val="BodyText"/>
        <w:spacing w:line="224" w:lineRule="exact"/>
        <w:ind w:left="154" w:right="0"/>
        <w:jc w:val="left"/>
      </w:pPr>
      <w:r>
        <w:rPr>
          <w:spacing w:val="-4"/>
        </w:rPr>
        <w:t>持着高速增长的态势。在国家新一轮产业政策推动下，我国软件产业将继续保持快速增长势头，新兴信息技术服务增势突出，</w:t>
      </w:r>
    </w:p>
    <w:p>
      <w:pPr>
        <w:pStyle w:val="BodyText"/>
        <w:spacing w:line="357" w:lineRule="auto" w:before="77"/>
        <w:ind w:left="514" w:right="0" w:hanging="360"/>
        <w:jc w:val="left"/>
      </w:pPr>
      <w:r>
        <w:rPr/>
        <w:t>将对促进经济结构调整发挥更重要的作用，未来几年软件产业整体规模将持续扩大。 </w:t>
      </w:r>
      <w:r>
        <w:rPr>
          <w:spacing w:val="-2"/>
        </w:rPr>
        <w:t>公司子公司北明软件是从事系统集成及行业解决方案、代理产品增值销售、定制化软件及服务，是一家综合性全方位的</w:t>
      </w:r>
    </w:p>
    <w:p>
      <w:pPr>
        <w:pStyle w:val="BodyText"/>
        <w:spacing w:line="239" w:lineRule="exact"/>
        <w:ind w:left="154" w:right="0"/>
        <w:jc w:val="left"/>
      </w:pPr>
      <w:r>
        <w:rPr>
          <w:rFonts w:ascii="Times New Roman" w:hAnsi="Times New Roman" w:cs="Times New Roman" w:eastAsia="Times New Roman" w:hint="default"/>
        </w:rPr>
        <w:t>IT</w:t>
      </w:r>
      <w:r>
        <w:rPr/>
        <w:t>服务企业。由于当前中国软件及信息系统服务行业的市场集中度还相当低，公司积极探寻內延外扩的方式扩大市场份额。</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0"/>
        <w:gridCol w:w="6516"/>
      </w:tblGrid>
      <w:tr>
        <w:trPr>
          <w:trHeight w:val="179" w:hRule="exact"/>
        </w:trPr>
        <w:tc>
          <w:tcPr>
            <w:tcW w:w="30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92" w:hRule="exact"/>
        </w:trPr>
        <w:tc>
          <w:tcPr>
            <w:tcW w:w="30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30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1"/>
              <w:ind w:left="15" w:right="20"/>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160,888.31</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万元，较期初增加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18.33%</w:t>
            </w:r>
            <w:r>
              <w:rPr>
                <w:rFonts w:ascii="宋体" w:hAnsi="宋体" w:cs="宋体" w:eastAsia="宋体" w:hint="default"/>
                <w:sz w:val="18"/>
                <w:szCs w:val="18"/>
              </w:rPr>
              <w:t>，主要系报告期公司整体改造优化升 级等项目完工，转入固定资产所致。</w:t>
            </w:r>
          </w:p>
        </w:tc>
      </w:tr>
      <w:tr>
        <w:trPr>
          <w:trHeight w:val="393" w:hRule="exact"/>
        </w:trPr>
        <w:tc>
          <w:tcPr>
            <w:tcW w:w="30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vMerge/>
            <w:tcBorders>
              <w:left w:val="single" w:sz="10" w:space="0" w:color="D3D3D3"/>
              <w:right w:val="single" w:sz="4" w:space="0" w:color="000000"/>
            </w:tcBorders>
            <w:shd w:val="clear" w:color="auto" w:fill="C7EDCC"/>
          </w:tcPr>
          <w:p>
            <w:pPr/>
          </w:p>
        </w:tc>
      </w:tr>
      <w:tr>
        <w:trPr>
          <w:trHeight w:val="160" w:hRule="exact"/>
        </w:trPr>
        <w:tc>
          <w:tcPr>
            <w:tcW w:w="30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10" w:space="0" w:color="D3D3D3"/>
              <w:bottom w:val="single" w:sz="4" w:space="0" w:color="000000"/>
              <w:right w:val="single" w:sz="4" w:space="0" w:color="000000"/>
            </w:tcBorders>
            <w:shd w:val="clear" w:color="auto" w:fill="C7EDCC"/>
          </w:tcPr>
          <w:p>
            <w:pPr/>
          </w:p>
        </w:tc>
      </w:tr>
      <w:tr>
        <w:trPr>
          <w:trHeight w:val="160" w:hRule="exact"/>
        </w:trPr>
        <w:tc>
          <w:tcPr>
            <w:tcW w:w="30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1"/>
              <w:ind w:left="15" w:right="20"/>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24,524.24</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万元，较期初减少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4.47%</w:t>
            </w:r>
            <w:r>
              <w:rPr>
                <w:rFonts w:ascii="宋体" w:hAnsi="宋体" w:cs="宋体" w:eastAsia="宋体" w:hint="default"/>
                <w:sz w:val="18"/>
                <w:szCs w:val="18"/>
              </w:rPr>
              <w:t>，系本报告期公司无形资产摊销影响所 致。</w:t>
            </w:r>
          </w:p>
        </w:tc>
      </w:tr>
      <w:tr>
        <w:trPr>
          <w:trHeight w:val="393" w:hRule="exact"/>
        </w:trPr>
        <w:tc>
          <w:tcPr>
            <w:tcW w:w="30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vMerge/>
            <w:tcBorders>
              <w:left w:val="single" w:sz="10" w:space="0" w:color="D3D3D3"/>
              <w:right w:val="single" w:sz="4" w:space="0" w:color="000000"/>
            </w:tcBorders>
            <w:shd w:val="clear" w:color="auto" w:fill="C7EDCC"/>
          </w:tcPr>
          <w:p>
            <w:pPr/>
          </w:p>
        </w:tc>
      </w:tr>
      <w:tr>
        <w:trPr>
          <w:trHeight w:val="160" w:hRule="exact"/>
        </w:trPr>
        <w:tc>
          <w:tcPr>
            <w:tcW w:w="30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10" w:space="0" w:color="D3D3D3"/>
              <w:bottom w:val="single" w:sz="4" w:space="0" w:color="000000"/>
              <w:right w:val="single" w:sz="4" w:space="0" w:color="000000"/>
            </w:tcBorders>
            <w:shd w:val="clear" w:color="auto" w:fill="C7EDCC"/>
          </w:tcPr>
          <w:p>
            <w:pPr/>
          </w:p>
        </w:tc>
      </w:tr>
      <w:tr>
        <w:trPr>
          <w:trHeight w:val="160" w:hRule="exact"/>
        </w:trPr>
        <w:tc>
          <w:tcPr>
            <w:tcW w:w="30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1"/>
              <w:ind w:left="15" w:right="38"/>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75,011.99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万元，较期初数减少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21.77%</w:t>
            </w:r>
            <w:r>
              <w:rPr>
                <w:rFonts w:ascii="宋体" w:hAnsi="宋体" w:cs="宋体" w:eastAsia="宋体" w:hint="default"/>
                <w:sz w:val="18"/>
                <w:szCs w:val="18"/>
              </w:rPr>
              <w:t>，主要系报告期整体改造优化升级 等项目完工，转入固定资产所致。</w:t>
            </w:r>
          </w:p>
        </w:tc>
      </w:tr>
      <w:tr>
        <w:trPr>
          <w:trHeight w:val="393" w:hRule="exact"/>
        </w:trPr>
        <w:tc>
          <w:tcPr>
            <w:tcW w:w="30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vMerge/>
            <w:tcBorders>
              <w:left w:val="single" w:sz="10" w:space="0" w:color="D3D3D3"/>
              <w:right w:val="single" w:sz="4" w:space="0" w:color="000000"/>
            </w:tcBorders>
            <w:shd w:val="clear" w:color="auto" w:fill="C7EDCC"/>
          </w:tcPr>
          <w:p>
            <w:pPr/>
          </w:p>
        </w:tc>
      </w:tr>
      <w:tr>
        <w:trPr>
          <w:trHeight w:val="160" w:hRule="exact"/>
        </w:trPr>
        <w:tc>
          <w:tcPr>
            <w:tcW w:w="30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10" w:space="0" w:color="D3D3D3"/>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751"/>
        <w:jc w:val="left"/>
      </w:pPr>
      <w:r>
        <w:rPr/>
        <w:t>公司是否需要遵守特殊行业的披露要求 否</w:t>
      </w:r>
    </w:p>
    <w:p>
      <w:pPr>
        <w:pStyle w:val="BodyText"/>
        <w:spacing w:line="240" w:lineRule="auto" w:before="29"/>
        <w:ind w:left="513" w:right="0"/>
        <w:jc w:val="left"/>
      </w:pPr>
      <w:r>
        <w:rPr/>
        <w:t>（一）纺织业务的优势：</w:t>
      </w:r>
    </w:p>
    <w:p>
      <w:pPr>
        <w:pStyle w:val="BodyText"/>
        <w:spacing w:line="300" w:lineRule="auto" w:before="115"/>
        <w:ind w:right="191" w:firstLine="360"/>
        <w:jc w:val="both"/>
      </w:pPr>
      <w:r>
        <w:rPr>
          <w:rFonts w:ascii="Times New Roman" w:hAnsi="Times New Roman" w:cs="Times New Roman" w:eastAsia="Times New Roman" w:hint="default"/>
        </w:rPr>
        <w:t>1</w:t>
      </w:r>
      <w:r>
        <w:rPr/>
        <w:t>、人才优势。聘请中科院院士为公司技术顾问。有各类技术人员</w:t>
      </w:r>
      <w:r>
        <w:rPr>
          <w:rFonts w:ascii="Times New Roman" w:hAnsi="Times New Roman" w:cs="Times New Roman" w:eastAsia="Times New Roman" w:hint="default"/>
        </w:rPr>
        <w:t>513</w:t>
      </w:r>
      <w:r>
        <w:rPr/>
        <w:t>名，其中中华技能大奖</w:t>
      </w:r>
      <w:r>
        <w:rPr>
          <w:rFonts w:ascii="Times New Roman" w:hAnsi="Times New Roman" w:cs="Times New Roman" w:eastAsia="Times New Roman" w:hint="default"/>
        </w:rPr>
        <w:t>1</w:t>
      </w:r>
      <w:r>
        <w:rPr/>
        <w:t>名、全国纺织行业岗位能 </w:t>
      </w:r>
      <w:r>
        <w:rPr>
          <w:spacing w:val="-2"/>
        </w:rPr>
        <w:t>手</w:t>
      </w:r>
      <w:r>
        <w:rPr>
          <w:rFonts w:ascii="Times New Roman" w:hAnsi="Times New Roman" w:cs="Times New Roman" w:eastAsia="Times New Roman" w:hint="default"/>
          <w:spacing w:val="-2"/>
        </w:rPr>
        <w:t>15</w:t>
      </w:r>
      <w:r>
        <w:rPr>
          <w:spacing w:val="-2"/>
        </w:rPr>
        <w:t>名，省市级技术状元或技术能手</w:t>
      </w:r>
      <w:r>
        <w:rPr>
          <w:rFonts w:ascii="Times New Roman" w:hAnsi="Times New Roman" w:cs="Times New Roman" w:eastAsia="Times New Roman" w:hint="default"/>
          <w:spacing w:val="-2"/>
        </w:rPr>
        <w:t>130</w:t>
      </w:r>
      <w:r>
        <w:rPr>
          <w:spacing w:val="-2"/>
        </w:rPr>
        <w:t>名。全国劳模</w:t>
      </w:r>
      <w:r>
        <w:rPr>
          <w:rFonts w:ascii="Times New Roman" w:hAnsi="Times New Roman" w:cs="Times New Roman" w:eastAsia="Times New Roman" w:hint="default"/>
          <w:spacing w:val="-2"/>
        </w:rPr>
        <w:t>2</w:t>
      </w:r>
      <w:r>
        <w:rPr>
          <w:spacing w:val="-2"/>
        </w:rPr>
        <w:t>名，全国五一劳动奖章</w:t>
      </w:r>
      <w:r>
        <w:rPr>
          <w:rFonts w:ascii="Times New Roman" w:hAnsi="Times New Roman" w:cs="Times New Roman" w:eastAsia="Times New Roman" w:hint="default"/>
          <w:spacing w:val="-2"/>
        </w:rPr>
        <w:t>5</w:t>
      </w:r>
      <w:r>
        <w:rPr>
          <w:spacing w:val="-2"/>
        </w:rPr>
        <w:t>名，全国五四青年奖章</w:t>
      </w:r>
      <w:r>
        <w:rPr>
          <w:rFonts w:ascii="Times New Roman" w:hAnsi="Times New Roman" w:cs="Times New Roman" w:eastAsia="Times New Roman" w:hint="default"/>
          <w:spacing w:val="-2"/>
        </w:rPr>
        <w:t>1</w:t>
      </w:r>
      <w:r>
        <w:rPr>
          <w:spacing w:val="-2"/>
        </w:rPr>
        <w:t>名，全国纺织工业劳</w:t>
      </w:r>
      <w:r>
        <w:rPr>
          <w:spacing w:val="-58"/>
        </w:rPr>
        <w:t> </w:t>
      </w:r>
      <w:r>
        <w:rPr>
          <w:spacing w:val="-58"/>
        </w:rPr>
      </w:r>
      <w:r>
        <w:rPr/>
        <w:t>动模范</w:t>
      </w:r>
      <w:r>
        <w:rPr>
          <w:rFonts w:ascii="Times New Roman" w:hAnsi="Times New Roman" w:cs="Times New Roman" w:eastAsia="Times New Roman" w:hint="default"/>
        </w:rPr>
        <w:t>8</w:t>
      </w:r>
      <w:r>
        <w:rPr/>
        <w:t>名，省市级劳模和五一劳动奖章的</w:t>
      </w:r>
      <w:r>
        <w:rPr>
          <w:rFonts w:ascii="Times New Roman" w:hAnsi="Times New Roman" w:cs="Times New Roman" w:eastAsia="Times New Roman" w:hint="default"/>
        </w:rPr>
        <w:t>93</w:t>
      </w:r>
      <w:r>
        <w:rPr/>
        <w:t>人，为公司的产品提供了坚实的人才基础。</w:t>
      </w:r>
    </w:p>
    <w:p>
      <w:pPr>
        <w:pStyle w:val="BodyText"/>
        <w:spacing w:line="302" w:lineRule="auto" w:before="51"/>
        <w:ind w:left="154" w:right="198" w:firstLine="360"/>
        <w:jc w:val="both"/>
      </w:pPr>
      <w:r>
        <w:rPr>
          <w:rFonts w:ascii="Times New Roman" w:hAnsi="Times New Roman" w:cs="Times New Roman" w:eastAsia="Times New Roman" w:hint="default"/>
        </w:rPr>
        <w:t>2</w:t>
      </w:r>
      <w:r>
        <w:rPr/>
        <w:t>、管理优势。公司不断加强质量、物耗、成本、安全、岗位职责等各项管理，基础管理在行业内始终保持先进水平。 同时，深入开展质量管理小组活动和对标行动，荣获全国纺织行业质量管理小组活动优秀企业。</w:t>
      </w:r>
    </w:p>
    <w:p>
      <w:pPr>
        <w:pStyle w:val="BodyText"/>
        <w:spacing w:line="300" w:lineRule="auto" w:before="69"/>
        <w:ind w:left="154" w:right="189" w:firstLine="360"/>
        <w:jc w:val="both"/>
      </w:pPr>
      <w:r>
        <w:rPr>
          <w:rFonts w:ascii="Times New Roman" w:hAnsi="Times New Roman" w:cs="Times New Roman" w:eastAsia="Times New Roman" w:hint="default"/>
        </w:rPr>
        <w:t>3</w:t>
      </w:r>
      <w:r>
        <w:rPr/>
        <w:t>、研发优势。公司与院士合作，成立院士工作站。公司拥有国家认定的企业技术中心、国家认可实验室和国家级技能 </w:t>
      </w:r>
      <w:r>
        <w:rPr>
          <w:spacing w:val="-2"/>
        </w:rPr>
        <w:t>大师工作室等。公司每年投入大量研发经费，为新技术和新产品的研发提供强有力的保障。公司现有</w:t>
      </w:r>
      <w:r>
        <w:rPr>
          <w:rFonts w:ascii="Times New Roman" w:hAnsi="Times New Roman" w:cs="Times New Roman" w:eastAsia="Times New Roman" w:hint="default"/>
          <w:spacing w:val="-2"/>
        </w:rPr>
        <w:t>79</w:t>
      </w:r>
      <w:r>
        <w:rPr>
          <w:spacing w:val="-2"/>
        </w:rPr>
        <w:t>项专利，其中</w:t>
      </w:r>
      <w:r>
        <w:rPr>
          <w:rFonts w:ascii="Times New Roman" w:hAnsi="Times New Roman" w:cs="Times New Roman" w:eastAsia="Times New Roman" w:hint="default"/>
          <w:spacing w:val="-2"/>
        </w:rPr>
        <w:t>12</w:t>
      </w:r>
      <w:r>
        <w:rPr>
          <w:spacing w:val="-2"/>
        </w:rPr>
        <w:t>项发</w:t>
      </w:r>
      <w:r>
        <w:rPr>
          <w:spacing w:val="-62"/>
        </w:rPr>
        <w:t> </w:t>
      </w:r>
      <w:r>
        <w:rPr/>
        <w:t>明专利。</w:t>
      </w:r>
    </w:p>
    <w:p>
      <w:pPr>
        <w:pStyle w:val="BodyText"/>
        <w:spacing w:line="302" w:lineRule="auto" w:before="70"/>
        <w:ind w:right="188" w:firstLine="360"/>
        <w:jc w:val="both"/>
      </w:pPr>
      <w:r>
        <w:rPr>
          <w:rFonts w:ascii="Times New Roman" w:hAnsi="Times New Roman" w:cs="Times New Roman" w:eastAsia="Times New Roman" w:hint="default"/>
          <w:spacing w:val="-6"/>
        </w:rPr>
        <w:t>4</w:t>
      </w:r>
      <w:r>
        <w:rPr>
          <w:spacing w:val="-6"/>
        </w:rPr>
        <w:t>、质量优势。公司通过</w:t>
      </w:r>
      <w:r>
        <w:rPr>
          <w:rFonts w:ascii="Times New Roman" w:hAnsi="Times New Roman" w:cs="Times New Roman" w:eastAsia="Times New Roman" w:hint="default"/>
          <w:spacing w:val="-6"/>
        </w:rPr>
        <w:t>ISO9001</w:t>
      </w:r>
      <w:r>
        <w:rPr>
          <w:spacing w:val="-6"/>
        </w:rPr>
        <w:t>质量管理体系认证，获得了</w:t>
      </w:r>
      <w:r>
        <w:rPr>
          <w:rFonts w:ascii="Times New Roman" w:hAnsi="Times New Roman" w:cs="Times New Roman" w:eastAsia="Times New Roman" w:hint="default"/>
          <w:spacing w:val="-6"/>
        </w:rPr>
        <w:t>33</w:t>
      </w:r>
      <w:r>
        <w:rPr>
          <w:spacing w:val="-6"/>
        </w:rPr>
        <w:t>个国家和地区通认的的</w:t>
      </w:r>
      <w:r>
        <w:rPr>
          <w:rFonts w:ascii="Times New Roman" w:hAnsi="Times New Roman" w:cs="Times New Roman" w:eastAsia="Times New Roman" w:hint="default"/>
          <w:spacing w:val="-6"/>
        </w:rPr>
        <w:t>IQNet</w:t>
      </w:r>
      <w:r>
        <w:rPr>
          <w:spacing w:val="-6"/>
        </w:rPr>
        <w:t>，国际环保纺织协会</w:t>
      </w:r>
      <w:r>
        <w:rPr>
          <w:rFonts w:ascii="Times New Roman" w:hAnsi="Times New Roman" w:cs="Times New Roman" w:eastAsia="Times New Roman" w:hint="default"/>
          <w:spacing w:val="-6"/>
        </w:rPr>
        <w:t>Oeko—Tex</w:t>
      </w:r>
      <w:r>
        <w:rPr>
          <w:rFonts w:ascii="Times New Roman" w:hAnsi="Times New Roman" w:cs="Times New Roman" w:eastAsia="Times New Roman" w:hint="default"/>
        </w:rPr>
        <w:t> Standard 100 I</w:t>
      </w:r>
      <w:r>
        <w:rPr>
          <w:rFonts w:ascii="Times New Roman" w:hAnsi="Times New Roman" w:cs="Times New Roman" w:eastAsia="Times New Roman" w:hint="default"/>
          <w:spacing w:val="25"/>
        </w:rPr>
        <w:t> </w:t>
      </w:r>
      <w:r>
        <w:rPr/>
        <w:t>级等证书。公司拥有中国棉纺织行业最具影响力产品品牌</w:t>
      </w:r>
      <w:r>
        <w:rPr>
          <w:rFonts w:ascii="Times New Roman" w:hAnsi="Times New Roman" w:cs="Times New Roman" w:eastAsia="Times New Roman" w:hint="default"/>
        </w:rPr>
        <w:t>4</w:t>
      </w:r>
      <w:r>
        <w:rPr/>
        <w:t>个，河北省名牌产品</w:t>
      </w:r>
      <w:r>
        <w:rPr>
          <w:rFonts w:ascii="Times New Roman" w:hAnsi="Times New Roman" w:cs="Times New Roman" w:eastAsia="Times New Roman" w:hint="default"/>
        </w:rPr>
        <w:t>4</w:t>
      </w:r>
      <w:r>
        <w:rPr/>
        <w:t>个，河北省著名商标</w:t>
      </w:r>
      <w:r>
        <w:rPr>
          <w:rFonts w:ascii="Times New Roman" w:hAnsi="Times New Roman" w:cs="Times New Roman" w:eastAsia="Times New Roman" w:hint="default"/>
        </w:rPr>
        <w:t>4</w:t>
      </w:r>
      <w:r>
        <w:rPr/>
        <w:t>个。</w:t>
      </w:r>
    </w:p>
    <w:p>
      <w:pPr>
        <w:pStyle w:val="BodyText"/>
        <w:spacing w:line="300" w:lineRule="auto" w:before="49"/>
        <w:ind w:right="191" w:firstLine="360"/>
        <w:jc w:val="both"/>
      </w:pPr>
      <w:r>
        <w:rPr>
          <w:rFonts w:ascii="Times New Roman" w:hAnsi="Times New Roman" w:cs="Times New Roman" w:eastAsia="Times New Roman" w:hint="default"/>
        </w:rPr>
        <w:t>5</w:t>
      </w:r>
      <w:r>
        <w:rPr/>
        <w:t>、土地资源优势。公司拥有棉一、棉二、棉三、棉四和第五分公司等</w:t>
      </w:r>
      <w:r>
        <w:rPr>
          <w:rFonts w:ascii="Times New Roman" w:hAnsi="Times New Roman" w:cs="Times New Roman" w:eastAsia="Times New Roman" w:hint="default"/>
        </w:rPr>
        <w:t>5</w:t>
      </w:r>
      <w:r>
        <w:rPr/>
        <w:t>块地处市中心的黄金地块，占地</w:t>
      </w:r>
      <w:r>
        <w:rPr>
          <w:rFonts w:ascii="Times New Roman" w:hAnsi="Times New Roman" w:cs="Times New Roman" w:eastAsia="Times New Roman" w:hint="default"/>
        </w:rPr>
        <w:t>1,230</w:t>
      </w:r>
      <w:r>
        <w:rPr/>
        <w:t>亩，石家 </w:t>
      </w:r>
      <w:r>
        <w:rPr>
          <w:spacing w:val="-1"/>
        </w:rPr>
        <w:t>庄市政府</w:t>
      </w:r>
      <w:r>
        <w:rPr>
          <w:rFonts w:ascii="Times New Roman" w:hAnsi="Times New Roman" w:cs="Times New Roman" w:eastAsia="Times New Roman" w:hint="default"/>
          <w:spacing w:val="-1"/>
        </w:rPr>
        <w:t>2007</w:t>
      </w:r>
      <w:r>
        <w:rPr>
          <w:spacing w:val="-1"/>
        </w:rPr>
        <w:t>年第</w:t>
      </w:r>
      <w:r>
        <w:rPr>
          <w:rFonts w:ascii="Times New Roman" w:hAnsi="Times New Roman" w:cs="Times New Roman" w:eastAsia="Times New Roman" w:hint="default"/>
          <w:spacing w:val="-1"/>
        </w:rPr>
        <w:t>65</w:t>
      </w:r>
      <w:r>
        <w:rPr>
          <w:spacing w:val="-1"/>
        </w:rPr>
        <w:t>号常务会议纪要确定，常山股份市内厂区土地拍卖净收益的</w:t>
      </w:r>
      <w:r>
        <w:rPr>
          <w:rFonts w:ascii="Times New Roman" w:hAnsi="Times New Roman" w:cs="Times New Roman" w:eastAsia="Times New Roman" w:hint="default"/>
          <w:spacing w:val="-1"/>
        </w:rPr>
        <w:t>90%</w:t>
      </w:r>
      <w:r>
        <w:rPr>
          <w:spacing w:val="-1"/>
        </w:rPr>
        <w:t>返还公司。棉三和棉四两块土地分别以</w:t>
      </w:r>
      <w:r>
        <w:rPr>
          <w:spacing w:val="-86"/>
        </w:rPr>
        <w:t> </w:t>
      </w:r>
      <w:r>
        <w:rPr>
          <w:spacing w:val="-86"/>
        </w:rPr>
      </w:r>
      <w:r>
        <w:rPr>
          <w:rFonts w:ascii="Times New Roman" w:hAnsi="Times New Roman" w:cs="Times New Roman" w:eastAsia="Times New Roman" w:hint="default"/>
        </w:rPr>
        <w:t>28.91</w:t>
      </w:r>
      <w:r>
        <w:rPr/>
        <w:t>亿元和</w:t>
      </w:r>
      <w:r>
        <w:rPr>
          <w:rFonts w:ascii="Times New Roman" w:hAnsi="Times New Roman" w:cs="Times New Roman" w:eastAsia="Times New Roman" w:hint="default"/>
        </w:rPr>
        <w:t>35.5</w:t>
      </w:r>
      <w:r>
        <w:rPr/>
        <w:t>亿元成功拍卖，两地块的拍卖将大大增强公司的资金实力，</w:t>
      </w:r>
      <w:r>
        <w:rPr>
          <w:rFonts w:ascii="Times New Roman" w:hAnsi="Times New Roman" w:cs="Times New Roman" w:eastAsia="Times New Roman" w:hint="default"/>
        </w:rPr>
        <w:t>2017</w:t>
      </w:r>
      <w:r>
        <w:rPr/>
        <w:t>年度返还公司</w:t>
      </w:r>
      <w:r>
        <w:rPr>
          <w:rFonts w:ascii="Times New Roman" w:hAnsi="Times New Roman" w:cs="Times New Roman" w:eastAsia="Times New Roman" w:hint="default"/>
        </w:rPr>
        <w:t>5</w:t>
      </w:r>
      <w:r>
        <w:rPr/>
        <w:t>亿元。</w:t>
      </w:r>
    </w:p>
    <w:p>
      <w:pPr>
        <w:pStyle w:val="BodyText"/>
        <w:spacing w:line="240" w:lineRule="auto" w:before="53"/>
        <w:ind w:left="513" w:right="0"/>
        <w:jc w:val="left"/>
      </w:pPr>
      <w:r>
        <w:rPr/>
        <w:t>（二）软件业务的优势：</w:t>
      </w:r>
    </w:p>
    <w:p>
      <w:pPr>
        <w:pStyle w:val="BodyText"/>
        <w:spacing w:line="240" w:lineRule="auto" w:before="116"/>
        <w:ind w:left="513" w:right="0"/>
        <w:jc w:val="left"/>
      </w:pPr>
      <w:r>
        <w:rPr>
          <w:rFonts w:ascii="Times New Roman" w:hAnsi="Times New Roman" w:cs="Times New Roman" w:eastAsia="Times New Roman" w:hint="default"/>
        </w:rPr>
        <w:t>1</w:t>
      </w:r>
      <w:r>
        <w:rPr/>
        <w:t>、客户资源优势。</w:t>
      </w:r>
    </w:p>
    <w:p>
      <w:pPr>
        <w:pStyle w:val="BodyText"/>
        <w:spacing w:line="307" w:lineRule="auto" w:before="101"/>
        <w:ind w:right="91" w:firstLine="360"/>
        <w:jc w:val="left"/>
      </w:pPr>
      <w:r>
        <w:rPr/>
        <w:t>（</w:t>
      </w:r>
      <w:r>
        <w:rPr>
          <w:rFonts w:ascii="Times New Roman" w:hAnsi="Times New Roman" w:cs="Times New Roman" w:eastAsia="Times New Roman" w:hint="default"/>
        </w:rPr>
        <w:t>1</w:t>
      </w:r>
      <w:r>
        <w:rPr/>
        <w:t>）公司产品技术实力及服务能力得到市场及客户的高度认可，树立了良好的公司品牌和信誉。在业务发展过程中， 公司在石油、电力、政府、金融以及互联网等行业中积累了大量的优质客户资源。包括：电力行业、能源行业、金融行业、 电信运营商、政府、教育、医疗、交通、互联网等，上述客户主要是具有</w:t>
      </w:r>
      <w:r>
        <w:rPr>
          <w:rFonts w:ascii="Times New Roman" w:hAnsi="Times New Roman" w:cs="Times New Roman" w:eastAsia="Times New Roman" w:hint="default"/>
        </w:rPr>
        <w:t>IT</w:t>
      </w:r>
      <w:r>
        <w:rPr/>
        <w:t>服务需求的大中型企事业单位，企业规模较大、 信誉度较高，是公司长期的合作伙伴。良好的客户基础是公司持续快速发展的重要因素。</w:t>
      </w:r>
    </w:p>
    <w:p>
      <w:pPr>
        <w:pStyle w:val="BodyText"/>
        <w:spacing w:line="307" w:lineRule="auto" w:before="65"/>
        <w:ind w:left="154" w:right="0" w:firstLine="359"/>
        <w:jc w:val="left"/>
      </w:pPr>
      <w:r>
        <w:rPr>
          <w:spacing w:val="-2"/>
        </w:rPr>
        <w:t>（</w:t>
      </w:r>
      <w:r>
        <w:rPr>
          <w:rFonts w:ascii="Times New Roman" w:hAnsi="Times New Roman" w:cs="Times New Roman" w:eastAsia="Times New Roman" w:hint="default"/>
          <w:spacing w:val="-2"/>
        </w:rPr>
        <w:t>2</w:t>
      </w:r>
      <w:r>
        <w:rPr>
          <w:spacing w:val="-2"/>
        </w:rPr>
        <w:t>）完善的客户服务体系。公司设立了</w:t>
      </w:r>
      <w:r>
        <w:rPr>
          <w:rFonts w:ascii="Times New Roman" w:hAnsi="Times New Roman" w:cs="Times New Roman" w:eastAsia="Times New Roman" w:hint="default"/>
          <w:spacing w:val="-2"/>
        </w:rPr>
        <w:t>7×24</w:t>
      </w:r>
      <w:r>
        <w:rPr>
          <w:spacing w:val="-2"/>
        </w:rPr>
        <w:t>小时的统一服务热线电话，并提供</w:t>
      </w:r>
      <w:r>
        <w:rPr>
          <w:rFonts w:ascii="Times New Roman" w:hAnsi="Times New Roman" w:cs="Times New Roman" w:eastAsia="Times New Roman" w:hint="default"/>
          <w:spacing w:val="-2"/>
        </w:rPr>
        <w:t>“</w:t>
      </w:r>
      <w:r>
        <w:rPr>
          <w:spacing w:val="-2"/>
        </w:rPr>
        <w:t>市内</w:t>
      </w:r>
      <w:r>
        <w:rPr>
          <w:rFonts w:ascii="Times New Roman" w:hAnsi="Times New Roman" w:cs="Times New Roman" w:eastAsia="Times New Roman" w:hint="default"/>
          <w:spacing w:val="-2"/>
        </w:rPr>
        <w:t>2</w:t>
      </w:r>
      <w:r>
        <w:rPr>
          <w:spacing w:val="-2"/>
        </w:rPr>
        <w:t>小时、省内</w:t>
      </w:r>
      <w:r>
        <w:rPr>
          <w:rFonts w:ascii="Times New Roman" w:hAnsi="Times New Roman" w:cs="Times New Roman" w:eastAsia="Times New Roman" w:hint="default"/>
          <w:spacing w:val="-2"/>
        </w:rPr>
        <w:t>1</w:t>
      </w:r>
      <w:r>
        <w:rPr>
          <w:spacing w:val="-2"/>
        </w:rPr>
        <w:t>天、省外</w:t>
      </w:r>
      <w:r>
        <w:rPr>
          <w:rFonts w:ascii="Times New Roman" w:hAnsi="Times New Roman" w:cs="Times New Roman" w:eastAsia="Times New Roman" w:hint="default"/>
          <w:spacing w:val="-2"/>
        </w:rPr>
        <w:t>3</w:t>
      </w:r>
      <w:r>
        <w:rPr>
          <w:spacing w:val="-2"/>
        </w:rPr>
        <w:t>天</w:t>
      </w:r>
      <w:r>
        <w:rPr>
          <w:rFonts w:ascii="Times New Roman" w:hAnsi="Times New Roman" w:cs="Times New Roman" w:eastAsia="Times New Roman" w:hint="default"/>
          <w:spacing w:val="-2"/>
        </w:rPr>
        <w:t>”</w:t>
      </w:r>
      <w:r>
        <w:rPr>
          <w:spacing w:val="-2"/>
        </w:rPr>
        <w:t>的上门</w:t>
      </w:r>
      <w:r>
        <w:rPr/>
        <w:t> 服务。公司客户服务体系参照</w:t>
      </w:r>
      <w:r>
        <w:rPr>
          <w:rFonts w:ascii="Times New Roman" w:hAnsi="Times New Roman" w:cs="Times New Roman" w:eastAsia="Times New Roman" w:hint="default"/>
        </w:rPr>
        <w:t>ISO20000/9000</w:t>
      </w:r>
      <w:r>
        <w:rPr/>
        <w:t>标准建立了扁平化的高效优化组织管理结构、全面快速的服务指挥中心，组建 </w:t>
      </w:r>
      <w:r>
        <w:rPr>
          <w:spacing w:val="-2"/>
        </w:rPr>
        <w:t>了以多种技术认证的资深专家为核心的，经验丰富的客户服务队伍。通过客户服务体系的有效运行，达到客户与公司双方互</w:t>
      </w:r>
      <w:r>
        <w:rPr>
          <w:spacing w:val="-66"/>
        </w:rPr>
        <w:t> </w:t>
      </w:r>
      <w:r>
        <w:rPr>
          <w:spacing w:val="-66"/>
        </w:rPr>
      </w:r>
      <w:r>
        <w:rPr>
          <w:spacing w:val="-2"/>
        </w:rPr>
        <w:t>惠双赢、和谐发展的目标。公司客户服务部以北京和广州为中心，设立了东西南北四个大区服务支持，客户服务网点覆盖全</w:t>
      </w:r>
      <w:r>
        <w:rPr>
          <w:spacing w:val="-66"/>
        </w:rPr>
        <w:t> </w:t>
      </w:r>
      <w:r>
        <w:rPr>
          <w:spacing w:val="-66"/>
        </w:rPr>
      </w:r>
      <w:r>
        <w:rPr/>
        <w:t>国</w:t>
      </w:r>
      <w:r>
        <w:rPr>
          <w:rFonts w:ascii="Times New Roman" w:hAnsi="Times New Roman" w:cs="Times New Roman" w:eastAsia="Times New Roman" w:hint="default"/>
        </w:rPr>
        <w:t>26</w:t>
      </w:r>
      <w:r>
        <w:rPr/>
        <w:t>个省市和自治区，拥有一支数百人组成的庞大的服务团队，其中一二线工程师均经过华为、</w:t>
      </w:r>
      <w:r>
        <w:rPr>
          <w:rFonts w:ascii="Times New Roman" w:hAnsi="Times New Roman" w:cs="Times New Roman" w:eastAsia="Times New Roman" w:hint="default"/>
        </w:rPr>
        <w:t>IBM</w:t>
      </w:r>
      <w:r>
        <w:rPr/>
        <w:t>、</w:t>
      </w:r>
      <w:r>
        <w:rPr>
          <w:rFonts w:ascii="Times New Roman" w:hAnsi="Times New Roman" w:cs="Times New Roman" w:eastAsia="Times New Roman" w:hint="default"/>
        </w:rPr>
        <w:t>ORACLE</w:t>
      </w:r>
      <w:r>
        <w:rPr/>
        <w:t>、</w:t>
      </w:r>
      <w:r>
        <w:rPr>
          <w:rFonts w:ascii="Times New Roman" w:hAnsi="Times New Roman" w:cs="Times New Roman" w:eastAsia="Times New Roman" w:hint="default"/>
        </w:rPr>
        <w:t>Cisco</w:t>
      </w:r>
      <w:r>
        <w:rPr/>
        <w:t>、 </w:t>
      </w:r>
      <w:r>
        <w:rPr>
          <w:rFonts w:ascii="Times New Roman" w:hAnsi="Times New Roman" w:cs="Times New Roman" w:eastAsia="Times New Roman" w:hint="default"/>
          <w:spacing w:val="-2"/>
        </w:rPr>
        <w:t>H3C</w:t>
      </w:r>
      <w:r>
        <w:rPr>
          <w:spacing w:val="-2"/>
        </w:rPr>
        <w:t>等权威专业的培训和资格认证，三线人员均为专业背景深厚的行业专家，能处理各类疑难问题。同时，公司建立了统一</w:t>
      </w:r>
      <w:r>
        <w:rPr>
          <w:spacing w:val="-46"/>
        </w:rPr>
        <w:t> </w:t>
      </w:r>
      <w:r>
        <w:rPr>
          <w:spacing w:val="-46"/>
        </w:rPr>
      </w:r>
      <w:r>
        <w:rPr/>
        <w:t>的服务平台汇总受理所有客户服务信息，形成了高效运作覆盖全国的服务支持网络。</w:t>
      </w:r>
    </w:p>
    <w:p>
      <w:pPr>
        <w:pStyle w:val="BodyText"/>
        <w:spacing w:line="314" w:lineRule="auto" w:before="64"/>
        <w:ind w:left="154" w:right="189" w:firstLine="360"/>
        <w:jc w:val="both"/>
      </w:pPr>
      <w:r>
        <w:rPr>
          <w:rFonts w:ascii="Times New Roman" w:hAnsi="Times New Roman" w:cs="Times New Roman" w:eastAsia="Times New Roman" w:hint="default"/>
        </w:rPr>
        <w:t>2</w:t>
      </w:r>
      <w:r>
        <w:rPr/>
        <w:t>、行业经验优势。成功案例及行业经验的丰富积累，使行业内企业容易获得新老客户的信任而赢得业务合同，在市场 </w:t>
      </w:r>
      <w:r>
        <w:rPr>
          <w:spacing w:val="-2"/>
        </w:rPr>
        <w:t>竞争中处于明显的优势地位。通过承担不同行业信息化建设工程的设计和开发实施任务，公司积累成功实施的案例的同时也</w:t>
      </w:r>
      <w:r>
        <w:rPr>
          <w:spacing w:val="-64"/>
        </w:rPr>
        <w:t> </w:t>
      </w:r>
      <w:r>
        <w:rPr>
          <w:spacing w:val="-64"/>
        </w:rPr>
      </w:r>
      <w:r>
        <w:rPr>
          <w:spacing w:val="-2"/>
        </w:rPr>
        <w:t>积累了丰富的行业实践经验，培养了一大批行业专家，并积累了各类系统规划、实施和维护经验，促使公司系统规划能力和</w:t>
      </w:r>
      <w:r>
        <w:rPr>
          <w:spacing w:val="-66"/>
        </w:rPr>
        <w:t> </w:t>
      </w:r>
      <w:r>
        <w:rPr>
          <w:spacing w:val="-66"/>
        </w:rPr>
      </w:r>
      <w:r>
        <w:rPr>
          <w:spacing w:val="-2"/>
        </w:rPr>
        <w:t>实施能力协同发展。成功案例的增多，丰富经验的累积，在行业内起到了示范作用，这些都会建立客户对企业的信赖，从而</w:t>
      </w:r>
      <w:r>
        <w:rPr>
          <w:spacing w:val="-66"/>
        </w:rPr>
        <w:t> </w:t>
      </w:r>
      <w:r>
        <w:rPr>
          <w:spacing w:val="-66"/>
        </w:rPr>
      </w:r>
      <w:r>
        <w:rPr>
          <w:spacing w:val="-2"/>
        </w:rPr>
        <w:t>为企业未来的发展打开了空间。同时，公司在智慧城市建设方面具有丰富经验。随着广州市和保山市智慧城市的建成和不断</w:t>
      </w:r>
      <w:r>
        <w:rPr>
          <w:spacing w:val="-66"/>
        </w:rPr>
        <w:t> </w:t>
      </w:r>
      <w:r>
        <w:rPr>
          <w:spacing w:val="-66"/>
        </w:rPr>
      </w:r>
      <w:r>
        <w:rPr/>
        <w:t>升级完善，公司在智慧城市建设方面的经验越来越突出。</w:t>
      </w:r>
    </w:p>
    <w:p>
      <w:pPr>
        <w:pStyle w:val="BodyText"/>
        <w:spacing w:line="300" w:lineRule="auto" w:before="59"/>
        <w:ind w:right="188" w:firstLine="360"/>
        <w:jc w:val="both"/>
      </w:pPr>
      <w:r>
        <w:rPr>
          <w:rFonts w:ascii="Times New Roman" w:hAnsi="Times New Roman" w:cs="Times New Roman" w:eastAsia="Times New Roman" w:hint="default"/>
        </w:rPr>
        <w:t>3</w:t>
      </w:r>
      <w:r>
        <w:rPr/>
        <w:t>、研发技术优势。公司在多年的</w:t>
      </w:r>
      <w:r>
        <w:rPr>
          <w:rFonts w:ascii="Times New Roman" w:hAnsi="Times New Roman" w:cs="Times New Roman" w:eastAsia="Times New Roman" w:hint="default"/>
        </w:rPr>
        <w:t>IT</w:t>
      </w:r>
      <w:r>
        <w:rPr>
          <w:rFonts w:ascii="Times New Roman" w:hAnsi="Times New Roman" w:cs="Times New Roman" w:eastAsia="Times New Roman" w:hint="default"/>
          <w:spacing w:val="-21"/>
        </w:rPr>
        <w:t> </w:t>
      </w:r>
      <w:r>
        <w:rPr/>
        <w:t>基础设施服务过程中形成了一支稳定的、专业化水平较高的技术团队，且这些技术 研发人员大多都具备丰富的</w:t>
      </w:r>
      <w:r>
        <w:rPr>
          <w:rFonts w:ascii="Times New Roman" w:hAnsi="Times New Roman" w:cs="Times New Roman" w:eastAsia="Times New Roman" w:hint="default"/>
        </w:rPr>
        <w:t>IT</w:t>
      </w:r>
      <w:r>
        <w:rPr>
          <w:rFonts w:ascii="Times New Roman" w:hAnsi="Times New Roman" w:cs="Times New Roman" w:eastAsia="Times New Roman" w:hint="default"/>
          <w:spacing w:val="26"/>
        </w:rPr>
        <w:t> </w:t>
      </w:r>
      <w:r>
        <w:rPr/>
        <w:t>基础设施技术支持经验和项目管理经验。同时，公司不断加强技术研发的硬件建设，在扩大 公司业务经营的同时投入大量人力物力建设公司的研发机构，组建多个工程技术中心并获得主管部门的认定。</w:t>
      </w:r>
    </w:p>
    <w:p>
      <w:pPr>
        <w:pStyle w:val="BodyText"/>
        <w:spacing w:line="300" w:lineRule="auto" w:before="71"/>
        <w:ind w:right="189" w:firstLine="360"/>
        <w:jc w:val="both"/>
      </w:pPr>
      <w:r>
        <w:rPr>
          <w:rFonts w:ascii="Times New Roman" w:hAnsi="Times New Roman" w:cs="Times New Roman" w:eastAsia="Times New Roman" w:hint="default"/>
        </w:rPr>
        <w:t>4</w:t>
      </w:r>
      <w:r>
        <w:rPr/>
        <w:t>、资质优势。公司全资子公司北明软件是国家发改委等五部委认定的国家规划布局内重点软件企业，拥有信息系统集 </w:t>
      </w:r>
      <w:r>
        <w:rPr>
          <w:spacing w:val="-2"/>
        </w:rPr>
        <w:t>成及服务大型一级企业、涉及国家秘密的计算机信息系统集成资质（甲级）、涉及国家秘密的计算机信息系统集成单项资质</w:t>
      </w:r>
    </w:p>
    <w:p>
      <w:pPr>
        <w:pStyle w:val="BodyText"/>
        <w:spacing w:line="240" w:lineRule="auto" w:before="31"/>
        <w:ind w:right="0"/>
        <w:jc w:val="left"/>
      </w:pPr>
      <w:r>
        <w:rPr/>
        <w:t>（软件开发）、国家信息安全服务一级资质、建筑智能化工程设计与施工壹级资质、</w:t>
      </w:r>
      <w:r>
        <w:rPr>
          <w:rFonts w:ascii="Times New Roman" w:hAnsi="Times New Roman" w:cs="Times New Roman" w:eastAsia="Times New Roman" w:hint="default"/>
        </w:rPr>
        <w:t>CMMI5</w:t>
      </w:r>
      <w:r>
        <w:rPr/>
        <w:t>级、质量管理体系认证</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7" w:lineRule="auto" w:before="44"/>
        <w:ind w:right="151"/>
        <w:jc w:val="both"/>
      </w:pPr>
      <w:r>
        <w:rPr>
          <w:spacing w:val="-1"/>
        </w:rPr>
        <w:t>（</w:t>
      </w:r>
      <w:r>
        <w:rPr>
          <w:rFonts w:ascii="Times New Roman" w:hAnsi="Times New Roman" w:cs="Times New Roman" w:eastAsia="Times New Roman" w:hint="default"/>
          <w:spacing w:val="-1"/>
        </w:rPr>
        <w:t>ISO9001:2008</w:t>
      </w:r>
      <w:r>
        <w:rPr>
          <w:spacing w:val="-1"/>
        </w:rPr>
        <w:t>）、</w:t>
      </w:r>
      <w:r>
        <w:rPr>
          <w:rFonts w:ascii="Times New Roman" w:hAnsi="Times New Roman" w:cs="Times New Roman" w:eastAsia="Times New Roman" w:hint="default"/>
          <w:spacing w:val="-1"/>
        </w:rPr>
        <w:t>IT</w:t>
      </w:r>
      <w:r>
        <w:rPr>
          <w:spacing w:val="-1"/>
        </w:rPr>
        <w:t>服务管理体系认证（</w:t>
      </w:r>
      <w:r>
        <w:rPr>
          <w:rFonts w:ascii="Times New Roman" w:hAnsi="Times New Roman" w:cs="Times New Roman" w:eastAsia="Times New Roman" w:hint="default"/>
          <w:spacing w:val="-1"/>
        </w:rPr>
        <w:t>ISO/IEC20000-1</w:t>
      </w:r>
      <w:r>
        <w:rPr>
          <w:spacing w:val="-1"/>
        </w:rPr>
        <w:t>：</w:t>
      </w:r>
      <w:r>
        <w:rPr>
          <w:rFonts w:ascii="Times New Roman" w:hAnsi="Times New Roman" w:cs="Times New Roman" w:eastAsia="Times New Roman" w:hint="default"/>
          <w:spacing w:val="-1"/>
        </w:rPr>
        <w:t>2011</w:t>
      </w:r>
      <w:r>
        <w:rPr>
          <w:spacing w:val="-1"/>
        </w:rPr>
        <w:t>）、广东省计算机信息系统安全服务资质二级、广东省安</w:t>
      </w:r>
      <w:r>
        <w:rPr>
          <w:spacing w:val="-58"/>
        </w:rPr>
        <w:t> </w:t>
      </w:r>
      <w:r>
        <w:rPr>
          <w:spacing w:val="-58"/>
        </w:rPr>
      </w:r>
      <w:r>
        <w:rPr>
          <w:spacing w:val="-2"/>
        </w:rPr>
        <w:t>全技术防范系统设计、施工、维修资格一级证书。另外公司还是中国电子信息行业联合会信息系统集成资质工作办公室认定</w:t>
      </w:r>
      <w:r>
        <w:rPr>
          <w:spacing w:val="-66"/>
        </w:rPr>
        <w:t> </w:t>
      </w:r>
      <w:r>
        <w:rPr>
          <w:spacing w:val="-66"/>
        </w:rPr>
      </w:r>
      <w:r>
        <w:rPr>
          <w:spacing w:val="-2"/>
        </w:rPr>
        <w:t>的</w:t>
      </w:r>
      <w:r>
        <w:rPr>
          <w:rFonts w:ascii="Times New Roman" w:hAnsi="Times New Roman" w:cs="Times New Roman" w:eastAsia="Times New Roman" w:hint="default"/>
          <w:spacing w:val="-2"/>
        </w:rPr>
        <w:t>2017</w:t>
      </w:r>
      <w:r>
        <w:rPr>
          <w:spacing w:val="-2"/>
        </w:rPr>
        <w:t>年度信息系统集成及服务大型一级企业、广东省经济和信息化委员会（简称省经信委）认定的软件企业、广东省科学</w:t>
      </w:r>
      <w:r>
        <w:rPr>
          <w:spacing w:val="-62"/>
        </w:rPr>
        <w:t> </w:t>
      </w:r>
      <w:r>
        <w:rPr>
          <w:spacing w:val="-62"/>
        </w:rPr>
      </w:r>
      <w:r>
        <w:rPr/>
        <w:t>技术厅认定的高新技术企业，上述条件为公司未来发展奠定了坚实的技术基础。</w:t>
      </w:r>
    </w:p>
    <w:p>
      <w:pPr>
        <w:pStyle w:val="BodyText"/>
        <w:spacing w:line="300" w:lineRule="auto" w:before="64"/>
        <w:ind w:right="141" w:firstLine="360"/>
        <w:jc w:val="left"/>
      </w:pPr>
      <w:r>
        <w:rPr>
          <w:rFonts w:ascii="Times New Roman" w:hAnsi="Times New Roman" w:cs="Times New Roman" w:eastAsia="Times New Roman" w:hint="default"/>
        </w:rPr>
        <w:t>5</w:t>
      </w:r>
      <w:r>
        <w:rPr/>
        <w:t>、供应商资源优势。公司持续稳定的良好业绩及服务已经得到众多厂家的信任与认可，目前，公司已成为数十家国际 </w:t>
      </w:r>
      <w:r>
        <w:rPr>
          <w:spacing w:val="-2"/>
        </w:rPr>
        <w:t>国内知名</w:t>
      </w:r>
      <w:r>
        <w:rPr>
          <w:rFonts w:ascii="Times New Roman" w:hAnsi="Times New Roman" w:cs="Times New Roman" w:eastAsia="Times New Roman" w:hint="default"/>
          <w:spacing w:val="-2"/>
        </w:rPr>
        <w:t>IT</w:t>
      </w:r>
      <w:r>
        <w:rPr>
          <w:spacing w:val="-2"/>
        </w:rPr>
        <w:t>企业的增值代理商、系统集成商或战略合作伙伴，为向用户提供全面解决方案及优质服务奠定了坚实的基础。公</w:t>
      </w:r>
      <w:r>
        <w:rPr>
          <w:spacing w:val="-52"/>
        </w:rPr>
        <w:t> </w:t>
      </w:r>
      <w:r>
        <w:rPr>
          <w:spacing w:val="-52"/>
        </w:rPr>
      </w:r>
      <w:r>
        <w:rPr>
          <w:spacing w:val="-2"/>
        </w:rPr>
        <w:t>司是华为首席战略合作伙伴、</w:t>
      </w:r>
      <w:r>
        <w:rPr>
          <w:rFonts w:ascii="Times New Roman" w:hAnsi="Times New Roman" w:cs="Times New Roman" w:eastAsia="Times New Roman" w:hint="default"/>
          <w:spacing w:val="-2"/>
        </w:rPr>
        <w:t>IBM</w:t>
      </w:r>
      <w:r>
        <w:rPr>
          <w:spacing w:val="-2"/>
        </w:rPr>
        <w:t>解决方案供应商和授权分销商、思科金牌代理商、</w:t>
      </w:r>
      <w:r>
        <w:rPr>
          <w:rFonts w:ascii="Times New Roman" w:hAnsi="Times New Roman" w:cs="Times New Roman" w:eastAsia="Times New Roman" w:hint="default"/>
          <w:spacing w:val="-2"/>
        </w:rPr>
        <w:t>EMC</w:t>
      </w:r>
      <w:r>
        <w:rPr>
          <w:spacing w:val="-2"/>
        </w:rPr>
        <w:t>特级解决方案供应商、</w:t>
      </w:r>
      <w:r>
        <w:rPr>
          <w:rFonts w:ascii="Times New Roman" w:hAnsi="Times New Roman" w:cs="Times New Roman" w:eastAsia="Times New Roman" w:hint="default"/>
          <w:spacing w:val="-2"/>
        </w:rPr>
        <w:t>H3C</w:t>
      </w:r>
      <w:r>
        <w:rPr>
          <w:spacing w:val="-2"/>
        </w:rPr>
        <w:t>一级代</w:t>
      </w:r>
      <w:r>
        <w:rPr>
          <w:spacing w:val="-52"/>
        </w:rPr>
        <w:t> </w:t>
      </w:r>
      <w:r>
        <w:rPr/>
        <w:t>理商和行业金牌代理商及主网络四星级服务认证、</w:t>
      </w:r>
      <w:r>
        <w:rPr>
          <w:rFonts w:ascii="Times New Roman" w:hAnsi="Times New Roman" w:cs="Times New Roman" w:eastAsia="Times New Roman" w:hint="default"/>
        </w:rPr>
        <w:t>Oracle</w:t>
      </w:r>
      <w:r>
        <w:rPr/>
        <w:t>金牌代理商、微软金牌代理商、</w:t>
      </w:r>
      <w:r>
        <w:rPr>
          <w:rFonts w:ascii="Times New Roman" w:hAnsi="Times New Roman" w:cs="Times New Roman" w:eastAsia="Times New Roman" w:hint="default"/>
        </w:rPr>
        <w:t>Vmware</w:t>
      </w:r>
      <w:r>
        <w:rPr/>
        <w:t>解决方案供应商等。此外 公司还与其他众多不同</w:t>
      </w:r>
      <w:r>
        <w:rPr>
          <w:rFonts w:ascii="Times New Roman" w:hAnsi="Times New Roman" w:cs="Times New Roman" w:eastAsia="Times New Roman" w:hint="default"/>
        </w:rPr>
        <w:t>IT</w:t>
      </w:r>
      <w:r>
        <w:rPr/>
        <w:t>软硬件产品代理商结成长期友好合作伙伴。</w:t>
      </w:r>
    </w:p>
    <w:p>
      <w:pPr>
        <w:spacing w:after="0" w:line="30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91" w:firstLine="360"/>
        <w:jc w:val="left"/>
      </w:pPr>
      <w:r>
        <w:rPr>
          <w:rFonts w:ascii="Times New Roman" w:hAnsi="Times New Roman" w:cs="Times New Roman" w:eastAsia="Times New Roman" w:hint="default"/>
        </w:rPr>
        <w:t>2017</w:t>
      </w:r>
      <w:r>
        <w:rPr/>
        <w:t>年，世界经济逐步向好，公司抓住国家大力推进供给侧改革契机，坚持改革创新，推进高质量发展，在主业提升、 项目发展、资金保障、队伍建设等方面迈出了新步伐。报告期内，公司营业收入1,125,446.77万元，比上年增长2.55%；营 业成本1,043,789.15万元，比上年增长2.93%。营业利润32,486.43万元，比上年增长481.25%，归属于母公司所有者的净利 润35,509.50万元，比上年增长1.48%；基本每股收益为0.21元，与上年（按资本公积转增股本后最新股本计算）持平。</w:t>
      </w:r>
    </w:p>
    <w:p>
      <w:pPr>
        <w:pStyle w:val="BodyText"/>
        <w:spacing w:line="357" w:lineRule="auto" w:before="62"/>
        <w:ind w:left="513" w:right="0"/>
        <w:jc w:val="left"/>
      </w:pPr>
      <w:r>
        <w:rPr/>
        <w:t>报告期内，公司重点做了以下工作： </w:t>
      </w:r>
      <w:r>
        <w:rPr>
          <w:spacing w:val="-2"/>
        </w:rPr>
        <w:t>一是纺织主业提质挖潜、降本增效。以实施增品种、提品质、创品牌</w:t>
      </w:r>
      <w:r>
        <w:rPr>
          <w:rFonts w:ascii="Times New Roman" w:hAnsi="Times New Roman" w:cs="Times New Roman" w:eastAsia="Times New Roman" w:hint="default"/>
          <w:spacing w:val="-2"/>
        </w:rPr>
        <w:t>“</w:t>
      </w:r>
      <w:r>
        <w:rPr>
          <w:spacing w:val="-2"/>
        </w:rPr>
        <w:t>三品</w:t>
      </w:r>
      <w:r>
        <w:rPr>
          <w:rFonts w:ascii="Times New Roman" w:hAnsi="Times New Roman" w:cs="Times New Roman" w:eastAsia="Times New Roman" w:hint="default"/>
          <w:spacing w:val="-2"/>
        </w:rPr>
        <w:t>”</w:t>
      </w:r>
      <w:r>
        <w:rPr>
          <w:spacing w:val="-2"/>
        </w:rPr>
        <w:t>专项行动为重要抓手，坚持市场导向和问题</w:t>
      </w:r>
    </w:p>
    <w:p>
      <w:pPr>
        <w:pStyle w:val="BodyText"/>
        <w:spacing w:line="201" w:lineRule="exact"/>
        <w:ind w:right="0"/>
        <w:jc w:val="left"/>
      </w:pPr>
      <w:r>
        <w:rPr/>
        <w:t>导向，加大了产品创新、技术创新和管理创新的力度。积极组织开展专项攻关，优化品种结构，减少停台，稳定效率，提高</w:t>
      </w:r>
    </w:p>
    <w:p>
      <w:pPr>
        <w:pStyle w:val="BodyText"/>
        <w:spacing w:line="357" w:lineRule="auto" w:before="77"/>
        <w:ind w:left="513" w:right="231" w:hanging="360"/>
        <w:jc w:val="left"/>
      </w:pPr>
      <w:r>
        <w:rPr/>
        <w:t>车速，确保质量。细化、落实节能降耗的措施，严格控制各项费用支出。 全年开发纱、布等多项新产品，特别是色纺色织产品开发取得明显成效。</w:t>
      </w:r>
      <w:r>
        <w:rPr>
          <w:rFonts w:ascii="Times New Roman" w:hAnsi="Times New Roman" w:cs="Times New Roman" w:eastAsia="Times New Roman" w:hint="default"/>
        </w:rPr>
        <w:t>“</w:t>
      </w:r>
      <w:r>
        <w:rPr/>
        <w:t>月夜流淌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冬日骄阳</w:t>
      </w:r>
      <w:r>
        <w:rPr>
          <w:rFonts w:ascii="Times New Roman" w:hAnsi="Times New Roman" w:cs="Times New Roman" w:eastAsia="Times New Roman" w:hint="default"/>
        </w:rPr>
        <w:t>”</w:t>
      </w:r>
      <w:r>
        <w:rPr/>
        <w:t>两个产品入围</w:t>
      </w:r>
      <w:r>
        <w:rPr>
          <w:rFonts w:ascii="Times New Roman" w:hAnsi="Times New Roman" w:cs="Times New Roman" w:eastAsia="Times New Roman" w:hint="default"/>
        </w:rPr>
        <w:t>“</w:t>
      </w:r>
      <w:r>
        <w:rPr/>
        <w:t>中国</w:t>
      </w:r>
    </w:p>
    <w:p>
      <w:pPr>
        <w:pStyle w:val="BodyText"/>
        <w:spacing w:line="214" w:lineRule="exact"/>
        <w:ind w:left="154" w:right="0"/>
        <w:jc w:val="left"/>
      </w:pPr>
      <w:r>
        <w:rPr/>
        <w:t>流行面料</w:t>
      </w:r>
      <w:r>
        <w:rPr>
          <w:rFonts w:ascii="Times New Roman" w:hAnsi="Times New Roman" w:cs="Times New Roman" w:eastAsia="Times New Roman" w:hint="default"/>
        </w:rPr>
        <w:t>”</w:t>
      </w:r>
      <w:r>
        <w:rPr/>
        <w:t>，碳纤维织机等新型纺机产品开发项目取得重大突破。申报专利</w:t>
      </w:r>
      <w:r>
        <w:rPr>
          <w:rFonts w:ascii="Times New Roman" w:hAnsi="Times New Roman" w:cs="Times New Roman" w:eastAsia="Times New Roman" w:hint="default"/>
        </w:rPr>
        <w:t>9</w:t>
      </w:r>
      <w:r>
        <w:rPr/>
        <w:t>项，取得专利授权</w:t>
      </w:r>
      <w:r>
        <w:rPr>
          <w:rFonts w:ascii="Times New Roman" w:hAnsi="Times New Roman" w:cs="Times New Roman" w:eastAsia="Times New Roman" w:hint="default"/>
        </w:rPr>
        <w:t>15</w:t>
      </w:r>
      <w:r>
        <w:rPr/>
        <w:t>项，</w:t>
      </w:r>
      <w:r>
        <w:rPr>
          <w:rFonts w:ascii="Times New Roman" w:hAnsi="Times New Roman" w:cs="Times New Roman" w:eastAsia="Times New Roman" w:hint="default"/>
        </w:rPr>
        <w:t>“</w:t>
      </w:r>
      <w:r>
        <w:rPr/>
        <w:t>浆纱毛羽检测卷绕机</w:t>
      </w:r>
    </w:p>
    <w:p>
      <w:pPr>
        <w:pStyle w:val="BodyText"/>
        <w:spacing w:line="300" w:lineRule="auto" w:before="63"/>
        <w:ind w:left="154" w:right="189"/>
        <w:jc w:val="both"/>
      </w:pPr>
      <w:r>
        <w:rPr/>
        <w:t>构</w:t>
      </w:r>
      <w:r>
        <w:rPr>
          <w:rFonts w:ascii="Times New Roman" w:hAnsi="Times New Roman" w:cs="Times New Roman" w:eastAsia="Times New Roman" w:hint="default"/>
        </w:rPr>
        <w:t>”</w:t>
      </w:r>
      <w:r>
        <w:rPr/>
        <w:t>荣获全国纺织行业质量管理二等奖。</w:t>
      </w:r>
      <w:r>
        <w:rPr>
          <w:rFonts w:ascii="Times New Roman" w:hAnsi="Times New Roman" w:cs="Times New Roman" w:eastAsia="Times New Roman" w:hint="default"/>
        </w:rPr>
        <w:t>“</w:t>
      </w:r>
      <w:r>
        <w:rPr/>
        <w:t>松鼠</w:t>
      </w:r>
      <w:r>
        <w:rPr>
          <w:rFonts w:ascii="Times New Roman" w:hAnsi="Times New Roman" w:cs="Times New Roman" w:eastAsia="Times New Roman" w:hint="default"/>
        </w:rPr>
        <w:t>”</w:t>
      </w:r>
      <w:r>
        <w:rPr/>
        <w:t>牌纯棉本色布再度获评河北省名牌产品和中国棉纺织行业最具影响力品牌， </w:t>
      </w:r>
      <w:r>
        <w:rPr>
          <w:rFonts w:ascii="Times New Roman" w:hAnsi="Times New Roman" w:cs="Times New Roman" w:eastAsia="Times New Roman" w:hint="default"/>
          <w:spacing w:val="-1"/>
        </w:rPr>
        <w:t>“</w:t>
      </w:r>
      <w:r>
        <w:rPr>
          <w:spacing w:val="-1"/>
        </w:rPr>
        <w:t>翠竹</w:t>
      </w:r>
      <w:r>
        <w:rPr>
          <w:rFonts w:ascii="Times New Roman" w:hAnsi="Times New Roman" w:cs="Times New Roman" w:eastAsia="Times New Roman" w:hint="default"/>
          <w:spacing w:val="-1"/>
        </w:rPr>
        <w:t>”</w:t>
      </w:r>
      <w:r>
        <w:rPr>
          <w:spacing w:val="-1"/>
        </w:rPr>
        <w:t>牌纯棉本色纱继续保持中国棉纺织行业最具影响力品牌荣誉称号。公司被评为</w:t>
      </w:r>
      <w:r>
        <w:rPr>
          <w:rFonts w:ascii="Times New Roman" w:hAnsi="Times New Roman" w:cs="Times New Roman" w:eastAsia="Times New Roman" w:hint="default"/>
          <w:spacing w:val="-1"/>
        </w:rPr>
        <w:t>“</w:t>
      </w:r>
      <w:r>
        <w:rPr>
          <w:spacing w:val="-1"/>
        </w:rPr>
        <w:t>河北品牌建设典范单位</w:t>
      </w:r>
      <w:r>
        <w:rPr>
          <w:rFonts w:ascii="Times New Roman" w:hAnsi="Times New Roman" w:cs="Times New Roman" w:eastAsia="Times New Roman" w:hint="default"/>
          <w:spacing w:val="-1"/>
        </w:rPr>
        <w:t>”</w:t>
      </w:r>
      <w:r>
        <w:rPr>
          <w:spacing w:val="-1"/>
        </w:rPr>
        <w:t>，并顺利通过</w:t>
      </w:r>
      <w:r>
        <w:rPr>
          <w:spacing w:val="-78"/>
        </w:rPr>
        <w:t> </w:t>
      </w:r>
      <w:r>
        <w:rPr>
          <w:spacing w:val="-78"/>
        </w:rPr>
      </w:r>
      <w:r>
        <w:rPr>
          <w:rFonts w:ascii="Times New Roman" w:hAnsi="Times New Roman" w:cs="Times New Roman" w:eastAsia="Times New Roman" w:hint="default"/>
        </w:rPr>
        <w:t>“</w:t>
      </w:r>
      <w:r>
        <w:rPr/>
        <w:t>全国纺织行业质量奖</w:t>
      </w:r>
      <w:r>
        <w:rPr>
          <w:rFonts w:ascii="Times New Roman" w:hAnsi="Times New Roman" w:cs="Times New Roman" w:eastAsia="Times New Roman" w:hint="default"/>
        </w:rPr>
        <w:t>”</w:t>
      </w:r>
      <w:r>
        <w:rPr/>
        <w:t>复审。</w:t>
      </w:r>
    </w:p>
    <w:p>
      <w:pPr>
        <w:pStyle w:val="BodyText"/>
        <w:spacing w:line="309" w:lineRule="auto" w:before="51"/>
        <w:ind w:left="154" w:right="189" w:firstLine="360"/>
        <w:jc w:val="both"/>
      </w:pPr>
      <w:r>
        <w:rPr>
          <w:spacing w:val="-2"/>
        </w:rPr>
        <w:t>二是软件主业研发创新、拓展业务。报告期内开拓了人寿、太保、农行、政法、民航等几个大客户，金融行业软件和信</w:t>
      </w:r>
      <w:r>
        <w:rPr/>
        <w:t> </w:t>
      </w:r>
      <w:r>
        <w:rPr>
          <w:spacing w:val="-2"/>
        </w:rPr>
        <w:t>息技术服务的业务量也有所增长。其中，先后三次中标民航通信网</w:t>
      </w:r>
      <w:r>
        <w:rPr>
          <w:rFonts w:ascii="Times New Roman" w:hAnsi="Times New Roman" w:cs="Times New Roman" w:eastAsia="Times New Roman" w:hint="default"/>
          <w:spacing w:val="-2"/>
        </w:rPr>
        <w:t>IT</w:t>
      </w:r>
      <w:r>
        <w:rPr>
          <w:spacing w:val="-2"/>
        </w:rPr>
        <w:t>项目，为公司进一步拓展民航信息化市场、成为民航信</w:t>
      </w:r>
      <w:r>
        <w:rPr>
          <w:spacing w:val="-52"/>
        </w:rPr>
        <w:t> </w:t>
      </w:r>
      <w:r>
        <w:rPr>
          <w:spacing w:val="-52"/>
        </w:rPr>
      </w:r>
      <w:r>
        <w:rPr>
          <w:spacing w:val="-2"/>
        </w:rPr>
        <w:t>息化专业供应商提供了强有力的支撑。中标舞钢市智慧城市建设项目，实施后将产生良好的经济效益和社会效益，也为公司</w:t>
      </w:r>
      <w:r>
        <w:rPr>
          <w:spacing w:val="-66"/>
        </w:rPr>
        <w:t> </w:t>
      </w:r>
      <w:r>
        <w:rPr>
          <w:spacing w:val="-66"/>
        </w:rPr>
      </w:r>
      <w:r>
        <w:rPr>
          <w:spacing w:val="-2"/>
        </w:rPr>
        <w:t>在智慧城市建设方面积累宝贵的经验。由北明软件设计开发的</w:t>
      </w:r>
      <w:r>
        <w:rPr>
          <w:rFonts w:ascii="Times New Roman" w:hAnsi="Times New Roman" w:cs="Times New Roman" w:eastAsia="Times New Roman" w:hint="default"/>
          <w:spacing w:val="-2"/>
        </w:rPr>
        <w:t>“</w:t>
      </w:r>
      <w:r>
        <w:rPr>
          <w:spacing w:val="-2"/>
        </w:rPr>
        <w:t>在线矛盾纠纷多元化解平台</w:t>
      </w:r>
      <w:r>
        <w:rPr>
          <w:rFonts w:ascii="Times New Roman" w:hAnsi="Times New Roman" w:cs="Times New Roman" w:eastAsia="Times New Roman" w:hint="default"/>
          <w:spacing w:val="-2"/>
        </w:rPr>
        <w:t>”</w:t>
      </w:r>
      <w:r>
        <w:rPr>
          <w:spacing w:val="-2"/>
        </w:rPr>
        <w:t>已在杭州上线运行，社会反响良</w:t>
      </w:r>
      <w:r>
        <w:rPr>
          <w:spacing w:val="-44"/>
        </w:rPr>
        <w:t> </w:t>
      </w:r>
      <w:r>
        <w:rPr>
          <w:spacing w:val="-44"/>
        </w:rPr>
      </w:r>
      <w:r>
        <w:rPr/>
        <w:t>好。北明软件再次荣膺全国信息系统集成及服务大型一级企业，连续</w:t>
      </w:r>
      <w:r>
        <w:rPr>
          <w:rFonts w:ascii="Times New Roman" w:hAnsi="Times New Roman" w:cs="Times New Roman" w:eastAsia="Times New Roman" w:hint="default"/>
        </w:rPr>
        <w:t>5</w:t>
      </w:r>
      <w:r>
        <w:rPr/>
        <w:t>年入围中国软件行业百强企业。</w:t>
      </w:r>
    </w:p>
    <w:p>
      <w:pPr>
        <w:pStyle w:val="BodyText"/>
        <w:spacing w:line="309" w:lineRule="auto" w:before="43"/>
        <w:ind w:left="154" w:right="0" w:firstLine="360"/>
        <w:jc w:val="left"/>
      </w:pPr>
      <w:r>
        <w:rPr>
          <w:spacing w:val="-2"/>
        </w:rPr>
        <w:t>三是项目建设有序推进。常山云数据中心项目列入</w:t>
      </w:r>
      <w:r>
        <w:rPr>
          <w:rFonts w:ascii="Times New Roman" w:hAnsi="Times New Roman" w:cs="Times New Roman" w:eastAsia="Times New Roman" w:hint="default"/>
          <w:spacing w:val="-2"/>
        </w:rPr>
        <w:t>2017</w:t>
      </w:r>
      <w:r>
        <w:rPr>
          <w:spacing w:val="-2"/>
        </w:rPr>
        <w:t>年河北省战略性新兴产业重点项目。截止报告期末，项目一期工</w:t>
      </w:r>
      <w:r>
        <w:rPr/>
        <w:t> 程动力中心和机房楼二层主体工程建设已经完成，软件信息研发</w:t>
      </w:r>
      <w:r>
        <w:rPr>
          <w:rFonts w:ascii="Times New Roman" w:hAnsi="Times New Roman" w:cs="Times New Roman" w:eastAsia="Times New Roman" w:hint="default"/>
        </w:rPr>
        <w:t>1</w:t>
      </w:r>
      <w:r>
        <w:rPr/>
        <w:t>号楼地下一层和地上五层的主体工程建设也已完成。纺织 </w:t>
      </w:r>
      <w:r>
        <w:rPr>
          <w:spacing w:val="-2"/>
        </w:rPr>
        <w:t>智能制造项目是河北省两化融合重点项目。截止报告期末，项目一期工程恒盛布厂织造智能化升级项目已经完成数据采集平</w:t>
      </w:r>
      <w:r>
        <w:rPr>
          <w:spacing w:val="-64"/>
        </w:rPr>
        <w:t> </w:t>
      </w:r>
      <w:r>
        <w:rPr>
          <w:spacing w:val="-64"/>
        </w:rPr>
      </w:r>
      <w:r>
        <w:rPr>
          <w:spacing w:val="-2"/>
        </w:rPr>
        <w:t>台、主数据管理系统和制造执行系统的设计，</w:t>
      </w:r>
      <w:r>
        <w:rPr>
          <w:rFonts w:ascii="Times New Roman" w:hAnsi="Times New Roman" w:cs="Times New Roman" w:eastAsia="Times New Roman" w:hint="default"/>
          <w:spacing w:val="-2"/>
        </w:rPr>
        <w:t>IT</w:t>
      </w:r>
      <w:r>
        <w:rPr>
          <w:spacing w:val="-2"/>
        </w:rPr>
        <w:t>基础设施、主机及网络设备、应用系统及配置等基本安装就绪，生产设备数</w:t>
      </w:r>
      <w:r>
        <w:rPr>
          <w:spacing w:val="-55"/>
        </w:rPr>
        <w:t> </w:t>
      </w:r>
      <w:r>
        <w:rPr>
          <w:spacing w:val="-55"/>
        </w:rPr>
      </w:r>
      <w:r>
        <w:rPr>
          <w:spacing w:val="-2"/>
        </w:rPr>
        <w:t>据采集基本完成，情报分析系统和营销供应链系统已经上线运行。截止报告期末，新疆纺织服装综合建设项目总体规划和一</w:t>
      </w:r>
      <w:r>
        <w:rPr>
          <w:spacing w:val="-66"/>
        </w:rPr>
        <w:t> </w:t>
      </w:r>
      <w:r>
        <w:rPr>
          <w:spacing w:val="-66"/>
        </w:rPr>
      </w:r>
      <w:r>
        <w:rPr>
          <w:spacing w:val="-4"/>
        </w:rPr>
        <w:t>期工程设计已经完成，施工前的准备工作基本就绪。棉一纺织博物馆文化创意产业园项目前期调研和规划方案编制基本完成。</w:t>
      </w:r>
      <w:r>
        <w:rPr>
          <w:spacing w:val="-44"/>
        </w:rPr>
        <w:t> </w:t>
      </w:r>
      <w:r>
        <w:rPr>
          <w:spacing w:val="-44"/>
        </w:rPr>
      </w:r>
      <w:r>
        <w:rPr/>
        <w:t>互联网家居项目正式启动，相关电商平台和线下体验店正在加紧筹备。</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55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5"/>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3"/>
        <w:gridCol w:w="1617"/>
        <w:gridCol w:w="1466"/>
        <w:gridCol w:w="1492"/>
        <w:gridCol w:w="1515"/>
        <w:gridCol w:w="1031"/>
      </w:tblGrid>
      <w:tr>
        <w:trPr>
          <w:trHeight w:val="201" w:hRule="exact"/>
        </w:trPr>
        <w:tc>
          <w:tcPr>
            <w:tcW w:w="2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0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3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2523" w:type="dxa"/>
            <w:vMerge w:val="restart"/>
            <w:tcBorders>
              <w:top w:val="nil" w:sz="6" w:space="0" w:color="auto"/>
              <w:left w:val="single" w:sz="4" w:space="0" w:color="000000"/>
              <w:right w:val="single" w:sz="4" w:space="0" w:color="000000"/>
            </w:tcBorders>
            <w:shd w:val="clear" w:color="auto" w:fill="D3D3D3"/>
          </w:tcPr>
          <w:p>
            <w:pPr/>
          </w:p>
        </w:tc>
        <w:tc>
          <w:tcPr>
            <w:tcW w:w="3083" w:type="dxa"/>
            <w:gridSpan w:val="2"/>
            <w:vMerge/>
            <w:tcBorders>
              <w:left w:val="single" w:sz="4" w:space="0" w:color="000000"/>
              <w:bottom w:val="single" w:sz="4" w:space="0" w:color="000000"/>
              <w:right w:val="single" w:sz="4" w:space="0" w:color="000000"/>
            </w:tcBorders>
            <w:shd w:val="clear" w:color="auto" w:fill="D3D3D3"/>
          </w:tcPr>
          <w:p>
            <w:pPr/>
          </w:p>
        </w:tc>
        <w:tc>
          <w:tcPr>
            <w:tcW w:w="3007" w:type="dxa"/>
            <w:gridSpan w:val="2"/>
            <w:vMerge/>
            <w:tcBorders>
              <w:left w:val="single" w:sz="4" w:space="0" w:color="000000"/>
              <w:bottom w:val="single" w:sz="4" w:space="0" w:color="000000"/>
              <w:right w:val="single" w:sz="4" w:space="0" w:color="000000"/>
            </w:tcBorders>
            <w:shd w:val="clear" w:color="auto" w:fill="D3D3D3"/>
          </w:tcPr>
          <w:p>
            <w:pPr/>
          </w:p>
        </w:tc>
        <w:tc>
          <w:tcPr>
            <w:tcW w:w="10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0" w:hRule="exact"/>
        </w:trPr>
        <w:tc>
          <w:tcPr>
            <w:tcW w:w="2523" w:type="dxa"/>
            <w:vMerge/>
            <w:tcBorders>
              <w:left w:val="single" w:sz="4" w:space="0" w:color="000000"/>
              <w:bottom w:val="nil" w:sz="6" w:space="0" w:color="auto"/>
              <w:right w:val="single" w:sz="4" w:space="0" w:color="000000"/>
            </w:tcBorders>
            <w:shd w:val="clear" w:color="auto" w:fill="D3D3D3"/>
          </w:tcPr>
          <w:p>
            <w:pPr/>
          </w:p>
        </w:tc>
        <w:tc>
          <w:tcPr>
            <w:tcW w:w="16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9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031" w:type="dxa"/>
            <w:vMerge/>
            <w:tcBorders>
              <w:left w:val="single" w:sz="4" w:space="0" w:color="000000"/>
              <w:bottom w:val="nil" w:sz="6" w:space="0" w:color="auto"/>
              <w:right w:val="single" w:sz="4" w:space="0" w:color="000000"/>
            </w:tcBorders>
            <w:shd w:val="clear" w:color="auto" w:fill="D3D3D3"/>
          </w:tcPr>
          <w:p>
            <w:pPr/>
          </w:p>
        </w:tc>
      </w:tr>
      <w:tr>
        <w:trPr>
          <w:trHeight w:val="213" w:hRule="exact"/>
        </w:trPr>
        <w:tc>
          <w:tcPr>
            <w:tcW w:w="2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7" w:type="dxa"/>
            <w:vMerge/>
            <w:tcBorders>
              <w:left w:val="single" w:sz="4" w:space="0" w:color="000000"/>
              <w:bottom w:val="single" w:sz="4" w:space="0" w:color="000000"/>
              <w:right w:val="single" w:sz="4" w:space="0" w:color="000000"/>
            </w:tcBorders>
            <w:shd w:val="clear" w:color="auto" w:fill="D3D3D3"/>
          </w:tcPr>
          <w:p>
            <w:pPr/>
          </w:p>
        </w:tc>
        <w:tc>
          <w:tcPr>
            <w:tcW w:w="1466" w:type="dxa"/>
            <w:vMerge/>
            <w:tcBorders>
              <w:left w:val="single" w:sz="4" w:space="0" w:color="000000"/>
              <w:bottom w:val="single" w:sz="4" w:space="0" w:color="000000"/>
              <w:right w:val="single" w:sz="4" w:space="0" w:color="000000"/>
            </w:tcBorders>
            <w:shd w:val="clear" w:color="auto" w:fill="D3D3D3"/>
          </w:tcPr>
          <w:p>
            <w:pPr/>
          </w:p>
        </w:tc>
        <w:tc>
          <w:tcPr>
            <w:tcW w:w="1492" w:type="dxa"/>
            <w:vMerge/>
            <w:tcBorders>
              <w:left w:val="single" w:sz="4" w:space="0" w:color="000000"/>
              <w:bottom w:val="single" w:sz="4" w:space="0" w:color="000000"/>
              <w:right w:val="single" w:sz="4" w:space="0" w:color="000000"/>
            </w:tcBorders>
            <w:shd w:val="clear" w:color="auto" w:fill="D3D3D3"/>
          </w:tcPr>
          <w:p>
            <w:pPr/>
          </w:p>
        </w:tc>
        <w:tc>
          <w:tcPr>
            <w:tcW w:w="1515" w:type="dxa"/>
            <w:vMerge/>
            <w:tcBorders>
              <w:left w:val="single" w:sz="4" w:space="0" w:color="000000"/>
              <w:bottom w:val="single" w:sz="4" w:space="0" w:color="000000"/>
              <w:right w:val="single" w:sz="4" w:space="0" w:color="000000"/>
            </w:tcBorders>
            <w:shd w:val="clear" w:color="auto" w:fill="D3D3D3"/>
          </w:tcPr>
          <w:p>
            <w:pPr/>
          </w:p>
        </w:tc>
        <w:tc>
          <w:tcPr>
            <w:tcW w:w="103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17"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11,254,467,684.79</w:t>
            </w:r>
          </w:p>
        </w:tc>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49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10,974,323,090.74</w:t>
            </w:r>
          </w:p>
        </w:tc>
        <w:tc>
          <w:tcPr>
            <w:tcW w:w="1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0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2.55%</w:t>
            </w:r>
          </w:p>
        </w:tc>
      </w:tr>
      <w:tr>
        <w:trPr>
          <w:trHeight w:val="401" w:hRule="exact"/>
        </w:trPr>
        <w:tc>
          <w:tcPr>
            <w:tcW w:w="964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7,242,957,574.90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64.36%</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7,313,694,021.98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66.64%</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4,011,510,109.89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3,660,629,068.76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33.36%</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9.59%</w:t>
            </w:r>
          </w:p>
        </w:tc>
      </w:tr>
      <w:tr>
        <w:trPr>
          <w:trHeight w:val="402" w:hRule="exact"/>
        </w:trPr>
        <w:tc>
          <w:tcPr>
            <w:tcW w:w="964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887,672,167.81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961,440,192.70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8.76%</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807,340,525.81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2,012,967,867.71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18.34%</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-59.89%</w:t>
            </w:r>
          </w:p>
        </w:tc>
      </w:tr>
      <w:tr>
        <w:trPr>
          <w:trHeight w:val="402"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4,540,915,300.49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3,611,344,561.43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25.74%</w:t>
            </w:r>
          </w:p>
        </w:tc>
      </w:tr>
      <w:tr>
        <w:trPr>
          <w:trHeight w:val="402"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系统集成及行业解决方案服务</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2,732,332,318.47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24.28%</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2,479,851,141.06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10.18%</w:t>
            </w:r>
          </w:p>
        </w:tc>
      </w:tr>
      <w:tr>
        <w:trPr>
          <w:trHeight w:val="402"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代理产品增值销售</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522,268,563.73</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499,527,557.42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定制软件及服务</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756,909,227.69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681,250,370.28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1,007,029,580.79</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727,941,400.14</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38.34%</w:t>
            </w:r>
          </w:p>
        </w:tc>
      </w:tr>
      <w:tr>
        <w:trPr>
          <w:trHeight w:val="401" w:hRule="exact"/>
        </w:trPr>
        <w:tc>
          <w:tcPr>
            <w:tcW w:w="964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11,046,049,209.28</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10,817,638,322.36</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98.57%</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2" w:hRule="exact"/>
        </w:trPr>
        <w:tc>
          <w:tcPr>
            <w:tcW w:w="25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208,418,475.51</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156,684,768.38</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33.02%</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48" w:lineRule="auto" w:before="44"/>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11"/>
        <w:gridCol w:w="1449"/>
        <w:gridCol w:w="1440"/>
        <w:gridCol w:w="761"/>
        <w:gridCol w:w="1187"/>
        <w:gridCol w:w="1260"/>
        <w:gridCol w:w="973"/>
      </w:tblGrid>
      <w:tr>
        <w:trPr>
          <w:trHeight w:val="714" w:hRule="exact"/>
        </w:trPr>
        <w:tc>
          <w:tcPr>
            <w:tcW w:w="25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39" w:right="4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5" w:right="83"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 w:right="29"/>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2" w:hRule="exact"/>
        </w:trPr>
        <w:tc>
          <w:tcPr>
            <w:tcW w:w="958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44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7,242,957,574.90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7,207,970,677.92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44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131" w:right="0"/>
              <w:jc w:val="center"/>
              <w:rPr>
                <w:rFonts w:ascii="Times New Roman" w:hAnsi="Times New Roman" w:cs="Times New Roman" w:eastAsia="Times New Roman" w:hint="default"/>
                <w:sz w:val="18"/>
                <w:szCs w:val="18"/>
              </w:rPr>
            </w:pPr>
            <w:r>
              <w:rPr>
                <w:rFonts w:ascii="Times New Roman"/>
                <w:sz w:val="18"/>
              </w:rPr>
              <w:t>4,011,510,109.89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3,229,920,860.45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19.48%</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r>
      <w:tr>
        <w:trPr>
          <w:trHeight w:val="402" w:hRule="exact"/>
        </w:trPr>
        <w:tc>
          <w:tcPr>
            <w:tcW w:w="958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44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4,540,915,300.49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4,534,836,079.29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5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系统集成及行业解决方案服务</w:t>
            </w:r>
          </w:p>
        </w:tc>
        <w:tc>
          <w:tcPr>
            <w:tcW w:w="144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123" w:right="0"/>
              <w:jc w:val="center"/>
              <w:rPr>
                <w:rFonts w:ascii="Times New Roman" w:hAnsi="Times New Roman" w:cs="Times New Roman" w:eastAsia="Times New Roman" w:hint="default"/>
                <w:sz w:val="18"/>
                <w:szCs w:val="18"/>
              </w:rPr>
            </w:pPr>
            <w:r>
              <w:rPr>
                <w:rFonts w:ascii="Times New Roman"/>
                <w:sz w:val="18"/>
              </w:rPr>
              <w:t>2,732,332,318.47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2,331,844,780.13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958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25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4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11,046,049,209.28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10,233,131,378.31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141"/>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1"/>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1"/>
        <w:gridCol w:w="1587"/>
        <w:gridCol w:w="1606"/>
        <w:gridCol w:w="1594"/>
        <w:gridCol w:w="1594"/>
        <w:gridCol w:w="1595"/>
      </w:tblGrid>
      <w:tr>
        <w:trPr>
          <w:trHeight w:val="402"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1" w:type="dxa"/>
            <w:vMerge w:val="restart"/>
            <w:tcBorders>
              <w:top w:val="single" w:sz="4" w:space="0" w:color="000000"/>
              <w:left w:val="single" w:sz="4" w:space="0" w:color="000000"/>
              <w:right w:val="single" w:sz="9" w:space="0" w:color="D3D3D3"/>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13.79%</w:t>
            </w:r>
          </w:p>
        </w:tc>
      </w:tr>
      <w:tr>
        <w:trPr>
          <w:trHeight w:val="402" w:hRule="exact"/>
        </w:trPr>
        <w:tc>
          <w:tcPr>
            <w:tcW w:w="1591" w:type="dxa"/>
            <w:vMerge/>
            <w:tcBorders>
              <w:left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w:t>
            </w:r>
          </w:p>
        </w:tc>
      </w:tr>
      <w:tr>
        <w:trPr>
          <w:trHeight w:val="402" w:hRule="exact"/>
        </w:trPr>
        <w:tc>
          <w:tcPr>
            <w:tcW w:w="1591" w:type="dxa"/>
            <w:vMerge/>
            <w:tcBorders>
              <w:left w:val="single" w:sz="4" w:space="0" w:color="000000"/>
              <w:bottom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-13.72%</w:t>
            </w:r>
          </w:p>
        </w:tc>
      </w:tr>
      <w:tr>
        <w:trPr>
          <w:trHeight w:val="402" w:hRule="exact"/>
        </w:trPr>
        <w:tc>
          <w:tcPr>
            <w:tcW w:w="1591" w:type="dxa"/>
            <w:vMerge w:val="restart"/>
            <w:tcBorders>
              <w:top w:val="single" w:sz="4" w:space="0" w:color="000000"/>
              <w:left w:val="single" w:sz="4" w:space="0" w:color="000000"/>
              <w:right w:val="single" w:sz="9" w:space="0" w:color="D3D3D3"/>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售纱</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1591" w:type="dxa"/>
            <w:vMerge/>
            <w:tcBorders>
              <w:left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w:t>
            </w:r>
          </w:p>
        </w:tc>
      </w:tr>
      <w:tr>
        <w:trPr>
          <w:trHeight w:val="402" w:hRule="exact"/>
        </w:trPr>
        <w:tc>
          <w:tcPr>
            <w:tcW w:w="1591" w:type="dxa"/>
            <w:vMerge/>
            <w:tcBorders>
              <w:left w:val="single" w:sz="4" w:space="0" w:color="000000"/>
              <w:bottom w:val="single" w:sz="4" w:space="0" w:color="000000"/>
              <w:right w:val="single" w:sz="9" w:space="0" w:color="D3D3D3"/>
            </w:tcBorders>
            <w:shd w:val="clear" w:color="auto" w:fill="C7EDCC"/>
          </w:tcPr>
          <w:p>
            <w:pP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68.31%</w:t>
            </w:r>
          </w:p>
        </w:tc>
      </w:tr>
    </w:tbl>
    <w:p>
      <w:pPr>
        <w:pStyle w:val="BodyText"/>
        <w:spacing w:line="240" w:lineRule="auto" w:before="51"/>
        <w:ind w:left="154" w:right="141"/>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154" w:right="417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售纱库存量同比增长</w:t>
      </w:r>
      <w:r>
        <w:rPr>
          <w:rFonts w:ascii="Times New Roman" w:hAnsi="Times New Roman" w:cs="Times New Roman" w:eastAsia="Times New Roman" w:hint="default"/>
        </w:rPr>
        <w:t>68.31%</w:t>
      </w:r>
      <w:r>
        <w:rPr/>
        <w:t>，主要系公司本期纱的产量提高影响所致。</w:t>
      </w:r>
    </w:p>
    <w:p>
      <w:pPr>
        <w:spacing w:line="240" w:lineRule="auto" w:before="8"/>
        <w:rPr>
          <w:rFonts w:ascii="宋体" w:hAnsi="宋体" w:cs="宋体" w:eastAsia="宋体" w:hint="default"/>
          <w:sz w:val="19"/>
          <w:szCs w:val="19"/>
        </w:rPr>
      </w:pPr>
    </w:p>
    <w:p>
      <w:pPr>
        <w:pStyle w:val="Heading3"/>
        <w:spacing w:line="240" w:lineRule="auto"/>
        <w:ind w:right="141"/>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41"/>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41"/>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41"/>
        <w:jc w:val="left"/>
      </w:pPr>
      <w:r>
        <w:rPr/>
        <w:t>行业和产品分类</w:t>
      </w:r>
    </w:p>
    <w:p>
      <w:pPr>
        <w:pStyle w:val="BodyText"/>
        <w:spacing w:line="240" w:lineRule="auto" w:before="116"/>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0"/>
        <w:gridCol w:w="1080"/>
        <w:gridCol w:w="1367"/>
        <w:gridCol w:w="1367"/>
        <w:gridCol w:w="1368"/>
        <w:gridCol w:w="1367"/>
        <w:gridCol w:w="1012"/>
      </w:tblGrid>
      <w:tr>
        <w:trPr>
          <w:trHeight w:val="402" w:hRule="exact"/>
        </w:trPr>
        <w:tc>
          <w:tcPr>
            <w:tcW w:w="19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98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1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1,274,356,735.62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2,101,967,627.49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-39.37%</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181,876,499.19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305,924,755.43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-40.55%</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127,754,552.50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234,511,816.31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-45.52%</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129,109,719.90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213,879,260.42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2,947,792.37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3,595,481.85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-18.01%</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3,099,755,049.77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2,824,240,235.97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130,165,810.68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166,604,623.55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left="0" w:right="151"/>
        <w:jc w:val="right"/>
      </w:pPr>
      <w:r>
        <w:rPr/>
        <w:t>单位：元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60"/>
        <w:gridCol w:w="900"/>
        <w:gridCol w:w="1367"/>
        <w:gridCol w:w="1367"/>
        <w:gridCol w:w="1368"/>
        <w:gridCol w:w="1367"/>
        <w:gridCol w:w="1012"/>
      </w:tblGrid>
      <w:tr>
        <w:trPr>
          <w:trHeight w:val="402" w:hRule="exact"/>
        </w:trPr>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6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1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996,459,722.86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952,806,005.08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719,585,576.72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1,907,072,936.42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4,534,836,079.29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3,604,930,655.17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957,089,299.05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684,670,392.36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39.79%</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系统集成及行业解决方案 服务</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2,331,844,780.13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2,165,183,371.67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7.70%</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代理产品增值销售</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448,092,886.38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430,554,759.70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4.25%</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定制软件及服务</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449,983,193.94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395,106,728.15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 是 □ 否</w:t>
      </w:r>
    </w:p>
    <w:p>
      <w:pPr>
        <w:pStyle w:val="BodyText"/>
        <w:spacing w:line="319" w:lineRule="auto" w:before="116"/>
        <w:ind w:left="154" w:right="90" w:firstLine="360"/>
        <w:jc w:val="left"/>
      </w:pPr>
      <w:r>
        <w:rPr/>
        <w:t>本报告期，公司新设立两家公司，分别为：河北常山恒云数据科技有限公司、河北北明兴云互联网科技有限责任公司， 对上述两家子公司本公司均持有</w:t>
      </w:r>
      <w:r>
        <w:rPr>
          <w:rFonts w:ascii="Times New Roman" w:hAnsi="Times New Roman" w:cs="Times New Roman" w:eastAsia="Times New Roman" w:hint="default"/>
        </w:rPr>
        <w:t>100%</w:t>
      </w:r>
      <w:r>
        <w:rPr/>
        <w:t>股权。</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860"/>
        <w:gridCol w:w="4744"/>
      </w:tblGrid>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3,458,404,763.85</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30.73%</w:t>
            </w:r>
          </w:p>
        </w:tc>
      </w:tr>
      <w:tr>
        <w:trPr>
          <w:trHeight w:val="40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710"/>
        <w:gridCol w:w="2520"/>
        <w:gridCol w:w="2538"/>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71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中华棉花集团有限公司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1,442,336,169.24</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12.82%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71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天津市纺织工业供销有限公司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778,228,449.69</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71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北京中棉通泰经贸有限公司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592,601,662.13</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71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中国国投国际贸易广州有限公司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373,043,437.74</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71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北京京棉纺织进出口有限责任公司宁波分公司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272,195,045.05</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5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3,458,404,763.85</w:t>
            </w:r>
          </w:p>
        </w:tc>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30.73%</w:t>
            </w:r>
          </w:p>
        </w:tc>
      </w:tr>
    </w:tbl>
    <w:p>
      <w:pPr>
        <w:pStyle w:val="BodyText"/>
        <w:spacing w:line="240" w:lineRule="auto" w:before="51"/>
        <w:ind w:left="154" w:right="0"/>
        <w:jc w:val="left"/>
      </w:pPr>
      <w:r>
        <w:rPr/>
        <w:t>主要客户其他情况说明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680"/>
        <w:gridCol w:w="4860"/>
      </w:tblGrid>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4,455,180,807.46</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43.26%</w:t>
            </w:r>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北京全国棉花交易市场集团有限公司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1,813,556,732.84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17.61%</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1,508,660,649.20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天津市金泰来贸易有限公司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590,794,384.29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天津天纺高新物流有限公司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308,150,578.52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三林万业（上海）企业集团有限公司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234,018,462.61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4,455,180,807.46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43.26%</w:t>
            </w:r>
          </w:p>
        </w:tc>
      </w:tr>
    </w:tbl>
    <w:p>
      <w:pPr>
        <w:pStyle w:val="BodyText"/>
        <w:spacing w:line="240" w:lineRule="auto" w:before="51"/>
        <w:ind w:left="154" w:right="0"/>
        <w:jc w:val="left"/>
      </w:pPr>
      <w:r>
        <w:rPr/>
        <w:t>主要供应商其他情况说明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88"/>
        <w:gridCol w:w="1272"/>
        <w:gridCol w:w="1260"/>
        <w:gridCol w:w="1080"/>
        <w:gridCol w:w="5040"/>
      </w:tblGrid>
      <w:tr>
        <w:trPr>
          <w:trHeight w:val="401" w:hRule="exact"/>
        </w:trPr>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left="84" w:right="0"/>
              <w:jc w:val="center"/>
              <w:rPr>
                <w:rFonts w:ascii="Times New Roman" w:hAnsi="Times New Roman" w:cs="Times New Roman" w:eastAsia="Times New Roman" w:hint="default"/>
                <w:sz w:val="18"/>
                <w:szCs w:val="18"/>
              </w:rPr>
            </w:pPr>
            <w:r>
              <w:rPr>
                <w:rFonts w:ascii="Times New Roman"/>
                <w:sz w:val="18"/>
              </w:rPr>
              <w:t>212,029,475.95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center"/>
              <w:rPr>
                <w:rFonts w:ascii="Times New Roman" w:hAnsi="Times New Roman" w:cs="Times New Roman" w:eastAsia="Times New Roman" w:hint="default"/>
                <w:sz w:val="18"/>
                <w:szCs w:val="18"/>
              </w:rPr>
            </w:pPr>
            <w:r>
              <w:rPr>
                <w:rFonts w:ascii="Times New Roman"/>
                <w:sz w:val="18"/>
              </w:rPr>
              <w:t>190,966,434.84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11.03%</w:t>
            </w:r>
          </w:p>
        </w:tc>
        <w:tc>
          <w:tcPr>
            <w:tcW w:w="50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33"/>
              <w:jc w:val="left"/>
              <w:rPr>
                <w:rFonts w:ascii="宋体" w:hAnsi="宋体" w:cs="宋体" w:eastAsia="宋体" w:hint="default"/>
                <w:sz w:val="18"/>
                <w:szCs w:val="18"/>
              </w:rPr>
            </w:pPr>
            <w:r>
              <w:rPr>
                <w:rFonts w:ascii="宋体" w:hAnsi="宋体" w:cs="宋体" w:eastAsia="宋体" w:hint="default"/>
                <w:sz w:val="18"/>
                <w:szCs w:val="18"/>
              </w:rPr>
              <w:t>主要系本期公司办公费、咨询服务费、运输费等同比增加所致。</w:t>
            </w:r>
          </w:p>
        </w:tc>
      </w:tr>
      <w:tr>
        <w:trPr>
          <w:trHeight w:val="402" w:hRule="exact"/>
        </w:trPr>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338,311,118.91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293,110,839.50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15.42%</w:t>
            </w:r>
          </w:p>
        </w:tc>
        <w:tc>
          <w:tcPr>
            <w:tcW w:w="50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主要系本期公司职工薪酬、咨询费同比增加所致。</w:t>
            </w:r>
          </w:p>
        </w:tc>
      </w:tr>
      <w:tr>
        <w:trPr>
          <w:trHeight w:val="401" w:hRule="exact"/>
        </w:trPr>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221,506,407.02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201,356,391.38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10.01%</w:t>
            </w:r>
          </w:p>
        </w:tc>
        <w:tc>
          <w:tcPr>
            <w:tcW w:w="50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主要系本期公司借款利息支出及票据贴现利息同比增加所致。</w:t>
            </w:r>
          </w:p>
        </w:tc>
      </w:tr>
    </w:tbl>
    <w:p>
      <w:pPr>
        <w:spacing w:line="240" w:lineRule="auto" w:before="3"/>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left="534" w:right="0" w:hanging="164"/>
        <w:jc w:val="left"/>
      </w:pPr>
      <w:r>
        <w:rPr/>
        <w:t>（</w:t>
      </w:r>
      <w:r>
        <w:rPr>
          <w:rFonts w:ascii="Times New Roman" w:hAnsi="Times New Roman" w:cs="Times New Roman" w:eastAsia="Times New Roman" w:hint="default"/>
        </w:rPr>
        <w:t>1</w:t>
      </w:r>
      <w:r>
        <w:rPr/>
        <w:t>）智慧城市统一服务平台的研发 </w:t>
      </w:r>
      <w:r>
        <w:rPr>
          <w:spacing w:val="-1"/>
        </w:rPr>
        <w:t>项目目的：智慧城市建设，是运用信息技术和通讯技术整合城市管理的信息资源，形成对于民生、交通、医疗、教育、</w:t>
      </w:r>
    </w:p>
    <w:p>
      <w:pPr>
        <w:pStyle w:val="BodyText"/>
        <w:spacing w:line="319" w:lineRule="auto" w:before="2"/>
        <w:ind w:left="154" w:right="189"/>
        <w:jc w:val="both"/>
      </w:pPr>
      <w:r>
        <w:rPr>
          <w:spacing w:val="-2"/>
        </w:rPr>
        <w:t>应急、政务、城市服务等多方位的智能化响应机制。项目研发目标在于，建立统一的规范，基于统一信息服务平台的核心枢</w:t>
      </w:r>
      <w:r>
        <w:rPr>
          <w:spacing w:val="-66"/>
        </w:rPr>
        <w:t> </w:t>
      </w:r>
      <w:r>
        <w:rPr>
          <w:spacing w:val="-66"/>
        </w:rPr>
      </w:r>
      <w:r>
        <w:rPr>
          <w:spacing w:val="-2"/>
        </w:rPr>
        <w:t>纽作用，实现统一建设、统一运营、统一服务和融合创新等智慧城市建设的核心任务。智慧城市统一服务平台是智慧城市信</w:t>
      </w:r>
      <w:r>
        <w:rPr>
          <w:spacing w:val="-66"/>
        </w:rPr>
        <w:t> </w:t>
      </w:r>
      <w:r>
        <w:rPr>
          <w:spacing w:val="-66"/>
        </w:rPr>
      </w:r>
      <w:r>
        <w:rPr>
          <w:spacing w:val="-2"/>
        </w:rPr>
        <w:t>息化基础环境的核心工程，它在智慧城市建设与运行过程中的应用定位为数据交换的核心、业务协同的枢纽、集约建设的路</w:t>
      </w:r>
      <w:r>
        <w:rPr>
          <w:spacing w:val="-66"/>
        </w:rPr>
        <w:t> </w:t>
      </w:r>
      <w:r>
        <w:rPr>
          <w:spacing w:val="-66"/>
        </w:rPr>
      </w:r>
      <w:r>
        <w:rPr/>
        <w:t>径和融合创新的基础。</w:t>
      </w:r>
    </w:p>
    <w:p>
      <w:pPr>
        <w:pStyle w:val="BodyText"/>
        <w:spacing w:line="312" w:lineRule="auto" w:before="55"/>
        <w:ind w:left="154" w:right="90" w:firstLine="360"/>
        <w:jc w:val="left"/>
      </w:pPr>
      <w:r>
        <w:rPr/>
        <w:t>拟达到目标：基于</w:t>
      </w:r>
      <w:r>
        <w:rPr>
          <w:rFonts w:ascii="Times New Roman" w:hAnsi="Times New Roman" w:cs="Times New Roman" w:eastAsia="Times New Roman" w:hint="default"/>
        </w:rPr>
        <w:t>SOA</w:t>
      </w:r>
      <w:r>
        <w:rPr/>
        <w:t>架构，利用公司前期研发成果和解决方案，研发智慧城市统一信息服务平台，制定开发、运行、 </w:t>
      </w:r>
      <w:r>
        <w:rPr>
          <w:spacing w:val="-2"/>
        </w:rPr>
        <w:t>维护和安全规范；开发业务协同和数据共享核心服务功能；开发或整合以大数据分析子平台、空间地理信息子平台、市民卡</w:t>
      </w:r>
      <w:r>
        <w:rPr>
          <w:spacing w:val="-66"/>
        </w:rPr>
        <w:t> </w:t>
      </w:r>
      <w:r>
        <w:rPr>
          <w:spacing w:val="-66"/>
        </w:rPr>
      </w:r>
      <w:r>
        <w:rPr>
          <w:spacing w:val="-2"/>
        </w:rPr>
        <w:t>子系统、终端管理子系统、城市管理视频云服务平台、城市运营服务系统等扩展服务，为智慧教育、智慧政务和智慧医疗等</w:t>
      </w:r>
      <w:r>
        <w:rPr>
          <w:spacing w:val="-66"/>
        </w:rPr>
        <w:t> </w:t>
      </w:r>
      <w:r>
        <w:rPr>
          <w:spacing w:val="-66"/>
        </w:rPr>
      </w:r>
      <w:r>
        <w:rPr/>
        <w:t>部门主要应用领域提供支撑。</w:t>
      </w:r>
    </w:p>
    <w:p>
      <w:pPr>
        <w:pStyle w:val="BodyText"/>
        <w:spacing w:line="302" w:lineRule="auto" w:before="61"/>
        <w:ind w:left="154" w:right="220" w:firstLine="360"/>
        <w:jc w:val="left"/>
      </w:pPr>
      <w:r>
        <w:rPr/>
        <w:t>预计对未来发展影响：项目完成后，将增强公司在智慧城市公共服务平台、政府部门中的省厅</w:t>
      </w:r>
      <w:r>
        <w:rPr>
          <w:rFonts w:ascii="Times New Roman" w:hAnsi="Times New Roman" w:cs="Times New Roman" w:eastAsia="Times New Roman" w:hint="default"/>
        </w:rPr>
        <w:t>/</w:t>
      </w:r>
      <w:r>
        <w:rPr/>
        <w:t>委局公共支撑平台、智 慧应用信息服务平台和云平台</w:t>
      </w:r>
      <w:r>
        <w:rPr>
          <w:rFonts w:ascii="Times New Roman" w:hAnsi="Times New Roman" w:cs="Times New Roman" w:eastAsia="Times New Roman" w:hint="default"/>
        </w:rPr>
        <w:t>PAAS</w:t>
      </w:r>
      <w:r>
        <w:rPr/>
        <w:t>层等领域的竞争力，形成新的利润增长点，增加企业效益。</w:t>
      </w:r>
    </w:p>
    <w:p>
      <w:pPr>
        <w:pStyle w:val="BodyText"/>
        <w:spacing w:line="240" w:lineRule="auto" w:before="52"/>
        <w:ind w:left="371" w:right="0"/>
        <w:jc w:val="left"/>
      </w:pPr>
      <w:r>
        <w:rPr/>
        <w:t>（</w:t>
      </w:r>
      <w:r>
        <w:rPr>
          <w:rFonts w:ascii="Times New Roman" w:hAnsi="Times New Roman" w:cs="Times New Roman" w:eastAsia="Times New Roman" w:hint="default"/>
        </w:rPr>
        <w:t>2</w:t>
      </w:r>
      <w:r>
        <w:rPr/>
        <w:t>）交通大数据系统的研发</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184" w:firstLine="380"/>
        <w:jc w:val="left"/>
      </w:pPr>
      <w:r>
        <w:rPr/>
        <w:t>项目目的：</w:t>
      </w:r>
      <w:r>
        <w:rPr>
          <w:spacing w:val="-23"/>
        </w:rPr>
        <w:t> </w:t>
      </w:r>
      <w:r>
        <w:rPr/>
        <w:t>交通大数据系统的研发包括两个方面，一是地面交通方面的大数据平台以及应用的研发，二是专门针对机</w:t>
      </w:r>
      <w:r>
        <w:rPr/>
        <w:t> 场大数据平台以及应用系统的研发。</w:t>
      </w:r>
    </w:p>
    <w:p>
      <w:pPr>
        <w:pStyle w:val="BodyText"/>
        <w:spacing w:line="338" w:lineRule="auto" w:before="56"/>
        <w:ind w:left="534" w:right="0" w:firstLine="126"/>
        <w:jc w:val="left"/>
      </w:pPr>
      <w:r>
        <w:rPr>
          <w:rFonts w:ascii="Times New Roman" w:hAnsi="Times New Roman" w:cs="Times New Roman" w:eastAsia="Times New Roman" w:hint="default"/>
        </w:rPr>
        <w:t>A.</w:t>
      </w:r>
      <w:r>
        <w:rPr/>
        <w:t>地面交通大数据： </w:t>
      </w:r>
      <w:r>
        <w:rPr>
          <w:spacing w:val="-1"/>
        </w:rPr>
        <w:t>如何整合交通运输行业内部现有营运管理系统数据和其他行业相关数据资源，并进行深度挖掘，提供更加直观、准确、</w:t>
      </w:r>
    </w:p>
    <w:p>
      <w:pPr>
        <w:pStyle w:val="BodyText"/>
        <w:spacing w:line="357" w:lineRule="auto" w:before="4"/>
        <w:ind w:left="534" w:right="0" w:hanging="381"/>
        <w:jc w:val="left"/>
      </w:pPr>
      <w:r>
        <w:rPr/>
        <w:t>清晰的数据预测与分析是目前大数据应用建设的重点。 </w:t>
      </w:r>
      <w:r>
        <w:rPr>
          <w:spacing w:val="-1"/>
        </w:rPr>
        <w:t>围绕交通大数据，基于以物联网为核心的信息采集体系的建设成果，充分利用已有信息化基础，打破分割，条块联动，</w:t>
      </w:r>
    </w:p>
    <w:p>
      <w:pPr>
        <w:pStyle w:val="BodyText"/>
        <w:spacing w:line="224" w:lineRule="exact"/>
        <w:ind w:right="0"/>
        <w:jc w:val="left"/>
      </w:pPr>
      <w:r>
        <w:rPr/>
        <w:t>盘活已有的交通运输数据资产，加强数据资产规范和治理能力，加强大数据的决策支持能力建设；梳理业务流程，针对全省</w:t>
      </w:r>
    </w:p>
    <w:p>
      <w:pPr>
        <w:pStyle w:val="BodyText"/>
        <w:spacing w:line="319" w:lineRule="auto" w:before="76"/>
        <w:ind w:right="0"/>
        <w:jc w:val="left"/>
      </w:pPr>
      <w:r>
        <w:rPr>
          <w:spacing w:val="-2"/>
        </w:rPr>
        <w:t>交通各个业务局关注的大数据应用专题进行专题开发，引入更多的外部数据和互联网数据，充分挖掘数据价值，充分体现数</w:t>
      </w:r>
      <w:r>
        <w:rPr>
          <w:spacing w:val="-66"/>
        </w:rPr>
        <w:t> </w:t>
      </w:r>
      <w:r>
        <w:rPr>
          <w:spacing w:val="-66"/>
        </w:rPr>
      </w:r>
      <w:r>
        <w:rPr/>
        <w:t>据汇聚融合的大数据应用优势。</w:t>
      </w:r>
    </w:p>
    <w:p>
      <w:pPr>
        <w:pStyle w:val="BodyText"/>
        <w:spacing w:line="343" w:lineRule="auto" w:before="56"/>
        <w:ind w:left="534" w:right="6534" w:firstLine="16"/>
        <w:jc w:val="left"/>
      </w:pPr>
      <w:r>
        <w:rPr/>
        <w:t>研发可以涉及的系统内容可以包括： </w:t>
      </w:r>
      <w:r>
        <w:rPr>
          <w:rFonts w:ascii="Times New Roman" w:hAnsi="Times New Roman" w:cs="Times New Roman" w:eastAsia="Times New Roman" w:hint="default"/>
        </w:rPr>
        <w:t>a</w:t>
      </w:r>
      <w:r>
        <w:rPr/>
        <w:t>、智慧交通大数据平台 </w:t>
      </w:r>
      <w:r>
        <w:rPr>
          <w:rFonts w:ascii="Times New Roman" w:hAnsi="Times New Roman" w:cs="Times New Roman" w:eastAsia="Times New Roman" w:hint="default"/>
        </w:rPr>
        <w:t>b</w:t>
      </w:r>
      <w:r>
        <w:rPr/>
        <w:t>、交通驾驶舱决策分析系统 </w:t>
      </w:r>
      <w:r>
        <w:rPr>
          <w:rFonts w:ascii="Times New Roman" w:hAnsi="Times New Roman" w:cs="Times New Roman" w:eastAsia="Times New Roman" w:hint="default"/>
        </w:rPr>
        <w:t>c</w:t>
      </w:r>
      <w:r>
        <w:rPr/>
        <w:t>、交通应急以及指挥平台 </w:t>
      </w:r>
      <w:r>
        <w:rPr>
          <w:rFonts w:ascii="Times New Roman" w:hAnsi="Times New Roman" w:cs="Times New Roman" w:eastAsia="Times New Roman" w:hint="default"/>
        </w:rPr>
        <w:t>d</w:t>
      </w:r>
      <w:r>
        <w:rPr/>
        <w:t>、交通大数据养护系统 </w:t>
      </w:r>
      <w:r>
        <w:rPr>
          <w:rFonts w:ascii="Times New Roman" w:hAnsi="Times New Roman" w:cs="Times New Roman" w:eastAsia="Times New Roman" w:hint="default"/>
        </w:rPr>
        <w:t>e</w:t>
      </w:r>
      <w:r>
        <w:rPr/>
        <w:t>、交通应急指挥系统 </w:t>
      </w:r>
      <w:r>
        <w:rPr>
          <w:rFonts w:ascii="Times New Roman" w:hAnsi="Times New Roman" w:cs="Times New Roman" w:eastAsia="Times New Roman" w:hint="default"/>
        </w:rPr>
        <w:t>B.</w:t>
      </w:r>
      <w:r>
        <w:rPr/>
        <w:t>机场交通大数据：</w:t>
      </w:r>
    </w:p>
    <w:p>
      <w:pPr>
        <w:pStyle w:val="BodyText"/>
        <w:spacing w:line="319" w:lineRule="auto" w:before="16"/>
        <w:ind w:right="0" w:firstLine="380"/>
        <w:jc w:val="left"/>
      </w:pPr>
      <w:r>
        <w:rPr/>
        <w:t>我国民航运输业目前处于快速增长时期，对于生产经营过程有关数据信息的收集、分析和研究重视程度不够，企业的 </w:t>
      </w:r>
      <w:r>
        <w:rPr>
          <w:spacing w:val="-2"/>
        </w:rPr>
        <w:t>经营管理和决策多依赖于经验判断。开展包括运行效率、保障能力、运行容量、业务预测、道路预测等方面的分析研究非常</w:t>
      </w:r>
      <w:r>
        <w:rPr>
          <w:spacing w:val="-66"/>
        </w:rPr>
        <w:t> </w:t>
      </w:r>
      <w:r>
        <w:rPr>
          <w:spacing w:val="-66"/>
        </w:rPr>
      </w:r>
      <w:r>
        <w:rPr/>
        <w:t>重要。</w:t>
      </w:r>
    </w:p>
    <w:p>
      <w:pPr>
        <w:pStyle w:val="BodyText"/>
        <w:spacing w:line="309" w:lineRule="auto" w:before="55"/>
        <w:ind w:right="0" w:firstLine="380"/>
        <w:jc w:val="left"/>
      </w:pPr>
      <w:r>
        <w:rPr/>
        <w:t>针对我国民航机场现有数据存储平台没有集中存储大规模多源异构的机场运营数据的问题以及多源数据管理的问题， 构建面向支撑大型枢纽机场协同决策的大数据平台。统一规划建设面向机场各项业务的操作型数据库（</w:t>
      </w:r>
      <w:r>
        <w:rPr>
          <w:rFonts w:ascii="Times New Roman" w:hAnsi="Times New Roman" w:cs="Times New Roman" w:eastAsia="Times New Roman" w:hint="default"/>
        </w:rPr>
        <w:t>OLTP</w:t>
      </w:r>
      <w:r>
        <w:rPr/>
        <w:t>）和分析型数 据库（</w:t>
      </w:r>
      <w:r>
        <w:rPr>
          <w:rFonts w:ascii="Times New Roman" w:hAnsi="Times New Roman" w:cs="Times New Roman" w:eastAsia="Times New Roman" w:hint="default"/>
        </w:rPr>
        <w:t>OLAP</w:t>
      </w:r>
      <w:r>
        <w:rPr/>
        <w:t>），建立一个高性能、稳定可开放性、可扩展性的数据中心，完成应用系统的数据与决策支持有价值的外部数 </w:t>
      </w:r>
      <w:r>
        <w:rPr>
          <w:spacing w:val="-4"/>
        </w:rPr>
        <w:t>据的集中整合，保证数据一致性、准确性，提供辅助决策的全局数据视图。在此基础上通过数据分析技术，建立高效、易用、</w:t>
      </w:r>
      <w:r>
        <w:rPr>
          <w:spacing w:val="-44"/>
        </w:rPr>
        <w:t> </w:t>
      </w:r>
      <w:r>
        <w:rPr>
          <w:spacing w:val="-44"/>
        </w:rPr>
      </w:r>
      <w:r>
        <w:rPr/>
        <w:t>实用、灵活的面向主题的全方位、多层次的智能决策支持系统，探索性时空分析基于</w:t>
      </w:r>
      <w:r>
        <w:rPr>
          <w:rFonts w:ascii="Times New Roman" w:hAnsi="Times New Roman" w:cs="Times New Roman" w:eastAsia="Times New Roman" w:hint="default"/>
        </w:rPr>
        <w:t>“</w:t>
      </w:r>
      <w:r>
        <w:rPr/>
        <w:t>让数据说话</w:t>
      </w:r>
      <w:r>
        <w:rPr>
          <w:rFonts w:ascii="Times New Roman" w:hAnsi="Times New Roman" w:cs="Times New Roman" w:eastAsia="Times New Roman" w:hint="default"/>
        </w:rPr>
        <w:t>”</w:t>
      </w:r>
      <w:r>
        <w:rPr/>
        <w:t>的理念，尽可能不预先为 </w:t>
      </w:r>
      <w:r>
        <w:rPr>
          <w:spacing w:val="-2"/>
        </w:rPr>
        <w:t>数据结构设置模式，重点通过显示关键性数据和使用简单的指标来得出模式，利用归纳方法提出假设，避免野值或非典型观</w:t>
      </w:r>
      <w:r>
        <w:rPr>
          <w:spacing w:val="-66"/>
        </w:rPr>
        <w:t> </w:t>
      </w:r>
      <w:r>
        <w:rPr>
          <w:spacing w:val="-66"/>
        </w:rPr>
      </w:r>
      <w:r>
        <w:rPr>
          <w:spacing w:val="-2"/>
        </w:rPr>
        <w:t>测值的误导，从而帮助机场在人流监控分析、航班监控分析、货邮监控分析、人员聚集区监控预警、人员分流等方面做出实</w:t>
      </w:r>
      <w:r>
        <w:rPr>
          <w:spacing w:val="-66"/>
        </w:rPr>
        <w:t> </w:t>
      </w:r>
      <w:r>
        <w:rPr>
          <w:spacing w:val="-66"/>
        </w:rPr>
      </w:r>
      <w:r>
        <w:rPr/>
        <w:t>时的分析和判断，提升机场运行效率和旅客满意度。</w:t>
      </w:r>
    </w:p>
    <w:p>
      <w:pPr>
        <w:pStyle w:val="BodyText"/>
        <w:spacing w:line="302" w:lineRule="auto" w:before="62"/>
        <w:ind w:right="251" w:firstLine="380"/>
        <w:jc w:val="left"/>
      </w:pPr>
      <w:r>
        <w:rPr/>
        <w:t>研发内容包括：机场协同决策系统（</w:t>
      </w:r>
      <w:r>
        <w:rPr>
          <w:rFonts w:ascii="Times New Roman" w:hAnsi="Times New Roman" w:cs="Times New Roman" w:eastAsia="Times New Roman" w:hint="default"/>
        </w:rPr>
        <w:t>ACDM</w:t>
      </w:r>
      <w:r>
        <w:rPr/>
        <w:t>）、机场地面综合交通枢纽系统（</w:t>
      </w:r>
      <w:r>
        <w:rPr>
          <w:rFonts w:ascii="Times New Roman" w:hAnsi="Times New Roman" w:cs="Times New Roman" w:eastAsia="Times New Roman" w:hint="default"/>
        </w:rPr>
        <w:t>GTC</w:t>
      </w:r>
      <w:r>
        <w:rPr/>
        <w:t>）、机场贵宾服务、机场旅客服务 指引等。</w:t>
      </w:r>
    </w:p>
    <w:p>
      <w:pPr>
        <w:pStyle w:val="BodyText"/>
        <w:spacing w:line="240" w:lineRule="auto" w:before="70"/>
        <w:ind w:left="732" w:right="0"/>
        <w:jc w:val="left"/>
      </w:pPr>
      <w:r>
        <w:rPr>
          <w:rFonts w:ascii="Times New Roman" w:hAnsi="Times New Roman" w:cs="Times New Roman" w:eastAsia="Times New Roman" w:hint="default"/>
        </w:rPr>
        <w:t>a</w:t>
      </w:r>
      <w:r>
        <w:rPr/>
        <w:t>、</w:t>
      </w:r>
      <w:r>
        <w:rPr>
          <w:spacing w:val="48"/>
        </w:rPr>
        <w:t> </w:t>
      </w:r>
      <w:r>
        <w:rPr/>
        <w:t>机场协同决策系统（</w:t>
      </w:r>
      <w:r>
        <w:rPr>
          <w:rFonts w:ascii="Times New Roman" w:hAnsi="Times New Roman" w:cs="Times New Roman" w:eastAsia="Times New Roman" w:hint="default"/>
        </w:rPr>
        <w:t>ACDM</w:t>
      </w:r>
      <w:r>
        <w:rPr/>
        <w:t>）</w:t>
      </w:r>
    </w:p>
    <w:p>
      <w:pPr>
        <w:pStyle w:val="BodyText"/>
        <w:spacing w:line="240" w:lineRule="auto" w:before="102"/>
        <w:ind w:left="732" w:right="0"/>
        <w:jc w:val="left"/>
      </w:pPr>
      <w:r>
        <w:rPr>
          <w:rFonts w:ascii="Times New Roman" w:hAnsi="Times New Roman" w:cs="Times New Roman" w:eastAsia="Times New Roman" w:hint="default"/>
        </w:rPr>
        <w:t>b</w:t>
      </w:r>
      <w:r>
        <w:rPr/>
        <w:t>、</w:t>
      </w:r>
      <w:r>
        <w:rPr>
          <w:spacing w:val="52"/>
        </w:rPr>
        <w:t> </w:t>
      </w:r>
      <w:r>
        <w:rPr/>
        <w:t>机场地面综合交通枢纽系统（</w:t>
      </w:r>
      <w:r>
        <w:rPr>
          <w:rFonts w:ascii="Times New Roman" w:hAnsi="Times New Roman" w:cs="Times New Roman" w:eastAsia="Times New Roman" w:hint="default"/>
        </w:rPr>
        <w:t>GTC</w:t>
      </w:r>
      <w:r>
        <w:rPr/>
        <w:t>）</w:t>
      </w:r>
    </w:p>
    <w:p>
      <w:pPr>
        <w:pStyle w:val="BodyText"/>
        <w:spacing w:line="240" w:lineRule="auto" w:before="102"/>
        <w:ind w:left="732" w:right="0"/>
        <w:jc w:val="left"/>
      </w:pPr>
      <w:r>
        <w:rPr>
          <w:rFonts w:ascii="Times New Roman" w:hAnsi="Times New Roman" w:cs="Times New Roman" w:eastAsia="Times New Roman" w:hint="default"/>
        </w:rPr>
        <w:t>c</w:t>
      </w:r>
      <w:r>
        <w:rPr/>
        <w:t>、</w:t>
      </w:r>
      <w:r>
        <w:rPr>
          <w:spacing w:val="52"/>
        </w:rPr>
        <w:t> </w:t>
      </w:r>
      <w:r>
        <w:rPr/>
        <w:t>机场贵宾服务</w:t>
      </w:r>
    </w:p>
    <w:p>
      <w:pPr>
        <w:pStyle w:val="BodyText"/>
        <w:spacing w:line="338" w:lineRule="auto" w:before="103"/>
        <w:ind w:left="534" w:right="7200" w:firstLine="198"/>
        <w:jc w:val="left"/>
      </w:pPr>
      <w:r>
        <w:rPr>
          <w:rFonts w:ascii="Times New Roman" w:hAnsi="Times New Roman" w:cs="Times New Roman" w:eastAsia="Times New Roman" w:hint="default"/>
        </w:rPr>
        <w:t>d</w:t>
      </w:r>
      <w:r>
        <w:rPr/>
        <w:t>、</w:t>
      </w:r>
      <w:r>
        <w:rPr>
          <w:spacing w:val="52"/>
        </w:rPr>
        <w:t> </w:t>
      </w:r>
      <w:r>
        <w:rPr/>
        <w:t>机场旅客服务指引等</w:t>
      </w:r>
      <w:r>
        <w:rPr/>
        <w:t> 拟达到目标：</w:t>
      </w:r>
    </w:p>
    <w:p>
      <w:pPr>
        <w:pStyle w:val="BodyText"/>
        <w:spacing w:line="319" w:lineRule="auto" w:before="41"/>
        <w:ind w:right="190" w:firstLine="360"/>
        <w:jc w:val="both"/>
      </w:pPr>
      <w:r>
        <w:rPr>
          <w:spacing w:val="-2"/>
        </w:rPr>
        <w:t>针对地面交通和机场交通大数据形成公司自有研发的自主知识产权的平台级和应用级产品系列，将交通系统所涉及到的</w:t>
      </w:r>
      <w:r>
        <w:rPr/>
        <w:t> </w:t>
      </w:r>
      <w:r>
        <w:rPr>
          <w:spacing w:val="-2"/>
        </w:rPr>
        <w:t>人、车、道路、和环境有机地结合在一起，使其发挥大数据应用价值作用，从而使交通系统平台化、规范化、智能化，更好</w:t>
      </w:r>
      <w:r>
        <w:rPr>
          <w:spacing w:val="-67"/>
        </w:rPr>
        <w:t> </w:t>
      </w:r>
      <w:r>
        <w:rPr>
          <w:spacing w:val="-67"/>
        </w:rPr>
      </w:r>
      <w:r>
        <w:rPr/>
        <w:t>地实现安全、通畅、低公害和耗能少的目的，从而创造更广阔的商机。</w:t>
      </w:r>
    </w:p>
    <w:p>
      <w:pPr>
        <w:pStyle w:val="BodyText"/>
        <w:spacing w:line="357" w:lineRule="auto" w:before="58"/>
        <w:ind w:left="444" w:right="0"/>
        <w:jc w:val="left"/>
      </w:pPr>
      <w:r>
        <w:rPr/>
        <w:t>预计对未来发展影响： </w:t>
      </w:r>
      <w:r>
        <w:rPr>
          <w:spacing w:val="-1"/>
        </w:rPr>
        <w:t>通过对数据在宏观上的融合分析，实现对交通线路的监控、调度、管理甚至应急处置，常常需要地区乃至全国建立统一</w:t>
      </w:r>
    </w:p>
    <w:p>
      <w:pPr>
        <w:pStyle w:val="BodyText"/>
        <w:spacing w:line="224" w:lineRule="exact"/>
        <w:ind w:left="154" w:right="0"/>
        <w:jc w:val="left"/>
      </w:pPr>
      <w:r>
        <w:rPr>
          <w:spacing w:val="-4"/>
        </w:rPr>
        <w:t>的大数据平台，融合各种交通媒介、交通主体终端的信息，大数据促交通信息服务个性化，大数据技术在交通运行管理优化、</w:t>
      </w:r>
    </w:p>
    <w:p>
      <w:pPr>
        <w:pStyle w:val="BodyText"/>
        <w:spacing w:line="240" w:lineRule="auto" w:before="77"/>
        <w:ind w:left="154" w:right="0"/>
        <w:jc w:val="left"/>
      </w:pPr>
      <w:r>
        <w:rPr/>
        <w:t>面向车辆、出行者的智能化服务以及交通应急和安保等方面都将形成巨大市场。</w:t>
      </w:r>
    </w:p>
    <w:p>
      <w:pPr>
        <w:pStyle w:val="BodyText"/>
        <w:spacing w:line="240" w:lineRule="auto" w:before="116"/>
        <w:ind w:left="371" w:right="0"/>
        <w:jc w:val="left"/>
      </w:pPr>
      <w:r>
        <w:rPr/>
        <w:t>（</w:t>
      </w:r>
      <w:r>
        <w:rPr>
          <w:rFonts w:ascii="Times New Roman" w:hAnsi="Times New Roman" w:cs="Times New Roman" w:eastAsia="Times New Roman" w:hint="default"/>
        </w:rPr>
        <w:t>3</w:t>
      </w:r>
      <w:r>
        <w:rPr/>
        <w:t>）热网预测分析评估系统的研发</w:t>
      </w:r>
    </w:p>
    <w:p>
      <w:pPr>
        <w:spacing w:after="0" w:line="240" w:lineRule="auto"/>
        <w:jc w:val="left"/>
        <w:sectPr>
          <w:footerReference w:type="default" r:id="rId15"/>
          <w:pgSz w:w="11910" w:h="16840"/>
          <w:pgMar w:footer="982" w:header="747" w:top="1060" w:bottom="1180" w:left="980" w:right="940"/>
          <w:pgNumType w:start="17"/>
        </w:sectPr>
      </w:pPr>
    </w:p>
    <w:p>
      <w:pPr>
        <w:spacing w:line="240" w:lineRule="auto" w:before="12"/>
        <w:rPr>
          <w:rFonts w:ascii="宋体" w:hAnsi="宋体" w:cs="宋体" w:eastAsia="宋体" w:hint="default"/>
          <w:sz w:val="25"/>
          <w:szCs w:val="25"/>
        </w:rPr>
      </w:pPr>
    </w:p>
    <w:p>
      <w:pPr>
        <w:pStyle w:val="BodyText"/>
        <w:spacing w:line="319" w:lineRule="auto" w:before="44"/>
        <w:ind w:right="191" w:firstLine="290"/>
        <w:jc w:val="both"/>
      </w:pPr>
      <w:r>
        <w:rPr>
          <w:spacing w:val="-1"/>
        </w:rPr>
        <w:t>项目目的：集中供热系统是城市的公用基础设施，是城市现代化进程当中不可或缺的重要部分，也是城市文明进步的象</w:t>
      </w:r>
      <w:r>
        <w:rPr/>
        <w:t> </w:t>
      </w:r>
      <w:r>
        <w:rPr>
          <w:spacing w:val="-2"/>
        </w:rPr>
        <w:t>征。在当前的情况下，一方面要满足的是广大居民基本的供热要求，提高供热的质量和供热的效果，另一方面也要求满足供</w:t>
      </w:r>
      <w:r>
        <w:rPr>
          <w:spacing w:val="-66"/>
        </w:rPr>
        <w:t> </w:t>
      </w:r>
      <w:r>
        <w:rPr>
          <w:spacing w:val="-66"/>
        </w:rPr>
      </w:r>
      <w:r>
        <w:rPr/>
        <w:t>热的低能耗低污染要求，以适应国家节能环保、绿色可持续发展的战略目标。</w:t>
      </w:r>
    </w:p>
    <w:p>
      <w:pPr>
        <w:pStyle w:val="BodyText"/>
        <w:spacing w:line="319" w:lineRule="auto" w:before="55"/>
        <w:ind w:right="0" w:firstLine="290"/>
        <w:jc w:val="left"/>
      </w:pPr>
      <w:r>
        <w:rPr/>
        <w:t>对于供热企业而言，热电联产目前是最优最高效的供热模式，但是随着社会的进步，这种模式也饱受诟病，最主要的原 </w:t>
      </w:r>
      <w:r>
        <w:rPr>
          <w:spacing w:val="-2"/>
        </w:rPr>
        <w:t>因在于热电联产模式下燃煤对环境的污染，近年来全国范围的雾霾天气更增加了人们对环境的担心。另外，随着经济发展和</w:t>
      </w:r>
      <w:r>
        <w:rPr>
          <w:spacing w:val="-66"/>
        </w:rPr>
        <w:t> </w:t>
      </w:r>
      <w:r>
        <w:rPr>
          <w:spacing w:val="-66"/>
        </w:rPr>
      </w:r>
      <w:r>
        <w:rPr>
          <w:spacing w:val="-4"/>
        </w:rPr>
        <w:t>社会进步，现代化大都市不断涌现，百万级人口规模已成为城市发展的常态，城市规模的不断扩张，带来的是供热需求猛增，</w:t>
      </w:r>
      <w:r>
        <w:rPr>
          <w:spacing w:val="-46"/>
        </w:rPr>
        <w:t> </w:t>
      </w:r>
      <w:r>
        <w:rPr>
          <w:spacing w:val="-46"/>
        </w:rPr>
      </w:r>
      <w:r>
        <w:rPr/>
        <w:t>作为城市基础设施的供热系统，寻求高效、安全、节能的发展模式才是供热企业的着力点和关注点。</w:t>
      </w:r>
    </w:p>
    <w:p>
      <w:pPr>
        <w:pStyle w:val="BodyText"/>
        <w:spacing w:line="314" w:lineRule="auto" w:before="56"/>
        <w:ind w:right="188" w:firstLine="290"/>
        <w:jc w:val="both"/>
      </w:pPr>
      <w:r>
        <w:rPr>
          <w:spacing w:val="-1"/>
        </w:rPr>
        <w:t>拟达到目标：供热企业供热面积大，多热源联网供热使得供热管网极其复杂，由于地域广阔，条件艰苦，交通拥堵，调</w:t>
      </w:r>
      <w:r>
        <w:rPr/>
        <w:t> </w:t>
      </w:r>
      <w:r>
        <w:rPr>
          <w:spacing w:val="-2"/>
        </w:rPr>
        <w:t>度、管理、分析、核算、统计等工作困难，非常需要以先进的现代化信息技术实现系统化的管理，实现由传统的以大量宝贵</w:t>
      </w:r>
      <w:r>
        <w:rPr>
          <w:spacing w:val="-70"/>
        </w:rPr>
        <w:t> </w:t>
      </w:r>
      <w:r>
        <w:rPr>
          <w:spacing w:val="-70"/>
        </w:rPr>
      </w:r>
      <w:r>
        <w:rPr>
          <w:spacing w:val="-2"/>
        </w:rPr>
        <w:t>人力工作为中心的管理模式，向以现代化、信息化、系统化为中心的管理模式转变，管理层、决策层所获数据将更加准确和</w:t>
      </w:r>
      <w:r>
        <w:rPr>
          <w:spacing w:val="-66"/>
        </w:rPr>
        <w:t> </w:t>
      </w:r>
      <w:r>
        <w:rPr>
          <w:spacing w:val="-66"/>
        </w:rPr>
      </w:r>
      <w:r>
        <w:rPr>
          <w:spacing w:val="-2"/>
        </w:rPr>
        <w:t>及时，以便更快地制定生产目标和企业未来发展战略，达到高效、节能、减排的目的。近年来信息技术发展迅速，云计算技</w:t>
      </w:r>
      <w:r>
        <w:rPr>
          <w:spacing w:val="-68"/>
        </w:rPr>
        <w:t> </w:t>
      </w:r>
      <w:r>
        <w:rPr>
          <w:spacing w:val="-68"/>
        </w:rPr>
      </w:r>
      <w:r>
        <w:rPr>
          <w:spacing w:val="-2"/>
        </w:rPr>
        <w:t>术已经在众多行业、企业应用，</w:t>
      </w:r>
      <w:r>
        <w:rPr>
          <w:rFonts w:ascii="Times New Roman" w:hAnsi="Times New Roman" w:cs="Times New Roman" w:eastAsia="Times New Roman" w:hint="default"/>
          <w:spacing w:val="-2"/>
        </w:rPr>
        <w:t>“</w:t>
      </w:r>
      <w:r>
        <w:rPr>
          <w:spacing w:val="-2"/>
        </w:rPr>
        <w:t>大数据</w:t>
      </w:r>
      <w:r>
        <w:rPr>
          <w:rFonts w:ascii="Times New Roman" w:hAnsi="Times New Roman" w:cs="Times New Roman" w:eastAsia="Times New Roman" w:hint="default"/>
          <w:spacing w:val="-2"/>
        </w:rPr>
        <w:t>”</w:t>
      </w:r>
      <w:r>
        <w:rPr>
          <w:spacing w:val="-2"/>
        </w:rPr>
        <w:t>逐渐由概念转入到具体实践，移动互联网、社交平台等正在改变企业的运营模式和</w:t>
      </w:r>
      <w:r>
        <w:rPr>
          <w:spacing w:val="-45"/>
        </w:rPr>
        <w:t> </w:t>
      </w:r>
      <w:r>
        <w:rPr>
          <w:spacing w:val="-45"/>
        </w:rPr>
      </w:r>
      <w:r>
        <w:rPr/>
        <w:t>人们的生活方式。</w:t>
      </w:r>
    </w:p>
    <w:p>
      <w:pPr>
        <w:pStyle w:val="BodyText"/>
        <w:spacing w:line="319" w:lineRule="auto" w:before="59"/>
        <w:ind w:left="154" w:right="0" w:firstLine="290"/>
        <w:jc w:val="left"/>
      </w:pPr>
      <w:r>
        <w:rPr/>
        <w:t>预计对未来发展影响：建立一套涵盖热源生产数据、热网管线数据、热力站监控数据、气象数据、供热收费数据、客户 </w:t>
      </w:r>
      <w:r>
        <w:rPr>
          <w:spacing w:val="-4"/>
        </w:rPr>
        <w:t>服务器数据等生产和经营数据，在控制水力平衡的基础上，依托私有云平台的大数据分析功能，对历史数据进行挖掘、整理、</w:t>
      </w:r>
      <w:r>
        <w:rPr>
          <w:spacing w:val="-46"/>
        </w:rPr>
        <w:t> </w:t>
      </w:r>
      <w:r>
        <w:rPr>
          <w:spacing w:val="-46"/>
        </w:rPr>
      </w:r>
      <w:r>
        <w:rPr>
          <w:spacing w:val="-2"/>
        </w:rPr>
        <w:t>分析，并充分使用气象数据作为引导，不断总结、自我学习的热网预测分析评估系统是非常必要的。结合万余户室内温度采</w:t>
      </w:r>
      <w:r>
        <w:rPr>
          <w:spacing w:val="-66"/>
        </w:rPr>
        <w:t> </w:t>
      </w:r>
      <w:r>
        <w:rPr>
          <w:spacing w:val="-66"/>
        </w:rPr>
      </w:r>
      <w:r>
        <w:rPr/>
        <w:t>集点的信息反馈，建立一套随着气象数据变化的供热平衡在线模拟分析和评估，达到“按需供热、按需用热”。</w:t>
      </w:r>
    </w:p>
    <w:p>
      <w:pPr>
        <w:pStyle w:val="BodyText"/>
        <w:spacing w:line="338" w:lineRule="auto" w:before="56"/>
        <w:ind w:left="444" w:right="180" w:hanging="74"/>
        <w:jc w:val="left"/>
      </w:pPr>
      <w:r>
        <w:rPr/>
        <w:t>（</w:t>
      </w:r>
      <w:r>
        <w:rPr>
          <w:rFonts w:ascii="Times New Roman" w:hAnsi="Times New Roman" w:cs="Times New Roman" w:eastAsia="Times New Roman" w:hint="default"/>
        </w:rPr>
        <w:t>4</w:t>
      </w:r>
      <w:r>
        <w:rPr/>
        <w:t>）在线矛盾纠纷多元化解平台 项目目的：矛盾纠纷多元化解一体化网络平台（以下简称</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w:t>
      </w:r>
      <w:r>
        <w:rPr/>
        <w:t>）以让人民群众能感受到公平正义为宗旨，以低成本、</w:t>
      </w:r>
    </w:p>
    <w:p>
      <w:pPr>
        <w:pStyle w:val="BodyText"/>
        <w:spacing w:line="217" w:lineRule="exact"/>
        <w:ind w:left="154" w:right="0"/>
        <w:jc w:val="left"/>
      </w:pPr>
      <w:r>
        <w:rPr/>
        <w:t>高效率化解纠纷为主导，以预防控制纠纷为目标；运用信息化和互联网手段，整合社会化资源，化解社会矛盾，实现社会和</w:t>
      </w:r>
    </w:p>
    <w:p>
      <w:pPr>
        <w:pStyle w:val="BodyText"/>
        <w:spacing w:line="240" w:lineRule="auto" w:before="77"/>
        <w:ind w:left="154" w:right="0"/>
        <w:jc w:val="left"/>
      </w:pPr>
      <w:r>
        <w:rPr/>
        <w:t>谐。</w:t>
      </w:r>
    </w:p>
    <w:p>
      <w:pPr>
        <w:pStyle w:val="BodyText"/>
        <w:spacing w:line="319" w:lineRule="auto" w:before="115"/>
        <w:ind w:left="154" w:right="190" w:firstLine="290"/>
        <w:jc w:val="both"/>
      </w:pPr>
      <w:r>
        <w:rPr>
          <w:spacing w:val="-1"/>
        </w:rPr>
        <w:t>平台基于漏斗模型设计，从法律咨询开始到网上诉讼层层解决用户法律问题，使诉讼纠纷通过在线漏斗不断被过滤和分</w:t>
      </w:r>
      <w:r>
        <w:rPr/>
        <w:t> </w:t>
      </w:r>
      <w:r>
        <w:rPr>
          <w:spacing w:val="-2"/>
        </w:rPr>
        <w:t>流，大幅减少走诉讼程序的比例。平台基于大数据体系实现各种结构化和非结构化数据的对接、存储、管理和分析；基于云</w:t>
      </w:r>
      <w:r>
        <w:rPr>
          <w:spacing w:val="-66"/>
        </w:rPr>
        <w:t> </w:t>
      </w:r>
      <w:r>
        <w:rPr>
          <w:spacing w:val="-66"/>
        </w:rPr>
      </w:r>
      <w:r>
        <w:rPr/>
        <w:t>计算技术实现平台的可扩展性。</w:t>
      </w:r>
    </w:p>
    <w:p>
      <w:pPr>
        <w:pStyle w:val="BodyText"/>
        <w:spacing w:line="314" w:lineRule="auto" w:before="55"/>
        <w:ind w:left="154" w:right="180" w:firstLine="290"/>
        <w:jc w:val="both"/>
      </w:pPr>
      <w:r>
        <w:rPr/>
        <w:t>拟达到目标：平台建设以实现整体平台搭建和完善、各个子系统门户建设与联通、平台稳定运行为目标，从纠纷受理、 </w:t>
      </w:r>
      <w:r>
        <w:rPr>
          <w:spacing w:val="-2"/>
        </w:rPr>
        <w:t>分流、化解、反馈、处理等全过程，实现沟通交流、材料传输、证据保存、卷宗整理、数据分析、信用评级、风险研判、纠</w:t>
      </w:r>
      <w:r>
        <w:rPr>
          <w:spacing w:val="-71"/>
        </w:rPr>
        <w:t> </w:t>
      </w:r>
      <w:r>
        <w:rPr>
          <w:spacing w:val="-71"/>
        </w:rPr>
      </w:r>
      <w:r>
        <w:rPr>
          <w:spacing w:val="-2"/>
        </w:rPr>
        <w:t>纷预警等资源的共建共享，实现纠纷解决全过程的信息全覆盖。通过系统化设计，构建能够实现对平台业务数据和外部数据</w:t>
      </w:r>
      <w:r>
        <w:rPr>
          <w:spacing w:val="-66"/>
        </w:rPr>
        <w:t> </w:t>
      </w:r>
      <w:r>
        <w:rPr>
          <w:spacing w:val="-66"/>
        </w:rPr>
      </w:r>
      <w:r>
        <w:rPr>
          <w:spacing w:val="-2"/>
        </w:rPr>
        <w:t>的整合，满足在线法律咨询、在线预判评估、在线协商、在线调解、在线仲裁、网上诉讼、网上矛盾纠纷化解资源管理、网</w:t>
      </w:r>
      <w:r>
        <w:rPr>
          <w:spacing w:val="-67"/>
        </w:rPr>
        <w:t> </w:t>
      </w:r>
      <w:r>
        <w:rPr>
          <w:spacing w:val="-67"/>
        </w:rPr>
      </w:r>
      <w:r>
        <w:rPr>
          <w:spacing w:val="-2"/>
        </w:rPr>
        <w:t>上矛盾纠纷数据统计分析、各种用户的行为分析、平台功能进化等各个业务需要的矛盾纠纷多元化解一体化网络平台。实现</w:t>
      </w:r>
      <w:r>
        <w:rPr>
          <w:spacing w:val="-66"/>
        </w:rPr>
        <w:t> </w:t>
      </w:r>
      <w:r>
        <w:rPr>
          <w:spacing w:val="-66"/>
        </w:rPr>
      </w:r>
      <w:r>
        <w:rPr>
          <w:spacing w:val="-2"/>
        </w:rPr>
        <w:t>在线咨询、预判评估、在线协商、在线调解、在线仲裁、网上法庭六大子系统的</w:t>
      </w:r>
      <w:r>
        <w:rPr>
          <w:rFonts w:ascii="Times New Roman" w:hAnsi="Times New Roman" w:cs="Times New Roman" w:eastAsia="Times New Roman" w:hint="default"/>
          <w:spacing w:val="-2"/>
        </w:rPr>
        <w:t>“</w:t>
      </w:r>
      <w:r>
        <w:rPr>
          <w:spacing w:val="-2"/>
        </w:rPr>
        <w:t>一站式</w:t>
      </w:r>
      <w:r>
        <w:rPr>
          <w:rFonts w:ascii="Times New Roman" w:hAnsi="Times New Roman" w:cs="Times New Roman" w:eastAsia="Times New Roman" w:hint="default"/>
          <w:spacing w:val="-2"/>
        </w:rPr>
        <w:t>”</w:t>
      </w:r>
      <w:r>
        <w:rPr>
          <w:spacing w:val="-2"/>
        </w:rPr>
        <w:t>服务，促进各类纠纷解决机制的跨</w:t>
      </w:r>
      <w:r>
        <w:rPr>
          <w:spacing w:val="-45"/>
        </w:rPr>
        <w:t> </w:t>
      </w:r>
      <w:r>
        <w:rPr>
          <w:spacing w:val="-45"/>
        </w:rPr>
      </w:r>
      <w:r>
        <w:rPr/>
        <w:t>界融合。</w:t>
      </w:r>
    </w:p>
    <w:p>
      <w:pPr>
        <w:pStyle w:val="BodyText"/>
        <w:spacing w:line="314" w:lineRule="auto" w:before="60"/>
        <w:ind w:left="154" w:right="0" w:firstLine="290"/>
        <w:jc w:val="left"/>
      </w:pPr>
      <w:r>
        <w:rPr/>
        <w:t>预计对未来发展影响：首先，随着互联网的高速发展，基础设施的不断完善，信息技术的不断迭代更新，大数据、云计 </w:t>
      </w:r>
      <w:r>
        <w:rPr>
          <w:spacing w:val="-1"/>
        </w:rPr>
        <w:t>算等技术可以为矛盾纠纷多元化解一体化网络平台建设提供强大的技术支持。其次，域外</w:t>
      </w:r>
      <w:r>
        <w:rPr>
          <w:rFonts w:ascii="Times New Roman" w:hAnsi="Times New Roman" w:cs="Times New Roman" w:eastAsia="Times New Roman" w:hint="default"/>
          <w:spacing w:val="-1"/>
        </w:rPr>
        <w:t>ODR</w:t>
      </w:r>
      <w:r>
        <w:rPr>
          <w:spacing w:val="-1"/>
        </w:rPr>
        <w:t>经过</w:t>
      </w:r>
      <w:r>
        <w:rPr>
          <w:rFonts w:ascii="Times New Roman" w:hAnsi="Times New Roman" w:cs="Times New Roman" w:eastAsia="Times New Roman" w:hint="default"/>
          <w:spacing w:val="-1"/>
        </w:rPr>
        <w:t>20</w:t>
      </w:r>
      <w:r>
        <w:rPr>
          <w:spacing w:val="-1"/>
        </w:rPr>
        <w:t>年的发展，势头迅猛，</w:t>
      </w:r>
      <w:r>
        <w:rPr>
          <w:spacing w:val="-48"/>
        </w:rPr>
        <w:t> </w:t>
      </w:r>
      <w:r>
        <w:rPr>
          <w:spacing w:val="-48"/>
        </w:rPr>
      </w:r>
      <w:r>
        <w:rPr>
          <w:spacing w:val="-2"/>
        </w:rPr>
        <w:t>国内在线平台建设的理论研究逐步深入，都为矛盾纠纷多元化解一体化网络平台建设提供坚实的理论基础。浙江省已经开始</w:t>
      </w:r>
      <w:r>
        <w:rPr>
          <w:spacing w:val="-64"/>
        </w:rPr>
        <w:t> </w:t>
      </w:r>
      <w:r>
        <w:rPr>
          <w:spacing w:val="-64"/>
        </w:rPr>
      </w:r>
      <w:r>
        <w:rPr>
          <w:spacing w:val="-2"/>
        </w:rPr>
        <w:t>了矛盾纠纷多元化解一体化网络平台构建的初步实践，逐步感受到大数据、云计算在资源整合、服务管理上的巨大优势，并</w:t>
      </w:r>
      <w:r>
        <w:rPr>
          <w:spacing w:val="-66"/>
        </w:rPr>
        <w:t> </w:t>
      </w:r>
      <w:r>
        <w:rPr>
          <w:spacing w:val="-66"/>
        </w:rPr>
      </w:r>
      <w:r>
        <w:rPr>
          <w:spacing w:val="-2"/>
        </w:rPr>
        <w:t>准备将信息化技术运用到更多的解纷场景中。随之而来的是，国内将掀起较为广泛的矛盾纠纷多元化解服务实践，这一领域</w:t>
      </w:r>
      <w:r>
        <w:rPr>
          <w:spacing w:val="-66"/>
        </w:rPr>
        <w:t> </w:t>
      </w:r>
      <w:r>
        <w:rPr>
          <w:spacing w:val="-66"/>
        </w:rPr>
      </w:r>
      <w:r>
        <w:rPr/>
        <w:t>前景广阔。因此，我们设想未来</w:t>
      </w:r>
      <w:r>
        <w:rPr>
          <w:rFonts w:ascii="Times New Roman" w:hAnsi="Times New Roman" w:cs="Times New Roman" w:eastAsia="Times New Roman" w:hint="default"/>
        </w:rPr>
        <w:t>ODR</w:t>
      </w:r>
      <w:r>
        <w:rPr/>
        <w:t>机制将成为纠纷解决的主要机制，而非诉讼机制。</w:t>
      </w:r>
    </w:p>
    <w:p>
      <w:pPr>
        <w:pStyle w:val="BodyText"/>
        <w:spacing w:line="338" w:lineRule="auto" w:before="40"/>
        <w:ind w:left="444" w:right="180" w:hanging="74"/>
        <w:jc w:val="left"/>
      </w:pPr>
      <w:r>
        <w:rPr/>
        <w:t>（</w:t>
      </w:r>
      <w:r>
        <w:rPr>
          <w:rFonts w:ascii="Times New Roman" w:hAnsi="Times New Roman" w:cs="Times New Roman" w:eastAsia="Times New Roman" w:hint="default"/>
        </w:rPr>
        <w:t>5</w:t>
      </w:r>
      <w:r>
        <w:rPr/>
        <w:t>）天丝</w:t>
      </w:r>
      <w:r>
        <w:rPr>
          <w:rFonts w:ascii="Times New Roman" w:hAnsi="Times New Roman" w:cs="Times New Roman" w:eastAsia="Times New Roman" w:hint="default"/>
        </w:rPr>
        <w:t>/</w:t>
      </w:r>
      <w:r>
        <w:rPr/>
        <w:t>精梳棉</w:t>
      </w:r>
      <w:r>
        <w:rPr>
          <w:rFonts w:ascii="Times New Roman" w:hAnsi="Times New Roman" w:cs="Times New Roman" w:eastAsia="Times New Roman" w:hint="default"/>
        </w:rPr>
        <w:t>/</w:t>
      </w:r>
      <w:r>
        <w:rPr/>
        <w:t>汉麻多组分混纺竹节纱线的研发 项目目的：天丝被人们称为二十一世纪的</w:t>
      </w:r>
      <w:r>
        <w:rPr>
          <w:rFonts w:ascii="Times New Roman" w:hAnsi="Times New Roman" w:cs="Times New Roman" w:eastAsia="Times New Roman" w:hint="default"/>
        </w:rPr>
        <w:t>“</w:t>
      </w:r>
      <w:r>
        <w:rPr/>
        <w:t>绿色环保纤维</w:t>
      </w:r>
      <w:r>
        <w:rPr>
          <w:rFonts w:ascii="Times New Roman" w:hAnsi="Times New Roman" w:cs="Times New Roman" w:eastAsia="Times New Roman" w:hint="default"/>
        </w:rPr>
        <w:t>”</w:t>
      </w:r>
      <w:r>
        <w:rPr/>
        <w:t>，是一种新型再生纤维素纤维，具有很高的湿强度，光泽好，</w:t>
      </w:r>
    </w:p>
    <w:p>
      <w:pPr>
        <w:pStyle w:val="BodyText"/>
        <w:spacing w:line="217" w:lineRule="exact"/>
        <w:ind w:left="154" w:right="0"/>
        <w:jc w:val="left"/>
      </w:pPr>
      <w:r>
        <w:rPr/>
        <w:t>其织物具有良好的尺寸稳定性，极好悬垂性和滑爽感；有身骨、回弹性好；具有良好的舒适感和皮肤亲和性；可染性好，鲜</w:t>
      </w:r>
    </w:p>
    <w:p>
      <w:pPr>
        <w:pStyle w:val="BodyText"/>
        <w:spacing w:line="309" w:lineRule="auto" w:before="76"/>
        <w:ind w:left="154" w:right="98"/>
        <w:jc w:val="left"/>
      </w:pPr>
      <w:r>
        <w:rPr>
          <w:spacing w:val="-3"/>
        </w:rPr>
        <w:t>艳度极佳，并适合所有纤维素纤维的染整工艺和染料应用；其废弃物可自然降解，绿色环保。汉麻素有</w:t>
      </w:r>
      <w:r>
        <w:rPr>
          <w:rFonts w:ascii="Times New Roman" w:hAnsi="Times New Roman" w:cs="Times New Roman" w:eastAsia="Times New Roman" w:hint="default"/>
          <w:spacing w:val="-3"/>
        </w:rPr>
        <w:t>“</w:t>
      </w:r>
      <w:r>
        <w:rPr>
          <w:spacing w:val="-3"/>
        </w:rPr>
        <w:t>天然纤维之王</w:t>
      </w:r>
      <w:r>
        <w:rPr>
          <w:rFonts w:ascii="Times New Roman" w:hAnsi="Times New Roman" w:cs="Times New Roman" w:eastAsia="Times New Roman" w:hint="default"/>
          <w:spacing w:val="-3"/>
        </w:rPr>
        <w:t>”</w:t>
      </w:r>
      <w:r>
        <w:rPr>
          <w:spacing w:val="-3"/>
        </w:rPr>
        <w:t>美誉，</w:t>
      </w:r>
      <w:r>
        <w:rPr>
          <w:spacing w:val="-78"/>
        </w:rPr>
        <w:t> </w:t>
      </w:r>
      <w:r>
        <w:rPr>
          <w:spacing w:val="-2"/>
        </w:rPr>
        <w:t>由它制成的服装衣饰具有吸湿、透气、舒爽、散热、防霉、抑菌、抗辐射、防紫外线、吸音等多种功能。竹节纱具有粗细分</w:t>
      </w:r>
      <w:r>
        <w:rPr>
          <w:spacing w:val="-69"/>
        </w:rPr>
        <w:t> </w:t>
      </w:r>
      <w:r>
        <w:rPr>
          <w:spacing w:val="-69"/>
        </w:rPr>
      </w:r>
      <w:r>
        <w:rPr>
          <w:spacing w:val="-2"/>
        </w:rPr>
        <w:t>布不均匀的外观，可用于衣着织物，也可用于装饰织物，花型突出，风格别致，立体感强，在各类面料的生产中应用非常广</w:t>
      </w:r>
    </w:p>
    <w:p>
      <w:pPr>
        <w:spacing w:after="0" w:line="309"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9" w:lineRule="auto" w:before="44"/>
        <w:ind w:right="91"/>
        <w:jc w:val="left"/>
      </w:pPr>
      <w:r>
        <w:rPr>
          <w:spacing w:val="-2"/>
        </w:rPr>
        <w:t>泛。竹节纱面料因符合当前的流行趋势而广为流行。该项目利用公司设备，通过预处理、混纺比例的研究、各车间工艺的优</w:t>
      </w:r>
      <w:r>
        <w:rPr>
          <w:spacing w:val="-66"/>
        </w:rPr>
        <w:t> </w:t>
      </w:r>
      <w:r>
        <w:rPr>
          <w:spacing w:val="-66"/>
        </w:rPr>
      </w:r>
      <w:r>
        <w:rPr/>
        <w:t>化，把天丝纤维、精梳棉和汉麻纤维进行混纺，制成具有汉麻纤维和天丝纤维特性的竹节纱纱线，既突出了棉纤维的功能， </w:t>
      </w:r>
      <w:r>
        <w:rPr>
          <w:spacing w:val="-4"/>
        </w:rPr>
        <w:t>又显示了汉麻纤维良好的耐热性、抗紫外线、吸湿透气性、防霉、抑菌及天丝纤维柔软、舒适、光滑凉爽、悬垂性好，耐穿、</w:t>
      </w:r>
      <w:r>
        <w:rPr>
          <w:spacing w:val="-46"/>
        </w:rPr>
        <w:t> </w:t>
      </w:r>
      <w:r>
        <w:rPr>
          <w:spacing w:val="-46"/>
        </w:rPr>
      </w:r>
      <w:r>
        <w:rPr/>
        <w:t>耐用等特点。满足人们对纺织品舒适、保健、高档、时尚的追求。</w:t>
      </w:r>
    </w:p>
    <w:p>
      <w:pPr>
        <w:pStyle w:val="BodyText"/>
        <w:spacing w:line="357" w:lineRule="auto" w:before="56"/>
        <w:ind w:left="444" w:right="160"/>
        <w:jc w:val="left"/>
      </w:pPr>
      <w:r>
        <w:rPr/>
        <w:t>项目进展：该项目经过小试、中试反复研究，已于当年成功完成成品纱线的试纺，各项指标达到试纺要求并批量生产。 拟达到目标：该项目是公司自主研发科技项目，该项目完成后可达到国内先进水平。 </w:t>
      </w:r>
      <w:r>
        <w:rPr>
          <w:spacing w:val="-1"/>
        </w:rPr>
        <w:t>预计对未来发展影响：棉纤维与汉麻纤维、天丝纤维混纺后，麻的刚强与棉的柔软舒适、天丝的柔滑细腻相辅相成，让</w:t>
      </w:r>
    </w:p>
    <w:p>
      <w:pPr>
        <w:pStyle w:val="BodyText"/>
        <w:spacing w:line="224" w:lineRule="exact"/>
        <w:ind w:right="0"/>
        <w:jc w:val="left"/>
      </w:pPr>
      <w:r>
        <w:rPr/>
        <w:t>织物在兼具天丝的柔滑和垂坠感的同时，具有更好的耐用性，耐摩擦、不易撕裂、不易褶皱、不易变形的特点。制成的高档</w:t>
      </w:r>
    </w:p>
    <w:p>
      <w:pPr>
        <w:pStyle w:val="BodyText"/>
        <w:spacing w:line="319" w:lineRule="auto" w:before="76"/>
        <w:ind w:right="191"/>
        <w:jc w:val="both"/>
      </w:pPr>
      <w:r>
        <w:rPr>
          <w:spacing w:val="-2"/>
        </w:rPr>
        <w:t>服饰、床上用品抑菌防霉，除臭耐脏、防紫外线、抗静电、耐洗涤。在纺织加工过程中，几乎不产生任何化学衍生物和化学</w:t>
      </w:r>
      <w:r>
        <w:rPr>
          <w:spacing w:val="-65"/>
        </w:rPr>
        <w:t> </w:t>
      </w:r>
      <w:r>
        <w:rPr>
          <w:spacing w:val="-65"/>
        </w:rPr>
      </w:r>
      <w:r>
        <w:rPr>
          <w:spacing w:val="-2"/>
        </w:rPr>
        <w:t>用品，对人体完全无害，对环境零污染。本项目的研发，在提升产品档次的同时，可充分满足消费者追求天然、环保、保健</w:t>
      </w:r>
      <w:r>
        <w:rPr>
          <w:spacing w:val="-65"/>
        </w:rPr>
        <w:t> </w:t>
      </w:r>
      <w:r>
        <w:rPr>
          <w:spacing w:val="-65"/>
        </w:rPr>
      </w:r>
      <w:r>
        <w:rPr/>
        <w:t>的需求，符合现代人的消费理念，市场前景广阔。</w:t>
      </w:r>
    </w:p>
    <w:p>
      <w:pPr>
        <w:pStyle w:val="BodyText"/>
        <w:spacing w:line="338" w:lineRule="auto" w:before="56"/>
        <w:ind w:left="444" w:right="160" w:hanging="74"/>
        <w:jc w:val="left"/>
      </w:pPr>
      <w:r>
        <w:rPr/>
        <w:t>（</w:t>
      </w:r>
      <w:r>
        <w:rPr>
          <w:rFonts w:ascii="Times New Roman" w:hAnsi="Times New Roman" w:cs="Times New Roman" w:eastAsia="Times New Roman" w:hint="default"/>
        </w:rPr>
        <w:t>6</w:t>
      </w:r>
      <w:r>
        <w:rPr/>
        <w:t>）新型环保浆料的应用 项目目的：环境是人类赖以生存和发展的前提，环境为人类生存和发展提供了必须的条件和资源。随着社会经济发展，</w:t>
      </w:r>
    </w:p>
    <w:p>
      <w:pPr>
        <w:pStyle w:val="BodyText"/>
        <w:spacing w:line="300" w:lineRule="auto" w:before="2"/>
        <w:ind w:right="0"/>
        <w:jc w:val="left"/>
      </w:pPr>
      <w:r>
        <w:rPr>
          <w:spacing w:val="-2"/>
        </w:rPr>
        <w:t>环境保护问题已作为一个重要问题提上议事日程。由于</w:t>
      </w:r>
      <w:r>
        <w:rPr>
          <w:rFonts w:ascii="Times New Roman" w:hAnsi="Times New Roman" w:cs="Times New Roman" w:eastAsia="Times New Roman" w:hint="default"/>
          <w:spacing w:val="-2"/>
        </w:rPr>
        <w:t>PVA</w:t>
      </w:r>
      <w:r>
        <w:rPr>
          <w:spacing w:val="-2"/>
        </w:rPr>
        <w:t>具有粘度稳定、粘附性好、浆膜强度高等优点，纺织企业一直都</w:t>
      </w:r>
      <w:r>
        <w:rPr>
          <w:spacing w:val="-66"/>
        </w:rPr>
        <w:t> </w:t>
      </w:r>
      <w:r>
        <w:rPr>
          <w:spacing w:val="-66"/>
        </w:rPr>
      </w:r>
      <w:r>
        <w:rPr>
          <w:spacing w:val="-4"/>
        </w:rPr>
        <w:t>是把</w:t>
      </w:r>
      <w:r>
        <w:rPr>
          <w:rFonts w:ascii="Times New Roman" w:hAnsi="Times New Roman" w:cs="Times New Roman" w:eastAsia="Times New Roman" w:hint="default"/>
          <w:spacing w:val="-4"/>
        </w:rPr>
        <w:t>PVA</w:t>
      </w:r>
      <w:r>
        <w:rPr>
          <w:spacing w:val="-4"/>
        </w:rPr>
        <w:t>作为主浆料。但是</w:t>
      </w:r>
      <w:r>
        <w:rPr>
          <w:rFonts w:ascii="Times New Roman" w:hAnsi="Times New Roman" w:cs="Times New Roman" w:eastAsia="Times New Roman" w:hint="default"/>
          <w:spacing w:val="-4"/>
        </w:rPr>
        <w:t>PVA</w:t>
      </w:r>
      <w:r>
        <w:rPr>
          <w:spacing w:val="-4"/>
        </w:rPr>
        <w:t>在印染退浆工序时不易退净，不仅会影响到成品面料的手感，同时由于</w:t>
      </w:r>
      <w:r>
        <w:rPr>
          <w:rFonts w:ascii="Times New Roman" w:hAnsi="Times New Roman" w:cs="Times New Roman" w:eastAsia="Times New Roman" w:hint="default"/>
          <w:spacing w:val="-4"/>
        </w:rPr>
        <w:t>PVA</w:t>
      </w:r>
      <w:r>
        <w:rPr>
          <w:spacing w:val="-4"/>
        </w:rPr>
        <w:t>是高分子聚合物，</w:t>
      </w:r>
      <w:r>
        <w:rPr>
          <w:spacing w:val="-37"/>
        </w:rPr>
        <w:t> </w:t>
      </w:r>
      <w:r>
        <w:rPr>
          <w:spacing w:val="-37"/>
        </w:rPr>
      </w:r>
      <w:r>
        <w:rPr/>
        <w:t>生物降解性能很差，退浆废水难降解，容易造成环境污染。</w:t>
      </w:r>
    </w:p>
    <w:p>
      <w:pPr>
        <w:pStyle w:val="BodyText"/>
        <w:spacing w:line="302" w:lineRule="auto" w:before="70"/>
        <w:ind w:right="180" w:firstLine="290"/>
        <w:jc w:val="both"/>
      </w:pPr>
      <w:r>
        <w:rPr/>
        <w:t>项目进展：公司为了大力推广试验无</w:t>
      </w:r>
      <w:r>
        <w:rPr>
          <w:rFonts w:ascii="Times New Roman" w:hAnsi="Times New Roman" w:cs="Times New Roman" w:eastAsia="Times New Roman" w:hint="default"/>
        </w:rPr>
        <w:t>PVA</w:t>
      </w:r>
      <w:r>
        <w:rPr/>
        <w:t>上浆技术，专门成立了攻关组，制定切实可行的试验方案，通过小试、中试、 推广等阶段，取得阶段性成果，现在已经在全部纯棉品种和部分</w:t>
      </w:r>
      <w:r>
        <w:rPr>
          <w:rFonts w:ascii="Times New Roman" w:hAnsi="Times New Roman" w:cs="Times New Roman" w:eastAsia="Times New Roman" w:hint="default"/>
        </w:rPr>
        <w:t>CVC</w:t>
      </w:r>
      <w:r>
        <w:rPr/>
        <w:t>品种上实施。</w:t>
      </w:r>
    </w:p>
    <w:p>
      <w:pPr>
        <w:pStyle w:val="BodyText"/>
        <w:spacing w:line="302" w:lineRule="auto" w:before="49"/>
        <w:ind w:right="210" w:firstLine="290"/>
        <w:jc w:val="both"/>
      </w:pPr>
      <w:r>
        <w:rPr/>
        <w:t>拟达到目标：根据无</w:t>
      </w:r>
      <w:r>
        <w:rPr>
          <w:rFonts w:ascii="Times New Roman" w:hAnsi="Times New Roman" w:cs="Times New Roman" w:eastAsia="Times New Roman" w:hint="default"/>
        </w:rPr>
        <w:t>PVA</w:t>
      </w:r>
      <w:r>
        <w:rPr/>
        <w:t>试验成本初步核算，环保浆料成本与原来</w:t>
      </w:r>
      <w:r>
        <w:rPr>
          <w:rFonts w:ascii="Times New Roman" w:hAnsi="Times New Roman" w:cs="Times New Roman" w:eastAsia="Times New Roman" w:hint="default"/>
        </w:rPr>
        <w:t>PVA</w:t>
      </w:r>
      <w:r>
        <w:rPr/>
        <w:t>浆料相比减少近</w:t>
      </w:r>
      <w:r>
        <w:rPr>
          <w:rFonts w:ascii="Times New Roman" w:hAnsi="Times New Roman" w:cs="Times New Roman" w:eastAsia="Times New Roman" w:hint="default"/>
        </w:rPr>
        <w:t>40%</w:t>
      </w:r>
      <w:r>
        <w:rPr/>
        <w:t>，全年浆料成本可节省资金 约</w:t>
      </w:r>
      <w:r>
        <w:rPr>
          <w:rFonts w:ascii="Times New Roman" w:hAnsi="Times New Roman" w:cs="Times New Roman" w:eastAsia="Times New Roman" w:hint="default"/>
        </w:rPr>
        <w:t>300</w:t>
      </w:r>
      <w:r>
        <w:rPr/>
        <w:t>多万元，在推行绿色环保的同时，为公司增加了效益。该项目完成后可达到国内先进水平。</w:t>
      </w:r>
    </w:p>
    <w:p>
      <w:pPr>
        <w:pStyle w:val="BodyText"/>
        <w:spacing w:line="309" w:lineRule="auto" w:before="50"/>
        <w:ind w:right="190" w:firstLine="290"/>
        <w:jc w:val="both"/>
      </w:pPr>
      <w:r>
        <w:rPr>
          <w:spacing w:val="-1"/>
        </w:rPr>
        <w:t>预计对未来发展影响：随着国家对环保监察力度的加大，一些印染企业已经开始预警并开始寻找对策。开发应用环保浆</w:t>
      </w:r>
      <w:r>
        <w:rPr/>
        <w:t> </w:t>
      </w:r>
      <w:r>
        <w:rPr>
          <w:spacing w:val="-2"/>
        </w:rPr>
        <w:t>料，实现绿色上浆已逐渐成为业内共识，实现无</w:t>
      </w:r>
      <w:r>
        <w:rPr>
          <w:rFonts w:ascii="Times New Roman" w:hAnsi="Times New Roman" w:cs="Times New Roman" w:eastAsia="Times New Roman" w:hint="default"/>
          <w:spacing w:val="-2"/>
        </w:rPr>
        <w:t>PVA</w:t>
      </w:r>
      <w:r>
        <w:rPr>
          <w:spacing w:val="-2"/>
        </w:rPr>
        <w:t>绿色环保上浆是大势所趋，为此，我们公司将加大无</w:t>
      </w:r>
      <w:r>
        <w:rPr>
          <w:rFonts w:ascii="Times New Roman" w:hAnsi="Times New Roman" w:cs="Times New Roman" w:eastAsia="Times New Roman" w:hint="default"/>
          <w:spacing w:val="-2"/>
        </w:rPr>
        <w:t>PVA</w:t>
      </w:r>
      <w:r>
        <w:rPr>
          <w:spacing w:val="-2"/>
        </w:rPr>
        <w:t>环保上浆应用</w:t>
      </w:r>
      <w:r>
        <w:rPr>
          <w:spacing w:val="-66"/>
        </w:rPr>
        <w:t> </w:t>
      </w:r>
      <w:r>
        <w:rPr/>
        <w:t>开发力度，扩大推广范围，降低生产成本，增加公司效益。</w:t>
      </w:r>
    </w:p>
    <w:p>
      <w:pPr>
        <w:pStyle w:val="BodyText"/>
        <w:spacing w:line="338" w:lineRule="auto" w:before="64"/>
        <w:ind w:left="444" w:right="0"/>
        <w:jc w:val="left"/>
      </w:pPr>
      <w:r>
        <w:rPr/>
        <w:t>（</w:t>
      </w:r>
      <w:r>
        <w:rPr>
          <w:rFonts w:ascii="Times New Roman" w:hAnsi="Times New Roman" w:cs="Times New Roman" w:eastAsia="Times New Roman" w:hint="default"/>
        </w:rPr>
        <w:t>7</w:t>
      </w:r>
      <w:r>
        <w:rPr/>
        <w:t>）织造智能制造系统软件开发 </w:t>
      </w:r>
      <w:r>
        <w:rPr>
          <w:spacing w:val="-2"/>
        </w:rPr>
        <w:t>项目目的：当前，国家正在大力推进</w:t>
      </w:r>
      <w:r>
        <w:rPr>
          <w:rFonts w:ascii="Times New Roman" w:hAnsi="Times New Roman" w:cs="Times New Roman" w:eastAsia="Times New Roman" w:hint="default"/>
          <w:spacing w:val="-2"/>
        </w:rPr>
        <w:t>“</w:t>
      </w:r>
      <w:r>
        <w:rPr>
          <w:spacing w:val="-2"/>
        </w:rPr>
        <w:t>中国制造</w:t>
      </w:r>
      <w:r>
        <w:rPr>
          <w:rFonts w:ascii="Times New Roman" w:hAnsi="Times New Roman" w:cs="Times New Roman" w:eastAsia="Times New Roman" w:hint="default"/>
          <w:spacing w:val="-2"/>
        </w:rPr>
        <w:t>2025”</w:t>
      </w:r>
      <w:r>
        <w:rPr>
          <w:spacing w:val="-2"/>
        </w:rPr>
        <w:t>和</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行动计划，公司迎来软件业务做大做强、纺织业务转型</w:t>
      </w:r>
    </w:p>
    <w:p>
      <w:pPr>
        <w:pStyle w:val="BodyText"/>
        <w:spacing w:line="217" w:lineRule="exact"/>
        <w:ind w:right="0"/>
        <w:jc w:val="left"/>
      </w:pPr>
      <w:r>
        <w:rPr/>
        <w:t>升级的重大机遇。新一代信息技术的普及和应用，给软件产业带来广阔的发展空间，大力实施网络强国战略、国家大数据战</w:t>
      </w:r>
    </w:p>
    <w:p>
      <w:pPr>
        <w:pStyle w:val="BodyText"/>
        <w:spacing w:line="309" w:lineRule="auto" w:before="76"/>
        <w:ind w:right="188"/>
        <w:jc w:val="both"/>
      </w:pPr>
      <w:r>
        <w:rPr/>
        <w:t>略、</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行动计划和</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，以及智慧城市和金融行业</w:t>
      </w:r>
      <w:r>
        <w:rPr>
          <w:rFonts w:ascii="Times New Roman" w:hAnsi="Times New Roman" w:cs="Times New Roman" w:eastAsia="Times New Roman" w:hint="default"/>
        </w:rPr>
        <w:t>IT</w:t>
      </w:r>
      <w:r>
        <w:rPr/>
        <w:t>向云架构转型，电力行业的数字化，政府和企业对 </w:t>
      </w:r>
      <w:r>
        <w:rPr>
          <w:spacing w:val="-2"/>
        </w:rPr>
        <w:t>云计算服务的需求等，都是重要的战略机会。深化工业化、信息化</w:t>
      </w:r>
      <w:r>
        <w:rPr>
          <w:rFonts w:ascii="Times New Roman" w:hAnsi="Times New Roman" w:cs="Times New Roman" w:eastAsia="Times New Roman" w:hint="default"/>
          <w:spacing w:val="-2"/>
        </w:rPr>
        <w:t>“</w:t>
      </w:r>
      <w:r>
        <w:rPr>
          <w:spacing w:val="-2"/>
        </w:rPr>
        <w:t>两化</w:t>
      </w:r>
      <w:r>
        <w:rPr>
          <w:rFonts w:ascii="Times New Roman" w:hAnsi="Times New Roman" w:cs="Times New Roman" w:eastAsia="Times New Roman" w:hint="default"/>
          <w:spacing w:val="-2"/>
        </w:rPr>
        <w:t>”</w:t>
      </w:r>
      <w:r>
        <w:rPr>
          <w:spacing w:val="-2"/>
        </w:rPr>
        <w:t>融合，积极推进纺织智能制造项目，对现有纺纱织</w:t>
      </w:r>
      <w:r>
        <w:rPr>
          <w:spacing w:val="-43"/>
        </w:rPr>
        <w:t> </w:t>
      </w:r>
      <w:r>
        <w:rPr>
          <w:spacing w:val="-43"/>
        </w:rPr>
      </w:r>
      <w:r>
        <w:rPr>
          <w:spacing w:val="-2"/>
        </w:rPr>
        <w:t>造生产线进行智能化、信息化、自动化改造，实现智能生产、智能物流、智能节能、智能运营、智能管理，提高纺纱织造的</w:t>
      </w:r>
      <w:r>
        <w:rPr>
          <w:spacing w:val="-67"/>
        </w:rPr>
        <w:t> </w:t>
      </w:r>
      <w:r>
        <w:rPr>
          <w:spacing w:val="-67"/>
        </w:rPr>
      </w:r>
      <w:r>
        <w:rPr>
          <w:spacing w:val="-2"/>
        </w:rPr>
        <w:t>高端化、智能化、精细化、绿色化水平。在这一形势下，公司提出了在</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期间建设智能制造项目的计划，以深化纺织</w:t>
      </w:r>
      <w:r>
        <w:rPr>
          <w:spacing w:val="-45"/>
        </w:rPr>
        <w:t> </w:t>
      </w:r>
      <w:r>
        <w:rPr>
          <w:spacing w:val="-45"/>
        </w:rPr>
      </w:r>
      <w:r>
        <w:rPr>
          <w:spacing w:val="-2"/>
        </w:rPr>
        <w:t>业主两化融合，加快向绿色低碳、数字化、智能化和柔性化的方向发展，加大用现代信息技术改造提升纺织主业的力度，推</w:t>
      </w:r>
      <w:r>
        <w:rPr>
          <w:spacing w:val="-66"/>
        </w:rPr>
        <w:t> </w:t>
      </w:r>
      <w:r>
        <w:rPr>
          <w:spacing w:val="-66"/>
        </w:rPr>
      </w:r>
      <w:r>
        <w:rPr>
          <w:spacing w:val="-2"/>
        </w:rPr>
        <w:t>进工业化、信息化在纺织主业上的深度融合；在生产上，提高生产线的网络化、数字化、智能化水平，推进生产流程数控化</w:t>
      </w:r>
      <w:r>
        <w:rPr>
          <w:spacing w:val="-68"/>
        </w:rPr>
        <w:t> </w:t>
      </w:r>
      <w:r>
        <w:rPr>
          <w:spacing w:val="-68"/>
        </w:rPr>
      </w:r>
      <w:r>
        <w:rPr/>
        <w:t>运行、设备和工艺参数在线监控和工艺数据库管理，实现智能化、柔性化生产。</w:t>
      </w:r>
    </w:p>
    <w:p>
      <w:pPr>
        <w:pStyle w:val="BodyText"/>
        <w:spacing w:line="357" w:lineRule="auto" w:before="65"/>
        <w:ind w:left="444" w:right="4480"/>
        <w:jc w:val="left"/>
      </w:pPr>
      <w:r>
        <w:rPr/>
        <w:t>项目进展： 该项目目前已完成基础设施建设，数据采集系统正在完善改进。</w:t>
      </w:r>
    </w:p>
    <w:p>
      <w:pPr>
        <w:pStyle w:val="BodyText"/>
        <w:spacing w:line="302" w:lineRule="auto" w:before="26"/>
        <w:ind w:right="191" w:firstLine="290"/>
        <w:jc w:val="both"/>
      </w:pPr>
      <w:r>
        <w:rPr>
          <w:spacing w:val="-1"/>
        </w:rPr>
        <w:t>拟达到目标：本项目节能环保，预计项目完成后制造周期缩短</w:t>
      </w:r>
      <w:r>
        <w:rPr>
          <w:rFonts w:ascii="Times New Roman" w:hAnsi="Times New Roman" w:cs="Times New Roman" w:eastAsia="Times New Roman" w:hint="default"/>
          <w:spacing w:val="-1"/>
        </w:rPr>
        <w:t>10%</w:t>
      </w:r>
      <w:r>
        <w:rPr>
          <w:spacing w:val="-1"/>
        </w:rPr>
        <w:t>，整体劳动率提升</w:t>
      </w:r>
      <w:r>
        <w:rPr>
          <w:rFonts w:ascii="Times New Roman" w:hAnsi="Times New Roman" w:cs="Times New Roman" w:eastAsia="Times New Roman" w:hint="default"/>
          <w:spacing w:val="-1"/>
        </w:rPr>
        <w:t>8%</w:t>
      </w:r>
      <w:r>
        <w:rPr>
          <w:spacing w:val="-1"/>
        </w:rPr>
        <w:t>，回款时间缩短，节省电能降低</w:t>
      </w:r>
      <w:r>
        <w:rPr/>
        <w:t> 能耗。该项目完成后可达到国内领先水平。</w:t>
      </w:r>
    </w:p>
    <w:p>
      <w:pPr>
        <w:pStyle w:val="BodyText"/>
        <w:spacing w:line="357" w:lineRule="auto" w:before="70"/>
        <w:ind w:left="444" w:right="0"/>
        <w:jc w:val="left"/>
      </w:pPr>
      <w:r>
        <w:rPr/>
        <w:t>预计对未来发展影响： </w:t>
      </w:r>
      <w:r>
        <w:rPr>
          <w:spacing w:val="-1"/>
        </w:rPr>
        <w:t>本项目将深化纺织主业两化融合，加快向绿色低碳、数字化、智能化和柔性化的方向发展，加大用现代信息技术改造提</w:t>
      </w:r>
    </w:p>
    <w:p>
      <w:pPr>
        <w:pStyle w:val="BodyText"/>
        <w:spacing w:line="224" w:lineRule="exact"/>
        <w:ind w:right="0"/>
        <w:jc w:val="left"/>
      </w:pPr>
      <w:r>
        <w:rPr>
          <w:spacing w:val="-4"/>
        </w:rPr>
        <w:t>升纺织主业的力度，推进工业化、信息化在纺织主业上的深度融合；在生产上，提高生产线的网络化、数字化、智能化水平，</w:t>
      </w:r>
    </w:p>
    <w:p>
      <w:pPr>
        <w:pStyle w:val="BodyText"/>
        <w:spacing w:line="357" w:lineRule="auto" w:before="77"/>
        <w:ind w:right="1891"/>
        <w:jc w:val="left"/>
      </w:pPr>
      <w:r>
        <w:rPr/>
        <w:t>推进生产流程数控化运行、设备和工艺参数在线监控和工艺数据库管理，实现智能化、柔性化生产。 公司研发投入情况</w:t>
      </w:r>
    </w:p>
    <w:p>
      <w:pPr>
        <w:spacing w:after="0" w:line="357" w:lineRule="auto"/>
        <w:jc w:val="left"/>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203,972,798.74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184,448,811.71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52,762,453.99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50,689,798.97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w:t>
            </w:r>
          </w:p>
        </w:tc>
      </w:tr>
    </w:tbl>
    <w:p>
      <w:pPr>
        <w:pStyle w:val="BodyText"/>
        <w:spacing w:line="240" w:lineRule="auto" w:before="51"/>
        <w:ind w:left="154" w:right="141"/>
        <w:jc w:val="left"/>
      </w:pPr>
      <w:r>
        <w:rPr/>
        <w:t>研发投入总额占营业收入的比重较上年发生显著变化的原因</w:t>
      </w:r>
    </w:p>
    <w:p>
      <w:pPr>
        <w:pStyle w:val="BodyText"/>
        <w:spacing w:line="338" w:lineRule="auto" w:before="117"/>
        <w:ind w:left="154"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37"/>
        <w:gridCol w:w="2404"/>
        <w:gridCol w:w="2393"/>
        <w:gridCol w:w="1824"/>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12,378,280,759.71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12,149,735,325.39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11,995,492,565.79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11,713,158,286.78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382,788,193.92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436,577,038.61</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-12.32%</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44,119,627.09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8,871,229.08</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397.33%</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314,653,389.36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310,668,394.45</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-270,533,762.27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-301,797,165.37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3,497,651,085.99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4,693,597,985.66</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-25.48%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4,201,461,129.11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3,926,814,951.77</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6.99%</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-703,810,043.12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766,783,033.89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-191.79%</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-591,659,409.33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901,770,551.79</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-165.61%</w:t>
            </w:r>
          </w:p>
        </w:tc>
      </w:tr>
    </w:tbl>
    <w:p>
      <w:pPr>
        <w:pStyle w:val="BodyText"/>
        <w:spacing w:line="240" w:lineRule="auto" w:before="51"/>
        <w:ind w:left="154" w:right="141"/>
        <w:jc w:val="left"/>
      </w:pPr>
      <w:r>
        <w:rPr/>
        <w:t>相关数据同比发生重大变动的主要影响因素说明</w:t>
      </w:r>
    </w:p>
    <w:p>
      <w:pPr>
        <w:pStyle w:val="BodyText"/>
        <w:spacing w:line="338" w:lineRule="auto" w:before="117"/>
        <w:ind w:left="514" w:right="14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投资活动现金流入小计较去年同期增加</w:t>
      </w:r>
      <w:r>
        <w:rPr>
          <w:rFonts w:ascii="Times New Roman" w:hAnsi="Times New Roman" w:cs="Times New Roman" w:eastAsia="Times New Roman" w:hint="default"/>
          <w:spacing w:val="-1"/>
        </w:rPr>
        <w:t>397.33%</w:t>
      </w:r>
      <w:r>
        <w:rPr>
          <w:spacing w:val="-1"/>
        </w:rPr>
        <w:t>，主要系本期处置交通银行股权取得投资收益，以及处置搬迁企业设备</w:t>
      </w:r>
    </w:p>
    <w:p>
      <w:pPr>
        <w:pStyle w:val="BodyText"/>
        <w:spacing w:line="217" w:lineRule="exact"/>
        <w:ind w:left="154" w:right="141"/>
        <w:jc w:val="left"/>
      </w:pPr>
      <w:r>
        <w:rPr/>
        <w:t>收回现金同比增加所致。</w:t>
      </w:r>
    </w:p>
    <w:p>
      <w:pPr>
        <w:pStyle w:val="BodyText"/>
        <w:spacing w:line="300" w:lineRule="auto" w:before="76"/>
        <w:ind w:left="514" w:right="1205"/>
        <w:jc w:val="left"/>
      </w:pPr>
      <w:r>
        <w:rPr/>
        <w:t>筹资活动产生的现金流量净额较去年同期减少</w:t>
      </w:r>
      <w:r>
        <w:rPr>
          <w:rFonts w:ascii="Times New Roman" w:hAnsi="Times New Roman" w:cs="Times New Roman" w:eastAsia="Times New Roman" w:hint="default"/>
        </w:rPr>
        <w:t>191.79%</w:t>
      </w:r>
      <w:r>
        <w:rPr/>
        <w:t>，主要系本期取得借款收到的现金同比减少所致。 现金及现金等价物净增加额较去年同期减少</w:t>
      </w:r>
      <w:r>
        <w:rPr>
          <w:rFonts w:ascii="Times New Roman" w:hAnsi="Times New Roman" w:cs="Times New Roman" w:eastAsia="Times New Roman" w:hint="default"/>
        </w:rPr>
        <w:t>165.61%</w:t>
      </w:r>
      <w:r>
        <w:rPr/>
        <w:t>，主要系本期取得借款收到的现金同比减少所致。</w:t>
      </w:r>
    </w:p>
    <w:p>
      <w:pPr>
        <w:pStyle w:val="BodyText"/>
        <w:spacing w:line="240" w:lineRule="auto" w:before="53"/>
        <w:ind w:left="154" w:right="141"/>
        <w:jc w:val="left"/>
      </w:pPr>
      <w:r>
        <w:rPr/>
        <w:t>报告期内公司经营活动产生的现金净流量与本年度净利润存在重大差异的原因说明</w:t>
      </w:r>
    </w:p>
    <w:p>
      <w:pPr>
        <w:pStyle w:val="BodyText"/>
        <w:spacing w:line="240" w:lineRule="auto" w:before="117"/>
        <w:ind w:left="154" w:right="141"/>
        <w:jc w:val="left"/>
      </w:pPr>
      <w:r>
        <w:rPr/>
        <w:t>□ 适用 √ 不适用</w:t>
      </w:r>
    </w:p>
    <w:p>
      <w:pPr>
        <w:spacing w:after="0" w:line="240" w:lineRule="auto"/>
        <w:jc w:val="left"/>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 适用 □ 不适用</w:t>
      </w:r>
    </w:p>
    <w:p>
      <w:pPr>
        <w:pStyle w:val="BodyText"/>
        <w:spacing w:line="240" w:lineRule="auto" w:before="116"/>
        <w:ind w:left="0" w:right="19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80"/>
        <w:gridCol w:w="1260"/>
        <w:gridCol w:w="928"/>
        <w:gridCol w:w="4112"/>
        <w:gridCol w:w="2340"/>
      </w:tblGrid>
      <w:tr>
        <w:trPr>
          <w:trHeight w:val="161"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9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73" w:right="113" w:hanging="90"/>
              <w:jc w:val="left"/>
              <w:rPr>
                <w:rFonts w:ascii="宋体" w:hAnsi="宋体" w:cs="宋体" w:eastAsia="宋体" w:hint="default"/>
                <w:sz w:val="18"/>
                <w:szCs w:val="18"/>
              </w:rPr>
            </w:pPr>
            <w:r>
              <w:rPr>
                <w:rFonts w:ascii="宋体" w:hAnsi="宋体" w:cs="宋体" w:eastAsia="宋体" w:hint="default"/>
                <w:sz w:val="18"/>
                <w:szCs w:val="18"/>
              </w:rPr>
              <w:t>占利润总 额比例</w:t>
            </w:r>
          </w:p>
        </w:tc>
        <w:tc>
          <w:tcPr>
            <w:tcW w:w="411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4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8" w:type="dxa"/>
            <w:vMerge/>
            <w:tcBorders>
              <w:left w:val="single" w:sz="4" w:space="0" w:color="000000"/>
              <w:right w:val="single" w:sz="4" w:space="0" w:color="000000"/>
            </w:tcBorders>
            <w:shd w:val="clear" w:color="auto" w:fill="D3D3D3"/>
          </w:tcPr>
          <w:p>
            <w:pPr/>
          </w:p>
        </w:tc>
        <w:tc>
          <w:tcPr>
            <w:tcW w:w="41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29"/>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4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928" w:type="dxa"/>
            <w:vMerge/>
            <w:tcBorders>
              <w:left w:val="single" w:sz="4" w:space="0" w:color="000000"/>
              <w:bottom w:val="single" w:sz="4" w:space="0" w:color="000000"/>
              <w:right w:val="single" w:sz="4" w:space="0" w:color="000000"/>
            </w:tcBorders>
            <w:shd w:val="clear" w:color="auto" w:fill="D3D3D3"/>
          </w:tcPr>
          <w:p>
            <w:pPr/>
          </w:p>
        </w:tc>
        <w:tc>
          <w:tcPr>
            <w:tcW w:w="411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4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73"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16,811,307.58</w:t>
            </w:r>
          </w:p>
        </w:tc>
        <w:tc>
          <w:tcPr>
            <w:tcW w:w="928" w:type="dxa"/>
            <w:vMerge w:val="restart"/>
            <w:tcBorders>
              <w:top w:val="single" w:sz="4" w:space="0" w:color="000000"/>
              <w:left w:val="single" w:sz="4" w:space="0" w:color="000000"/>
              <w:right w:val="single" w:sz="13"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4.84%</w:t>
            </w:r>
          </w:p>
        </w:tc>
        <w:tc>
          <w:tcPr>
            <w:tcW w:w="4112" w:type="dxa"/>
            <w:vMerge w:val="restart"/>
            <w:tcBorders>
              <w:top w:val="single" w:sz="4" w:space="0" w:color="000000"/>
              <w:left w:val="single" w:sz="4" w:space="0" w:color="000000"/>
              <w:right w:val="single" w:sz="4" w:space="0" w:color="000000"/>
            </w:tcBorders>
            <w:shd w:val="clear" w:color="auto" w:fill="C7EDCC"/>
          </w:tcPr>
          <w:p>
            <w:pPr>
              <w:pStyle w:val="TableParagraph"/>
              <w:spacing w:line="300" w:lineRule="auto" w:before="51"/>
              <w:ind w:left="-5" w:right="23"/>
              <w:jc w:val="both"/>
              <w:rPr>
                <w:rFonts w:ascii="宋体" w:hAnsi="宋体" w:cs="宋体" w:eastAsia="宋体" w:hint="default"/>
                <w:sz w:val="18"/>
                <w:szCs w:val="18"/>
              </w:rPr>
            </w:pPr>
            <w:r>
              <w:rPr>
                <w:rFonts w:ascii="宋体" w:hAnsi="宋体" w:cs="宋体" w:eastAsia="宋体" w:hint="default"/>
                <w:sz w:val="18"/>
                <w:szCs w:val="18"/>
              </w:rPr>
              <w:t>交通银行、河北银行分红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4,124,352.15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元；按权益法 核算的长期股权投资收益</w:t>
            </w:r>
            <w:r>
              <w:rPr>
                <w:rFonts w:ascii="Times New Roman" w:hAnsi="Times New Roman" w:cs="Times New Roman" w:eastAsia="Times New Roman" w:hint="default"/>
                <w:sz w:val="18"/>
                <w:szCs w:val="18"/>
              </w:rPr>
              <w:t>-801,983.95</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元；处置交通银</w:t>
            </w:r>
            <w:r>
              <w:rPr>
                <w:rFonts w:ascii="宋体" w:hAnsi="宋体" w:cs="宋体" w:eastAsia="宋体" w:hint="default"/>
                <w:sz w:val="18"/>
                <w:szCs w:val="18"/>
              </w:rPr>
              <w:t> 行股权</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13,876,459.11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元；处置郑州郑热股权</w:t>
            </w:r>
          </w:p>
          <w:p>
            <w:pPr>
              <w:pStyle w:val="TableParagraph"/>
              <w:spacing w:line="240" w:lineRule="auto" w:before="14"/>
              <w:ind w:left="-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-387,519.73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340"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河北银行分红及按权益法核 算的长期股权投资收益具有 </w:t>
            </w:r>
            <w:r>
              <w:rPr>
                <w:rFonts w:ascii="宋体" w:hAnsi="宋体" w:cs="宋体" w:eastAsia="宋体" w:hint="default"/>
                <w:spacing w:val="-5"/>
                <w:sz w:val="18"/>
                <w:szCs w:val="18"/>
              </w:rPr>
              <w:t>可持续性；处置股权取得的投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资收益不具有可持续性。</w:t>
            </w:r>
          </w:p>
        </w:tc>
      </w:tr>
      <w:tr>
        <w:trPr>
          <w:trHeight w:val="391"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60" w:type="dxa"/>
            <w:vMerge/>
            <w:tcBorders>
              <w:left w:val="single" w:sz="10" w:space="0" w:color="D3D3D3"/>
              <w:right w:val="single" w:sz="4" w:space="0" w:color="000000"/>
            </w:tcBorders>
          </w:tcPr>
          <w:p>
            <w:pPr/>
          </w:p>
        </w:tc>
        <w:tc>
          <w:tcPr>
            <w:tcW w:w="928" w:type="dxa"/>
            <w:vMerge/>
            <w:tcBorders>
              <w:left w:val="single" w:sz="4" w:space="0" w:color="000000"/>
              <w:right w:val="single" w:sz="13" w:space="0" w:color="C7EDCC"/>
            </w:tcBorders>
          </w:tcPr>
          <w:p>
            <w:pPr/>
          </w:p>
        </w:tc>
        <w:tc>
          <w:tcPr>
            <w:tcW w:w="4112" w:type="dxa"/>
            <w:vMerge/>
            <w:tcBorders>
              <w:left w:val="single" w:sz="4" w:space="0" w:color="000000"/>
              <w:right w:val="single" w:sz="4" w:space="0" w:color="000000"/>
            </w:tcBorders>
            <w:shd w:val="clear" w:color="auto" w:fill="C7EDCC"/>
          </w:tcPr>
          <w:p>
            <w:pPr/>
          </w:p>
        </w:tc>
        <w:tc>
          <w:tcPr>
            <w:tcW w:w="2340" w:type="dxa"/>
            <w:vMerge/>
            <w:tcBorders>
              <w:left w:val="single" w:sz="4" w:space="0" w:color="000000"/>
              <w:right w:val="single" w:sz="4" w:space="0" w:color="000000"/>
            </w:tcBorders>
            <w:shd w:val="clear" w:color="auto" w:fill="C7EDCC"/>
          </w:tcPr>
          <w:p>
            <w:pPr/>
          </w:p>
        </w:tc>
      </w:tr>
      <w:tr>
        <w:trPr>
          <w:trHeight w:val="474"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10" w:space="0" w:color="D3D3D3"/>
              <w:bottom w:val="single" w:sz="4" w:space="0" w:color="000000"/>
              <w:right w:val="single" w:sz="4" w:space="0" w:color="000000"/>
            </w:tcBorders>
          </w:tcPr>
          <w:p>
            <w:pPr/>
          </w:p>
        </w:tc>
        <w:tc>
          <w:tcPr>
            <w:tcW w:w="928" w:type="dxa"/>
            <w:vMerge/>
            <w:tcBorders>
              <w:left w:val="single" w:sz="4" w:space="0" w:color="000000"/>
              <w:bottom w:val="single" w:sz="4" w:space="0" w:color="000000"/>
              <w:right w:val="single" w:sz="13" w:space="0" w:color="C7EDCC"/>
            </w:tcBorders>
          </w:tcPr>
          <w:p>
            <w:pPr/>
          </w:p>
        </w:tc>
        <w:tc>
          <w:tcPr>
            <w:tcW w:w="4112" w:type="dxa"/>
            <w:vMerge/>
            <w:tcBorders>
              <w:left w:val="single" w:sz="4" w:space="0" w:color="000000"/>
              <w:bottom w:val="single" w:sz="4" w:space="0" w:color="000000"/>
              <w:right w:val="single" w:sz="4" w:space="0" w:color="000000"/>
            </w:tcBorders>
            <w:shd w:val="clear" w:color="auto" w:fill="C7EDCC"/>
          </w:tcPr>
          <w:p>
            <w:pPr/>
          </w:p>
        </w:tc>
        <w:tc>
          <w:tcPr>
            <w:tcW w:w="2340" w:type="dxa"/>
            <w:vMerge/>
            <w:tcBorders>
              <w:left w:val="single" w:sz="4" w:space="0" w:color="000000"/>
              <w:bottom w:val="single" w:sz="4" w:space="0" w:color="000000"/>
              <w:right w:val="single" w:sz="4" w:space="0" w:color="000000"/>
            </w:tcBorders>
            <w:shd w:val="clear" w:color="auto" w:fill="C7EDCC"/>
          </w:tcPr>
          <w:p>
            <w:pPr/>
          </w:p>
        </w:tc>
      </w:tr>
      <w:tr>
        <w:trPr>
          <w:trHeight w:val="473"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274,739,084.21</w:t>
            </w:r>
          </w:p>
        </w:tc>
        <w:tc>
          <w:tcPr>
            <w:tcW w:w="928" w:type="dxa"/>
            <w:vMerge w:val="restart"/>
            <w:tcBorders>
              <w:top w:val="single" w:sz="4" w:space="0" w:color="000000"/>
              <w:left w:val="single" w:sz="4" w:space="0" w:color="000000"/>
              <w:right w:val="single" w:sz="13"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79.07%</w:t>
            </w:r>
          </w:p>
        </w:tc>
        <w:tc>
          <w:tcPr>
            <w:tcW w:w="4112"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坏账损失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34,405,910.27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元；存货跌价损失</w:t>
            </w:r>
          </w:p>
          <w:p>
            <w:pPr>
              <w:pStyle w:val="TableParagraph"/>
              <w:spacing w:line="240" w:lineRule="auto" w:before="6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174,126,460.36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元；可供出售金融资产减值损失</w:t>
            </w:r>
          </w:p>
          <w:p>
            <w:pPr>
              <w:pStyle w:val="TableParagraph"/>
              <w:spacing w:line="240" w:lineRule="auto" w:before="63"/>
              <w:ind w:left="-5"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262,478.62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元；固定资产减值损失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43,862,232.55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4"/>
              <w:ind w:left="-5"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22,082,002.41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34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60" w:type="dxa"/>
            <w:vMerge/>
            <w:tcBorders>
              <w:left w:val="single" w:sz="10" w:space="0" w:color="D3D3D3"/>
              <w:right w:val="single" w:sz="4" w:space="0" w:color="000000"/>
            </w:tcBorders>
          </w:tcPr>
          <w:p>
            <w:pPr/>
          </w:p>
        </w:tc>
        <w:tc>
          <w:tcPr>
            <w:tcW w:w="928" w:type="dxa"/>
            <w:vMerge/>
            <w:tcBorders>
              <w:left w:val="single" w:sz="4" w:space="0" w:color="000000"/>
              <w:right w:val="single" w:sz="13" w:space="0" w:color="C7EDCC"/>
            </w:tcBorders>
          </w:tcPr>
          <w:p>
            <w:pPr/>
          </w:p>
        </w:tc>
        <w:tc>
          <w:tcPr>
            <w:tcW w:w="4112" w:type="dxa"/>
            <w:vMerge/>
            <w:tcBorders>
              <w:left w:val="single" w:sz="4" w:space="0" w:color="000000"/>
              <w:right w:val="single" w:sz="4" w:space="0" w:color="000000"/>
            </w:tcBorders>
            <w:shd w:val="clear" w:color="auto" w:fill="C7EDCC"/>
          </w:tcPr>
          <w:p>
            <w:pPr/>
          </w:p>
        </w:tc>
        <w:tc>
          <w:tcPr>
            <w:tcW w:w="2340" w:type="dxa"/>
            <w:vMerge/>
            <w:tcBorders>
              <w:left w:val="single" w:sz="4" w:space="0" w:color="000000"/>
              <w:right w:val="single" w:sz="4" w:space="0" w:color="000000"/>
            </w:tcBorders>
            <w:shd w:val="clear" w:color="auto" w:fill="C7EDCC"/>
          </w:tcPr>
          <w:p>
            <w:pPr/>
          </w:p>
        </w:tc>
      </w:tr>
      <w:tr>
        <w:trPr>
          <w:trHeight w:val="474"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10" w:space="0" w:color="D3D3D3"/>
              <w:bottom w:val="single" w:sz="4" w:space="0" w:color="000000"/>
              <w:right w:val="single" w:sz="4" w:space="0" w:color="000000"/>
            </w:tcBorders>
          </w:tcPr>
          <w:p>
            <w:pPr/>
          </w:p>
        </w:tc>
        <w:tc>
          <w:tcPr>
            <w:tcW w:w="928" w:type="dxa"/>
            <w:vMerge/>
            <w:tcBorders>
              <w:left w:val="single" w:sz="4" w:space="0" w:color="000000"/>
              <w:bottom w:val="single" w:sz="4" w:space="0" w:color="000000"/>
              <w:right w:val="single" w:sz="13" w:space="0" w:color="C7EDCC"/>
            </w:tcBorders>
          </w:tcPr>
          <w:p>
            <w:pPr/>
          </w:p>
        </w:tc>
        <w:tc>
          <w:tcPr>
            <w:tcW w:w="4112" w:type="dxa"/>
            <w:vMerge/>
            <w:tcBorders>
              <w:left w:val="single" w:sz="4" w:space="0" w:color="000000"/>
              <w:bottom w:val="single" w:sz="4" w:space="0" w:color="000000"/>
              <w:right w:val="single" w:sz="4" w:space="0" w:color="000000"/>
            </w:tcBorders>
            <w:shd w:val="clear" w:color="auto" w:fill="C7EDCC"/>
          </w:tcPr>
          <w:p>
            <w:pPr/>
          </w:p>
        </w:tc>
        <w:tc>
          <w:tcPr>
            <w:tcW w:w="2340"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23,984,615.01</w:t>
            </w:r>
          </w:p>
        </w:tc>
        <w:tc>
          <w:tcPr>
            <w:tcW w:w="928"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right="38"/>
              <w:jc w:val="right"/>
              <w:rPr>
                <w:rFonts w:ascii="Times New Roman" w:hAnsi="Times New Roman" w:cs="Times New Roman" w:eastAsia="Times New Roman" w:hint="default"/>
                <w:sz w:val="18"/>
                <w:szCs w:val="18"/>
              </w:rPr>
            </w:pPr>
            <w:r>
              <w:rPr>
                <w:rFonts w:ascii="Times New Roman"/>
                <w:sz w:val="18"/>
              </w:rPr>
              <w:t>6.90%</w:t>
            </w:r>
          </w:p>
        </w:tc>
        <w:tc>
          <w:tcPr>
            <w:tcW w:w="41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其中火灾赔偿款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21,995,681.69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1,375,068.91</w:t>
            </w:r>
          </w:p>
        </w:tc>
        <w:tc>
          <w:tcPr>
            <w:tcW w:w="928"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91"/>
              <w:ind w:right="38"/>
              <w:jc w:val="right"/>
              <w:rPr>
                <w:rFonts w:ascii="Times New Roman" w:hAnsi="Times New Roman" w:cs="Times New Roman" w:eastAsia="Times New Roman" w:hint="default"/>
                <w:sz w:val="18"/>
                <w:szCs w:val="18"/>
              </w:rPr>
            </w:pPr>
            <w:r>
              <w:rPr>
                <w:rFonts w:ascii="Times New Roman"/>
                <w:sz w:val="18"/>
              </w:rPr>
              <w:t>0.40%</w:t>
            </w:r>
          </w:p>
        </w:tc>
        <w:tc>
          <w:tcPr>
            <w:tcW w:w="411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其中公益性捐赠支出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409"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613,742,690.82</w:t>
            </w:r>
          </w:p>
        </w:tc>
        <w:tc>
          <w:tcPr>
            <w:tcW w:w="928" w:type="dxa"/>
            <w:vMerge w:val="restart"/>
            <w:tcBorders>
              <w:top w:val="single" w:sz="4" w:space="0" w:color="000000"/>
              <w:left w:val="single" w:sz="4" w:space="0" w:color="000000"/>
              <w:right w:val="single" w:sz="13"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176.63%</w:t>
            </w:r>
          </w:p>
        </w:tc>
        <w:tc>
          <w:tcPr>
            <w:tcW w:w="4112" w:type="dxa"/>
            <w:vMerge w:val="restart"/>
            <w:tcBorders>
              <w:top w:val="single" w:sz="4" w:space="0" w:color="000000"/>
              <w:left w:val="single" w:sz="4" w:space="0" w:color="000000"/>
              <w:right w:val="single" w:sz="4" w:space="0" w:color="000000"/>
            </w:tcBorders>
            <w:shd w:val="clear" w:color="auto" w:fill="C7EDCC"/>
          </w:tcPr>
          <w:p>
            <w:pPr>
              <w:pStyle w:val="TableParagraph"/>
              <w:spacing w:line="307" w:lineRule="auto" w:before="51"/>
              <w:ind w:left="-5" w:right="21"/>
              <w:jc w:val="left"/>
              <w:rPr>
                <w:rFonts w:ascii="宋体" w:hAnsi="宋体" w:cs="宋体" w:eastAsia="宋体" w:hint="default"/>
                <w:sz w:val="18"/>
                <w:szCs w:val="18"/>
              </w:rPr>
            </w:pPr>
            <w:r>
              <w:rPr>
                <w:rFonts w:ascii="宋体" w:hAnsi="宋体" w:cs="宋体" w:eastAsia="宋体" w:hint="default"/>
                <w:sz w:val="18"/>
                <w:szCs w:val="18"/>
              </w:rPr>
              <w:t>其中政府搬迁补助</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602,102,453.29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元，根据石家庄市 </w:t>
            </w:r>
            <w:r>
              <w:rPr>
                <w:rFonts w:ascii="宋体" w:hAnsi="宋体" w:cs="宋体" w:eastAsia="宋体" w:hint="default"/>
                <w:spacing w:val="-3"/>
                <w:sz w:val="18"/>
                <w:szCs w:val="18"/>
              </w:rPr>
              <w:t>人民政府常务会议纪要（</w:t>
            </w:r>
            <w:r>
              <w:rPr>
                <w:rFonts w:ascii="Times New Roman" w:hAnsi="Times New Roman" w:cs="Times New Roman" w:eastAsia="Times New Roman" w:hint="default"/>
                <w:spacing w:val="-3"/>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常山股份</w:t>
            </w:r>
            <w:r>
              <w:rPr>
                <w:rFonts w:ascii="宋体" w:hAnsi="宋体" w:cs="宋体" w:eastAsia="宋体" w:hint="default"/>
                <w:sz w:val="18"/>
                <w:szCs w:val="18"/>
              </w:rPr>
              <w:t> </w:t>
            </w:r>
            <w:r>
              <w:rPr>
                <w:rFonts w:ascii="宋体" w:hAnsi="宋体" w:cs="宋体" w:eastAsia="宋体" w:hint="default"/>
                <w:spacing w:val="-3"/>
                <w:sz w:val="18"/>
                <w:szCs w:val="18"/>
              </w:rPr>
              <w:t>公司原土地及地上附着物拍卖所得，减除各项税费及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应缴部分和基准地价上浮</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补偿部分的剩余，作为</w:t>
            </w:r>
            <w:r>
              <w:rPr>
                <w:rFonts w:ascii="宋体" w:hAnsi="宋体" w:cs="宋体" w:eastAsia="宋体" w:hint="default"/>
                <w:sz w:val="18"/>
                <w:szCs w:val="18"/>
              </w:rPr>
              <w:t> 土地净收益，</w:t>
            </w:r>
            <w:r>
              <w:rPr>
                <w:rFonts w:ascii="Times New Roman" w:hAnsi="Times New Roman" w:cs="Times New Roman" w:eastAsia="Times New Roman" w:hint="default"/>
                <w:sz w:val="18"/>
                <w:szCs w:val="18"/>
              </w:rPr>
              <w:t>90%</w:t>
            </w:r>
            <w:r>
              <w:rPr>
                <w:rFonts w:ascii="宋体" w:hAnsi="宋体" w:cs="宋体" w:eastAsia="宋体" w:hint="default"/>
                <w:sz w:val="18"/>
                <w:szCs w:val="18"/>
              </w:rPr>
              <w:t>返还企业用于企业项目建设</w:t>
            </w:r>
            <w:r>
              <w:rPr>
                <w:rFonts w:ascii="Times New Roman" w:hAnsi="Times New Roman" w:cs="Times New Roman" w:eastAsia="Times New Roman" w:hint="default"/>
                <w:sz w:val="18"/>
                <w:szCs w:val="18"/>
              </w:rPr>
              <w:t>"</w:t>
            </w:r>
            <w:r>
              <w:rPr>
                <w:rFonts w:ascii="宋体" w:hAnsi="宋体" w:cs="宋体" w:eastAsia="宋体" w:hint="default"/>
                <w:sz w:val="18"/>
                <w:szCs w:val="18"/>
              </w:rPr>
              <w:t>的规 </w:t>
            </w:r>
            <w:r>
              <w:rPr>
                <w:rFonts w:ascii="宋体" w:hAnsi="宋体" w:cs="宋体" w:eastAsia="宋体" w:hint="default"/>
                <w:spacing w:val="-4"/>
                <w:sz w:val="18"/>
                <w:szCs w:val="18"/>
              </w:rPr>
              <w:t>定，石家庄市人民政府按土地预期净收益的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给予 </w:t>
            </w:r>
            <w:r>
              <w:rPr>
                <w:rFonts w:ascii="宋体" w:hAnsi="宋体" w:cs="宋体" w:eastAsia="宋体" w:hint="default"/>
                <w:spacing w:val="-3"/>
                <w:sz w:val="18"/>
                <w:szCs w:val="18"/>
              </w:rPr>
              <w:t>企业政策资金支持，用于搬迁项目建设及弥补搬迁过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程的各项损失。报告期公司收到由石家庄市财政局拨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付的部分搬迁支持资金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亿元，公司共确认政府搬迁</w:t>
            </w:r>
          </w:p>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亿元全部计入了其他收益。</w:t>
            </w:r>
          </w:p>
        </w:tc>
        <w:tc>
          <w:tcPr>
            <w:tcW w:w="234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260" w:type="dxa"/>
            <w:vMerge/>
            <w:tcBorders>
              <w:left w:val="single" w:sz="10" w:space="0" w:color="D3D3D3"/>
              <w:right w:val="single" w:sz="4" w:space="0" w:color="000000"/>
            </w:tcBorders>
          </w:tcPr>
          <w:p>
            <w:pPr/>
          </w:p>
        </w:tc>
        <w:tc>
          <w:tcPr>
            <w:tcW w:w="928" w:type="dxa"/>
            <w:vMerge/>
            <w:tcBorders>
              <w:left w:val="single" w:sz="4" w:space="0" w:color="000000"/>
              <w:right w:val="single" w:sz="13" w:space="0" w:color="C7EDCC"/>
            </w:tcBorders>
          </w:tcPr>
          <w:p>
            <w:pPr/>
          </w:p>
        </w:tc>
        <w:tc>
          <w:tcPr>
            <w:tcW w:w="4112" w:type="dxa"/>
            <w:vMerge/>
            <w:tcBorders>
              <w:left w:val="single" w:sz="4" w:space="0" w:color="000000"/>
              <w:right w:val="single" w:sz="4" w:space="0" w:color="000000"/>
            </w:tcBorders>
            <w:shd w:val="clear" w:color="auto" w:fill="C7EDCC"/>
          </w:tcPr>
          <w:p>
            <w:pPr/>
          </w:p>
        </w:tc>
        <w:tc>
          <w:tcPr>
            <w:tcW w:w="2340" w:type="dxa"/>
            <w:vMerge/>
            <w:tcBorders>
              <w:left w:val="single" w:sz="4" w:space="0" w:color="000000"/>
              <w:right w:val="single" w:sz="4" w:space="0" w:color="000000"/>
            </w:tcBorders>
            <w:shd w:val="clear" w:color="auto" w:fill="C7EDCC"/>
          </w:tcPr>
          <w:p>
            <w:pPr/>
          </w:p>
        </w:tc>
      </w:tr>
      <w:tr>
        <w:trPr>
          <w:trHeight w:val="1409"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10" w:space="0" w:color="D3D3D3"/>
              <w:bottom w:val="single" w:sz="4" w:space="0" w:color="000000"/>
              <w:right w:val="single" w:sz="4" w:space="0" w:color="000000"/>
            </w:tcBorders>
          </w:tcPr>
          <w:p>
            <w:pPr/>
          </w:p>
        </w:tc>
        <w:tc>
          <w:tcPr>
            <w:tcW w:w="928" w:type="dxa"/>
            <w:vMerge/>
            <w:tcBorders>
              <w:left w:val="single" w:sz="4" w:space="0" w:color="000000"/>
              <w:bottom w:val="single" w:sz="4" w:space="0" w:color="000000"/>
              <w:right w:val="single" w:sz="13" w:space="0" w:color="C7EDCC"/>
            </w:tcBorders>
          </w:tcPr>
          <w:p>
            <w:pPr/>
          </w:p>
        </w:tc>
        <w:tc>
          <w:tcPr>
            <w:tcW w:w="4112" w:type="dxa"/>
            <w:vMerge/>
            <w:tcBorders>
              <w:left w:val="single" w:sz="4" w:space="0" w:color="000000"/>
              <w:bottom w:val="single" w:sz="4" w:space="0" w:color="000000"/>
              <w:right w:val="single" w:sz="4" w:space="0" w:color="000000"/>
            </w:tcBorders>
            <w:shd w:val="clear" w:color="auto" w:fill="C7EDCC"/>
          </w:tcPr>
          <w:p>
            <w:pPr/>
          </w:p>
        </w:tc>
        <w:tc>
          <w:tcPr>
            <w:tcW w:w="2340" w:type="dxa"/>
            <w:vMerge/>
            <w:tcBorders>
              <w:left w:val="single" w:sz="4" w:space="0" w:color="000000"/>
              <w:bottom w:val="single" w:sz="4" w:space="0" w:color="000000"/>
              <w:right w:val="single" w:sz="4" w:space="0" w:color="000000"/>
            </w:tcBorders>
            <w:shd w:val="clear" w:color="auto" w:fill="C7EDCC"/>
          </w:tcPr>
          <w:p>
            <w:pPr/>
          </w:p>
        </w:tc>
      </w:tr>
    </w:tbl>
    <w:p>
      <w:pPr>
        <w:spacing w:line="240" w:lineRule="auto" w:before="3"/>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48"/>
        <w:gridCol w:w="1333"/>
        <w:gridCol w:w="720"/>
        <w:gridCol w:w="1440"/>
        <w:gridCol w:w="703"/>
        <w:gridCol w:w="737"/>
        <w:gridCol w:w="3348"/>
      </w:tblGrid>
      <w:tr>
        <w:trPr>
          <w:trHeight w:val="201" w:hRule="exact"/>
        </w:trPr>
        <w:tc>
          <w:tcPr>
            <w:tcW w:w="1248" w:type="dxa"/>
            <w:vMerge w:val="restart"/>
            <w:tcBorders>
              <w:top w:val="single" w:sz="4" w:space="0" w:color="000000"/>
              <w:left w:val="single" w:sz="4" w:space="0" w:color="000000"/>
              <w:right w:val="single" w:sz="4" w:space="0" w:color="000000"/>
            </w:tcBorders>
            <w:shd w:val="clear" w:color="auto" w:fill="D3D3D3"/>
          </w:tcPr>
          <w:p>
            <w:pPr/>
          </w:p>
        </w:tc>
        <w:tc>
          <w:tcPr>
            <w:tcW w:w="205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3348"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248" w:type="dxa"/>
            <w:vMerge/>
            <w:tcBorders>
              <w:left w:val="single" w:sz="4" w:space="0" w:color="000000"/>
              <w:bottom w:val="nil" w:sz="6" w:space="0" w:color="auto"/>
              <w:right w:val="single" w:sz="4" w:space="0" w:color="000000"/>
            </w:tcBorders>
            <w:shd w:val="clear" w:color="auto" w:fill="D3D3D3"/>
          </w:tcPr>
          <w:p>
            <w:pPr/>
          </w:p>
        </w:tc>
        <w:tc>
          <w:tcPr>
            <w:tcW w:w="2053" w:type="dxa"/>
            <w:gridSpan w:val="2"/>
            <w:vMerge/>
            <w:tcBorders>
              <w:left w:val="single" w:sz="4" w:space="0" w:color="000000"/>
              <w:bottom w:val="single" w:sz="4" w:space="0" w:color="000000"/>
              <w:right w:val="single" w:sz="4" w:space="0" w:color="000000"/>
            </w:tcBorders>
            <w:shd w:val="clear" w:color="auto" w:fill="D3D3D3"/>
          </w:tcPr>
          <w:p>
            <w:pPr/>
          </w:p>
        </w:tc>
        <w:tc>
          <w:tcPr>
            <w:tcW w:w="2143" w:type="dxa"/>
            <w:gridSpan w:val="2"/>
            <w:vMerge/>
            <w:tcBorders>
              <w:left w:val="single" w:sz="4" w:space="0" w:color="000000"/>
              <w:bottom w:val="single" w:sz="4" w:space="0" w:color="000000"/>
              <w:right w:val="single" w:sz="4" w:space="0" w:color="000000"/>
            </w:tcBorders>
            <w:shd w:val="clear" w:color="auto" w:fill="D3D3D3"/>
          </w:tcPr>
          <w:p>
            <w:pPr/>
          </w:p>
        </w:tc>
        <w:tc>
          <w:tcPr>
            <w:tcW w:w="73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348" w:type="dxa"/>
            <w:vMerge/>
            <w:tcBorders>
              <w:left w:val="single" w:sz="4" w:space="0" w:color="000000"/>
              <w:bottom w:val="nil" w:sz="6" w:space="0" w:color="auto"/>
              <w:right w:val="single" w:sz="4" w:space="0" w:color="000000"/>
            </w:tcBorders>
            <w:shd w:val="clear" w:color="auto" w:fill="D3D3D3"/>
          </w:tcPr>
          <w:p>
            <w:pPr/>
          </w:p>
        </w:tc>
      </w:tr>
      <w:tr>
        <w:trPr>
          <w:trHeight w:val="183" w:hRule="exact"/>
        </w:trPr>
        <w:tc>
          <w:tcPr>
            <w:tcW w:w="1248" w:type="dxa"/>
            <w:vMerge w:val="restart"/>
            <w:tcBorders>
              <w:top w:val="nil" w:sz="6" w:space="0" w:color="auto"/>
              <w:left w:val="single" w:sz="4" w:space="0" w:color="000000"/>
              <w:right w:val="single" w:sz="4" w:space="0" w:color="000000"/>
            </w:tcBorders>
            <w:shd w:val="clear" w:color="auto" w:fill="D3D3D3"/>
          </w:tcPr>
          <w:p>
            <w:pPr/>
          </w:p>
        </w:tc>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84" w:right="84"/>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75" w:right="7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37" w:type="dxa"/>
            <w:vMerge/>
            <w:tcBorders>
              <w:left w:val="single" w:sz="4" w:space="0" w:color="000000"/>
              <w:right w:val="single" w:sz="4" w:space="0" w:color="000000"/>
            </w:tcBorders>
            <w:shd w:val="clear" w:color="auto" w:fill="D3D3D3"/>
          </w:tcPr>
          <w:p>
            <w:pPr/>
          </w:p>
        </w:tc>
        <w:tc>
          <w:tcPr>
            <w:tcW w:w="33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4" w:hRule="exact"/>
        </w:trPr>
        <w:tc>
          <w:tcPr>
            <w:tcW w:w="1248" w:type="dxa"/>
            <w:vMerge/>
            <w:tcBorders>
              <w:left w:val="single" w:sz="4" w:space="0" w:color="000000"/>
              <w:bottom w:val="nil" w:sz="6" w:space="0" w:color="auto"/>
              <w:right w:val="single" w:sz="4" w:space="0" w:color="000000"/>
            </w:tcBorders>
            <w:shd w:val="clear" w:color="auto" w:fill="D3D3D3"/>
          </w:tcPr>
          <w:p>
            <w:pPr/>
          </w:p>
        </w:tc>
        <w:tc>
          <w:tcPr>
            <w:tcW w:w="13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vMerge/>
            <w:tcBorders>
              <w:left w:val="single" w:sz="4" w:space="0" w:color="000000"/>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3" w:type="dxa"/>
            <w:vMerge/>
            <w:tcBorders>
              <w:left w:val="single" w:sz="4" w:space="0" w:color="000000"/>
              <w:right w:val="single" w:sz="4" w:space="0" w:color="000000"/>
            </w:tcBorders>
            <w:shd w:val="clear" w:color="auto" w:fill="D3D3D3"/>
          </w:tcPr>
          <w:p>
            <w:pPr/>
          </w:p>
        </w:tc>
        <w:tc>
          <w:tcPr>
            <w:tcW w:w="737" w:type="dxa"/>
            <w:vMerge/>
            <w:tcBorders>
              <w:left w:val="single" w:sz="4" w:space="0" w:color="000000"/>
              <w:right w:val="single" w:sz="4" w:space="0" w:color="000000"/>
            </w:tcBorders>
            <w:shd w:val="clear" w:color="auto" w:fill="D3D3D3"/>
          </w:tcPr>
          <w:p>
            <w:pPr/>
          </w:p>
        </w:tc>
        <w:tc>
          <w:tcPr>
            <w:tcW w:w="3348"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248" w:type="dxa"/>
            <w:vMerge w:val="restart"/>
            <w:tcBorders>
              <w:top w:val="nil" w:sz="6" w:space="0" w:color="auto"/>
              <w:left w:val="single" w:sz="4" w:space="0" w:color="000000"/>
              <w:right w:val="single" w:sz="4" w:space="0" w:color="000000"/>
            </w:tcBorders>
            <w:shd w:val="clear" w:color="auto" w:fill="D3D3D3"/>
          </w:tcPr>
          <w:p>
            <w:pPr/>
          </w:p>
        </w:tc>
        <w:tc>
          <w:tcPr>
            <w:tcW w:w="1333"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c>
          <w:tcPr>
            <w:tcW w:w="703" w:type="dxa"/>
            <w:vMerge/>
            <w:tcBorders>
              <w:left w:val="single" w:sz="4" w:space="0" w:color="000000"/>
              <w:right w:val="single" w:sz="4" w:space="0" w:color="000000"/>
            </w:tcBorders>
            <w:shd w:val="clear" w:color="auto" w:fill="D3D3D3"/>
          </w:tcPr>
          <w:p>
            <w:pPr/>
          </w:p>
        </w:tc>
        <w:tc>
          <w:tcPr>
            <w:tcW w:w="737" w:type="dxa"/>
            <w:vMerge/>
            <w:tcBorders>
              <w:left w:val="single" w:sz="4" w:space="0" w:color="000000"/>
              <w:bottom w:val="nil" w:sz="6" w:space="0" w:color="auto"/>
              <w:right w:val="single" w:sz="4" w:space="0" w:color="000000"/>
            </w:tcBorders>
            <w:shd w:val="clear" w:color="auto" w:fill="D3D3D3"/>
          </w:tcPr>
          <w:p>
            <w:pPr/>
          </w:p>
        </w:tc>
        <w:tc>
          <w:tcPr>
            <w:tcW w:w="3348" w:type="dxa"/>
            <w:vMerge w:val="restart"/>
            <w:tcBorders>
              <w:top w:val="nil" w:sz="6" w:space="0" w:color="auto"/>
              <w:left w:val="single" w:sz="4" w:space="0" w:color="000000"/>
              <w:right w:val="single" w:sz="4" w:space="0" w:color="000000"/>
            </w:tcBorders>
            <w:shd w:val="clear" w:color="auto" w:fill="D3D3D3"/>
          </w:tcPr>
          <w:p>
            <w:pPr/>
          </w:p>
        </w:tc>
      </w:tr>
      <w:tr>
        <w:trPr>
          <w:trHeight w:val="174" w:hRule="exact"/>
        </w:trPr>
        <w:tc>
          <w:tcPr>
            <w:tcW w:w="1248" w:type="dxa"/>
            <w:vMerge/>
            <w:tcBorders>
              <w:left w:val="single" w:sz="4" w:space="0" w:color="000000"/>
              <w:bottom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334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1,522,019,165.99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center"/>
              <w:rPr>
                <w:rFonts w:ascii="Times New Roman" w:hAnsi="Times New Roman" w:cs="Times New Roman" w:eastAsia="Times New Roman" w:hint="default"/>
                <w:sz w:val="18"/>
                <w:szCs w:val="18"/>
              </w:rPr>
            </w:pPr>
            <w:r>
              <w:rPr>
                <w:rFonts w:ascii="Times New Roman"/>
                <w:sz w:val="18"/>
              </w:rPr>
              <w:t>11.90%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2,020,179,225.99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c>
          <w:tcPr>
            <w:tcW w:w="33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主要系归还银行借款所致。</w:t>
            </w:r>
          </w:p>
        </w:tc>
      </w:tr>
      <w:tr>
        <w:trPr>
          <w:trHeight w:val="161" w:hRule="exact"/>
        </w:trPr>
        <w:tc>
          <w:tcPr>
            <w:tcW w:w="12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3"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2,323,068,424.34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18.16%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1,871,240,111.14</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14.61%</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3.55%</w:t>
            </w:r>
          </w:p>
        </w:tc>
        <w:tc>
          <w:tcPr>
            <w:tcW w:w="3348"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主要系本期北明软件销售收入增加，相应 应收账款增加所致。</w:t>
            </w:r>
          </w:p>
        </w:tc>
      </w:tr>
      <w:tr>
        <w:trPr>
          <w:trHeight w:val="392" w:hRule="exact"/>
        </w:trPr>
        <w:tc>
          <w:tcPr>
            <w:tcW w:w="12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3" w:type="dxa"/>
            <w:vMerge/>
            <w:tcBorders>
              <w:left w:val="single" w:sz="10" w:space="0" w:color="D3D3D3"/>
              <w:right w:val="single" w:sz="4" w:space="0" w:color="000000"/>
            </w:tcBorders>
          </w:tcPr>
          <w:p>
            <w:pPr/>
          </w:p>
        </w:tc>
        <w:tc>
          <w:tcPr>
            <w:tcW w:w="72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3348" w:type="dxa"/>
            <w:vMerge/>
            <w:tcBorders>
              <w:left w:val="single" w:sz="4" w:space="0" w:color="000000"/>
              <w:right w:val="single" w:sz="4" w:space="0" w:color="000000"/>
            </w:tcBorders>
            <w:shd w:val="clear" w:color="auto" w:fill="C7EDCC"/>
          </w:tcPr>
          <w:p>
            <w:pPr/>
          </w:p>
        </w:tc>
      </w:tr>
      <w:tr>
        <w:trPr>
          <w:trHeight w:val="160" w:hRule="exact"/>
        </w:trPr>
        <w:tc>
          <w:tcPr>
            <w:tcW w:w="12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3" w:type="dxa"/>
            <w:vMerge/>
            <w:tcBorders>
              <w:left w:val="single" w:sz="10" w:space="0" w:color="D3D3D3"/>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3348"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1,902,596,426.33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14.88%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1,934,806,768.33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15.11%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334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161,885,841.69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1.27%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166,756,984.77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3348"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1332"/>
        <w:gridCol w:w="720"/>
        <w:gridCol w:w="1440"/>
        <w:gridCol w:w="703"/>
        <w:gridCol w:w="737"/>
        <w:gridCol w:w="3348"/>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18,505,505.64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0.14%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15,952,929.77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3348"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1,608,883,127.99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12.58%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1,359,656,189.37</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c>
          <w:tcPr>
            <w:tcW w:w="33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主要系在建工程完工转入固定资产所致。</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750,119,869.85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5.87%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958,919,736.19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w:t>
            </w:r>
          </w:p>
        </w:tc>
        <w:tc>
          <w:tcPr>
            <w:tcW w:w="33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主要系在建工程完工转入固定资产所致。</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2,421,139,085.99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18.93%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3,249,329,039.63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c>
          <w:tcPr>
            <w:tcW w:w="33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主要系归还到期的借款所致。</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668,002,727.00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6" w:right="0"/>
              <w:jc w:val="center"/>
              <w:rPr>
                <w:rFonts w:ascii="Times New Roman" w:hAnsi="Times New Roman" w:cs="Times New Roman" w:eastAsia="Times New Roman" w:hint="default"/>
                <w:sz w:val="18"/>
                <w:szCs w:val="18"/>
              </w:rPr>
            </w:pPr>
            <w:r>
              <w:rPr>
                <w:rFonts w:ascii="Times New Roman"/>
                <w:sz w:val="18"/>
              </w:rPr>
              <w:t>5.22%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809,241,818.00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w:t>
            </w:r>
          </w:p>
        </w:tc>
        <w:tc>
          <w:tcPr>
            <w:tcW w:w="33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主要系部分借款调整至一年内到期的非流 动负债所致。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 适用 □ 不适用</w:t>
      </w:r>
    </w:p>
    <w:p>
      <w:pPr>
        <w:pStyle w:val="BodyText"/>
        <w:spacing w:line="240" w:lineRule="auto" w:before="117"/>
        <w:ind w:left="0" w:right="3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57"/>
        <w:gridCol w:w="1231"/>
        <w:gridCol w:w="982"/>
        <w:gridCol w:w="1399"/>
        <w:gridCol w:w="947"/>
        <w:gridCol w:w="714"/>
        <w:gridCol w:w="1219"/>
        <w:gridCol w:w="1073"/>
      </w:tblGrid>
      <w:tr>
        <w:trPr>
          <w:trHeight w:val="160" w:hRule="exact"/>
        </w:trPr>
        <w:tc>
          <w:tcPr>
            <w:tcW w:w="19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31" w:type="dxa"/>
            <w:tcBorders>
              <w:top w:val="single" w:sz="4" w:space="0" w:color="000000"/>
              <w:left w:val="single" w:sz="4" w:space="0" w:color="000000"/>
              <w:bottom w:val="nil" w:sz="6" w:space="0" w:color="auto"/>
              <w:right w:val="single" w:sz="4" w:space="0" w:color="000000"/>
            </w:tcBorders>
            <w:shd w:val="clear" w:color="auto" w:fill="D3D3D3"/>
          </w:tcPr>
          <w:p>
            <w:pPr/>
          </w:p>
        </w:tc>
        <w:tc>
          <w:tcPr>
            <w:tcW w:w="9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 w:right="37"/>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3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4" w:right="6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4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98" w:right="107"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7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5" w:right="77"/>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1219"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9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82" w:type="dxa"/>
            <w:vMerge/>
            <w:tcBorders>
              <w:left w:val="single" w:sz="4" w:space="0" w:color="000000"/>
              <w:right w:val="single" w:sz="4" w:space="0" w:color="000000"/>
            </w:tcBorders>
            <w:shd w:val="clear" w:color="auto" w:fill="D3D3D3"/>
          </w:tcPr>
          <w:p>
            <w:pPr/>
          </w:p>
        </w:tc>
        <w:tc>
          <w:tcPr>
            <w:tcW w:w="1399" w:type="dxa"/>
            <w:vMerge/>
            <w:tcBorders>
              <w:left w:val="single" w:sz="4" w:space="0" w:color="000000"/>
              <w:right w:val="single" w:sz="4" w:space="0" w:color="000000"/>
            </w:tcBorders>
            <w:shd w:val="clear" w:color="auto" w:fill="D3D3D3"/>
          </w:tcPr>
          <w:p>
            <w:pPr/>
          </w:p>
        </w:tc>
        <w:tc>
          <w:tcPr>
            <w:tcW w:w="947" w:type="dxa"/>
            <w:vMerge/>
            <w:tcBorders>
              <w:left w:val="single" w:sz="4" w:space="0" w:color="000000"/>
              <w:right w:val="single" w:sz="4" w:space="0" w:color="000000"/>
            </w:tcBorders>
            <w:shd w:val="clear" w:color="auto" w:fill="D3D3D3"/>
          </w:tcPr>
          <w:p>
            <w:pPr/>
          </w:p>
        </w:tc>
        <w:tc>
          <w:tcPr>
            <w:tcW w:w="714" w:type="dxa"/>
            <w:vMerge/>
            <w:tcBorders>
              <w:left w:val="single" w:sz="4" w:space="0" w:color="000000"/>
              <w:right w:val="single" w:sz="4" w:space="0" w:color="000000"/>
            </w:tcBorders>
            <w:shd w:val="clear" w:color="auto" w:fill="D3D3D3"/>
          </w:tcPr>
          <w:p>
            <w:pPr/>
          </w:p>
        </w:tc>
        <w:tc>
          <w:tcPr>
            <w:tcW w:w="12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59"/>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0" w:hRule="exact"/>
        </w:trPr>
        <w:tc>
          <w:tcPr>
            <w:tcW w:w="19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31" w:type="dxa"/>
            <w:tcBorders>
              <w:top w:val="nil" w:sz="6" w:space="0" w:color="auto"/>
              <w:left w:val="single" w:sz="4" w:space="0" w:color="000000"/>
              <w:bottom w:val="single" w:sz="4" w:space="0" w:color="000000"/>
              <w:right w:val="single" w:sz="4" w:space="0" w:color="000000"/>
            </w:tcBorders>
            <w:shd w:val="clear" w:color="auto" w:fill="D3D3D3"/>
          </w:tcPr>
          <w:p>
            <w:pPr/>
          </w:p>
        </w:tc>
        <w:tc>
          <w:tcPr>
            <w:tcW w:w="982" w:type="dxa"/>
            <w:vMerge/>
            <w:tcBorders>
              <w:left w:val="single" w:sz="4" w:space="0" w:color="000000"/>
              <w:bottom w:val="single" w:sz="4" w:space="0" w:color="000000"/>
              <w:right w:val="single" w:sz="4" w:space="0" w:color="000000"/>
            </w:tcBorders>
            <w:shd w:val="clear" w:color="auto" w:fill="D3D3D3"/>
          </w:tcPr>
          <w:p>
            <w:pPr/>
          </w:p>
        </w:tc>
        <w:tc>
          <w:tcPr>
            <w:tcW w:w="1399" w:type="dxa"/>
            <w:vMerge/>
            <w:tcBorders>
              <w:left w:val="single" w:sz="4" w:space="0" w:color="000000"/>
              <w:bottom w:val="single" w:sz="4" w:space="0" w:color="000000"/>
              <w:right w:val="single" w:sz="4" w:space="0" w:color="000000"/>
            </w:tcBorders>
            <w:shd w:val="clear" w:color="auto" w:fill="D3D3D3"/>
          </w:tcPr>
          <w:p>
            <w:pPr/>
          </w:p>
        </w:tc>
        <w:tc>
          <w:tcPr>
            <w:tcW w:w="947" w:type="dxa"/>
            <w:vMerge/>
            <w:tcBorders>
              <w:left w:val="single" w:sz="4" w:space="0" w:color="000000"/>
              <w:bottom w:val="single" w:sz="4" w:space="0" w:color="000000"/>
              <w:right w:val="single" w:sz="4" w:space="0" w:color="000000"/>
            </w:tcBorders>
            <w:shd w:val="clear" w:color="auto" w:fill="D3D3D3"/>
          </w:tcPr>
          <w:p>
            <w:pPr/>
          </w:p>
        </w:tc>
        <w:tc>
          <w:tcPr>
            <w:tcW w:w="714" w:type="dxa"/>
            <w:vMerge/>
            <w:tcBorders>
              <w:left w:val="single" w:sz="4" w:space="0" w:color="000000"/>
              <w:bottom w:val="single" w:sz="4" w:space="0" w:color="000000"/>
              <w:right w:val="single" w:sz="4" w:space="0" w:color="000000"/>
            </w:tcBorders>
            <w:shd w:val="clear" w:color="auto" w:fill="D3D3D3"/>
          </w:tcPr>
          <w:p>
            <w:pPr/>
          </w:p>
        </w:tc>
        <w:tc>
          <w:tcPr>
            <w:tcW w:w="1219"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565"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18,452,142.65</w:t>
            </w:r>
          </w:p>
        </w:tc>
        <w:tc>
          <w:tcPr>
            <w:tcW w:w="98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1,758,869.75</w:t>
            </w:r>
          </w:p>
        </w:tc>
        <w:tc>
          <w:tcPr>
            <w:tcW w:w="947"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20,211,012.40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18,452,142.65</w:t>
            </w:r>
          </w:p>
        </w:tc>
        <w:tc>
          <w:tcPr>
            <w:tcW w:w="98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1,758,869.75</w:t>
            </w:r>
          </w:p>
        </w:tc>
        <w:tc>
          <w:tcPr>
            <w:tcW w:w="947"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20,211,012.40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18,452,142.65</w:t>
            </w:r>
          </w:p>
        </w:tc>
        <w:tc>
          <w:tcPr>
            <w:tcW w:w="98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1,758,869.75</w:t>
            </w:r>
          </w:p>
        </w:tc>
        <w:tc>
          <w:tcPr>
            <w:tcW w:w="947"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20,211,012.40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3,328,193.29</w:t>
            </w:r>
          </w:p>
        </w:tc>
        <w:tc>
          <w:tcPr>
            <w:tcW w:w="982"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439,717.44</w:t>
            </w:r>
          </w:p>
        </w:tc>
        <w:tc>
          <w:tcPr>
            <w:tcW w:w="947"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3,767,910.73</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报告期内公司主要资产计量属性是否发生重大变化</w:t>
      </w:r>
    </w:p>
    <w:p>
      <w:pPr>
        <w:pStyle w:val="BodyText"/>
        <w:spacing w:line="240" w:lineRule="auto" w:before="117"/>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984"/>
        <w:gridCol w:w="2765"/>
        <w:gridCol w:w="5106"/>
      </w:tblGrid>
      <w:tr>
        <w:trPr>
          <w:trHeight w:val="427"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3"/>
              <w:jc w:val="right"/>
              <w:rPr>
                <w:rFonts w:ascii="宋体" w:hAnsi="宋体" w:cs="宋体" w:eastAsia="宋体" w:hint="default"/>
                <w:sz w:val="18"/>
                <w:szCs w:val="18"/>
              </w:rPr>
            </w:pPr>
            <w:r>
              <w:rPr>
                <w:rFonts w:ascii="宋体" w:hAnsi="宋体" w:cs="宋体" w:eastAsia="宋体" w:hint="default"/>
                <w:sz w:val="18"/>
                <w:szCs w:val="18"/>
              </w:rPr>
              <w:t>项目</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263,464,636.97</w:t>
            </w:r>
          </w:p>
        </w:tc>
        <w:tc>
          <w:tcPr>
            <w:tcW w:w="5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票据、农民工工资等保证金</w:t>
            </w:r>
          </w:p>
        </w:tc>
      </w:tr>
      <w:tr>
        <w:trPr>
          <w:trHeight w:val="427"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5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质押借款</w:t>
            </w:r>
          </w:p>
        </w:tc>
      </w:tr>
      <w:tr>
        <w:trPr>
          <w:trHeight w:val="426"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13,419,685.61</w:t>
            </w:r>
          </w:p>
        </w:tc>
        <w:tc>
          <w:tcPr>
            <w:tcW w:w="5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质押借款</w:t>
            </w:r>
          </w:p>
        </w:tc>
      </w:tr>
      <w:tr>
        <w:trPr>
          <w:trHeight w:val="428" w:hRule="exact"/>
        </w:trPr>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03"/>
              <w:jc w:val="right"/>
              <w:rPr>
                <w:rFonts w:ascii="宋体" w:hAnsi="宋体" w:cs="宋体" w:eastAsia="宋体" w:hint="default"/>
                <w:sz w:val="18"/>
                <w:szCs w:val="18"/>
              </w:rPr>
            </w:pPr>
            <w:r>
              <w:rPr>
                <w:rFonts w:ascii="宋体" w:hAnsi="宋体" w:cs="宋体" w:eastAsia="宋体" w:hint="default"/>
                <w:sz w:val="18"/>
                <w:szCs w:val="18"/>
              </w:rPr>
              <w:t>合计</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286,884,322.58</w:t>
            </w:r>
          </w:p>
        </w:tc>
        <w:tc>
          <w:tcPr>
            <w:tcW w:w="510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五、投资状况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249,591,389.36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183,240,000.00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80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528"/>
        <w:gridCol w:w="736"/>
        <w:gridCol w:w="737"/>
        <w:gridCol w:w="736"/>
        <w:gridCol w:w="736"/>
        <w:gridCol w:w="476"/>
        <w:gridCol w:w="736"/>
        <w:gridCol w:w="737"/>
        <w:gridCol w:w="736"/>
        <w:gridCol w:w="736"/>
        <w:gridCol w:w="737"/>
        <w:gridCol w:w="1180"/>
      </w:tblGrid>
      <w:tr>
        <w:trPr>
          <w:trHeight w:val="357" w:hRule="exact"/>
        </w:trPr>
        <w:tc>
          <w:tcPr>
            <w:tcW w:w="732" w:type="dxa"/>
            <w:tcBorders>
              <w:top w:val="single" w:sz="4" w:space="0" w:color="000000"/>
              <w:left w:val="single" w:sz="4" w:space="0" w:color="000000"/>
              <w:bottom w:val="nil" w:sz="6" w:space="0" w:color="auto"/>
              <w:right w:val="single" w:sz="4" w:space="0" w:color="000000"/>
            </w:tcBorders>
            <w:shd w:val="clear" w:color="auto" w:fill="D3D3D3"/>
          </w:tcPr>
          <w:p>
            <w:pPr/>
          </w:p>
        </w:tc>
        <w:tc>
          <w:tcPr>
            <w:tcW w:w="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截至报</w:t>
            </w:r>
          </w:p>
        </w:tc>
        <w:tc>
          <w:tcPr>
            <w:tcW w:w="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截止报</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未达到</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7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5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77" w:right="78"/>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3"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告期末 累计实 际投入</w:t>
            </w:r>
          </w:p>
        </w:tc>
        <w:tc>
          <w:tcPr>
            <w:tcW w:w="4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4" w:right="50"/>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告期末 累计实 现的收</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计划进 度和预 计收益</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1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04" w:right="43"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shd w:val="clear" w:color="auto" w:fill="D3D3D3"/>
          </w:tcPr>
          <w:p>
            <w:pPr/>
          </w:p>
        </w:tc>
        <w:tc>
          <w:tcPr>
            <w:tcW w:w="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的原因</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整体改</w:t>
            </w:r>
          </w:p>
        </w:tc>
        <w:tc>
          <w:tcPr>
            <w:tcW w:w="528"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47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7"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shd w:val="clear" w:color="auto" w:fill="C7EDCC"/>
          </w:tcPr>
          <w:p>
            <w:pPr/>
          </w:p>
        </w:tc>
      </w:tr>
      <w:tr>
        <w:trPr>
          <w:trHeight w:val="311"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造优化</w:t>
            </w:r>
          </w:p>
        </w:tc>
        <w:tc>
          <w:tcPr>
            <w:tcW w:w="528"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shd w:val="clear" w:color="auto" w:fill="C7EDCC"/>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升级项</w:t>
            </w:r>
          </w:p>
        </w:tc>
        <w:tc>
          <w:tcPr>
            <w:tcW w:w="528"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shd w:val="clear" w:color="auto" w:fill="C7EDCC"/>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9" w:lineRule="auto" w:before="10"/>
              <w:ind w:left="22" w:right="37"/>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 服装及 绿色环</w:t>
            </w:r>
          </w:p>
        </w:tc>
        <w:tc>
          <w:tcPr>
            <w:tcW w:w="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纺织</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70,569,4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13.75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1,656,22</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9,840.36</w:t>
            </w:r>
          </w:p>
        </w:tc>
        <w:tc>
          <w:tcPr>
            <w:tcW w:w="4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shd w:val="clear" w:color="auto" w:fill="C7EDCC"/>
          </w:tcPr>
          <w:p>
            <w:pPr/>
          </w:p>
        </w:tc>
      </w:tr>
      <w:tr>
        <w:trPr>
          <w:trHeight w:val="312"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保服装</w:t>
            </w:r>
          </w:p>
        </w:tc>
        <w:tc>
          <w:tcPr>
            <w:tcW w:w="528"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shd w:val="clear" w:color="auto" w:fill="C7EDCC"/>
          </w:tcPr>
          <w:p>
            <w:pPr/>
          </w:p>
        </w:tc>
      </w:tr>
      <w:tr>
        <w:trPr>
          <w:trHeight w:val="313"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面料项</w:t>
            </w:r>
          </w:p>
        </w:tc>
        <w:tc>
          <w:tcPr>
            <w:tcW w:w="528"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shd w:val="clear" w:color="auto" w:fill="C7EDCC"/>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528"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47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7"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shd w:val="clear" w:color="auto" w:fill="C7EDCC"/>
          </w:tcPr>
          <w:p>
            <w:pPr/>
          </w:p>
        </w:tc>
      </w:tr>
      <w:tr>
        <w:trPr>
          <w:trHeight w:val="361"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
        </w:tc>
        <w:tc>
          <w:tcPr>
            <w:tcW w:w="528"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47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528"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http://www.cni</w:t>
            </w:r>
          </w:p>
        </w:tc>
      </w:tr>
      <w:tr>
        <w:trPr>
          <w:trHeight w:val="1556"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57"/>
              <w:jc w:val="both"/>
              <w:rPr>
                <w:rFonts w:ascii="宋体" w:hAnsi="宋体" w:cs="宋体" w:eastAsia="宋体" w:hint="default"/>
                <w:sz w:val="18"/>
                <w:szCs w:val="18"/>
              </w:rPr>
            </w:pPr>
            <w:r>
              <w:rPr>
                <w:rFonts w:ascii="宋体" w:hAnsi="宋体" w:cs="宋体" w:eastAsia="宋体" w:hint="default"/>
                <w:sz w:val="18"/>
                <w:szCs w:val="18"/>
              </w:rPr>
              <w:t>常山云 数据中 心一期 工程</w:t>
            </w:r>
          </w:p>
        </w:tc>
        <w:tc>
          <w:tcPr>
            <w:tcW w:w="5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68,217,4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16.99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70,633,2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70.30</w:t>
            </w:r>
          </w:p>
        </w:tc>
        <w:tc>
          <w:tcPr>
            <w:tcW w:w="4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56"/>
              <w:jc w:val="center"/>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135,580,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4" w:lineRule="auto" w:before="6"/>
              <w:ind w:left="22" w:right="19"/>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nfo.com.cn</w:t>
            </w:r>
            <w:r>
              <w:rPr>
                <w:rFonts w:ascii="宋体" w:hAnsi="宋体" w:cs="宋体" w:eastAsia="宋体" w:hint="default"/>
                <w:spacing w:val="-4"/>
                <w:sz w:val="18"/>
                <w:szCs w:val="18"/>
              </w:rPr>
              <w:t>《石</w:t>
            </w:r>
            <w:r>
              <w:rPr>
                <w:rFonts w:ascii="宋体" w:hAnsi="宋体" w:cs="宋体" w:eastAsia="宋体" w:hint="default"/>
                <w:spacing w:val="-88"/>
                <w:sz w:val="18"/>
                <w:szCs w:val="18"/>
              </w:rPr>
              <w:t> </w:t>
            </w:r>
            <w:r>
              <w:rPr>
                <w:rFonts w:ascii="宋体" w:hAnsi="宋体" w:cs="宋体" w:eastAsia="宋体" w:hint="default"/>
                <w:sz w:val="18"/>
                <w:szCs w:val="18"/>
              </w:rPr>
              <w:t>家庄常山纺织 股份有限公司 关于投资云数 据中心项目一</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528"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期工程的公</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
        </w:tc>
        <w:tc>
          <w:tcPr>
            <w:tcW w:w="528"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47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61"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
        </w:tc>
        <w:tc>
          <w:tcPr>
            <w:tcW w:w="528"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47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shd w:val="clear" w:color="auto" w:fill="C7EDCC"/>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1"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528"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http://www.cni</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新疆纺</w:t>
            </w:r>
          </w:p>
        </w:tc>
        <w:tc>
          <w:tcPr>
            <w:tcW w:w="528"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nfo.com.cn</w:t>
            </w:r>
            <w:r>
              <w:rPr>
                <w:rFonts w:ascii="宋体" w:hAnsi="宋体" w:cs="宋体" w:eastAsia="宋体" w:hint="default"/>
                <w:spacing w:val="-4"/>
                <w:sz w:val="18"/>
                <w:szCs w:val="18"/>
              </w:rPr>
              <w:t>《石</w:t>
            </w:r>
          </w:p>
        </w:tc>
      </w:tr>
      <w:tr>
        <w:trPr>
          <w:trHeight w:val="1243"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57"/>
              <w:jc w:val="both"/>
              <w:rPr>
                <w:rFonts w:ascii="宋体" w:hAnsi="宋体" w:cs="宋体" w:eastAsia="宋体" w:hint="default"/>
                <w:sz w:val="18"/>
                <w:szCs w:val="18"/>
              </w:rPr>
            </w:pPr>
            <w:r>
              <w:rPr>
                <w:rFonts w:ascii="宋体" w:hAnsi="宋体" w:cs="宋体" w:eastAsia="宋体" w:hint="default"/>
                <w:sz w:val="18"/>
                <w:szCs w:val="18"/>
              </w:rPr>
              <w:t>织服装 综合建 设项目 一期工</w:t>
            </w:r>
          </w:p>
        </w:tc>
        <w:tc>
          <w:tcPr>
            <w:tcW w:w="5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纺织</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3" w:right="0"/>
              <w:jc w:val="left"/>
              <w:rPr>
                <w:rFonts w:ascii="Times New Roman" w:hAnsi="Times New Roman" w:cs="Times New Roman" w:eastAsia="Times New Roman" w:hint="default"/>
                <w:sz w:val="18"/>
                <w:szCs w:val="18"/>
              </w:rPr>
            </w:pPr>
            <w:r>
              <w:rPr>
                <w:rFonts w:ascii="Times New Roman"/>
                <w:sz w:val="18"/>
              </w:rPr>
              <w:t>23,207,9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26.86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3" w:right="0"/>
              <w:jc w:val="left"/>
              <w:rPr>
                <w:rFonts w:ascii="Times New Roman" w:hAnsi="Times New Roman" w:cs="Times New Roman" w:eastAsia="Times New Roman" w:hint="default"/>
                <w:sz w:val="18"/>
                <w:szCs w:val="18"/>
              </w:rPr>
            </w:pPr>
            <w:r>
              <w:rPr>
                <w:rFonts w:ascii="Times New Roman"/>
                <w:sz w:val="18"/>
              </w:rPr>
              <w:t>23,250,8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32.86</w:t>
            </w:r>
          </w:p>
        </w:tc>
        <w:tc>
          <w:tcPr>
            <w:tcW w:w="47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4" w:right="0"/>
              <w:jc w:val="left"/>
              <w:rPr>
                <w:rFonts w:ascii="Times New Roman" w:hAnsi="Times New Roman" w:cs="Times New Roman" w:eastAsia="Times New Roman" w:hint="default"/>
                <w:sz w:val="18"/>
                <w:szCs w:val="18"/>
              </w:rPr>
            </w:pPr>
            <w:r>
              <w:rPr>
                <w:rFonts w:ascii="Times New Roman"/>
                <w:sz w:val="18"/>
              </w:rPr>
              <w:t>45,160,0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65"/>
              <w:jc w:val="both"/>
              <w:rPr>
                <w:rFonts w:ascii="宋体" w:hAnsi="宋体" w:cs="宋体" w:eastAsia="宋体" w:hint="default"/>
                <w:sz w:val="18"/>
                <w:szCs w:val="18"/>
              </w:rPr>
            </w:pPr>
            <w:r>
              <w:rPr>
                <w:rFonts w:ascii="宋体" w:hAnsi="宋体" w:cs="宋体" w:eastAsia="宋体" w:hint="default"/>
                <w:sz w:val="18"/>
                <w:szCs w:val="18"/>
              </w:rPr>
              <w:t>家庄常山纺织 股份有限公司 关于在新疆投 资建设纺织服</w:t>
            </w:r>
          </w:p>
        </w:tc>
      </w:tr>
      <w:tr>
        <w:trPr>
          <w:trHeight w:val="313"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528"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装综合项目暨</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
        </w:tc>
        <w:tc>
          <w:tcPr>
            <w:tcW w:w="528"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476" w:type="dxa"/>
            <w:tcBorders>
              <w:top w:val="nil" w:sz="6" w:space="0" w:color="auto"/>
              <w:left w:val="single" w:sz="4" w:space="0" w:color="000000"/>
              <w:bottom w:val="nil" w:sz="6" w:space="0" w:color="auto"/>
              <w:right w:val="single" w:sz="4" w:space="0" w:color="000000"/>
            </w:tcBorders>
            <w:shd w:val="clear" w:color="auto" w:fill="C7EDCC"/>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shd w:val="clear" w:color="auto" w:fill="C7EDCC"/>
          </w:tcPr>
          <w:p>
            <w:pPr/>
          </w:p>
        </w:tc>
        <w:tc>
          <w:tcPr>
            <w:tcW w:w="737"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一期工程的公</w:t>
            </w: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
        </w:tc>
        <w:tc>
          <w:tcPr>
            <w:tcW w:w="528"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47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shd w:val="clear" w:color="auto" w:fill="C7EDCC"/>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161,994,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757.60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1,750,11</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3,943.52</w:t>
            </w:r>
          </w:p>
        </w:tc>
        <w:tc>
          <w:tcPr>
            <w:tcW w:w="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180,740,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2"/>
        <w:rPr>
          <w:rFonts w:ascii="宋体" w:hAnsi="宋体" w:cs="宋体" w:eastAsia="宋体" w:hint="default"/>
          <w:sz w:val="21"/>
          <w:szCs w:val="21"/>
        </w:rPr>
      </w:pPr>
    </w:p>
    <w:p>
      <w:pPr>
        <w:pStyle w:val="Heading3"/>
        <w:spacing w:line="240" w:lineRule="auto"/>
        <w:ind w:right="141"/>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72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44"/>
        <w:ind w:left="0" w:right="164"/>
        <w:jc w:val="right"/>
      </w:pPr>
      <w:r>
        <w:rPr/>
        <w:pict>
          <v:shape style="position:absolute;margin-left:57.029995pt;margin-top:-315.247986pt;width:478.35pt;height:334.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5"/>
                    <w:gridCol w:w="863"/>
                    <w:gridCol w:w="877"/>
                    <w:gridCol w:w="870"/>
                    <w:gridCol w:w="870"/>
                    <w:gridCol w:w="869"/>
                    <w:gridCol w:w="870"/>
                    <w:gridCol w:w="870"/>
                    <w:gridCol w:w="870"/>
                    <w:gridCol w:w="870"/>
                    <w:gridCol w:w="869"/>
                  </w:tblGrid>
                  <w:tr>
                    <w:trPr>
                      <w:trHeight w:val="1338" w:hRule="exact"/>
                    </w:trPr>
                    <w:tc>
                      <w:tcPr>
                        <w:tcW w:w="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898" w:hRule="exact"/>
                    </w:trPr>
                    <w:tc>
                      <w:tcPr>
                        <w:tcW w:w="8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sz w:val="18"/>
                          </w:rPr>
                          <w:t>54,870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sz w:val="18"/>
                          </w:rPr>
                          <w:t>931.9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90" w:right="0"/>
                          <w:jc w:val="center"/>
                          <w:rPr>
                            <w:rFonts w:ascii="Times New Roman" w:hAnsi="Times New Roman" w:cs="Times New Roman" w:eastAsia="Times New Roman" w:hint="default"/>
                            <w:sz w:val="18"/>
                            <w:szCs w:val="18"/>
                          </w:rPr>
                        </w:pPr>
                        <w:r>
                          <w:rPr>
                            <w:rFonts w:ascii="Times New Roman"/>
                            <w:sz w:val="18"/>
                          </w:rPr>
                          <w:t>37,006.37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sz w:val="18"/>
                          </w:rPr>
                          <w:t>17,863.63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sz w:val="18"/>
                          </w:rPr>
                          <w:t>17,863.63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sz w:val="18"/>
                          </w:rPr>
                          <w:t>32.56%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2"/>
                          <w:jc w:val="right"/>
                          <w:rPr>
                            <w:rFonts w:ascii="Times New Roman" w:hAnsi="Times New Roman" w:cs="Times New Roman" w:eastAsia="Times New Roman" w:hint="default"/>
                            <w:sz w:val="18"/>
                            <w:szCs w:val="18"/>
                          </w:rPr>
                        </w:pPr>
                        <w:r>
                          <w:rPr>
                            <w:rFonts w:ascii="Times New Roman"/>
                            <w:sz w:val="18"/>
                          </w:rPr>
                          <w:t>17,863.63</w:t>
                        </w:r>
                      </w:p>
                    </w:tc>
                    <w:tc>
                      <w:tcPr>
                        <w:tcW w:w="87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尚未使用 的募集资 金留存在 募集资金 </w:t>
                        </w:r>
                        <w:r>
                          <w:rPr>
                            <w:rFonts w:ascii="宋体" w:hAnsi="宋体" w:cs="宋体" w:eastAsia="宋体" w:hint="default"/>
                            <w:spacing w:val="-18"/>
                            <w:sz w:val="18"/>
                            <w:szCs w:val="18"/>
                          </w:rPr>
                          <w:t>账户，不存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在用于非 募集资金 项目的情 况。</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54,870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37,006.37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17,863.63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17,863.63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32.56%</w:t>
                        </w:r>
                      </w:p>
                    </w:tc>
                    <w:tc>
                      <w:tcPr>
                        <w:tcW w:w="87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17,863.63</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53"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53" w:type="dxa"/>
                        <w:gridSpan w:val="11"/>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37,006.37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万元，其中补充运营资金、偿还银行借款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30,029.49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1"/>
                          <w:ind w:left="11"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元，本次交易的相关税费</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1,135.26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万元，云中心管理平台建设项目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2,913.05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万元，智慧城市行业解决方案建设项目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2,928.57</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万元。尚未使用的募集资金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17,863.63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万元在各募集资金账户留存，经公司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日召开的董事会六届十四次会</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议及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年第一次临时股东大会审议通过，公司决定将上述剩余资金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17,863.63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万元及产生的存</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款利息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4"/>
                            <w:sz w:val="18"/>
                            <w:szCs w:val="18"/>
                          </w:rPr>
                          <w:t>，</w:t>
                        </w:r>
                        <w:r>
                          <w:rPr>
                            <w:rFonts w:ascii="宋体" w:hAnsi="宋体" w:cs="宋体" w:eastAsia="宋体" w:hint="default"/>
                            <w:sz w:val="18"/>
                            <w:szCs w:val="18"/>
                          </w:rPr>
                          <w:t>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17,931.19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万元全部投入常山云数据中心项目一期工程</w:t>
                        </w:r>
                        <w:r>
                          <w:rPr>
                            <w:rFonts w:ascii="宋体" w:hAnsi="宋体" w:cs="宋体" w:eastAsia="宋体" w:hint="default"/>
                            <w:spacing w:val="-84"/>
                            <w:sz w:val="18"/>
                            <w:szCs w:val="18"/>
                          </w:rPr>
                          <w:t>，</w:t>
                        </w:r>
                        <w:r>
                          <w:rPr>
                            <w:rFonts w:ascii="宋体" w:hAnsi="宋体" w:cs="宋体" w:eastAsia="宋体" w:hint="default"/>
                            <w:sz w:val="18"/>
                            <w:szCs w:val="18"/>
                          </w:rPr>
                          <w:t>原项目实施主体由北明软件变更为本公司</w:t>
                        </w:r>
                      </w:p>
                    </w:tc>
                  </w:tr>
                </w:tbl>
                <w:p>
                  <w:pPr/>
                </w:p>
              </w:txbxContent>
            </v:textbox>
            <w10:wrap type="none"/>
          </v:shape>
        </w:pict>
      </w:r>
      <w:r>
        <w:rPr/>
        <w:t>。</w:t>
      </w:r>
    </w:p>
    <w:p>
      <w:pPr>
        <w:spacing w:after="0" w:line="240" w:lineRule="auto"/>
        <w:jc w:val="righ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44"/>
        <w:ind w:left="0" w:right="117"/>
        <w:jc w:val="right"/>
      </w:pPr>
      <w:r>
        <w:rPr/>
        <w:pict>
          <v:shape style="position:absolute;margin-left:56.459999pt;margin-top:-413.588013pt;width:485.25pt;height:629.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775"/>
                    <w:gridCol w:w="784"/>
                    <w:gridCol w:w="780"/>
                    <w:gridCol w:w="779"/>
                    <w:gridCol w:w="780"/>
                    <w:gridCol w:w="780"/>
                    <w:gridCol w:w="780"/>
                    <w:gridCol w:w="692"/>
                    <w:gridCol w:w="780"/>
                    <w:gridCol w:w="780"/>
                  </w:tblGrid>
                  <w:tr>
                    <w:trPr>
                      <w:trHeight w:val="1338"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13" w:right="84" w:hanging="630"/>
                          <w:jc w:val="left"/>
                          <w:rPr>
                            <w:rFonts w:ascii="宋体" w:hAnsi="宋体" w:cs="宋体" w:eastAsia="宋体" w:hint="default"/>
                            <w:sz w:val="18"/>
                            <w:szCs w:val="18"/>
                          </w:rPr>
                        </w:pPr>
                        <w:r>
                          <w:rPr>
                            <w:rFonts w:ascii="宋体" w:hAnsi="宋体" w:cs="宋体" w:eastAsia="宋体" w:hint="default"/>
                            <w:sz w:val="18"/>
                            <w:szCs w:val="18"/>
                          </w:rPr>
                          <w:t>承诺投资项目和超募资 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69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云中心管理平台建设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2,913.05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2,913.05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智慧城市行业解决方 案建设项目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9,290.15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2,928.57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补充运营资金、偿还银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行借款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本次交易的相关税费</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1,135.26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1,135.26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常山云数据中心项目 一期工程</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17,863.63</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931.9</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37,006.37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13" w:space="0" w:color="D3D3D3"/>
                          <w:bottom w:val="single" w:sz="4" w:space="0" w:color="000000"/>
                          <w:right w:val="single" w:sz="9" w:space="0" w:color="D3D3D3"/>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69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5"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37,006.37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4"/>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未达到计划进度或预计 </w:t>
                        </w:r>
                        <w:r>
                          <w:rPr>
                            <w:rFonts w:ascii="宋体" w:hAnsi="宋体" w:cs="宋体" w:eastAsia="宋体" w:hint="default"/>
                            <w:spacing w:val="-6"/>
                            <w:sz w:val="18"/>
                            <w:szCs w:val="18"/>
                          </w:rPr>
                          <w:t>收益的情况和原因（分具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体项目）</w:t>
                        </w:r>
                      </w:p>
                    </w:tc>
                    <w:tc>
                      <w:tcPr>
                        <w:tcW w:w="7710" w:type="dxa"/>
                        <w:gridSpan w:val="10"/>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10" w:type="dxa"/>
                        <w:gridSpan w:val="10"/>
                        <w:vMerge w:val="restart"/>
                        <w:tcBorders>
                          <w:top w:val="single" w:sz="4" w:space="0" w:color="000000"/>
                          <w:left w:val="single" w:sz="10" w:space="0" w:color="D3D3D3"/>
                          <w:right w:val="single" w:sz="4" w:space="0" w:color="000000"/>
                        </w:tcBorders>
                        <w:shd w:val="clear" w:color="auto" w:fill="C7EDCC"/>
                      </w:tcPr>
                      <w:p>
                        <w:pPr>
                          <w:pStyle w:val="TableParagraph"/>
                          <w:spacing w:line="312" w:lineRule="auto" w:before="51"/>
                          <w:ind w:left="15" w:right="23" w:firstLine="360"/>
                          <w:jc w:val="left"/>
                          <w:rPr>
                            <w:rFonts w:ascii="宋体" w:hAnsi="宋体" w:cs="宋体" w:eastAsia="宋体" w:hint="default"/>
                            <w:sz w:val="18"/>
                            <w:szCs w:val="18"/>
                          </w:rPr>
                        </w:pPr>
                        <w:r>
                          <w:rPr>
                            <w:rFonts w:ascii="宋体" w:hAnsi="宋体" w:cs="宋体" w:eastAsia="宋体" w:hint="default"/>
                            <w:sz w:val="18"/>
                            <w:szCs w:val="18"/>
                          </w:rPr>
                          <w:t>由于原募集资金投资项目编制于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月，随着项目研发的推进，影响募投项目的主要因</w:t>
                        </w:r>
                        <w:r>
                          <w:rPr>
                            <w:rFonts w:ascii="宋体" w:hAnsi="宋体" w:cs="宋体" w:eastAsia="宋体" w:hint="default"/>
                            <w:sz w:val="18"/>
                            <w:szCs w:val="18"/>
                          </w:rPr>
                          <w:t> </w:t>
                        </w:r>
                        <w:r>
                          <w:rPr>
                            <w:rFonts w:ascii="宋体" w:hAnsi="宋体" w:cs="宋体" w:eastAsia="宋体" w:hint="default"/>
                            <w:spacing w:val="-3"/>
                            <w:sz w:val="18"/>
                            <w:szCs w:val="18"/>
                          </w:rPr>
                          <w:t>素发生了较大的变化。募投项目实施期间，云计算服务领域和智慧城市建设领域市场发生了较大的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5"/>
                            <w:sz w:val="18"/>
                            <w:szCs w:val="18"/>
                          </w:rPr>
                          <w:t>变化，商业模式不断演变、创新技术不断涌现，需要对原有的经营模式和产品形态进行优化和改善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不断拓宽和增强营收的渠道，提高产品的市场生命力。</w:t>
                        </w:r>
                      </w:p>
                    </w:tc>
                  </w:tr>
                  <w:tr>
                    <w:trPr>
                      <w:trHeight w:val="703"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7710" w:type="dxa"/>
                        <w:gridSpan w:val="10"/>
                        <w:vMerge/>
                        <w:tcBorders>
                          <w:left w:val="single" w:sz="10" w:space="0" w:color="D3D3D3"/>
                          <w:right w:val="single" w:sz="4" w:space="0" w:color="000000"/>
                        </w:tcBorders>
                        <w:shd w:val="clear" w:color="auto" w:fill="C7EDCC"/>
                      </w:tcPr>
                      <w:p>
                        <w:pPr/>
                      </w:p>
                    </w:tc>
                  </w:tr>
                  <w:tr>
                    <w:trPr>
                      <w:trHeight w:val="318"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10" w:type="dxa"/>
                        <w:gridSpan w:val="10"/>
                        <w:vMerge/>
                        <w:tcBorders>
                          <w:left w:val="single" w:sz="10" w:space="0" w:color="D3D3D3"/>
                          <w:bottom w:val="single" w:sz="4" w:space="0" w:color="000000"/>
                          <w:right w:val="single" w:sz="4" w:space="0" w:color="000000"/>
                        </w:tcBorders>
                        <w:shd w:val="clear" w:color="auto" w:fill="C7EDCC"/>
                      </w:tcPr>
                      <w:p>
                        <w:pPr/>
                      </w:p>
                    </w:tc>
                  </w:tr>
                  <w:tr>
                    <w:trPr>
                      <w:trHeight w:val="402" w:hRule="exact"/>
                    </w:trPr>
                    <w:tc>
                      <w:tcPr>
                        <w:tcW w:w="19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2" w:right="23"/>
                          <w:jc w:val="left"/>
                          <w:rPr>
                            <w:rFonts w:ascii="宋体" w:hAnsi="宋体" w:cs="宋体" w:eastAsia="宋体" w:hint="default"/>
                            <w:sz w:val="18"/>
                            <w:szCs w:val="18"/>
                          </w:rPr>
                        </w:pPr>
                        <w:r>
                          <w:rPr>
                            <w:rFonts w:ascii="宋体" w:hAnsi="宋体" w:cs="宋体" w:eastAsia="宋体" w:hint="default"/>
                            <w:spacing w:val="-6"/>
                            <w:sz w:val="18"/>
                            <w:szCs w:val="18"/>
                          </w:rPr>
                          <w:t>超募资金的金额、用途及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使用进展情况</w:t>
                        </w:r>
                      </w:p>
                    </w:tc>
                    <w:tc>
                      <w:tcPr>
                        <w:tcW w:w="7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0" w:type="dxa"/>
                        <w:vMerge/>
                        <w:tcBorders>
                          <w:left w:val="single" w:sz="4" w:space="0" w:color="000000"/>
                          <w:bottom w:val="single" w:sz="4" w:space="0" w:color="000000"/>
                          <w:right w:val="single" w:sz="4" w:space="0" w:color="000000"/>
                        </w:tcBorders>
                        <w:shd w:val="clear" w:color="auto" w:fill="D3D3D3"/>
                      </w:tcPr>
                      <w:p>
                        <w:pPr/>
                      </w:p>
                    </w:tc>
                    <w:tc>
                      <w:tcPr>
                        <w:tcW w:w="7710"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7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980" w:type="dxa"/>
                        <w:vMerge/>
                        <w:tcBorders>
                          <w:left w:val="single" w:sz="4" w:space="0" w:color="000000"/>
                          <w:right w:val="single" w:sz="4" w:space="0" w:color="000000"/>
                        </w:tcBorders>
                        <w:shd w:val="clear" w:color="auto" w:fill="D3D3D3"/>
                      </w:tcPr>
                      <w:p>
                        <w:pPr/>
                      </w:p>
                    </w:tc>
                    <w:tc>
                      <w:tcPr>
                        <w:tcW w:w="7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402" w:hRule="exact"/>
                    </w:trPr>
                    <w:tc>
                      <w:tcPr>
                        <w:tcW w:w="1980" w:type="dxa"/>
                        <w:vMerge/>
                        <w:tcBorders>
                          <w:left w:val="single" w:sz="4" w:space="0" w:color="000000"/>
                          <w:bottom w:val="single" w:sz="4" w:space="0" w:color="000000"/>
                          <w:right w:val="single" w:sz="4" w:space="0" w:color="000000"/>
                        </w:tcBorders>
                        <w:shd w:val="clear" w:color="auto" w:fill="D3D3D3"/>
                      </w:tcPr>
                      <w:p>
                        <w:pPr/>
                      </w:p>
                    </w:tc>
                    <w:tc>
                      <w:tcPr>
                        <w:tcW w:w="7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原项目实施主体由北明软件变更为本公司，在石家庄市正定县高新技术产业园常山工业园内实施</w:t>
                        </w:r>
                      </w:p>
                    </w:tc>
                  </w:tr>
                  <w:tr>
                    <w:trPr>
                      <w:trHeight w:val="402" w:hRule="exact"/>
                    </w:trPr>
                    <w:tc>
                      <w:tcPr>
                        <w:tcW w:w="19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2"/>
                            <w:szCs w:val="22"/>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7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0" w:type="dxa"/>
                        <w:vMerge/>
                        <w:tcBorders>
                          <w:left w:val="single" w:sz="4" w:space="0" w:color="000000"/>
                          <w:right w:val="single" w:sz="4" w:space="0" w:color="000000"/>
                        </w:tcBorders>
                        <w:shd w:val="clear" w:color="auto" w:fill="D3D3D3"/>
                      </w:tcPr>
                      <w:p>
                        <w:pPr/>
                      </w:p>
                    </w:tc>
                    <w:tc>
                      <w:tcPr>
                        <w:tcW w:w="7710"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0" w:type="dxa"/>
                        <w:vMerge/>
                        <w:tcBorders>
                          <w:left w:val="single" w:sz="4" w:space="0" w:color="000000"/>
                          <w:bottom w:val="single" w:sz="4" w:space="0" w:color="000000"/>
                          <w:right w:val="single" w:sz="4" w:space="0" w:color="000000"/>
                        </w:tcBorders>
                        <w:shd w:val="clear" w:color="auto" w:fill="D3D3D3"/>
                      </w:tcPr>
                      <w:p>
                        <w:pPr/>
                      </w:p>
                    </w:tc>
                    <w:tc>
                      <w:tcPr>
                        <w:tcW w:w="7710"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募集资金投资项目先期</w:t>
                        </w:r>
                      </w:p>
                    </w:tc>
                    <w:tc>
                      <w:tcPr>
                        <w:tcW w:w="7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44"/>
        <w:ind w:left="0" w:right="120"/>
        <w:jc w:val="right"/>
      </w:pPr>
      <w:r>
        <w:rPr/>
        <w:t>。</w:t>
      </w:r>
    </w:p>
    <w:p>
      <w:pPr>
        <w:spacing w:after="0" w:line="240" w:lineRule="auto"/>
        <w:jc w:val="right"/>
        <w:sectPr>
          <w:pgSz w:w="11910" w:h="16840"/>
          <w:pgMar w:header="747" w:footer="982" w:top="1060" w:bottom="1180" w:left="980" w:right="900"/>
        </w:sectPr>
      </w:pPr>
    </w:p>
    <w:p>
      <w:pPr>
        <w:spacing w:line="240" w:lineRule="auto" w:before="0"/>
        <w:rPr>
          <w:rFonts w:ascii="宋体" w:hAnsi="宋体" w:cs="宋体" w:eastAsia="宋体" w:hint="default"/>
          <w:sz w:val="20"/>
          <w:szCs w:val="20"/>
        </w:rPr>
      </w:pPr>
      <w:r>
        <w:rPr/>
        <w:pict>
          <v:group style="position:absolute;margin-left:155.940002pt;margin-top:459.100006pt;width:47.4pt;height:46.8pt;mso-position-horizontal-relative:page;mso-position-vertical-relative:page;z-index:-1222000" coordorigin="3119,9182" coordsize="948,936">
            <v:shape style="position:absolute;left:3119;top:9182;width:948;height:936" coordorigin="3119,9182" coordsize="948,936" path="m3119,10118l4067,10118,4067,9182,3119,9182,3119,10118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44"/>
        <w:ind w:left="0" w:right="117"/>
        <w:jc w:val="right"/>
      </w:pPr>
      <w:r>
        <w:rPr/>
        <w:pict>
          <v:shape style="position:absolute;margin-left:56.459999pt;margin-top:-137.048019pt;width:485.25pt;height:172.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5"/>
                    <w:gridCol w:w="7715"/>
                  </w:tblGrid>
                  <w:tr>
                    <w:trPr>
                      <w:trHeight w:val="402" w:hRule="exact"/>
                    </w:trPr>
                    <w:tc>
                      <w:tcPr>
                        <w:tcW w:w="1975"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投入及置换情况</w:t>
                        </w:r>
                      </w:p>
                    </w:tc>
                    <w:tc>
                      <w:tcPr>
                        <w:tcW w:w="7715"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975"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1"/>
                          <w:ind w:left="22" w:right="140"/>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771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75" w:type="dxa"/>
                        <w:vMerge/>
                        <w:tcBorders>
                          <w:left w:val="single" w:sz="4" w:space="0" w:color="000000"/>
                          <w:bottom w:val="single" w:sz="4" w:space="0" w:color="FFFFFF"/>
                          <w:right w:val="single" w:sz="4" w:space="0" w:color="000000"/>
                        </w:tcBorders>
                        <w:shd w:val="clear" w:color="auto" w:fill="D3D3D3"/>
                      </w:tcPr>
                      <w:p>
                        <w:pPr/>
                      </w:p>
                    </w:tc>
                    <w:tc>
                      <w:tcPr>
                        <w:tcW w:w="7715"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975"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1"/>
                          <w:ind w:left="22" w:right="140"/>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7715"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75" w:type="dxa"/>
                        <w:vMerge/>
                        <w:tcBorders>
                          <w:left w:val="single" w:sz="4" w:space="0" w:color="000000"/>
                          <w:bottom w:val="single" w:sz="4" w:space="0" w:color="000000"/>
                          <w:right w:val="single" w:sz="4" w:space="0" w:color="000000"/>
                        </w:tcBorders>
                        <w:shd w:val="clear" w:color="auto" w:fill="D3D3D3"/>
                      </w:tcPr>
                      <w:p>
                        <w:pPr/>
                      </w:p>
                    </w:tc>
                    <w:tc>
                      <w:tcPr>
                        <w:tcW w:w="77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77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7" w:right="21" w:firstLine="36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日，尚未使用的募集资金留存在募集资金账户，不存在用于非募集资金</w:t>
                        </w:r>
                        <w:r>
                          <w:rPr>
                            <w:rFonts w:ascii="宋体" w:hAnsi="宋体" w:cs="宋体" w:eastAsia="宋体" w:hint="default"/>
                            <w:sz w:val="18"/>
                            <w:szCs w:val="18"/>
                          </w:rPr>
                          <w:t> 项目的情况。</w:t>
                        </w:r>
                      </w:p>
                    </w:tc>
                  </w:tr>
                  <w:tr>
                    <w:trPr>
                      <w:trHeight w:val="714" w:hRule="exact"/>
                    </w:trPr>
                    <w:tc>
                      <w:tcPr>
                        <w:tcW w:w="1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0"/>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771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97" w:right="110"/>
                          <w:jc w:val="left"/>
                          <w:rPr>
                            <w:rFonts w:ascii="宋体" w:hAnsi="宋体" w:cs="宋体" w:eastAsia="宋体" w:hint="default"/>
                            <w:sz w:val="18"/>
                            <w:szCs w:val="18"/>
                          </w:rPr>
                        </w:pPr>
                        <w:r>
                          <w:rPr>
                            <w:rFonts w:ascii="宋体" w:hAnsi="宋体" w:cs="宋体" w:eastAsia="宋体" w:hint="default"/>
                            <w:spacing w:val="-7"/>
                            <w:sz w:val="18"/>
                            <w:szCs w:val="18"/>
                          </w:rPr>
                          <w:t>（一）公司已披露的募集资金使用相关信息不存在未及时、真实、准确、完整披露的情况。（二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公司募集资金存放、使用、管理及披露不存在违规情形。</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0"/>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23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00"/>
        <w:gridCol w:w="1080"/>
        <w:gridCol w:w="958"/>
        <w:gridCol w:w="958"/>
        <w:gridCol w:w="956"/>
        <w:gridCol w:w="956"/>
        <w:gridCol w:w="958"/>
        <w:gridCol w:w="955"/>
        <w:gridCol w:w="958"/>
        <w:gridCol w:w="956"/>
      </w:tblGrid>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3" w:right="84"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3" w:right="84"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3"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2274" w:hRule="exact"/>
        </w:trPr>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常山云数 据中心项 目一期工 程</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云中心管理 平台建设项 </w:t>
            </w:r>
            <w:r>
              <w:rPr>
                <w:rFonts w:ascii="宋体" w:hAnsi="宋体" w:cs="宋体" w:eastAsia="宋体" w:hint="default"/>
                <w:spacing w:val="-10"/>
                <w:sz w:val="18"/>
                <w:szCs w:val="18"/>
              </w:rPr>
              <w:t>目、智慧城市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行业解决方 案建设项目、 本次交易的 相关税费</w:t>
            </w:r>
          </w:p>
        </w:tc>
        <w:tc>
          <w:tcPr>
            <w:tcW w:w="95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17,863.63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17,863.63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210" w:hRule="exact"/>
        </w:trPr>
        <w:tc>
          <w:tcPr>
            <w:tcW w:w="29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7"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51"/>
              <w:ind w:left="22" w:right="20"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鉴于本次募集资金的募投项目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云中心管理平台项目和智慧城市行业解决方案建 </w:t>
            </w:r>
            <w:r>
              <w:rPr>
                <w:rFonts w:ascii="宋体" w:hAnsi="宋体" w:cs="宋体" w:eastAsia="宋体" w:hint="default"/>
                <w:spacing w:val="-1"/>
                <w:sz w:val="18"/>
                <w:szCs w:val="18"/>
              </w:rPr>
              <w:t>设项目实施期间，云计算服务领域和智慧城市建设领域市场发生了较大的变化，商业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模式不断演变、创新技术不断涌现，需要对原有的经营模式和产品形态进行优化和改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善，不断拓宽和增强营收的渠道，提高产品的市场生命力。结合公司自身发展战略及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实际经营需要，经公司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日召开的董事会六届十四次会议及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9" w:lineRule="auto" w:before="1"/>
              <w:ind w:left="22" w:right="23"/>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年第一次临时股东大会审议通过，公司决定变更云中心管理平台 </w:t>
            </w:r>
            <w:r>
              <w:rPr>
                <w:rFonts w:ascii="宋体" w:hAnsi="宋体" w:cs="宋体" w:eastAsia="宋体" w:hint="default"/>
                <w:spacing w:val="-1"/>
                <w:sz w:val="18"/>
                <w:szCs w:val="18"/>
              </w:rPr>
              <w:t>建设项目、智慧城市行业解决方案建设项目、本次交易的相关税费尚未使用部分募集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资金的用途，将上述剩余资金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17,863.63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万元及产生的存款利息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万元，共计</w:t>
            </w:r>
          </w:p>
          <w:p>
            <w:pPr>
              <w:pStyle w:val="TableParagraph"/>
              <w:spacing w:line="302" w:lineRule="auto" w:before="5"/>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17,931.19</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万元全部投入常山云数据中心项目一期工程，原项目实施主体由北明软件变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更为本公司。</w:t>
            </w:r>
          </w:p>
        </w:tc>
      </w:tr>
      <w:tr>
        <w:trPr>
          <w:trHeight w:val="714" w:hRule="exact"/>
        </w:trPr>
        <w:tc>
          <w:tcPr>
            <w:tcW w:w="29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 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7"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9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 情况说明</w:t>
            </w:r>
          </w:p>
        </w:tc>
        <w:tc>
          <w:tcPr>
            <w:tcW w:w="6697"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00"/>
        </w:sectPr>
      </w:pPr>
    </w:p>
    <w:p>
      <w:pPr>
        <w:spacing w:line="240" w:lineRule="auto" w:before="9"/>
        <w:rPr>
          <w:rFonts w:ascii="宋体" w:hAnsi="宋体" w:cs="宋体" w:eastAsia="宋体" w:hint="default"/>
          <w:sz w:val="23"/>
          <w:szCs w:val="23"/>
        </w:rPr>
      </w:pPr>
    </w:p>
    <w:p>
      <w:pPr>
        <w:pStyle w:val="Heading2"/>
        <w:spacing w:line="240" w:lineRule="auto" w:before="26"/>
        <w:ind w:right="141"/>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41"/>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5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4849" w:space="4070"/>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954"/>
        <w:gridCol w:w="1232"/>
        <w:gridCol w:w="1045"/>
        <w:gridCol w:w="1046"/>
        <w:gridCol w:w="1044"/>
        <w:gridCol w:w="118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63" w:hRule="exact"/>
        </w:trPr>
        <w:tc>
          <w:tcPr>
            <w:tcW w:w="1054" w:type="dxa"/>
            <w:tcBorders>
              <w:top w:val="single" w:sz="4" w:space="0" w:color="000000"/>
              <w:left w:val="single" w:sz="4" w:space="0" w:color="000000"/>
              <w:bottom w:val="nil" w:sz="6" w:space="0" w:color="auto"/>
              <w:right w:val="single" w:sz="4" w:space="0" w:color="000000"/>
            </w:tcBorders>
            <w:shd w:val="clear" w:color="auto" w:fill="C7EDCC"/>
          </w:tcPr>
          <w:p>
            <w:pPr/>
          </w:p>
        </w:tc>
        <w:tc>
          <w:tcPr>
            <w:tcW w:w="954" w:type="dxa"/>
            <w:tcBorders>
              <w:top w:val="single" w:sz="4" w:space="0" w:color="000000"/>
              <w:left w:val="single" w:sz="4" w:space="0" w:color="000000"/>
              <w:bottom w:val="nil" w:sz="6" w:space="0" w:color="auto"/>
              <w:right w:val="single" w:sz="13" w:space="0" w:color="C7EDCC"/>
            </w:tcBorders>
          </w:tcPr>
          <w:p>
            <w:pPr/>
          </w:p>
        </w:tc>
        <w:tc>
          <w:tcPr>
            <w:tcW w:w="123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办公</w:t>
            </w:r>
          </w:p>
        </w:tc>
        <w:tc>
          <w:tcPr>
            <w:tcW w:w="1045" w:type="dxa"/>
            <w:tcBorders>
              <w:top w:val="single" w:sz="4" w:space="0" w:color="000000"/>
              <w:left w:val="single" w:sz="4" w:space="0" w:color="000000"/>
              <w:bottom w:val="nil" w:sz="6" w:space="0" w:color="auto"/>
              <w:right w:val="single" w:sz="4" w:space="0" w:color="000000"/>
            </w:tcBorders>
            <w:shd w:val="clear" w:color="auto" w:fill="C7EDCC"/>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184"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954" w:type="dxa"/>
            <w:tcBorders>
              <w:top w:val="nil" w:sz="6" w:space="0" w:color="auto"/>
              <w:left w:val="single" w:sz="4" w:space="0" w:color="000000"/>
              <w:bottom w:val="nil" w:sz="6" w:space="0" w:color="auto"/>
              <w:right w:val="single" w:sz="13" w:space="0" w:color="C7EDCC"/>
            </w:tcBorders>
          </w:tcPr>
          <w:p>
            <w:pPr/>
          </w:p>
        </w:tc>
        <w:tc>
          <w:tcPr>
            <w:tcW w:w="12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z w:val="18"/>
                <w:szCs w:val="18"/>
              </w:rPr>
              <w:t>设备批发</w:t>
            </w:r>
            <w:r>
              <w:rPr>
                <w:rFonts w:ascii="Times New Roman" w:hAnsi="Times New Roman" w:cs="Times New Roman" w:eastAsia="Times New Roman" w:hint="default"/>
                <w:sz w:val="18"/>
                <w:szCs w:val="18"/>
              </w:rPr>
              <w:t>;</w:t>
            </w:r>
            <w:r>
              <w:rPr>
                <w:rFonts w:ascii="宋体" w:hAnsi="宋体" w:cs="宋体" w:eastAsia="宋体" w:hint="default"/>
                <w:sz w:val="18"/>
                <w:szCs w:val="18"/>
              </w:rPr>
              <w:t>电子</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18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北明软件有 限公司</w:t>
            </w:r>
          </w:p>
        </w:tc>
        <w:tc>
          <w:tcPr>
            <w:tcW w:w="954" w:type="dxa"/>
            <w:tcBorders>
              <w:top w:val="nil" w:sz="6" w:space="0" w:color="auto"/>
              <w:left w:val="single" w:sz="4" w:space="0" w:color="000000"/>
              <w:bottom w:val="nil" w:sz="6" w:space="0" w:color="auto"/>
              <w:right w:val="single" w:sz="13" w:space="0" w:color="C7EDCC"/>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5"/>
              <w:ind w:left="-5"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元器件批发</w:t>
            </w:r>
            <w:r>
              <w:rPr>
                <w:rFonts w:ascii="Times New Roman" w:hAnsi="Times New Roman" w:cs="Times New Roman" w:eastAsia="Times New Roman" w:hint="default"/>
                <w:sz w:val="18"/>
                <w:szCs w:val="18"/>
              </w:rPr>
              <w:t>;</w:t>
            </w:r>
            <w:r>
              <w:rPr>
                <w:rFonts w:ascii="宋体" w:hAnsi="宋体" w:cs="宋体" w:eastAsia="宋体" w:hint="default"/>
                <w:sz w:val="18"/>
                <w:szCs w:val="18"/>
              </w:rPr>
              <w:t>软 件服务</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智能化 安装工程服务</w:t>
            </w:r>
            <w:r>
              <w:rPr>
                <w:rFonts w:ascii="Times New Roman" w:hAnsi="Times New Roman" w:cs="Times New Roman" w:eastAsia="Times New Roman" w:hint="default"/>
                <w:sz w:val="18"/>
                <w:szCs w:val="18"/>
              </w:rPr>
              <w:t>;</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738,700,000.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4,681,737,83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4.01</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1,728,346,23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1.17</w:t>
            </w:r>
          </w:p>
        </w:tc>
        <w:tc>
          <w:tcPr>
            <w:tcW w:w="11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4,015,715,238.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302,714,918.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299,980,312.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r>
      <w:tr>
        <w:trPr>
          <w:trHeight w:val="313"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954" w:type="dxa"/>
            <w:tcBorders>
              <w:top w:val="nil" w:sz="6" w:space="0" w:color="auto"/>
              <w:left w:val="single" w:sz="4" w:space="0" w:color="000000"/>
              <w:bottom w:val="nil" w:sz="6" w:space="0" w:color="auto"/>
              <w:right w:val="single" w:sz="13" w:space="0" w:color="C7EDCC"/>
            </w:tcBorders>
          </w:tcPr>
          <w:p>
            <w:pPr/>
          </w:p>
        </w:tc>
        <w:tc>
          <w:tcPr>
            <w:tcW w:w="12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5" w:right="0"/>
              <w:jc w:val="left"/>
              <w:rPr>
                <w:rFonts w:ascii="宋体" w:hAnsi="宋体" w:cs="宋体" w:eastAsia="宋体" w:hint="default"/>
                <w:sz w:val="18"/>
                <w:szCs w:val="18"/>
              </w:rPr>
            </w:pPr>
            <w:r>
              <w:rPr>
                <w:rFonts w:ascii="宋体" w:hAnsi="宋体" w:cs="宋体" w:eastAsia="宋体" w:hint="default"/>
                <w:sz w:val="18"/>
                <w:szCs w:val="18"/>
              </w:rPr>
              <w:t>技术进出口</w:t>
            </w:r>
            <w:r>
              <w:rPr>
                <w:rFonts w:ascii="Times New Roman" w:hAnsi="Times New Roman" w:cs="Times New Roman" w:eastAsia="Times New Roman" w:hint="default"/>
                <w:sz w:val="18"/>
                <w:szCs w:val="18"/>
              </w:rPr>
              <w:t>;</w:t>
            </w:r>
            <w:r>
              <w:rPr>
                <w:rFonts w:ascii="宋体" w:hAnsi="宋体" w:cs="宋体" w:eastAsia="宋体" w:hint="default"/>
                <w:sz w:val="18"/>
                <w:szCs w:val="18"/>
              </w:rPr>
              <w:t>通</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18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shd w:val="clear" w:color="auto" w:fill="C7EDCC"/>
          </w:tcPr>
          <w:p>
            <w:pPr/>
          </w:p>
        </w:tc>
        <w:tc>
          <w:tcPr>
            <w:tcW w:w="954" w:type="dxa"/>
            <w:tcBorders>
              <w:top w:val="nil" w:sz="6" w:space="0" w:color="auto"/>
              <w:left w:val="single" w:sz="4" w:space="0" w:color="000000"/>
              <w:bottom w:val="single" w:sz="4" w:space="0" w:color="000000"/>
              <w:right w:val="single" w:sz="13" w:space="0" w:color="C7EDCC"/>
            </w:tcBorders>
          </w:tcPr>
          <w:p>
            <w:pPr/>
          </w:p>
        </w:tc>
        <w:tc>
          <w:tcPr>
            <w:tcW w:w="123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5" w:right="-33"/>
              <w:jc w:val="left"/>
              <w:rPr>
                <w:rFonts w:ascii="宋体" w:hAnsi="宋体" w:cs="宋体" w:eastAsia="宋体" w:hint="default"/>
                <w:sz w:val="18"/>
                <w:szCs w:val="18"/>
              </w:rPr>
            </w:pPr>
            <w:r>
              <w:rPr>
                <w:rFonts w:ascii="宋体" w:hAnsi="宋体" w:cs="宋体" w:eastAsia="宋体" w:hint="default"/>
                <w:sz w:val="18"/>
                <w:szCs w:val="18"/>
              </w:rPr>
              <w:t>信设备零售等。</w:t>
            </w:r>
          </w:p>
        </w:tc>
        <w:tc>
          <w:tcPr>
            <w:tcW w:w="1045" w:type="dxa"/>
            <w:tcBorders>
              <w:top w:val="nil" w:sz="6" w:space="0" w:color="auto"/>
              <w:left w:val="single" w:sz="4" w:space="0" w:color="000000"/>
              <w:bottom w:val="single" w:sz="4" w:space="0" w:color="000000"/>
              <w:right w:val="single" w:sz="4" w:space="0" w:color="000000"/>
            </w:tcBorders>
            <w:shd w:val="clear" w:color="auto" w:fill="C7EDCC"/>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184"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shd w:val="clear" w:color="auto" w:fill="C7EDCC"/>
          </w:tcPr>
          <w:p>
            <w:pPr/>
          </w:p>
        </w:tc>
        <w:tc>
          <w:tcPr>
            <w:tcW w:w="954" w:type="dxa"/>
            <w:tcBorders>
              <w:top w:val="single" w:sz="4" w:space="0" w:color="000000"/>
              <w:left w:val="single" w:sz="4" w:space="0" w:color="000000"/>
              <w:bottom w:val="nil" w:sz="6" w:space="0" w:color="auto"/>
              <w:right w:val="single" w:sz="13" w:space="0" w:color="C7EDCC"/>
            </w:tcBorders>
          </w:tcPr>
          <w:p>
            <w:pPr/>
          </w:p>
        </w:tc>
        <w:tc>
          <w:tcPr>
            <w:tcW w:w="123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主要从事天然</w:t>
            </w:r>
          </w:p>
        </w:tc>
        <w:tc>
          <w:tcPr>
            <w:tcW w:w="1045" w:type="dxa"/>
            <w:tcBorders>
              <w:top w:val="single" w:sz="4" w:space="0" w:color="000000"/>
              <w:left w:val="single" w:sz="4" w:space="0" w:color="000000"/>
              <w:bottom w:val="nil" w:sz="6" w:space="0" w:color="auto"/>
              <w:right w:val="single" w:sz="4" w:space="0" w:color="000000"/>
            </w:tcBorders>
            <w:shd w:val="clear" w:color="auto" w:fill="C7EDCC"/>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184"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954" w:type="dxa"/>
            <w:tcBorders>
              <w:top w:val="nil" w:sz="6" w:space="0" w:color="auto"/>
              <w:left w:val="single" w:sz="4" w:space="0" w:color="000000"/>
              <w:bottom w:val="nil" w:sz="6" w:space="0" w:color="auto"/>
              <w:right w:val="single" w:sz="13" w:space="0" w:color="C7EDCC"/>
            </w:tcBorders>
          </w:tcPr>
          <w:p>
            <w:pPr/>
          </w:p>
        </w:tc>
        <w:tc>
          <w:tcPr>
            <w:tcW w:w="12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pacing w:val="-9"/>
                <w:sz w:val="18"/>
                <w:szCs w:val="18"/>
              </w:rPr>
              <w:t>纤维、功能型纤</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18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954" w:type="dxa"/>
            <w:tcBorders>
              <w:top w:val="nil" w:sz="6" w:space="0" w:color="auto"/>
              <w:left w:val="single" w:sz="4" w:space="0" w:color="000000"/>
              <w:bottom w:val="nil" w:sz="6" w:space="0" w:color="auto"/>
              <w:right w:val="single" w:sz="13" w:space="0" w:color="C7EDCC"/>
            </w:tcBorders>
          </w:tcPr>
          <w:p>
            <w:pPr/>
          </w:p>
        </w:tc>
        <w:tc>
          <w:tcPr>
            <w:tcW w:w="12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pacing w:val="-8"/>
                <w:sz w:val="18"/>
                <w:szCs w:val="18"/>
              </w:rPr>
              <w:t>维、纺织品、服</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18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石家庄常山 恒新纺织有 限公司</w:t>
            </w:r>
          </w:p>
        </w:tc>
        <w:tc>
          <w:tcPr>
            <w:tcW w:w="954" w:type="dxa"/>
            <w:tcBorders>
              <w:top w:val="nil" w:sz="6" w:space="0" w:color="auto"/>
              <w:left w:val="single" w:sz="4" w:space="0" w:color="000000"/>
              <w:bottom w:val="nil" w:sz="6" w:space="0" w:color="auto"/>
              <w:right w:val="single" w:sz="13"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5" w:right="23"/>
              <w:jc w:val="left"/>
              <w:rPr>
                <w:rFonts w:ascii="宋体" w:hAnsi="宋体" w:cs="宋体" w:eastAsia="宋体" w:hint="default"/>
                <w:sz w:val="18"/>
                <w:szCs w:val="18"/>
              </w:rPr>
            </w:pPr>
            <w:r>
              <w:rPr>
                <w:rFonts w:ascii="宋体" w:hAnsi="宋体" w:cs="宋体" w:eastAsia="宋体" w:hint="default"/>
                <w:sz w:val="18"/>
                <w:szCs w:val="18"/>
              </w:rPr>
              <w:t>装的研究开发 </w:t>
            </w:r>
            <w:r>
              <w:rPr>
                <w:rFonts w:ascii="宋体" w:hAnsi="宋体" w:cs="宋体" w:eastAsia="宋体" w:hint="default"/>
                <w:spacing w:val="-9"/>
                <w:sz w:val="18"/>
                <w:szCs w:val="18"/>
              </w:rPr>
              <w:t>制造销售；本企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业科研产品、技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术成果推广及</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290,000,000.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1,202,589,28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7.18</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442,436,658.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11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1,151,991,274.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14,870,577.6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pacing w:val="-1"/>
                <w:sz w:val="18"/>
              </w:rPr>
              <w:t>11,086,421.2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954" w:type="dxa"/>
            <w:tcBorders>
              <w:top w:val="nil" w:sz="6" w:space="0" w:color="auto"/>
              <w:left w:val="single" w:sz="4" w:space="0" w:color="000000"/>
              <w:bottom w:val="nil" w:sz="6" w:space="0" w:color="auto"/>
              <w:right w:val="single" w:sz="13" w:space="0" w:color="C7EDCC"/>
            </w:tcBorders>
          </w:tcPr>
          <w:p>
            <w:pPr/>
          </w:p>
        </w:tc>
        <w:tc>
          <w:tcPr>
            <w:tcW w:w="12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转让；天然纤</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18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shd w:val="clear" w:color="auto" w:fill="C7EDCC"/>
          </w:tcPr>
          <w:p>
            <w:pPr/>
          </w:p>
        </w:tc>
        <w:tc>
          <w:tcPr>
            <w:tcW w:w="954" w:type="dxa"/>
            <w:tcBorders>
              <w:top w:val="nil" w:sz="6" w:space="0" w:color="auto"/>
              <w:left w:val="single" w:sz="4" w:space="0" w:color="000000"/>
              <w:bottom w:val="nil" w:sz="6" w:space="0" w:color="auto"/>
              <w:right w:val="single" w:sz="13" w:space="0" w:color="C7EDCC"/>
            </w:tcBorders>
          </w:tcPr>
          <w:p>
            <w:pPr/>
          </w:p>
        </w:tc>
        <w:tc>
          <w:tcPr>
            <w:tcW w:w="12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pacing w:val="-9"/>
                <w:sz w:val="18"/>
                <w:szCs w:val="18"/>
              </w:rPr>
              <w:t>维、化学纤维经</w:t>
            </w:r>
          </w:p>
        </w:tc>
        <w:tc>
          <w:tcPr>
            <w:tcW w:w="1045" w:type="dxa"/>
            <w:tcBorders>
              <w:top w:val="nil" w:sz="6" w:space="0" w:color="auto"/>
              <w:left w:val="single" w:sz="4" w:space="0" w:color="000000"/>
              <w:bottom w:val="nil" w:sz="6" w:space="0" w:color="auto"/>
              <w:right w:val="single" w:sz="4" w:space="0" w:color="000000"/>
            </w:tcBorders>
            <w:shd w:val="clear" w:color="auto" w:fill="C7EDCC"/>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18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shd w:val="clear" w:color="auto" w:fill="C7EDCC"/>
          </w:tcPr>
          <w:p>
            <w:pPr/>
          </w:p>
        </w:tc>
        <w:tc>
          <w:tcPr>
            <w:tcW w:w="954" w:type="dxa"/>
            <w:tcBorders>
              <w:top w:val="nil" w:sz="6" w:space="0" w:color="auto"/>
              <w:left w:val="single" w:sz="4" w:space="0" w:color="000000"/>
              <w:bottom w:val="single" w:sz="4" w:space="0" w:color="000000"/>
              <w:right w:val="single" w:sz="13" w:space="0" w:color="C7EDCC"/>
            </w:tcBorders>
          </w:tcPr>
          <w:p>
            <w:pPr/>
          </w:p>
        </w:tc>
        <w:tc>
          <w:tcPr>
            <w:tcW w:w="123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5"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045" w:type="dxa"/>
            <w:tcBorders>
              <w:top w:val="nil" w:sz="6" w:space="0" w:color="auto"/>
              <w:left w:val="single" w:sz="4" w:space="0" w:color="000000"/>
              <w:bottom w:val="single" w:sz="4" w:space="0" w:color="000000"/>
              <w:right w:val="single" w:sz="4" w:space="0" w:color="000000"/>
            </w:tcBorders>
            <w:shd w:val="clear" w:color="auto" w:fill="C7EDCC"/>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184"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154" w:right="141"/>
        <w:jc w:val="left"/>
      </w:pPr>
      <w:r>
        <w:rPr/>
        <w:t>报告期内取得和处置子公司的情况</w:t>
      </w:r>
    </w:p>
    <w:p>
      <w:pPr>
        <w:pStyle w:val="BodyText"/>
        <w:spacing w:line="240" w:lineRule="auto" w:before="117"/>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河北常山恒云数据科技有限公司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河北北明兴云互联网科技有限责任公司</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170"/>
        <w:jc w:val="left"/>
      </w:pPr>
      <w:r>
        <w:rPr/>
        <w:t>（一）公司所处的行业格局和形势</w:t>
      </w:r>
    </w:p>
    <w:p>
      <w:pPr>
        <w:pStyle w:val="BodyText"/>
        <w:spacing w:line="240" w:lineRule="auto" w:before="116"/>
        <w:ind w:left="513" w:right="170"/>
        <w:jc w:val="left"/>
      </w:pPr>
      <w:r>
        <w:rPr>
          <w:rFonts w:ascii="Times New Roman" w:hAnsi="Times New Roman" w:cs="Times New Roman" w:eastAsia="Times New Roman" w:hint="default"/>
        </w:rPr>
        <w:t>1</w:t>
      </w:r>
      <w:r>
        <w:rPr/>
        <w:t>、纺织行业</w:t>
      </w:r>
    </w:p>
    <w:p>
      <w:pPr>
        <w:pStyle w:val="BodyText"/>
        <w:spacing w:line="300" w:lineRule="auto" w:before="102"/>
        <w:ind w:right="171" w:firstLine="360"/>
        <w:jc w:val="both"/>
      </w:pPr>
      <w:r>
        <w:rPr>
          <w:rFonts w:ascii="Times New Roman" w:hAnsi="Times New Roman" w:cs="Times New Roman" w:eastAsia="Times New Roman" w:hint="default"/>
          <w:spacing w:val="-2"/>
        </w:rPr>
        <w:t>2018</w:t>
      </w:r>
      <w:r>
        <w:rPr>
          <w:spacing w:val="-2"/>
        </w:rPr>
        <w:t>年，纺织行业有望继续保持平稳发展的势头。国际方面，全球经济呈现持续复苏迹象，经济增速或将较</w:t>
      </w:r>
      <w:r>
        <w:rPr>
          <w:rFonts w:ascii="Times New Roman" w:hAnsi="Times New Roman" w:cs="Times New Roman" w:eastAsia="Times New Roman" w:hint="default"/>
          <w:spacing w:val="-2"/>
        </w:rPr>
        <w:t>2017</w:t>
      </w:r>
      <w:r>
        <w:rPr>
          <w:spacing w:val="-2"/>
        </w:rPr>
        <w:t>年略微</w:t>
      </w:r>
      <w:r>
        <w:rPr/>
        <w:t> </w:t>
      </w:r>
      <w:r>
        <w:rPr>
          <w:spacing w:val="-2"/>
        </w:rPr>
        <w:t>加快，消费者信心将随经济向好有所增强，大宗商品价格稳定也有利于生产恢复，预计纺织行业出口情况有望较</w:t>
      </w:r>
      <w:r>
        <w:rPr>
          <w:rFonts w:ascii="Times New Roman" w:hAnsi="Times New Roman" w:cs="Times New Roman" w:eastAsia="Times New Roman" w:hint="default"/>
          <w:spacing w:val="-2"/>
        </w:rPr>
        <w:t>2017</w:t>
      </w:r>
      <w:r>
        <w:rPr>
          <w:spacing w:val="-2"/>
        </w:rPr>
        <w:t>年进一</w:t>
      </w:r>
      <w:r>
        <w:rPr>
          <w:spacing w:val="-62"/>
        </w:rPr>
        <w:t> </w:t>
      </w:r>
      <w:r>
        <w:rPr>
          <w:spacing w:val="-2"/>
        </w:rPr>
        <w:t>步改善。国内方面，国民经济将继续保持平稳增长态势，以增品种、提品质、创品牌为主要内容的</w:t>
      </w:r>
      <w:r>
        <w:rPr>
          <w:rFonts w:ascii="Times New Roman" w:hAnsi="Times New Roman" w:cs="Times New Roman" w:eastAsia="Times New Roman" w:hint="default"/>
          <w:spacing w:val="-2"/>
        </w:rPr>
        <w:t>“</w:t>
      </w:r>
      <w:r>
        <w:rPr>
          <w:spacing w:val="-2"/>
        </w:rPr>
        <w:t>三品</w:t>
      </w:r>
      <w:r>
        <w:rPr>
          <w:rFonts w:ascii="Times New Roman" w:hAnsi="Times New Roman" w:cs="Times New Roman" w:eastAsia="Times New Roman" w:hint="default"/>
          <w:spacing w:val="-2"/>
        </w:rPr>
        <w:t>”</w:t>
      </w:r>
      <w:r>
        <w:rPr>
          <w:spacing w:val="-2"/>
        </w:rPr>
        <w:t>战略持续推动，将</w:t>
      </w:r>
      <w:r>
        <w:rPr>
          <w:spacing w:val="-45"/>
        </w:rPr>
        <w:t> </w:t>
      </w:r>
      <w:r>
        <w:rPr>
          <w:spacing w:val="-45"/>
        </w:rPr>
      </w:r>
      <w:r>
        <w:rPr/>
        <w:t>促进纺织企业加快调整提升，为纺织品服装国内消费提供更多选择空间，更好挖掘内需潜力。</w:t>
      </w:r>
    </w:p>
    <w:p>
      <w:pPr>
        <w:pStyle w:val="BodyText"/>
        <w:spacing w:line="312" w:lineRule="auto" w:before="70"/>
        <w:ind w:left="154" w:right="169" w:firstLine="360"/>
        <w:jc w:val="both"/>
      </w:pPr>
      <w:r>
        <w:rPr>
          <w:spacing w:val="-2"/>
        </w:rPr>
        <w:t>与此同时，纺织行业发展面临的不确定因素仍然较多，各种风险问题仍需加强关注与应对。成本高企压力并未缓解，用</w:t>
      </w:r>
      <w:r>
        <w:rPr/>
        <w:t> </w:t>
      </w:r>
      <w:r>
        <w:rPr>
          <w:spacing w:val="-2"/>
        </w:rPr>
        <w:t>电、用工等要素价格与越南等国相比仍明显过高，融资难、融资贵问题长期未能有效解决，</w:t>
      </w:r>
      <w:r>
        <w:rPr>
          <w:rFonts w:ascii="Times New Roman" w:hAnsi="Times New Roman" w:cs="Times New Roman" w:eastAsia="Times New Roman" w:hint="default"/>
          <w:spacing w:val="-2"/>
        </w:rPr>
        <w:t>“</w:t>
      </w:r>
      <w:r>
        <w:rPr>
          <w:spacing w:val="-2"/>
        </w:rPr>
        <w:t>营改增</w:t>
      </w:r>
      <w:r>
        <w:rPr>
          <w:rFonts w:ascii="Times New Roman" w:hAnsi="Times New Roman" w:cs="Times New Roman" w:eastAsia="Times New Roman" w:hint="default"/>
          <w:spacing w:val="-2"/>
        </w:rPr>
        <w:t>”</w:t>
      </w:r>
      <w:r>
        <w:rPr>
          <w:spacing w:val="-2"/>
        </w:rPr>
        <w:t>对于纺织企业税收减负</w:t>
      </w:r>
      <w:r>
        <w:rPr>
          <w:spacing w:val="-44"/>
        </w:rPr>
        <w:t> </w:t>
      </w:r>
      <w:r>
        <w:rPr>
          <w:spacing w:val="-2"/>
        </w:rPr>
        <w:t>影响有限。国际市场竞争更趋激烈，我国纺织行业在传统市场所占份额流失进一步加剧。国内环保监管措施更趋严格，纺织</w:t>
      </w:r>
      <w:r>
        <w:rPr>
          <w:spacing w:val="-66"/>
        </w:rPr>
        <w:t> </w:t>
      </w:r>
      <w:r>
        <w:rPr>
          <w:spacing w:val="-66"/>
        </w:rPr>
      </w:r>
      <w:r>
        <w:rPr/>
        <w:t>企业环保投入负担较重，企业生产、投资活动受限，成为纺织全行业平稳发展的瓶颈制约。</w:t>
      </w:r>
    </w:p>
    <w:p>
      <w:pPr>
        <w:pStyle w:val="BodyText"/>
        <w:spacing w:line="338" w:lineRule="auto" w:before="62"/>
        <w:ind w:left="514" w:right="170"/>
        <w:jc w:val="left"/>
      </w:pPr>
      <w:r>
        <w:rPr>
          <w:rFonts w:ascii="Times New Roman" w:hAnsi="Times New Roman" w:cs="Times New Roman" w:eastAsia="Times New Roman" w:hint="default"/>
        </w:rPr>
        <w:t>2</w:t>
      </w:r>
      <w:r>
        <w:rPr/>
        <w:t>、软件行业 </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以来，我国软件和信息技术服务业规模迅速扩大，创新能力不断增强，新一代信息技术已经全面融合渗透到经</w:t>
      </w:r>
    </w:p>
    <w:p>
      <w:pPr>
        <w:pStyle w:val="BodyText"/>
        <w:spacing w:line="217" w:lineRule="exact"/>
        <w:ind w:left="154" w:right="0"/>
        <w:jc w:val="both"/>
      </w:pPr>
      <w:r>
        <w:rPr/>
        <w:t>济社会生活的各个领域，云计算、大数据、人工智能、区块链等软件业发展，成为新旧动能加速接续转换和我国经济由高速</w:t>
      </w:r>
    </w:p>
    <w:p>
      <w:pPr>
        <w:pStyle w:val="BodyText"/>
        <w:spacing w:line="307" w:lineRule="auto" w:before="76"/>
        <w:ind w:left="154" w:right="169"/>
        <w:jc w:val="both"/>
      </w:pPr>
      <w:r>
        <w:rPr>
          <w:spacing w:val="-2"/>
        </w:rPr>
        <w:t>增长阶段转向高质量发展阶段的核心动力和重要抓手。软件和信息技术服务加速向经济社会各行业各领域渗透应用，两化融</w:t>
      </w:r>
      <w:r>
        <w:rPr>
          <w:spacing w:val="-64"/>
        </w:rPr>
        <w:t> </w:t>
      </w:r>
      <w:r>
        <w:rPr>
          <w:spacing w:val="-64"/>
        </w:rPr>
      </w:r>
      <w:r>
        <w:rPr>
          <w:spacing w:val="-2"/>
        </w:rPr>
        <w:t>合深入推进，随着经济转型、产业升级及</w:t>
      </w:r>
      <w:r>
        <w:rPr>
          <w:rFonts w:ascii="Times New Roman" w:hAnsi="Times New Roman" w:cs="Times New Roman" w:eastAsia="Times New Roman" w:hint="default"/>
          <w:spacing w:val="-2"/>
        </w:rPr>
        <w:t>“</w:t>
      </w:r>
      <w:r>
        <w:rPr>
          <w:spacing w:val="-2"/>
        </w:rPr>
        <w:t>两化融合</w:t>
      </w:r>
      <w:r>
        <w:rPr>
          <w:rFonts w:ascii="Times New Roman" w:hAnsi="Times New Roman" w:cs="Times New Roman" w:eastAsia="Times New Roman" w:hint="default"/>
          <w:spacing w:val="-2"/>
        </w:rPr>
        <w:t>”</w:t>
      </w:r>
      <w:r>
        <w:rPr>
          <w:spacing w:val="-2"/>
        </w:rPr>
        <w:t>进程的不断深入，传统产业的信息化需求将会不断激发，带来巨大的市</w:t>
      </w:r>
      <w:r>
        <w:rPr>
          <w:spacing w:val="-44"/>
        </w:rPr>
        <w:t> </w:t>
      </w:r>
      <w:r>
        <w:rPr>
          <w:spacing w:val="-44"/>
        </w:rPr>
      </w:r>
      <w:r>
        <w:rPr/>
        <w:t>场机遇。同时伴随着未来人力资源成本的不断上涨，以及提高自主核心竞争力的双重压力，</w:t>
      </w:r>
      <w:r>
        <w:rPr>
          <w:rFonts w:ascii="Times New Roman" w:hAnsi="Times New Roman" w:cs="Times New Roman" w:eastAsia="Times New Roman" w:hint="default"/>
        </w:rPr>
        <w:t>IT</w:t>
      </w:r>
      <w:r>
        <w:rPr>
          <w:rFonts w:ascii="Times New Roman" w:hAnsi="Times New Roman" w:cs="Times New Roman" w:eastAsia="Times New Roman" w:hint="default"/>
          <w:spacing w:val="26"/>
        </w:rPr>
        <w:t> </w:t>
      </w:r>
      <w:r>
        <w:rPr/>
        <w:t>应用软件和专业化服务的价 值将更加凸显，软件行业机遇与挑战并存，整个行业呈现加速发展态势。</w:t>
      </w:r>
    </w:p>
    <w:p>
      <w:pPr>
        <w:pStyle w:val="BodyText"/>
        <w:spacing w:line="357" w:lineRule="auto" w:before="65"/>
        <w:ind w:left="514" w:right="190"/>
        <w:jc w:val="left"/>
      </w:pPr>
      <w:r>
        <w:rPr/>
        <w:t>（二）公司发展思路 以人才引领为根本，以创新驱动为支撑，以国家深化国企改革、推动京津冀协同发展、启动</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战略、实施</w:t>
      </w:r>
      <w:r>
        <w:rPr>
          <w:rFonts w:ascii="Times New Roman" w:hAnsi="Times New Roman" w:cs="Times New Roman" w:eastAsia="Times New Roman" w:hint="default"/>
        </w:rPr>
        <w:t>“</w:t>
      </w:r>
      <w:r>
        <w:rPr/>
        <w:t>中</w:t>
      </w:r>
    </w:p>
    <w:p>
      <w:pPr>
        <w:pStyle w:val="BodyText"/>
        <w:spacing w:line="214" w:lineRule="exact"/>
        <w:ind w:left="154" w:right="0"/>
        <w:jc w:val="both"/>
      </w:pPr>
      <w:r>
        <w:rPr/>
        <w:t>国制造</w:t>
      </w:r>
      <w:r>
        <w:rPr>
          <w:rFonts w:ascii="Times New Roman" w:hAnsi="Times New Roman" w:cs="Times New Roman" w:eastAsia="Times New Roman" w:hint="default"/>
        </w:rPr>
        <w:t>2025”</w:t>
      </w:r>
      <w:r>
        <w:rPr/>
        <w:t>、推进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、促进工业化和信息化深度融合、支持企业兼并等为契机，统筹规划、合理布局，集中决策、</w:t>
      </w:r>
    </w:p>
    <w:p>
      <w:pPr>
        <w:pStyle w:val="BodyText"/>
        <w:spacing w:line="319" w:lineRule="auto" w:before="63"/>
        <w:ind w:left="154" w:right="171"/>
        <w:jc w:val="both"/>
      </w:pPr>
      <w:r>
        <w:rPr>
          <w:spacing w:val="-2"/>
        </w:rPr>
        <w:t>独立运营，发挥优势、抢抓机遇，开拓创新、大胆突破，软件板块加速扩张、实现跨越发展，纺织主业完成提质增效、实现</w:t>
      </w:r>
      <w:r>
        <w:rPr>
          <w:spacing w:val="-67"/>
        </w:rPr>
        <w:t> </w:t>
      </w:r>
      <w:r>
        <w:rPr>
          <w:spacing w:val="-67"/>
        </w:rPr>
      </w:r>
      <w:r>
        <w:rPr/>
        <w:t>做优做精，形成高端信息产业和先进制造业相互支持、协同创新、融合发展的新格局。</w:t>
      </w:r>
    </w:p>
    <w:p>
      <w:pPr>
        <w:pStyle w:val="BodyText"/>
        <w:spacing w:line="240" w:lineRule="auto" w:before="58"/>
        <w:ind w:left="514" w:right="170"/>
        <w:jc w:val="left"/>
      </w:pPr>
      <w:r>
        <w:rPr/>
        <w:t>（三）</w:t>
      </w:r>
      <w:r>
        <w:rPr>
          <w:rFonts w:ascii="Times New Roman" w:hAnsi="Times New Roman" w:cs="Times New Roman" w:eastAsia="Times New Roman" w:hint="default"/>
        </w:rPr>
        <w:t>2018</w:t>
      </w:r>
      <w:r>
        <w:rPr/>
        <w:t>年的经营计划及面对的风险</w:t>
      </w:r>
    </w:p>
    <w:p>
      <w:pPr>
        <w:pStyle w:val="BodyText"/>
        <w:spacing w:line="240" w:lineRule="auto" w:before="102"/>
        <w:ind w:left="514" w:right="17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年经营计划</w:t>
      </w:r>
    </w:p>
    <w:p>
      <w:pPr>
        <w:pStyle w:val="BodyText"/>
        <w:spacing w:line="338" w:lineRule="auto" w:before="102"/>
        <w:ind w:left="514" w:right="170"/>
        <w:jc w:val="left"/>
      </w:pPr>
      <w:r>
        <w:rPr/>
        <w:t>（</w:t>
      </w:r>
      <w:r>
        <w:rPr>
          <w:rFonts w:ascii="Times New Roman" w:hAnsi="Times New Roman" w:cs="Times New Roman" w:eastAsia="Times New Roman" w:hint="default"/>
        </w:rPr>
        <w:t>1</w:t>
      </w:r>
      <w:r>
        <w:rPr/>
        <w:t>）纺织板块 纺织主业提质增效是</w:t>
      </w:r>
      <w:r>
        <w:rPr>
          <w:rFonts w:ascii="Times New Roman" w:hAnsi="Times New Roman" w:cs="Times New Roman" w:eastAsia="Times New Roman" w:hint="default"/>
        </w:rPr>
        <w:t>2018</w:t>
      </w:r>
      <w:r>
        <w:rPr/>
        <w:t>年一项极其重要、极其迫切的任务。要把利润作为考核生产经营工作的首要指标，把实施</w:t>
      </w:r>
      <w:r>
        <w:rPr>
          <w:rFonts w:ascii="Times New Roman" w:hAnsi="Times New Roman" w:cs="Times New Roman" w:eastAsia="Times New Roman" w:hint="default"/>
        </w:rPr>
        <w:t>“</w:t>
      </w:r>
      <w:r>
        <w:rPr/>
        <w:t>三</w:t>
      </w:r>
    </w:p>
    <w:p>
      <w:pPr>
        <w:pStyle w:val="BodyText"/>
        <w:spacing w:line="230" w:lineRule="exact"/>
        <w:ind w:left="154" w:right="0"/>
        <w:jc w:val="both"/>
      </w:pPr>
      <w:r>
        <w:rPr/>
        <w:t>品</w:t>
      </w:r>
      <w:r>
        <w:rPr>
          <w:rFonts w:ascii="Times New Roman" w:hAnsi="Times New Roman" w:cs="Times New Roman" w:eastAsia="Times New Roman" w:hint="default"/>
        </w:rPr>
        <w:t>”</w:t>
      </w:r>
      <w:r>
        <w:rPr/>
        <w:t>专项行动作为推进现有纺纱织布向面料深加工、精加工转型升级的重要抓手。围绕做专做精做出效益，优化品种结构。</w:t>
      </w:r>
    </w:p>
    <w:p>
      <w:pPr>
        <w:pStyle w:val="BodyText"/>
        <w:spacing w:line="312" w:lineRule="auto" w:before="63"/>
        <w:ind w:left="154" w:right="168"/>
        <w:jc w:val="both"/>
      </w:pPr>
      <w:r>
        <w:rPr>
          <w:spacing w:val="-2"/>
        </w:rPr>
        <w:t>加强市场营销，开发优质客户，提高订单生产比重，提高产品档次和附加值。健全质量信息跟踪反馈和快速反应机制，强化</w:t>
      </w:r>
      <w:r>
        <w:rPr>
          <w:spacing w:val="-66"/>
        </w:rPr>
        <w:t> </w:t>
      </w:r>
      <w:r>
        <w:rPr>
          <w:spacing w:val="-66"/>
        </w:rPr>
      </w:r>
      <w:r>
        <w:rPr>
          <w:spacing w:val="-2"/>
        </w:rPr>
        <w:t>责任追究，提升产品质量。加强品牌管理，做好品牌运营，提升品牌价值和影响力。把管理提升研发创新作为重要任务。结</w:t>
      </w:r>
      <w:r>
        <w:rPr>
          <w:spacing w:val="-67"/>
        </w:rPr>
        <w:t> </w:t>
      </w:r>
      <w:r>
        <w:rPr>
          <w:spacing w:val="-67"/>
        </w:rPr>
      </w:r>
      <w:r>
        <w:rPr>
          <w:spacing w:val="-1"/>
        </w:rPr>
        <w:t>合企业实际情况，结合卓越绩效、</w:t>
      </w:r>
      <w:r>
        <w:rPr>
          <w:rFonts w:ascii="Times New Roman" w:hAnsi="Times New Roman" w:cs="Times New Roman" w:eastAsia="Times New Roman" w:hint="default"/>
          <w:spacing w:val="-1"/>
        </w:rPr>
        <w:t>ISO9001</w:t>
      </w:r>
      <w:r>
        <w:rPr>
          <w:spacing w:val="-1"/>
        </w:rPr>
        <w:t>、</w:t>
      </w:r>
      <w:r>
        <w:rPr>
          <w:rFonts w:ascii="Times New Roman" w:hAnsi="Times New Roman" w:cs="Times New Roman" w:eastAsia="Times New Roman" w:hint="default"/>
          <w:spacing w:val="-1"/>
        </w:rPr>
        <w:t>14000</w:t>
      </w:r>
      <w:r>
        <w:rPr>
          <w:spacing w:val="-1"/>
        </w:rPr>
        <w:t>、</w:t>
      </w:r>
      <w:r>
        <w:rPr>
          <w:rFonts w:ascii="Times New Roman" w:hAnsi="Times New Roman" w:cs="Times New Roman" w:eastAsia="Times New Roman" w:hint="default"/>
          <w:spacing w:val="-1"/>
        </w:rPr>
        <w:t>18000</w:t>
      </w:r>
      <w:r>
        <w:rPr>
          <w:spacing w:val="-1"/>
        </w:rPr>
        <w:t>认证进一步提升管理水平。加大研发投入，加强技术创新和产品</w:t>
      </w:r>
      <w:r>
        <w:rPr>
          <w:spacing w:val="-50"/>
        </w:rPr>
        <w:t> </w:t>
      </w:r>
      <w:r>
        <w:rPr>
          <w:spacing w:val="-50"/>
        </w:rPr>
      </w:r>
      <w:r>
        <w:rPr>
          <w:spacing w:val="-2"/>
        </w:rPr>
        <w:t>创新，把更多的创新成果和专利技术转化为促进企业高质量、高效益发展的生产力，打造技术竞争新优势，提升产品的功能</w:t>
      </w:r>
      <w:r>
        <w:rPr>
          <w:spacing w:val="-66"/>
        </w:rPr>
        <w:t> </w:t>
      </w:r>
      <w:r>
        <w:rPr>
          <w:spacing w:val="-66"/>
        </w:rPr>
      </w:r>
      <w:r>
        <w:rPr/>
        <w:t>化、精品化、差异化、时尚化水平。爱意生活家纺平台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月底前公司自主品牌产品上线运营，第一家品牌形象店年内 开业运营。</w:t>
      </w:r>
    </w:p>
    <w:p>
      <w:pPr>
        <w:pStyle w:val="BodyText"/>
        <w:spacing w:line="338" w:lineRule="auto" w:before="62"/>
        <w:ind w:left="513" w:right="170"/>
        <w:jc w:val="left"/>
      </w:pPr>
      <w:r>
        <w:rPr/>
        <w:t>（</w:t>
      </w:r>
      <w:r>
        <w:rPr>
          <w:rFonts w:ascii="Times New Roman" w:hAnsi="Times New Roman" w:cs="Times New Roman" w:eastAsia="Times New Roman" w:hint="default"/>
        </w:rPr>
        <w:t>2</w:t>
      </w:r>
      <w:r>
        <w:rPr/>
        <w:t>）软件板块 </w:t>
      </w:r>
      <w:r>
        <w:rPr>
          <w:spacing w:val="-2"/>
        </w:rPr>
        <w:t>把软件主业加快发展作为重要支撑。当前，云计算、大数据、移动互联网、物联网、人工智能等快速发展，软件和信息</w:t>
      </w:r>
    </w:p>
    <w:p>
      <w:pPr>
        <w:pStyle w:val="BodyText"/>
        <w:spacing w:line="316" w:lineRule="auto" w:before="2"/>
        <w:ind w:right="171"/>
        <w:jc w:val="both"/>
      </w:pPr>
      <w:r>
        <w:rPr>
          <w:spacing w:val="-2"/>
        </w:rPr>
        <w:t>技术服务业步入加速创新的爆发期。国家信息化战略也给公司软件主业发展带来了新的机遇。软件主业要聚焦关键行业，持</w:t>
      </w:r>
      <w:r>
        <w:rPr>
          <w:spacing w:val="-66"/>
        </w:rPr>
        <w:t> </w:t>
      </w:r>
      <w:r>
        <w:rPr>
          <w:spacing w:val="-66"/>
        </w:rPr>
      </w:r>
      <w:r>
        <w:rPr/>
        <w:t>续加大新技术、新模式、新业态的应用，精耕细作，不断挖掘新的商机。整合业务资源，大力推进</w:t>
      </w:r>
      <w:r>
        <w:rPr>
          <w:rFonts w:ascii="Times New Roman" w:hAnsi="Times New Roman" w:cs="Times New Roman" w:eastAsia="Times New Roman" w:hint="default"/>
        </w:rPr>
        <w:t>“</w:t>
      </w:r>
      <w:r>
        <w:rPr/>
        <w:t>在线矛盾纠纷多元化解</w:t>
      </w:r>
    </w:p>
    <w:p>
      <w:pPr>
        <w:spacing w:after="0" w:line="316" w:lineRule="auto"/>
        <w:jc w:val="both"/>
        <w:sectPr>
          <w:pgSz w:w="11910" w:h="16840"/>
          <w:pgMar w:header="747" w:footer="982" w:top="1060" w:bottom="1180" w:left="980" w:right="960"/>
        </w:sectPr>
      </w:pPr>
    </w:p>
    <w:p>
      <w:pPr>
        <w:spacing w:line="240" w:lineRule="auto" w:before="12"/>
        <w:rPr>
          <w:rFonts w:ascii="宋体" w:hAnsi="宋体" w:cs="宋体" w:eastAsia="宋体" w:hint="default"/>
          <w:sz w:val="25"/>
          <w:szCs w:val="25"/>
        </w:rPr>
      </w:pPr>
    </w:p>
    <w:p>
      <w:pPr>
        <w:pStyle w:val="BodyText"/>
        <w:spacing w:line="304" w:lineRule="auto" w:before="44"/>
        <w:ind w:right="91"/>
        <w:jc w:val="left"/>
      </w:pPr>
      <w:r>
        <w:rPr/>
        <w:t>平台</w:t>
      </w:r>
      <w:r>
        <w:rPr>
          <w:rFonts w:ascii="Times New Roman" w:hAnsi="Times New Roman" w:cs="Times New Roman" w:eastAsia="Times New Roman" w:hint="default"/>
        </w:rPr>
        <w:t>”</w:t>
      </w:r>
      <w:r>
        <w:rPr/>
        <w:t>、智慧城市建设等重点项目。在巩固传统优势的同时，紧盯目标客户的需求，集中资源加大在云计算、大数据重点领 域的研发投入，加快向云计算、大数据转型。云数据中心一期项目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月底前基本具体运营条件，加快二期工程设计、 规划；</w:t>
      </w:r>
      <w:r>
        <w:rPr>
          <w:rFonts w:ascii="Times New Roman" w:hAnsi="Times New Roman" w:cs="Times New Roman" w:eastAsia="Times New Roman" w:hint="default"/>
        </w:rPr>
        <w:t>“</w:t>
      </w:r>
      <w:r>
        <w:rPr/>
        <w:t>在线矛盾纠纷多元化解平台</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2018</w:t>
      </w:r>
      <w:r>
        <w:rPr/>
        <w:t>年完成浙江全省的上线运行工作，完成后续软件版本的开发工作，至少在五个省 市设立运营公司并上线试运行；落实公司新型智慧城市战略规划，立足三四线城市，在当地与当地政府合资设立项目公司， 在当地建立技术团队，确保项目落地，今年签约五个以上城市。</w:t>
      </w:r>
    </w:p>
    <w:p>
      <w:pPr>
        <w:pStyle w:val="BodyText"/>
        <w:spacing w:line="240" w:lineRule="auto" w:before="67"/>
        <w:ind w:left="513" w:right="0"/>
        <w:jc w:val="left"/>
      </w:pPr>
      <w:r>
        <w:rPr>
          <w:rFonts w:ascii="Times New Roman" w:hAnsi="Times New Roman" w:cs="Times New Roman" w:eastAsia="Times New Roman" w:hint="default"/>
        </w:rPr>
        <w:t>2</w:t>
      </w:r>
      <w:r>
        <w:rPr/>
        <w:t>、面对的风险</w:t>
      </w:r>
    </w:p>
    <w:p>
      <w:pPr>
        <w:pStyle w:val="BodyText"/>
        <w:spacing w:line="338" w:lineRule="auto" w:before="103"/>
        <w:ind w:left="513" w:right="0"/>
        <w:jc w:val="left"/>
      </w:pPr>
      <w:r>
        <w:rPr/>
        <w:t>（</w:t>
      </w:r>
      <w:r>
        <w:rPr>
          <w:rFonts w:ascii="Times New Roman" w:hAnsi="Times New Roman" w:cs="Times New Roman" w:eastAsia="Times New Roman" w:hint="default"/>
        </w:rPr>
        <w:t>1</w:t>
      </w:r>
      <w:r>
        <w:rPr/>
        <w:t>）专业人才短缺风险 </w:t>
      </w:r>
      <w:r>
        <w:rPr>
          <w:spacing w:val="-4"/>
        </w:rPr>
        <w:t>随着公司软件业务的不断拓展，应用所涉及的领域也越来越广，细分也进一步深化。对开发人员专业性的要求越来越强，</w:t>
      </w:r>
    </w:p>
    <w:p>
      <w:pPr>
        <w:pStyle w:val="BodyText"/>
        <w:spacing w:line="319" w:lineRule="auto" w:before="2"/>
        <w:ind w:right="191"/>
        <w:jc w:val="both"/>
      </w:pPr>
      <w:r>
        <w:rPr>
          <w:spacing w:val="-2"/>
        </w:rPr>
        <w:t>对人员的技术要求也越来越高。软件和信息技术服务产品的研发人才培养周期长，导致了相关研发人才队伍建设不能充分满</w:t>
      </w:r>
      <w:r>
        <w:rPr>
          <w:spacing w:val="-64"/>
        </w:rPr>
        <w:t> </w:t>
      </w:r>
      <w:r>
        <w:rPr>
          <w:spacing w:val="-64"/>
        </w:rPr>
      </w:r>
      <w:r>
        <w:rPr>
          <w:spacing w:val="-2"/>
        </w:rPr>
        <w:t>足公司发展的需求，经验丰富、技术能力强的专业技术人才和管理人才较为缺乏。随着公司软件主业的不断发展，相关产品</w:t>
      </w:r>
      <w:r>
        <w:rPr>
          <w:spacing w:val="-66"/>
        </w:rPr>
        <w:t> </w:t>
      </w:r>
      <w:r>
        <w:rPr>
          <w:spacing w:val="-66"/>
        </w:rPr>
      </w:r>
      <w:r>
        <w:rPr/>
        <w:t>市场规模稳步扩大增长，专业人才缺乏的问题将会更加突出。</w:t>
      </w:r>
    </w:p>
    <w:p>
      <w:pPr>
        <w:pStyle w:val="BodyText"/>
        <w:spacing w:line="240" w:lineRule="auto" w:before="56"/>
        <w:ind w:left="513" w:right="0"/>
        <w:jc w:val="left"/>
      </w:pPr>
      <w:r>
        <w:rPr/>
        <w:t>（</w:t>
      </w:r>
      <w:r>
        <w:rPr>
          <w:rFonts w:ascii="Times New Roman" w:hAnsi="Times New Roman" w:cs="Times New Roman" w:eastAsia="Times New Roman" w:hint="default"/>
        </w:rPr>
        <w:t>2</w:t>
      </w:r>
      <w:r>
        <w:rPr/>
        <w:t>）市场风险</w:t>
      </w:r>
    </w:p>
    <w:p>
      <w:pPr>
        <w:pStyle w:val="BodyText"/>
        <w:spacing w:line="302" w:lineRule="auto" w:before="102"/>
        <w:ind w:right="191" w:firstLine="360"/>
        <w:jc w:val="both"/>
      </w:pPr>
      <w:r>
        <w:rPr>
          <w:rFonts w:ascii="Times New Roman" w:hAnsi="Times New Roman" w:cs="Times New Roman" w:eastAsia="Times New Roman" w:hint="default"/>
          <w:spacing w:val="-2"/>
        </w:rPr>
        <w:t>2018</w:t>
      </w:r>
      <w:r>
        <w:rPr>
          <w:spacing w:val="-2"/>
        </w:rPr>
        <w:t>年全球贸易不确定性增强，中美贸易摩擦升级，行业出口不确定性加大，纺织行业外部发展环境复杂多变，面临较</w:t>
      </w:r>
      <w:r>
        <w:rPr/>
        <w:t> 大的考验，国际竞争愈加激烈，公司面临的市场及经营风险较大。</w:t>
      </w:r>
    </w:p>
    <w:p>
      <w:pPr>
        <w:pStyle w:val="BodyText"/>
        <w:spacing w:line="240" w:lineRule="auto" w:before="69"/>
        <w:ind w:left="444" w:right="0"/>
        <w:jc w:val="left"/>
      </w:pPr>
      <w:r>
        <w:rPr/>
        <w:t>（</w:t>
      </w:r>
      <w:r>
        <w:rPr>
          <w:rFonts w:ascii="Times New Roman" w:hAnsi="Times New Roman" w:cs="Times New Roman" w:eastAsia="Times New Roman" w:hint="default"/>
        </w:rPr>
        <w:t>3</w:t>
      </w:r>
      <w:r>
        <w:rPr/>
        <w:t>）商誉减值风险</w:t>
      </w:r>
    </w:p>
    <w:p>
      <w:pPr>
        <w:pStyle w:val="BodyText"/>
        <w:spacing w:line="300" w:lineRule="auto" w:before="101"/>
        <w:ind w:right="188" w:firstLine="360"/>
        <w:jc w:val="both"/>
      </w:pPr>
      <w:r>
        <w:rPr>
          <w:rFonts w:ascii="Times New Roman" w:hAnsi="Times New Roman" w:cs="Times New Roman" w:eastAsia="Times New Roman" w:hint="default"/>
        </w:rPr>
        <w:t>2015</w:t>
      </w:r>
      <w:r>
        <w:rPr/>
        <w:t>年，公司发行股份购买北明软件</w:t>
      </w:r>
      <w:r>
        <w:rPr>
          <w:rFonts w:ascii="Times New Roman" w:hAnsi="Times New Roman" w:cs="Times New Roman" w:eastAsia="Times New Roman" w:hint="default"/>
        </w:rPr>
        <w:t>100</w:t>
      </w:r>
      <w:r>
        <w:rPr/>
        <w:t>％股权，公司之子公司北明软件收购索科维尔、天时前程、山东成功、明润华 </w:t>
      </w:r>
      <w:r>
        <w:rPr>
          <w:spacing w:val="-1"/>
        </w:rPr>
        <w:t>创四家公司</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2016</w:t>
      </w:r>
      <w:r>
        <w:rPr>
          <w:spacing w:val="-1"/>
        </w:rPr>
        <w:t>年，北明软件收购金实盈信</w:t>
      </w:r>
      <w:r>
        <w:rPr>
          <w:rFonts w:ascii="Times New Roman" w:hAnsi="Times New Roman" w:cs="Times New Roman" w:eastAsia="Times New Roman" w:hint="default"/>
          <w:spacing w:val="-1"/>
        </w:rPr>
        <w:t>100%</w:t>
      </w:r>
      <w:r>
        <w:rPr>
          <w:spacing w:val="-1"/>
        </w:rPr>
        <w:t>股权，对价与可辨认净资产公允价值之间的差额形成的商誉共</w:t>
      </w:r>
      <w:r>
        <w:rPr>
          <w:spacing w:val="-55"/>
        </w:rPr>
        <w:t> </w:t>
      </w:r>
      <w:r>
        <w:rPr>
          <w:spacing w:val="-55"/>
        </w:rPr>
      </w:r>
      <w:r>
        <w:rPr/>
        <w:t>计</w:t>
      </w:r>
      <w:r>
        <w:rPr>
          <w:rFonts w:ascii="Times New Roman" w:hAnsi="Times New Roman" w:cs="Times New Roman" w:eastAsia="Times New Roman" w:hint="default"/>
        </w:rPr>
        <w:t>21.72</w:t>
      </w:r>
      <w:r>
        <w:rPr/>
        <w:t>亿元，截止</w:t>
      </w:r>
      <w:r>
        <w:rPr>
          <w:rFonts w:ascii="Times New Roman" w:hAnsi="Times New Roman" w:cs="Times New Roman" w:eastAsia="Times New Roman" w:hint="default"/>
        </w:rPr>
        <w:t>2017</w:t>
      </w:r>
      <w:r>
        <w:rPr/>
        <w:t>年末公司商誉账面净值为</w:t>
      </w:r>
      <w:r>
        <w:rPr>
          <w:rFonts w:ascii="Times New Roman" w:hAnsi="Times New Roman" w:cs="Times New Roman" w:eastAsia="Times New Roman" w:hint="default"/>
        </w:rPr>
        <w:t>21.50</w:t>
      </w:r>
      <w:r>
        <w:rPr/>
        <w:t>亿元，占资产总额的</w:t>
      </w:r>
      <w:r>
        <w:rPr>
          <w:rFonts w:ascii="Times New Roman" w:hAnsi="Times New Roman" w:cs="Times New Roman" w:eastAsia="Times New Roman" w:hint="default"/>
        </w:rPr>
        <w:t>16.81%</w:t>
      </w:r>
      <w:r>
        <w:rPr/>
        <w:t>。</w:t>
      </w:r>
    </w:p>
    <w:p>
      <w:pPr>
        <w:pStyle w:val="BodyText"/>
        <w:spacing w:line="319" w:lineRule="auto" w:before="52"/>
        <w:ind w:right="190" w:firstLine="360"/>
        <w:jc w:val="both"/>
      </w:pPr>
      <w:r>
        <w:rPr>
          <w:spacing w:val="-2"/>
        </w:rPr>
        <w:t>尽管各收购标的公司的管理层将勤勉经营，尽最大努力实现最佳盈利，但是，未来包括但不限于经济环境和产业政策及</w:t>
      </w:r>
      <w:r>
        <w:rPr/>
        <w:t> </w:t>
      </w:r>
      <w:r>
        <w:rPr>
          <w:spacing w:val="-2"/>
        </w:rPr>
        <w:t>意外事件等诸多因素的变化均可能给标的公司的经营管理造成不利影响。如果标的公司经营情况未达预期，可能导致收购所</w:t>
      </w:r>
      <w:r>
        <w:rPr>
          <w:spacing w:val="-64"/>
        </w:rPr>
        <w:t> </w:t>
      </w:r>
      <w:r>
        <w:rPr>
          <w:spacing w:val="-64"/>
        </w:rPr>
      </w:r>
      <w:r>
        <w:rPr/>
        <w:t>形成的商誉出现减值，进而对上市公司的整体经营业绩和盈利水平造成影响。</w:t>
      </w:r>
    </w:p>
    <w:p>
      <w:pPr>
        <w:pStyle w:val="BodyText"/>
        <w:spacing w:line="302" w:lineRule="auto" w:before="55"/>
        <w:ind w:right="190" w:firstLine="360"/>
        <w:jc w:val="both"/>
      </w:pPr>
      <w:r>
        <w:rPr>
          <w:spacing w:val="-2"/>
        </w:rPr>
        <w:t>上述财务预算、经营计划、经营目标并不代表公司对</w:t>
      </w:r>
      <w:r>
        <w:rPr>
          <w:rFonts w:ascii="Times New Roman" w:hAnsi="Times New Roman" w:cs="Times New Roman" w:eastAsia="Times New Roman" w:hint="default"/>
          <w:spacing w:val="-2"/>
        </w:rPr>
        <w:t>2018</w:t>
      </w:r>
      <w:r>
        <w:rPr>
          <w:spacing w:val="-2"/>
        </w:rPr>
        <w:t>年度的盈利预测，能否实现取决于市场状况变化、经营团队的</w:t>
      </w:r>
      <w:r>
        <w:rPr/>
        <w:t> 努力程度等多种因素，存在很大的不确定性，请投资者特别注意。</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1538"/>
        <w:gridCol w:w="638"/>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3"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河北地区上市公司投资者关系互 动平台</w:t>
            </w:r>
            <w:r>
              <w:rPr>
                <w:rFonts w:ascii="Times New Roman" w:hAnsi="Times New Roman" w:cs="Times New Roman" w:eastAsia="Times New Roman" w:hint="default"/>
                <w:sz w:val="18"/>
                <w:szCs w:val="18"/>
              </w:rPr>
              <w:t>"</w:t>
            </w:r>
          </w:p>
        </w:tc>
      </w:tr>
      <w:tr>
        <w:trPr>
          <w:trHeight w:val="402"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3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2" w:type="dxa"/>
            <w:gridSpan w:val="3"/>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报告期内普通股利润分配政策，特别是现金分红政策的制定、执行或调整情况</w:t>
      </w:r>
    </w:p>
    <w:p>
      <w:pPr>
        <w:pStyle w:val="BodyText"/>
        <w:spacing w:line="240" w:lineRule="auto" w:before="117"/>
        <w:ind w:right="0"/>
        <w:jc w:val="left"/>
      </w:pPr>
      <w:r>
        <w:rPr/>
        <w:t>√ 适用 □ 不适用</w:t>
      </w:r>
    </w:p>
    <w:p>
      <w:pPr>
        <w:pStyle w:val="BodyText"/>
        <w:spacing w:line="240" w:lineRule="auto" w:before="115"/>
        <w:ind w:left="444" w:right="0"/>
        <w:jc w:val="left"/>
      </w:pPr>
      <w:r>
        <w:rPr/>
        <w:t>报告期内，经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月23日召开的 </w:t>
      </w:r>
      <w:r>
        <w:rPr>
          <w:rFonts w:ascii="Times New Roman" w:hAnsi="Times New Roman" w:cs="Times New Roman" w:eastAsia="Times New Roman" w:hint="default"/>
        </w:rPr>
        <w:t>2016 </w:t>
      </w:r>
      <w:r>
        <w:rPr/>
        <w:t>年度股东大会审议通过，公司</w:t>
      </w:r>
      <w:r>
        <w:rPr>
          <w:rFonts w:ascii="Times New Roman" w:hAnsi="Times New Roman" w:cs="Times New Roman" w:eastAsia="Times New Roman" w:hint="default"/>
        </w:rPr>
        <w:t>2016</w:t>
      </w:r>
      <w:r>
        <w:rPr/>
        <w:t>年度利润分配方案内容为：以 </w:t>
      </w: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t>年末总</w:t>
      </w:r>
    </w:p>
    <w:p>
      <w:pPr>
        <w:pStyle w:val="BodyText"/>
        <w:spacing w:line="302" w:lineRule="auto" w:before="63"/>
        <w:ind w:right="0"/>
        <w:jc w:val="left"/>
      </w:pPr>
      <w:r>
        <w:rPr/>
        <w:t>股份 </w:t>
      </w:r>
      <w:r>
        <w:rPr>
          <w:rFonts w:ascii="Times New Roman" w:hAnsi="Times New Roman" w:cs="Times New Roman" w:eastAsia="Times New Roman" w:hint="default"/>
        </w:rPr>
        <w:t>1,271,442,278 </w:t>
      </w:r>
      <w:r>
        <w:rPr/>
        <w:t>股为基数，向全体股东每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0.60 </w:t>
      </w:r>
      <w:r>
        <w:rPr/>
        <w:t>元（含税），共计派发现金</w:t>
      </w:r>
      <w:r>
        <w:rPr>
          <w:rFonts w:ascii="Times New Roman" w:hAnsi="Times New Roman" w:cs="Times New Roman" w:eastAsia="Times New Roman" w:hint="default"/>
        </w:rPr>
        <w:t>76,286,536.68</w:t>
      </w:r>
      <w:r>
        <w:rPr>
          <w:rFonts w:ascii="Times New Roman" w:hAnsi="Times New Roman" w:cs="Times New Roman" w:eastAsia="Times New Roman" w:hint="default"/>
          <w:spacing w:val="1"/>
        </w:rPr>
        <w:t> </w:t>
      </w:r>
      <w:r>
        <w:rPr/>
        <w:t>元。公司 于</w:t>
      </w:r>
      <w:r>
        <w:rPr>
          <w:rFonts w:ascii="Times New Roman" w:hAnsi="Times New Roman" w:cs="Times New Roman" w:eastAsia="Times New Roman" w:hint="default"/>
        </w:rPr>
        <w:t>2017</w:t>
      </w:r>
      <w:r>
        <w:rPr/>
        <w:t>年7月1</w:t>
      </w:r>
      <w:r>
        <w:rPr>
          <w:rFonts w:ascii="Times New Roman" w:hAnsi="Times New Roman" w:cs="Times New Roman" w:eastAsia="Times New Roman" w:hint="default"/>
        </w:rPr>
        <w:t>9</w:t>
      </w:r>
      <w:r>
        <w:rPr/>
        <w:t>日实施了利润分配方案。</w:t>
      </w:r>
    </w:p>
    <w:p>
      <w:pPr>
        <w:spacing w:line="240" w:lineRule="auto" w:before="1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6457"/>
        <w:gridCol w:w="3072"/>
      </w:tblGrid>
      <w:tr>
        <w:trPr>
          <w:trHeight w:val="402" w:hRule="exact"/>
        </w:trPr>
        <w:tc>
          <w:tcPr>
            <w:tcW w:w="95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7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7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7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7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7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72"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未进行调整或变更</w:t>
            </w:r>
          </w:p>
        </w:tc>
      </w:tr>
    </w:tbl>
    <w:p>
      <w:pPr>
        <w:pStyle w:val="BodyText"/>
        <w:spacing w:line="240" w:lineRule="auto" w:before="52"/>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1"/>
        <w:ind w:right="161" w:firstLine="380"/>
        <w:jc w:val="left"/>
      </w:pPr>
      <w:r>
        <w:rPr>
          <w:rFonts w:ascii="Times New Roman" w:hAnsi="Times New Roman" w:cs="Times New Roman" w:eastAsia="Times New Roman" w:hint="default"/>
        </w:rPr>
        <w:t>2015</w:t>
      </w:r>
      <w:r>
        <w:rPr/>
        <w:t>年度利润分配方案：以</w:t>
      </w:r>
      <w:r>
        <w:rPr>
          <w:rFonts w:ascii="Times New Roman" w:hAnsi="Times New Roman" w:cs="Times New Roman" w:eastAsia="Times New Roman" w:hint="default"/>
        </w:rPr>
        <w:t>2015</w:t>
      </w:r>
      <w:r>
        <w:rPr/>
        <w:t>年末总股份</w:t>
      </w:r>
      <w:r>
        <w:rPr>
          <w:rFonts w:ascii="Times New Roman" w:hAnsi="Times New Roman" w:cs="Times New Roman" w:eastAsia="Times New Roman" w:hint="default"/>
        </w:rPr>
        <w:t>1,271,442,278</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0.40</w:t>
      </w:r>
      <w:r>
        <w:rPr/>
        <w:t>元（含税）， 共计派发现金</w:t>
      </w:r>
      <w:r>
        <w:rPr>
          <w:rFonts w:ascii="Times New Roman" w:hAnsi="Times New Roman" w:cs="Times New Roman" w:eastAsia="Times New Roman" w:hint="default"/>
        </w:rPr>
        <w:t>50,857,691.12</w:t>
      </w:r>
      <w:r>
        <w:rPr/>
        <w:t>元，剩余未分配利润结转下年。不进行资本公积金转增股本。公司于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日实施了上述 利润分配方案。</w:t>
      </w:r>
    </w:p>
    <w:p>
      <w:pPr>
        <w:pStyle w:val="BodyText"/>
        <w:spacing w:line="300" w:lineRule="auto" w:before="31"/>
        <w:ind w:right="191" w:firstLine="362"/>
        <w:jc w:val="both"/>
      </w:pPr>
      <w:r>
        <w:rPr>
          <w:rFonts w:ascii="Times New Roman" w:hAnsi="Times New Roman" w:cs="Times New Roman" w:eastAsia="Times New Roman" w:hint="default"/>
        </w:rPr>
        <w:t>2016</w:t>
      </w:r>
      <w:r>
        <w:rPr/>
        <w:t>年度利润分配预案：以</w:t>
      </w:r>
      <w:r>
        <w:rPr>
          <w:rFonts w:ascii="Times New Roman" w:hAnsi="Times New Roman" w:cs="Times New Roman" w:eastAsia="Times New Roman" w:hint="default"/>
        </w:rPr>
        <w:t>2016</w:t>
      </w:r>
      <w:r>
        <w:rPr/>
        <w:t>年末总股份</w:t>
      </w:r>
      <w:r>
        <w:rPr>
          <w:rFonts w:ascii="Times New Roman" w:hAnsi="Times New Roman" w:cs="Times New Roman" w:eastAsia="Times New Roman" w:hint="default"/>
        </w:rPr>
        <w:t>1,271,442,278</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0.60</w:t>
      </w:r>
      <w:r>
        <w:rPr/>
        <w:t>元（含税）， </w:t>
      </w:r>
      <w:r>
        <w:rPr>
          <w:spacing w:val="-2"/>
        </w:rPr>
        <w:t>共计派发现金</w:t>
      </w:r>
      <w:r>
        <w:rPr>
          <w:rFonts w:ascii="Times New Roman" w:hAnsi="Times New Roman" w:cs="Times New Roman" w:eastAsia="Times New Roman" w:hint="default"/>
          <w:spacing w:val="-2"/>
        </w:rPr>
        <w:t>76,286,536.68</w:t>
      </w:r>
      <w:r>
        <w:rPr>
          <w:spacing w:val="-2"/>
        </w:rPr>
        <w:t>元；同时以资本公积转增股本，每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股，转增后公司总股本将增至</w:t>
      </w:r>
      <w:r>
        <w:rPr>
          <w:rFonts w:ascii="Times New Roman" w:hAnsi="Times New Roman" w:cs="Times New Roman" w:eastAsia="Times New Roman" w:hint="default"/>
          <w:spacing w:val="-2"/>
        </w:rPr>
        <w:t>1,652,874,961</w:t>
      </w:r>
      <w:r>
        <w:rPr>
          <w:spacing w:val="-2"/>
        </w:rPr>
        <w:t>股。公司</w:t>
      </w:r>
      <w:r>
        <w:rPr>
          <w:spacing w:val="-41"/>
        </w:rPr>
        <w:t> </w:t>
      </w:r>
      <w:r>
        <w:rPr>
          <w:spacing w:val="-41"/>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日实施了上述利润分配方案。</w:t>
      </w:r>
    </w:p>
    <w:p>
      <w:pPr>
        <w:pStyle w:val="BodyText"/>
        <w:spacing w:line="319" w:lineRule="auto" w:before="13"/>
        <w:ind w:right="0" w:firstLine="380"/>
        <w:jc w:val="left"/>
      </w:pPr>
      <w:r>
        <w:rPr>
          <w:rFonts w:ascii="Times New Roman" w:hAnsi="Times New Roman" w:cs="Times New Roman" w:eastAsia="Times New Roman" w:hint="default"/>
          <w:spacing w:val="-2"/>
        </w:rPr>
        <w:t>2017</w:t>
      </w:r>
      <w:r>
        <w:rPr>
          <w:spacing w:val="-2"/>
        </w:rPr>
        <w:t>年度利润分配预案：拟以</w:t>
      </w:r>
      <w:r>
        <w:rPr>
          <w:rFonts w:ascii="Times New Roman" w:hAnsi="Times New Roman" w:cs="Times New Roman" w:eastAsia="Times New Roman" w:hint="default"/>
          <w:spacing w:val="-2"/>
        </w:rPr>
        <w:t>2017</w:t>
      </w:r>
      <w:r>
        <w:rPr>
          <w:spacing w:val="-2"/>
        </w:rPr>
        <w:t>年末总股份</w:t>
      </w:r>
      <w:r>
        <w:rPr>
          <w:rFonts w:ascii="Times New Roman" w:hAnsi="Times New Roman" w:cs="Times New Roman" w:eastAsia="Times New Roman" w:hint="default"/>
          <w:spacing w:val="-2"/>
        </w:rPr>
        <w:t>1,652,874,961</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0.50</w:t>
      </w:r>
      <w:r>
        <w:rPr>
          <w:spacing w:val="-2"/>
        </w:rPr>
        <w:t>元（含税），</w:t>
      </w:r>
      <w:r>
        <w:rPr/>
        <w:t> 共计派发现金</w:t>
      </w:r>
      <w:r>
        <w:rPr>
          <w:rFonts w:ascii="Times New Roman" w:hAnsi="Times New Roman" w:cs="Times New Roman" w:eastAsia="Times New Roman" w:hint="default"/>
        </w:rPr>
        <w:t>82,643,748.05</w:t>
      </w:r>
      <w:r>
        <w:rPr/>
        <w:t>元；不以资本公积转增股本。上述分配方案待提交</w:t>
      </w:r>
      <w:r>
        <w:rPr>
          <w:rFonts w:ascii="Times New Roman" w:hAnsi="Times New Roman" w:cs="Times New Roman" w:eastAsia="Times New Roman" w:hint="default"/>
        </w:rPr>
        <w:t>2017</w:t>
      </w:r>
      <w:r>
        <w:rPr/>
        <w:t>年度股东大会审议批准后实施。 公司近三年（包括本报告期）普通股现金分红情况表</w:t>
      </w:r>
    </w:p>
    <w:p>
      <w:pPr>
        <w:pStyle w:val="BodyText"/>
        <w:spacing w:line="240" w:lineRule="auto" w:before="58"/>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79"/>
        <w:gridCol w:w="1595"/>
        <w:gridCol w:w="1826"/>
        <w:gridCol w:w="1799"/>
        <w:gridCol w:w="1595"/>
        <w:gridCol w:w="1594"/>
      </w:tblGrid>
      <w:tr>
        <w:trPr>
          <w:trHeight w:val="161" w:hRule="exact"/>
        </w:trPr>
        <w:tc>
          <w:tcPr>
            <w:tcW w:w="1079" w:type="dxa"/>
            <w:vMerge w:val="restart"/>
            <w:tcBorders>
              <w:top w:val="single" w:sz="4" w:space="0" w:color="000000"/>
              <w:left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82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7" w:right="96"/>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9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3" w:right="83"/>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079" w:type="dxa"/>
            <w:vMerge/>
            <w:tcBorders>
              <w:left w:val="single" w:sz="4" w:space="0" w:color="000000"/>
              <w:bottom w:val="nil" w:sz="6" w:space="0" w:color="auto"/>
              <w:right w:val="single" w:sz="4" w:space="0" w:color="000000"/>
            </w:tcBorders>
            <w:shd w:val="clear" w:color="auto" w:fill="D3D3D3"/>
          </w:tcPr>
          <w:p>
            <w:pP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826" w:type="dxa"/>
            <w:vMerge/>
            <w:tcBorders>
              <w:left w:val="single" w:sz="4" w:space="0" w:color="000000"/>
              <w:right w:val="single" w:sz="4" w:space="0" w:color="000000"/>
            </w:tcBorders>
            <w:shd w:val="clear" w:color="auto" w:fill="D3D3D3"/>
          </w:tcPr>
          <w:p>
            <w:pPr/>
          </w:p>
        </w:tc>
        <w:tc>
          <w:tcPr>
            <w:tcW w:w="1799" w:type="dxa"/>
            <w:vMerge/>
            <w:tcBorders>
              <w:left w:val="single" w:sz="4" w:space="0" w:color="000000"/>
              <w:right w:val="single" w:sz="4" w:space="0" w:color="000000"/>
            </w:tcBorders>
            <w:shd w:val="clear" w:color="auto" w:fill="D3D3D3"/>
          </w:tcPr>
          <w:p>
            <w:pP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0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5" w:type="dxa"/>
            <w:vMerge/>
            <w:tcBorders>
              <w:left w:val="single" w:sz="4" w:space="0" w:color="000000"/>
              <w:right w:val="single" w:sz="4" w:space="0" w:color="000000"/>
            </w:tcBorders>
            <w:shd w:val="clear" w:color="auto" w:fill="D3D3D3"/>
          </w:tcPr>
          <w:p>
            <w:pPr/>
          </w:p>
        </w:tc>
        <w:tc>
          <w:tcPr>
            <w:tcW w:w="1826" w:type="dxa"/>
            <w:vMerge/>
            <w:tcBorders>
              <w:left w:val="single" w:sz="4" w:space="0" w:color="000000"/>
              <w:right w:val="single" w:sz="4" w:space="0" w:color="000000"/>
            </w:tcBorders>
            <w:shd w:val="clear" w:color="auto" w:fill="D3D3D3"/>
          </w:tcPr>
          <w:p>
            <w:pPr/>
          </w:p>
        </w:tc>
        <w:tc>
          <w:tcPr>
            <w:tcW w:w="1799" w:type="dxa"/>
            <w:vMerge/>
            <w:tcBorders>
              <w:left w:val="single" w:sz="4" w:space="0" w:color="000000"/>
              <w:right w:val="single" w:sz="4" w:space="0" w:color="000000"/>
            </w:tcBorders>
            <w:shd w:val="clear" w:color="auto" w:fill="D3D3D3"/>
          </w:tcPr>
          <w:p>
            <w:pPr/>
          </w:p>
        </w:tc>
        <w:tc>
          <w:tcPr>
            <w:tcW w:w="1595"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156" w:hRule="exact"/>
        </w:trPr>
        <w:tc>
          <w:tcPr>
            <w:tcW w:w="1079" w:type="dxa"/>
            <w:vMerge w:val="restart"/>
            <w:tcBorders>
              <w:top w:val="nil" w:sz="6" w:space="0" w:color="auto"/>
              <w:left w:val="single" w:sz="4" w:space="0" w:color="000000"/>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c>
          <w:tcPr>
            <w:tcW w:w="1826" w:type="dxa"/>
            <w:vMerge/>
            <w:tcBorders>
              <w:left w:val="single" w:sz="4" w:space="0" w:color="000000"/>
              <w:right w:val="single" w:sz="4" w:space="0" w:color="000000"/>
            </w:tcBorders>
            <w:shd w:val="clear" w:color="auto" w:fill="D3D3D3"/>
          </w:tcPr>
          <w:p>
            <w:pPr/>
          </w:p>
        </w:tc>
        <w:tc>
          <w:tcPr>
            <w:tcW w:w="1799" w:type="dxa"/>
            <w:vMerge/>
            <w:tcBorders>
              <w:left w:val="single" w:sz="4" w:space="0" w:color="000000"/>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c>
          <w:tcPr>
            <w:tcW w:w="159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079"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826" w:type="dxa"/>
            <w:vMerge/>
            <w:tcBorders>
              <w:left w:val="single" w:sz="4" w:space="0" w:color="000000"/>
              <w:bottom w:val="single" w:sz="4" w:space="0" w:color="000000"/>
              <w:right w:val="single" w:sz="4" w:space="0" w:color="000000"/>
            </w:tcBorders>
            <w:shd w:val="clear" w:color="auto" w:fill="D3D3D3"/>
          </w:tcPr>
          <w:p>
            <w:pPr/>
          </w:p>
        </w:tc>
        <w:tc>
          <w:tcPr>
            <w:tcW w:w="1799"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82,643,748.05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355,095,034.93</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76,286,536.68</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349,914,511.72</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50,857,691.12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249,373,393.47</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1,652,874,961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82,643,748.05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1,222,830,477.61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right="5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根据公司第六届二十六次董事会会议决议，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年度公司拟以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年末总股份</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1,652,874,961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股为基数，向全体股东</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pacing w:val="-41"/>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共计派发现金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82,643,748.05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41"/>
                <w:sz w:val="18"/>
                <w:szCs w:val="18"/>
              </w:rPr>
              <w:t>；</w:t>
            </w:r>
            <w:r>
              <w:rPr>
                <w:rFonts w:ascii="宋体" w:hAnsi="宋体" w:cs="宋体" w:eastAsia="宋体" w:hint="default"/>
                <w:sz w:val="18"/>
                <w:szCs w:val="18"/>
              </w:rPr>
              <w:t>不以资本公积转增股本</w:t>
            </w:r>
            <w:r>
              <w:rPr>
                <w:rFonts w:ascii="宋体" w:hAnsi="宋体" w:cs="宋体" w:eastAsia="宋体" w:hint="default"/>
                <w:spacing w:val="-41"/>
                <w:sz w:val="18"/>
                <w:szCs w:val="18"/>
              </w:rPr>
              <w:t>。</w:t>
            </w:r>
            <w:r>
              <w:rPr>
                <w:rFonts w:ascii="宋体" w:hAnsi="宋体" w:cs="宋体" w:eastAsia="宋体" w:hint="default"/>
                <w:sz w:val="18"/>
                <w:szCs w:val="18"/>
              </w:rPr>
              <w:t>上述分配方案待提交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年度股东大会审议批准后实施。</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00"/>
        <w:gridCol w:w="1440"/>
        <w:gridCol w:w="900"/>
        <w:gridCol w:w="2700"/>
        <w:gridCol w:w="991"/>
        <w:gridCol w:w="900"/>
        <w:gridCol w:w="989"/>
      </w:tblGrid>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40" w:type="dxa"/>
            <w:tcBorders>
              <w:top w:val="single" w:sz="4" w:space="0" w:color="000000"/>
              <w:left w:val="single" w:sz="10" w:space="0" w:color="D3D3D3"/>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8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440" w:type="dxa"/>
            <w:tcBorders>
              <w:top w:val="single" w:sz="4" w:space="0" w:color="000000"/>
              <w:left w:val="single" w:sz="10" w:space="0" w:color="D3D3D3"/>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8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248" w:hRule="exact"/>
        </w:trPr>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single" w:sz="4" w:space="0" w:color="000000"/>
              <w:left w:val="single" w:sz="10" w:space="0" w:color="D3D3D3"/>
              <w:right w:val="single" w:sz="4" w:space="0" w:color="000000"/>
            </w:tcBorders>
            <w:shd w:val="clear" w:color="auto" w:fill="C7EDCC"/>
          </w:tcPr>
          <w:p>
            <w:pPr>
              <w:pStyle w:val="TableParagraph"/>
              <w:spacing w:line="307" w:lineRule="auto" w:before="51"/>
              <w:ind w:left="15" w:right="54"/>
              <w:jc w:val="left"/>
              <w:rPr>
                <w:rFonts w:ascii="宋体" w:hAnsi="宋体" w:cs="宋体" w:eastAsia="宋体" w:hint="default"/>
                <w:sz w:val="18"/>
                <w:szCs w:val="18"/>
              </w:rPr>
            </w:pPr>
            <w:r>
              <w:rPr>
                <w:rFonts w:ascii="宋体" w:hAnsi="宋体" w:cs="宋体" w:eastAsia="宋体" w:hint="default"/>
                <w:sz w:val="18"/>
                <w:szCs w:val="18"/>
              </w:rPr>
              <w:t>新华恒定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w:t>
            </w:r>
            <w:r>
              <w:rPr>
                <w:rFonts w:ascii="宋体" w:hAnsi="宋体" w:cs="宋体" w:eastAsia="宋体" w:hint="default"/>
                <w:spacing w:val="1"/>
                <w:sz w:val="18"/>
                <w:szCs w:val="18"/>
              </w:rPr>
              <w:t> </w:t>
            </w:r>
            <w:r>
              <w:rPr>
                <w:rFonts w:ascii="宋体" w:hAnsi="宋体" w:cs="宋体" w:eastAsia="宋体" w:hint="default"/>
                <w:sz w:val="18"/>
                <w:szCs w:val="18"/>
              </w:rPr>
              <w:t>山股份定向增发</w:t>
            </w:r>
            <w:r>
              <w:rPr>
                <w:rFonts w:ascii="宋体" w:hAnsi="宋体" w:cs="宋体" w:eastAsia="宋体" w:hint="default"/>
                <w:sz w:val="18"/>
                <w:szCs w:val="18"/>
              </w:rPr>
              <w:t> 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广 发恒定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 股份定向增发集 合资产管理计划</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深圳市神华投资 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神 华期货有限公司</w:t>
            </w:r>
          </w:p>
        </w:tc>
        <w:tc>
          <w:tcPr>
            <w:tcW w:w="9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股份锁定 期承诺</w:t>
            </w:r>
          </w:p>
        </w:tc>
        <w:tc>
          <w:tcPr>
            <w:tcW w:w="27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本次向配套融资认购对象发行股 票募集配套资金的股份自上市之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个月内不上市交易或转 </w:t>
            </w:r>
            <w:r>
              <w:rPr>
                <w:rFonts w:ascii="宋体" w:hAnsi="宋体" w:cs="宋体" w:eastAsia="宋体" w:hint="default"/>
                <w:spacing w:val="-4"/>
                <w:sz w:val="18"/>
                <w:szCs w:val="18"/>
              </w:rPr>
              <w:t>让，在此之后按中国证监会及深交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所的有关规定执行</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89"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2"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40" w:type="dxa"/>
            <w:vMerge/>
            <w:tcBorders>
              <w:left w:val="single" w:sz="10" w:space="0" w:color="D3D3D3"/>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vMerge/>
            <w:tcBorders>
              <w:left w:val="single" w:sz="4" w:space="0" w:color="000000"/>
              <w:right w:val="single" w:sz="4" w:space="0" w:color="000000"/>
            </w:tcBorders>
            <w:shd w:val="clear" w:color="auto" w:fill="C7EDCC"/>
          </w:tcPr>
          <w:p>
            <w:pPr/>
          </w:p>
        </w:tc>
        <w:tc>
          <w:tcPr>
            <w:tcW w:w="991"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1258" w:hRule="exact"/>
        </w:trPr>
        <w:tc>
          <w:tcPr>
            <w:tcW w:w="1800" w:type="dxa"/>
            <w:vMerge w:val="restart"/>
            <w:tcBorders>
              <w:top w:val="nil" w:sz="6" w:space="0" w:color="auto"/>
              <w:left w:val="single" w:sz="4" w:space="0" w:color="000000"/>
              <w:right w:val="single" w:sz="4" w:space="0" w:color="000000"/>
            </w:tcBorders>
            <w:shd w:val="clear" w:color="auto" w:fill="D3D3D3"/>
          </w:tcPr>
          <w:p>
            <w:pPr/>
          </w:p>
        </w:tc>
        <w:tc>
          <w:tcPr>
            <w:tcW w:w="1440" w:type="dxa"/>
            <w:vMerge/>
            <w:tcBorders>
              <w:left w:val="single" w:sz="10" w:space="0" w:color="D3D3D3"/>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shd w:val="clear" w:color="auto" w:fill="C7EDCC"/>
          </w:tcPr>
          <w:p>
            <w:pPr/>
          </w:p>
        </w:tc>
        <w:tc>
          <w:tcPr>
            <w:tcW w:w="2700" w:type="dxa"/>
            <w:vMerge/>
            <w:tcBorders>
              <w:left w:val="single" w:sz="4" w:space="0" w:color="000000"/>
              <w:bottom w:val="single" w:sz="4" w:space="0" w:color="000000"/>
              <w:right w:val="single" w:sz="4" w:space="0" w:color="000000"/>
            </w:tcBorders>
            <w:shd w:val="clear" w:color="auto" w:fill="C7EDCC"/>
          </w:tcPr>
          <w:p>
            <w:pPr/>
          </w:p>
        </w:tc>
        <w:tc>
          <w:tcPr>
            <w:tcW w:w="991"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shd w:val="clear" w:color="auto" w:fill="C7EDCC"/>
          </w:tcPr>
          <w:p>
            <w:pPr/>
          </w:p>
        </w:tc>
        <w:tc>
          <w:tcPr>
            <w:tcW w:w="989" w:type="dxa"/>
            <w:vMerge/>
            <w:tcBorders>
              <w:left w:val="single" w:sz="4" w:space="0" w:color="000000"/>
              <w:bottom w:val="single" w:sz="4" w:space="0" w:color="000000"/>
              <w:right w:val="single" w:sz="4" w:space="0" w:color="000000"/>
            </w:tcBorders>
            <w:shd w:val="clear" w:color="auto" w:fill="C7EDCC"/>
          </w:tcPr>
          <w:p>
            <w:pPr/>
          </w:p>
        </w:tc>
      </w:tr>
      <w:tr>
        <w:trPr>
          <w:trHeight w:val="715"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重组方</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股份锁定 期承诺</w:t>
            </w:r>
          </w:p>
        </w:tc>
        <w:tc>
          <w:tcPr>
            <w:tcW w:w="2700" w:type="dxa"/>
            <w:tcBorders>
              <w:top w:val="single" w:sz="4" w:space="0" w:color="000000"/>
              <w:left w:val="single" w:sz="4" w:space="0" w:color="000000"/>
              <w:bottom w:val="single" w:sz="4" w:space="0" w:color="000000"/>
              <w:right w:val="single" w:sz="13" w:space="0" w:color="FFFFFF"/>
            </w:tcBorders>
            <w:shd w:val="clear" w:color="auto" w:fill="C7EDCC"/>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承诺认购的对价股份自股份上市 之日起按相关规定分批解除锁定。</w:t>
            </w:r>
          </w:p>
        </w:tc>
        <w:tc>
          <w:tcPr>
            <w:tcW w:w="99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12-36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r>
        <w:rPr/>
        <w:pict>
          <v:group style="position:absolute;margin-left:398.940002pt;margin-top:434.299988pt;width:49.1pt;height:326.6pt;mso-position-horizontal-relative:page;mso-position-vertical-relative:page;z-index:-1221952" coordorigin="7979,8686" coordsize="982,6532">
            <v:shape style="position:absolute;left:7979;top:8686;width:982;height:6532" coordorigin="7979,8686" coordsize="982,6532" path="m7979,15218l8960,15218,8960,8686,7979,8686,7979,15218xe" filled="true" fillcolor="#ffffff" stroked="false">
              <v:path arrowok="t"/>
              <v:fill type="solid"/>
            </v:shape>
            <w10:wrap type="none"/>
          </v:group>
        </w:pict>
      </w:r>
      <w:r>
        <w:rPr/>
        <w:pict>
          <v:group style="position:absolute;margin-left:398.940002pt;margin-top:72.5pt;width:49.1pt;height:326.6pt;mso-position-horizontal-relative:page;mso-position-vertical-relative:page;z-index:-1221928" coordorigin="7979,1450" coordsize="982,6532">
            <v:shape style="position:absolute;left:7979;top:1450;width:982;height:6532" coordorigin="7979,1450" coordsize="982,6532" path="m7979,7982l8960,7982,8960,1450,7979,1450,7979,798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00"/>
        <w:gridCol w:w="1440"/>
        <w:gridCol w:w="900"/>
        <w:gridCol w:w="2700"/>
        <w:gridCol w:w="991"/>
        <w:gridCol w:w="900"/>
        <w:gridCol w:w="989"/>
      </w:tblGrid>
      <w:tr>
        <w:trPr>
          <w:trHeight w:val="357" w:hRule="exact"/>
        </w:trPr>
        <w:tc>
          <w:tcPr>
            <w:tcW w:w="1800" w:type="dxa"/>
            <w:vMerge w:val="restart"/>
            <w:tcBorders>
              <w:top w:val="single" w:sz="4" w:space="0" w:color="000000"/>
              <w:left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C7EDCC"/>
          </w:tcPr>
          <w:p>
            <w:pPr/>
          </w:p>
        </w:tc>
        <w:tc>
          <w:tcPr>
            <w:tcW w:w="900" w:type="dxa"/>
            <w:tcBorders>
              <w:top w:val="single" w:sz="4" w:space="0" w:color="000000"/>
              <w:left w:val="single" w:sz="4" w:space="0" w:color="000000"/>
              <w:bottom w:val="nil" w:sz="6" w:space="0" w:color="auto"/>
              <w:right w:val="single" w:sz="4" w:space="0" w:color="000000"/>
            </w:tcBorders>
            <w:shd w:val="clear" w:color="auto" w:fill="C7EDCC"/>
          </w:tcPr>
          <w:p>
            <w:pPr/>
          </w:p>
        </w:tc>
        <w:tc>
          <w:tcPr>
            <w:tcW w:w="27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如果北明软件在承诺年度实现的</w:t>
            </w:r>
          </w:p>
        </w:tc>
        <w:tc>
          <w:tcPr>
            <w:tcW w:w="991"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shd w:val="clear" w:color="auto" w:fill="C7EDCC"/>
          </w:tcPr>
          <w:p>
            <w:pPr/>
          </w:p>
        </w:tc>
        <w:tc>
          <w:tcPr>
            <w:tcW w:w="98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当期期末累积实际净利润未达到</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当期期末累积预测净利润，补偿方</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应就当期期末累积实际净利润未</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达到当期期末累积预测净利润的</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部分（以下简称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利润差额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）对公</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司进行补偿。补偿原则为：补偿方</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可以选择以其在本次交易中认购</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的本公司股份（即公司有权以总价</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元的价格回购补偿股份）</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或现金进行补偿；补偿方项下</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各认购人承担利润补偿义务的比</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例为：除北明控股外其余补偿方按</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照各自在本次交易中认购的公司</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股份占本次发行股份购买资产交</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易对方认购股份总数的比例予以</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补偿，广发信德、合赢成长、西域</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至尚、周水江不参与本次交易承诺</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利润的补偿，其相应的利润补偿责</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任由北明控股承担，北明控股按照</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其自身以及广发信德、合赢成长、</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634"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
              <w:ind w:left="22" w:right="145"/>
              <w:jc w:val="left"/>
              <w:rPr>
                <w:rFonts w:ascii="宋体" w:hAnsi="宋体" w:cs="宋体" w:eastAsia="宋体" w:hint="default"/>
                <w:sz w:val="18"/>
                <w:szCs w:val="18"/>
              </w:rPr>
            </w:pPr>
            <w:r>
              <w:rPr>
                <w:rFonts w:ascii="宋体" w:hAnsi="宋体" w:cs="宋体" w:eastAsia="宋体" w:hint="default"/>
                <w:sz w:val="18"/>
                <w:szCs w:val="18"/>
              </w:rPr>
              <w:t>北明软件股份有 限公司</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
              <w:ind w:left="22" w:right="145"/>
              <w:jc w:val="left"/>
              <w:rPr>
                <w:rFonts w:ascii="宋体" w:hAnsi="宋体" w:cs="宋体" w:eastAsia="宋体" w:hint="default"/>
                <w:sz w:val="18"/>
                <w:szCs w:val="18"/>
              </w:rPr>
            </w:pPr>
            <w:r>
              <w:rPr>
                <w:rFonts w:ascii="宋体" w:hAnsi="宋体" w:cs="宋体" w:eastAsia="宋体" w:hint="default"/>
                <w:sz w:val="18"/>
                <w:szCs w:val="18"/>
              </w:rPr>
              <w:t>业绩补偿 承诺</w:t>
            </w: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20"/>
              <w:ind w:left="22" w:right="23"/>
              <w:jc w:val="left"/>
              <w:rPr>
                <w:rFonts w:ascii="宋体" w:hAnsi="宋体" w:cs="宋体" w:eastAsia="宋体" w:hint="default"/>
                <w:sz w:val="18"/>
                <w:szCs w:val="18"/>
              </w:rPr>
            </w:pPr>
            <w:r>
              <w:rPr>
                <w:rFonts w:ascii="宋体" w:hAnsi="宋体" w:cs="宋体" w:eastAsia="宋体" w:hint="default"/>
                <w:spacing w:val="-4"/>
                <w:sz w:val="18"/>
                <w:szCs w:val="18"/>
              </w:rPr>
              <w:t>西域至尚、周水江在本次交易中认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购的公司股份总数占本次发行股</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8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份购买资产交易对方认购股份总</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数的比例予以补偿。具体补偿方式</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如下</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28"/>
                <w:sz w:val="18"/>
                <w:szCs w:val="18"/>
              </w:rPr>
              <w:t>）</w:t>
            </w:r>
            <w:r>
              <w:rPr>
                <w:rFonts w:ascii="宋体" w:hAnsi="宋体" w:cs="宋体" w:eastAsia="宋体" w:hint="default"/>
                <w:sz w:val="18"/>
                <w:szCs w:val="18"/>
              </w:rPr>
              <w:t>每</w:t>
            </w:r>
            <w:r>
              <w:rPr>
                <w:rFonts w:ascii="宋体" w:hAnsi="宋体" w:cs="宋体" w:eastAsia="宋体" w:hint="default"/>
                <w:spacing w:val="-2"/>
                <w:sz w:val="18"/>
                <w:szCs w:val="18"/>
              </w:rPr>
              <w:t>年</w:t>
            </w:r>
            <w:r>
              <w:rPr>
                <w:rFonts w:ascii="宋体" w:hAnsi="宋体" w:cs="宋体" w:eastAsia="宋体" w:hint="default"/>
                <w:sz w:val="18"/>
                <w:szCs w:val="18"/>
              </w:rPr>
              <w:t>应补偿股份总数的</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计算公式如下：每年应补偿股份总</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（截至当期期末累积预测净利</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润－截至当期期末累积实际净利</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承诺年度内各年度的预测净</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利润总和</w:t>
            </w:r>
            <w:r>
              <w:rPr>
                <w:rFonts w:ascii="Times New Roman" w:hAnsi="Times New Roman" w:cs="Times New Roman" w:eastAsia="Times New Roman" w:hint="default"/>
                <w:spacing w:val="-77"/>
                <w:sz w:val="18"/>
                <w:szCs w:val="18"/>
              </w:rPr>
              <w:t>×</w:t>
            </w:r>
            <w:r>
              <w:rPr>
                <w:rFonts w:ascii="宋体" w:hAnsi="宋体" w:cs="宋体" w:eastAsia="宋体" w:hint="default"/>
                <w:sz w:val="18"/>
                <w:szCs w:val="18"/>
              </w:rPr>
              <w:t>（交易价格总额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发行价</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格）－已补偿股份数－（已补偿现</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发行价格</w:t>
            </w:r>
            <w:r>
              <w:rPr>
                <w:rFonts w:ascii="宋体" w:hAnsi="宋体" w:cs="宋体" w:eastAsia="宋体" w:hint="default"/>
                <w:spacing w:val="-90"/>
                <w:sz w:val="18"/>
                <w:szCs w:val="18"/>
              </w:rPr>
              <w:t>）</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3"/>
                <w:sz w:val="18"/>
                <w:szCs w:val="18"/>
              </w:rPr>
              <w:t>）</w:t>
            </w:r>
            <w:r>
              <w:rPr>
                <w:rFonts w:ascii="宋体" w:hAnsi="宋体" w:cs="宋体" w:eastAsia="宋体" w:hint="default"/>
                <w:sz w:val="18"/>
                <w:szCs w:val="18"/>
              </w:rPr>
              <w:t>补偿方中</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各认购方可以自主选择支付现金、</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偿还股份、支付现金加偿还股份等</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三种方式中的一种进行补偿，具体</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补偿方式如下：①补偿方中各认购</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方全部选择以股份方式补偿的，每</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年应补偿的股份数量即为按上述</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）计算的每年应补偿股份总数</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补偿方项下各单一认购方每年应</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补偿的股份数量</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按上述（</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）计算</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C7EDCC"/>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的每年应补偿股份总数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该认购方</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shd w:val="clear" w:color="auto" w:fill="C7EDCC"/>
          </w:tcPr>
          <w:p>
            <w:pPr/>
          </w:p>
        </w:tc>
        <w:tc>
          <w:tcPr>
            <w:tcW w:w="98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3"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C7EDCC"/>
          </w:tcPr>
          <w:p>
            <w:pPr/>
          </w:p>
        </w:tc>
        <w:tc>
          <w:tcPr>
            <w:tcW w:w="900" w:type="dxa"/>
            <w:tcBorders>
              <w:top w:val="nil" w:sz="6" w:space="0" w:color="auto"/>
              <w:left w:val="single" w:sz="4" w:space="0" w:color="000000"/>
              <w:bottom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承担利润补偿义务的比例。②补偿</w:t>
            </w:r>
          </w:p>
        </w:tc>
        <w:tc>
          <w:tcPr>
            <w:tcW w:w="991"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shd w:val="clear" w:color="auto" w:fill="C7EDCC"/>
          </w:tcPr>
          <w:p>
            <w:pPr/>
          </w:p>
        </w:tc>
        <w:tc>
          <w:tcPr>
            <w:tcW w:w="989"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r>
        <w:rPr/>
        <w:pict>
          <v:group style="position:absolute;margin-left:398.940002pt;margin-top:72.480003pt;width:49.1pt;height:686.4pt;mso-position-horizontal-relative:page;mso-position-vertical-relative:page;z-index:-1221904" coordorigin="7979,1450" coordsize="982,13728">
            <v:shape style="position:absolute;left:7979;top:1450;width:982;height:13728" coordorigin="7979,1450" coordsize="982,13728" path="m7979,15178l8960,15178,8960,1450,7979,1450,7979,1517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00"/>
        <w:gridCol w:w="1440"/>
        <w:gridCol w:w="900"/>
        <w:gridCol w:w="2700"/>
        <w:gridCol w:w="991"/>
        <w:gridCol w:w="900"/>
        <w:gridCol w:w="989"/>
      </w:tblGrid>
      <w:tr>
        <w:trPr>
          <w:trHeight w:val="317" w:hRule="exact"/>
        </w:trPr>
        <w:tc>
          <w:tcPr>
            <w:tcW w:w="1800" w:type="dxa"/>
            <w:vMerge w:val="restart"/>
            <w:tcBorders>
              <w:top w:val="single" w:sz="4" w:space="0" w:color="000000"/>
              <w:left w:val="single" w:sz="4" w:space="0" w:color="000000"/>
              <w:right w:val="single" w:sz="4" w:space="0" w:color="000000"/>
            </w:tcBorders>
            <w:shd w:val="clear" w:color="auto" w:fill="D3D3D3"/>
          </w:tcPr>
          <w:p>
            <w:pPr/>
          </w:p>
        </w:tc>
        <w:tc>
          <w:tcPr>
            <w:tcW w:w="1440" w:type="dxa"/>
            <w:vMerge w:val="restart"/>
            <w:tcBorders>
              <w:top w:val="single" w:sz="4" w:space="0" w:color="000000"/>
              <w:left w:val="single" w:sz="4" w:space="0" w:color="000000"/>
              <w:right w:val="single" w:sz="4" w:space="0" w:color="000000"/>
            </w:tcBorders>
            <w:shd w:val="clear" w:color="auto" w:fill="C7EDCC"/>
          </w:tcPr>
          <w:p>
            <w:pPr/>
          </w:p>
        </w:tc>
        <w:tc>
          <w:tcPr>
            <w:tcW w:w="900" w:type="dxa"/>
            <w:vMerge w:val="restart"/>
            <w:tcBorders>
              <w:top w:val="single" w:sz="4" w:space="0" w:color="000000"/>
              <w:left w:val="single" w:sz="4" w:space="0" w:color="000000"/>
              <w:right w:val="single" w:sz="4" w:space="0" w:color="000000"/>
            </w:tcBorders>
            <w:shd w:val="clear" w:color="auto" w:fill="C7EDCC"/>
          </w:tcPr>
          <w:p>
            <w:pPr/>
          </w:p>
        </w:tc>
        <w:tc>
          <w:tcPr>
            <w:tcW w:w="27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方中各认购方全部选择以现金方</w:t>
            </w:r>
          </w:p>
        </w:tc>
        <w:tc>
          <w:tcPr>
            <w:tcW w:w="991" w:type="dxa"/>
            <w:tcBorders>
              <w:top w:val="single" w:sz="4" w:space="0" w:color="000000"/>
              <w:left w:val="single" w:sz="4" w:space="0" w:color="000000"/>
              <w:bottom w:val="nil" w:sz="6" w:space="0" w:color="auto"/>
              <w:right w:val="single" w:sz="4" w:space="0" w:color="000000"/>
            </w:tcBorders>
          </w:tcPr>
          <w:p>
            <w:pPr/>
          </w:p>
        </w:tc>
        <w:tc>
          <w:tcPr>
            <w:tcW w:w="900" w:type="dxa"/>
            <w:vMerge w:val="restart"/>
            <w:tcBorders>
              <w:top w:val="single" w:sz="4" w:space="0" w:color="000000"/>
              <w:left w:val="single" w:sz="4" w:space="0" w:color="000000"/>
              <w:right w:val="single" w:sz="4" w:space="0" w:color="000000"/>
            </w:tcBorders>
            <w:shd w:val="clear" w:color="auto" w:fill="C7EDCC"/>
          </w:tcPr>
          <w:p>
            <w:pPr/>
          </w:p>
        </w:tc>
        <w:tc>
          <w:tcPr>
            <w:tcW w:w="989" w:type="dxa"/>
            <w:vMerge w:val="restart"/>
            <w:tcBorders>
              <w:top w:val="single" w:sz="4" w:space="0" w:color="000000"/>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式补偿的，每年应补偿现金金额</w:t>
            </w:r>
            <w:r>
              <w:rPr>
                <w:rFonts w:ascii="Times New Roman" w:hAnsi="Times New Roman" w:cs="Times New Roman" w:eastAsia="Times New Roman"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按上述（</w:t>
            </w:r>
            <w:r>
              <w:rPr>
                <w:rFonts w:ascii="Times New Roman" w:hAnsi="Times New Roman" w:cs="Times New Roman" w:eastAsia="Times New Roman" w:hint="default"/>
                <w:sz w:val="18"/>
                <w:szCs w:val="18"/>
              </w:rPr>
              <w:t>1</w:t>
            </w:r>
            <w:r>
              <w:rPr>
                <w:rFonts w:ascii="宋体" w:hAnsi="宋体" w:cs="宋体" w:eastAsia="宋体" w:hint="default"/>
                <w:sz w:val="18"/>
                <w:szCs w:val="18"/>
              </w:rPr>
              <w:t>）计算的每年应补偿股</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发行价格；补偿方项下各</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单一认购方每年应补偿的现金金</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按上述①计算的补偿方项下各</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单一认购方每年应补偿的股份数</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发行价格；③补偿方中各认购</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方选择以支付现金加偿还股份的</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方式进行补偿的，每年应补偿的股</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份数量及现金金额，即为补偿方中</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各认购方按下述公式分别计算的</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其应补偿的股份数量的总和及现</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金金额的总和：</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补偿方中各单</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一认购方每年确定补偿的股份数</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w:t>
            </w:r>
            <w:r>
              <w:rPr>
                <w:rFonts w:ascii="Times New Roman" w:hAnsi="Times New Roman" w:cs="Times New Roman" w:eastAsia="Times New Roman" w:hint="default"/>
                <w:sz w:val="18"/>
                <w:szCs w:val="18"/>
              </w:rPr>
              <w:t>=</w:t>
            </w:r>
            <w:r>
              <w:rPr>
                <w:rFonts w:ascii="宋体" w:hAnsi="宋体" w:cs="宋体" w:eastAsia="宋体" w:hint="default"/>
                <w:sz w:val="18"/>
                <w:szCs w:val="18"/>
              </w:rPr>
              <w:t>按上述①计算的该单一认购方</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每年应补偿的股份数量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该认购方</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确定的股份补偿比例；</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补偿方</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中各单一认购方每年确定补偿的</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（按上述①计算的该单</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一认购方每年应补偿的股份数量</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－按上述 </w:t>
            </w:r>
            <w:r>
              <w:rPr>
                <w:rFonts w:ascii="Times New Roman" w:hAnsi="Times New Roman" w:cs="Times New Roman" w:eastAsia="Times New Roman" w:hint="default"/>
                <w:sz w:val="18"/>
                <w:szCs w:val="18"/>
              </w:rPr>
              <w:t>a  </w:t>
            </w:r>
            <w:r>
              <w:rPr>
                <w:rFonts w:ascii="宋体" w:hAnsi="宋体" w:cs="宋体" w:eastAsia="宋体" w:hint="default"/>
                <w:sz w:val="18"/>
                <w:szCs w:val="18"/>
              </w:rPr>
              <w:t>计算的该单一认购方</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每年确定补偿的股份数量）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发行</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价格。根据上述公式计算补偿股份</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数时，如果各年度计算的应补偿股</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时，按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取值，即已经</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补偿的股份不冲回。如果公司在承</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诺年度内实施现金分红，则补偿方</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当年度应补偿股份所对应的分红</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收益相应返还公司，返还金额</w:t>
            </w:r>
            <w:r>
              <w:rPr>
                <w:rFonts w:ascii="Times New Roman" w:hAnsi="Times New Roman" w:cs="Times New Roman" w:eastAsia="Times New Roman" w:hint="default"/>
                <w:sz w:val="18"/>
                <w:szCs w:val="18"/>
              </w:rPr>
              <w:t>=</w:t>
            </w:r>
            <w:r>
              <w:rPr>
                <w:rFonts w:ascii="宋体" w:hAnsi="宋体" w:cs="宋体" w:eastAsia="宋体" w:hint="default"/>
                <w:sz w:val="18"/>
                <w:szCs w:val="18"/>
              </w:rPr>
              <w:t>截</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至补偿前每股已获得的现金股利</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（以税前金额为准）</w:t>
            </w:r>
            <w:r>
              <w:rPr>
                <w:rFonts w:ascii="Times New Roman" w:hAnsi="Times New Roman" w:cs="Times New Roman" w:eastAsia="Times New Roman" w:hint="default"/>
                <w:sz w:val="18"/>
                <w:szCs w:val="18"/>
              </w:rPr>
              <w:t>×</w:t>
            </w:r>
            <w:r>
              <w:rPr>
                <w:rFonts w:ascii="宋体" w:hAnsi="宋体" w:cs="宋体" w:eastAsia="宋体" w:hint="default"/>
                <w:sz w:val="18"/>
                <w:szCs w:val="18"/>
              </w:rPr>
              <w:t>当年应补偿</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股份数；如果公司在承诺年度内实</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施送红股或公积金转增股本的，则</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每年应补偿股份总数相应调整为：</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每年应补偿股份总数（调整后）</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（截至当期期末累积预测净利润</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－截至当期期末累积实际净利润）</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承诺年度内各年度的预测净利润</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2"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总和</w:t>
            </w:r>
            <w:r>
              <w:rPr>
                <w:rFonts w:ascii="Times New Roman" w:hAnsi="Times New Roman" w:cs="Times New Roman" w:eastAsia="Times New Roman" w:hint="default"/>
                <w:sz w:val="18"/>
                <w:szCs w:val="18"/>
              </w:rPr>
              <w:t>×</w:t>
            </w:r>
            <w:r>
              <w:rPr>
                <w:rFonts w:ascii="宋体" w:hAnsi="宋体" w:cs="宋体" w:eastAsia="宋体" w:hint="default"/>
                <w:sz w:val="18"/>
                <w:szCs w:val="18"/>
              </w:rPr>
              <w:t>（交易价格总额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－已补偿股份数－（已补偿现金金</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送红股或公</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07" w:hRule="exact"/>
        </w:trPr>
        <w:tc>
          <w:tcPr>
            <w:tcW w:w="180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C7EDCC"/>
          </w:tcPr>
          <w:p>
            <w:pPr/>
          </w:p>
        </w:tc>
        <w:tc>
          <w:tcPr>
            <w:tcW w:w="900" w:type="dxa"/>
            <w:vMerge/>
            <w:tcBorders>
              <w:left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积金转增股本比例</w:t>
            </w:r>
            <w:r>
              <w:rPr>
                <w:rFonts w:ascii="宋体" w:hAnsi="宋体" w:cs="宋体" w:eastAsia="宋体" w:hint="default"/>
                <w:spacing w:val="-90"/>
                <w:sz w:val="18"/>
                <w:szCs w:val="18"/>
              </w:rPr>
              <w:t>）</w:t>
            </w:r>
            <w:r>
              <w:rPr>
                <w:rFonts w:ascii="宋体" w:hAnsi="宋体" w:cs="宋体" w:eastAsia="宋体" w:hint="default"/>
                <w:sz w:val="18"/>
                <w:szCs w:val="18"/>
              </w:rPr>
              <w:t>。在承诺年度</w:t>
            </w:r>
          </w:p>
        </w:tc>
        <w:tc>
          <w:tcPr>
            <w:tcW w:w="991"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shd w:val="clear" w:color="auto" w:fill="C7EDCC"/>
          </w:tcPr>
          <w:p>
            <w:pPr/>
          </w:p>
        </w:tc>
        <w:tc>
          <w:tcPr>
            <w:tcW w:w="989" w:type="dxa"/>
            <w:vMerge/>
            <w:tcBorders>
              <w:left w:val="single" w:sz="4" w:space="0" w:color="000000"/>
              <w:right w:val="single" w:sz="4" w:space="0" w:color="000000"/>
            </w:tcBorders>
            <w:shd w:val="clear" w:color="auto" w:fill="C7EDCC"/>
          </w:tcPr>
          <w:p>
            <w:pPr/>
          </w:p>
        </w:tc>
      </w:tr>
      <w:tr>
        <w:trPr>
          <w:trHeight w:val="318"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C7EDCC"/>
          </w:tcPr>
          <w:p>
            <w:pPr/>
          </w:p>
        </w:tc>
        <w:tc>
          <w:tcPr>
            <w:tcW w:w="900" w:type="dxa"/>
            <w:vMerge/>
            <w:tcBorders>
              <w:left w:val="single" w:sz="4" w:space="0" w:color="000000"/>
              <w:bottom w:val="single" w:sz="4" w:space="0" w:color="000000"/>
              <w:right w:val="single" w:sz="4" w:space="0" w:color="000000"/>
            </w:tcBorders>
            <w:shd w:val="clear" w:color="auto" w:fill="C7EDCC"/>
          </w:tcPr>
          <w:p>
            <w:pPr/>
          </w:p>
        </w:tc>
        <w:tc>
          <w:tcPr>
            <w:tcW w:w="27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期限届满后三个月内，公司应当聘</w:t>
            </w:r>
          </w:p>
        </w:tc>
        <w:tc>
          <w:tcPr>
            <w:tcW w:w="991"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shd w:val="clear" w:color="auto" w:fill="C7EDCC"/>
          </w:tcPr>
          <w:p>
            <w:pPr/>
          </w:p>
        </w:tc>
        <w:tc>
          <w:tcPr>
            <w:tcW w:w="989"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00"/>
        <w:gridCol w:w="1440"/>
        <w:gridCol w:w="900"/>
        <w:gridCol w:w="2700"/>
        <w:gridCol w:w="991"/>
        <w:gridCol w:w="900"/>
        <w:gridCol w:w="989"/>
      </w:tblGrid>
      <w:tr>
        <w:trPr>
          <w:trHeight w:val="5354"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请具有证券期货相关业务从业资 格的会计师事务所依照中国证监 会的规则及要求对标的资产进行 减值测试，并出具《减值测试报 </w:t>
            </w:r>
            <w:r>
              <w:rPr>
                <w:rFonts w:ascii="宋体" w:hAnsi="宋体" w:cs="宋体" w:eastAsia="宋体" w:hint="default"/>
                <w:spacing w:val="-6"/>
                <w:sz w:val="18"/>
                <w:szCs w:val="18"/>
              </w:rPr>
              <w:t>告》。如：标的资产期末减值额</w:t>
            </w:r>
            <w:r>
              <w:rPr>
                <w:rFonts w:ascii="Times New Roman" w:hAnsi="Times New Roman" w:cs="Times New Roman" w:eastAsia="Times New Roman" w:hint="default"/>
                <w:spacing w:val="-6"/>
                <w:sz w:val="18"/>
                <w:szCs w:val="18"/>
              </w:rPr>
              <w:t>&gt;</w:t>
            </w:r>
            <w:r>
              <w:rPr>
                <w:rFonts w:ascii="Times New Roman" w:hAnsi="Times New Roman" w:cs="Times New Roman" w:eastAsia="Times New Roman" w:hint="default"/>
                <w:sz w:val="18"/>
                <w:szCs w:val="18"/>
              </w:rPr>
              <w:t> </w:t>
            </w:r>
            <w:r>
              <w:rPr>
                <w:rFonts w:ascii="宋体" w:hAnsi="宋体" w:cs="宋体" w:eastAsia="宋体" w:hint="default"/>
                <w:sz w:val="18"/>
                <w:szCs w:val="18"/>
              </w:rPr>
              <w:t>承诺年度期限内已补偿股份数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本 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已补偿现金总额，补 偿方应另行以其在本次交易取得 </w:t>
            </w:r>
            <w:r>
              <w:rPr>
                <w:rFonts w:ascii="宋体" w:hAnsi="宋体" w:cs="宋体" w:eastAsia="宋体" w:hint="default"/>
                <w:spacing w:val="-4"/>
                <w:sz w:val="18"/>
                <w:szCs w:val="18"/>
              </w:rPr>
              <w:t>的股份对公司进行补偿，另需补偿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股份数量为：（标的资产期末减值</w:t>
            </w:r>
            <w:r>
              <w:rPr>
                <w:rFonts w:ascii="宋体" w:hAnsi="宋体" w:cs="宋体" w:eastAsia="宋体" w:hint="default"/>
                <w:sz w:val="18"/>
                <w:szCs w:val="18"/>
              </w:rPr>
              <w:t> 额－已补偿现金金额）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 价格－承诺年度期限内已补偿股 </w:t>
            </w:r>
            <w:r>
              <w:rPr>
                <w:rFonts w:ascii="宋体" w:hAnsi="宋体" w:cs="宋体" w:eastAsia="宋体" w:hint="default"/>
                <w:spacing w:val="-4"/>
                <w:sz w:val="18"/>
                <w:szCs w:val="18"/>
              </w:rPr>
              <w:t>份总数。减值额为标的资产作价减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去期末标的资产的评估值并扣除 承诺年度期限内标的资产股东增 </w:t>
            </w:r>
            <w:r>
              <w:rPr>
                <w:rFonts w:ascii="宋体" w:hAnsi="宋体" w:cs="宋体" w:eastAsia="宋体" w:hint="default"/>
                <w:spacing w:val="-4"/>
                <w:sz w:val="18"/>
                <w:szCs w:val="18"/>
              </w:rPr>
              <w:t>资、减资、接受赠予以及利润分配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的影响。</w:t>
            </w:r>
          </w:p>
        </w:tc>
        <w:tc>
          <w:tcPr>
            <w:tcW w:w="9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8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5"/>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8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8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989"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9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015"/>
        <w:gridCol w:w="1080"/>
        <w:gridCol w:w="1180"/>
        <w:gridCol w:w="1182"/>
        <w:gridCol w:w="1587"/>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96" w:right="4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358"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58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7"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625"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5"/>
              <w:ind w:left="22" w:right="191"/>
              <w:jc w:val="left"/>
              <w:rPr>
                <w:rFonts w:ascii="宋体" w:hAnsi="宋体" w:cs="宋体" w:eastAsia="宋体" w:hint="default"/>
                <w:sz w:val="18"/>
                <w:szCs w:val="18"/>
              </w:rPr>
            </w:pPr>
            <w:r>
              <w:rPr>
                <w:rFonts w:ascii="宋体" w:hAnsi="宋体" w:cs="宋体" w:eastAsia="宋体" w:hint="default"/>
                <w:sz w:val="18"/>
                <w:szCs w:val="18"/>
              </w:rPr>
              <w:t>发行股份购买 北明软件股权</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25,377</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27,648.88</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5"/>
              <w:ind w:left="23" w:right="37"/>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）《发行股份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购买资产并募集配</w:t>
            </w:r>
          </w:p>
        </w:tc>
      </w:tr>
      <w:tr>
        <w:trPr>
          <w:trHeight w:val="307"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套资金暨关联交易</w:t>
            </w:r>
          </w:p>
        </w:tc>
      </w:tr>
      <w:tr>
        <w:trPr>
          <w:trHeight w:val="356"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58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报告书》</w:t>
            </w:r>
          </w:p>
        </w:tc>
      </w:tr>
      <w:tr>
        <w:trPr>
          <w:trHeight w:val="348"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58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78"/>
                <w:sz w:val="18"/>
                <w:szCs w:val="18"/>
              </w:rPr>
              <w:t>、</w:t>
            </w:r>
            <w:r>
              <w:rPr>
                <w:rFonts w:ascii="宋体" w:hAnsi="宋体" w:cs="宋体" w:eastAsia="宋体" w:hint="default"/>
                <w:sz w:val="18"/>
                <w:szCs w:val="18"/>
              </w:rPr>
              <w:t>证券时</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北明软件现金</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报、巨潮资讯网</w:t>
            </w:r>
          </w:p>
        </w:tc>
      </w:tr>
      <w:tr>
        <w:trPr>
          <w:trHeight w:val="630"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购买北京明润 华创科技有限</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680.02</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20"/>
              <w:ind w:left="23" w:right="1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）《关于全资</w:t>
            </w:r>
          </w:p>
        </w:tc>
      </w:tr>
      <w:tr>
        <w:trPr>
          <w:trHeight w:val="317"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责任公司股权</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子公司北明软件收</w:t>
            </w:r>
          </w:p>
        </w:tc>
      </w:tr>
      <w:tr>
        <w:trPr>
          <w:trHeight w:val="31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58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购股权的公告</w:t>
            </w:r>
            <w:r>
              <w:rPr>
                <w:rFonts w:ascii="宋体" w:hAnsi="宋体" w:cs="宋体" w:eastAsia="宋体" w:hint="default"/>
                <w:spacing w:val="-90"/>
                <w:sz w:val="18"/>
                <w:szCs w:val="18"/>
              </w:rPr>
              <w:t>》</w:t>
            </w:r>
            <w:r>
              <w:rPr>
                <w:rFonts w:ascii="宋体" w:hAnsi="宋体" w:cs="宋体" w:eastAsia="宋体" w:hint="default"/>
                <w:sz w:val="18"/>
                <w:szCs w:val="18"/>
              </w:rPr>
              <w:t>（公</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015"/>
        <w:gridCol w:w="1080"/>
        <w:gridCol w:w="1180"/>
        <w:gridCol w:w="1182"/>
        <w:gridCol w:w="1598"/>
      </w:tblGrid>
      <w:tr>
        <w:trPr>
          <w:trHeight w:val="362" w:hRule="exact"/>
        </w:trPr>
        <w:tc>
          <w:tcPr>
            <w:tcW w:w="130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26"/>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2015-054</w:t>
            </w:r>
            <w:r>
              <w:rPr>
                <w:rFonts w:ascii="宋体" w:hAnsi="宋体" w:cs="宋体" w:eastAsia="宋体" w:hint="default"/>
                <w:sz w:val="18"/>
                <w:szCs w:val="18"/>
              </w:rPr>
              <w:t>）</w:t>
            </w: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78"/>
                <w:sz w:val="18"/>
                <w:szCs w:val="18"/>
              </w:rPr>
              <w:t>、</w:t>
            </w:r>
            <w:r>
              <w:rPr>
                <w:rFonts w:ascii="宋体" w:hAnsi="宋体" w:cs="宋体" w:eastAsia="宋体" w:hint="default"/>
                <w:sz w:val="18"/>
                <w:szCs w:val="18"/>
              </w:rPr>
              <w:t>证券时</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北明软件现金</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报、巨潮资讯网</w:t>
            </w:r>
          </w:p>
        </w:tc>
      </w:tr>
      <w:tr>
        <w:trPr>
          <w:trHeight w:val="935"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91"/>
              <w:jc w:val="both"/>
              <w:rPr>
                <w:rFonts w:ascii="宋体" w:hAnsi="宋体" w:cs="宋体" w:eastAsia="宋体" w:hint="default"/>
                <w:sz w:val="18"/>
                <w:szCs w:val="18"/>
              </w:rPr>
            </w:pPr>
            <w:r>
              <w:rPr>
                <w:rFonts w:ascii="宋体" w:hAnsi="宋体" w:cs="宋体" w:eastAsia="宋体" w:hint="default"/>
                <w:sz w:val="18"/>
                <w:szCs w:val="18"/>
              </w:rPr>
              <w:t>购买北京天时 前程自动化工 程技术有限公</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2,813</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z w:val="18"/>
              </w:rPr>
              <w:t>2,910.66</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0"/>
              <w:ind w:left="23" w:right="24"/>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）《关于全资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子公司北明软件收</w:t>
            </w: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司股权</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购股权的公告</w:t>
            </w:r>
            <w:r>
              <w:rPr>
                <w:rFonts w:ascii="宋体" w:hAnsi="宋体" w:cs="宋体" w:eastAsia="宋体" w:hint="default"/>
                <w:spacing w:val="-90"/>
                <w:sz w:val="18"/>
                <w:szCs w:val="18"/>
              </w:rPr>
              <w:t>》</w:t>
            </w:r>
            <w:r>
              <w:rPr>
                <w:rFonts w:ascii="宋体" w:hAnsi="宋体" w:cs="宋体" w:eastAsia="宋体" w:hint="default"/>
                <w:sz w:val="18"/>
                <w:szCs w:val="18"/>
              </w:rPr>
              <w:t>（公</w:t>
            </w:r>
          </w:p>
        </w:tc>
      </w:tr>
      <w:tr>
        <w:trPr>
          <w:trHeight w:val="356"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3" w:right="-26"/>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2015-054</w:t>
            </w:r>
            <w:r>
              <w:rPr>
                <w:rFonts w:ascii="宋体" w:hAnsi="宋体" w:cs="宋体" w:eastAsia="宋体" w:hint="default"/>
                <w:sz w:val="18"/>
                <w:szCs w:val="18"/>
              </w:rPr>
              <w:t>）</w:t>
            </w: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索科维尔主要</w:t>
            </w:r>
          </w:p>
        </w:tc>
        <w:tc>
          <w:tcPr>
            <w:tcW w:w="1182"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从事能源领域</w:t>
            </w: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业务。近</w:t>
            </w: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491"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北明软件现金 购买索科维尔</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pacing w:val="-2"/>
                <w:sz w:val="18"/>
                <w:szCs w:val="18"/>
              </w:rPr>
              <w:t>（北京）软件系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统有限公司股 权</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1,797</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-74.84</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4" w:lineRule="auto" w:before="5"/>
              <w:ind w:left="22" w:right="19"/>
              <w:jc w:val="both"/>
              <w:rPr>
                <w:rFonts w:ascii="宋体" w:hAnsi="宋体" w:cs="宋体" w:eastAsia="宋体" w:hint="default"/>
                <w:sz w:val="18"/>
                <w:szCs w:val="18"/>
              </w:rPr>
            </w:pPr>
            <w:r>
              <w:rPr>
                <w:rFonts w:ascii="宋体" w:hAnsi="宋体" w:cs="宋体" w:eastAsia="宋体" w:hint="default"/>
                <w:sz w:val="18"/>
                <w:szCs w:val="18"/>
              </w:rPr>
              <w:t>年来，油价持 续低迷，能源 行业的利润大 幅下滑，能源 领域用于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方 面的支出大幅 度削减，对索 科维尔的盈利</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9"/>
                <w:sz w:val="18"/>
                <w:szCs w:val="18"/>
              </w:rPr>
              <w:t>中国证券报、证券时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报、巨潮资讯网</w:t>
            </w:r>
          </w:p>
          <w:p>
            <w:pPr>
              <w:pStyle w:val="TableParagraph"/>
              <w:spacing w:line="309" w:lineRule="auto" w:before="19"/>
              <w:ind w:left="23"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 </w:t>
            </w: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）《关于全资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子公司北明软件收 </w:t>
            </w:r>
            <w:r>
              <w:rPr>
                <w:rFonts w:ascii="宋体" w:hAnsi="宋体" w:cs="宋体" w:eastAsia="宋体" w:hint="default"/>
                <w:spacing w:val="-10"/>
                <w:sz w:val="18"/>
                <w:szCs w:val="18"/>
              </w:rPr>
              <w:t>购股权的公告》（公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2015-054</w:t>
            </w:r>
            <w:r>
              <w:rPr>
                <w:rFonts w:ascii="宋体" w:hAnsi="宋体" w:cs="宋体" w:eastAsia="宋体" w:hint="default"/>
                <w:sz w:val="18"/>
                <w:szCs w:val="18"/>
              </w:rPr>
              <w:t>）</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能力造成了较</w:t>
            </w: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大的不利影</w:t>
            </w: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响。</w:t>
            </w:r>
          </w:p>
        </w:tc>
        <w:tc>
          <w:tcPr>
            <w:tcW w:w="1182"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78"/>
                <w:sz w:val="18"/>
                <w:szCs w:val="18"/>
              </w:rPr>
              <w:t>、</w:t>
            </w:r>
            <w:r>
              <w:rPr>
                <w:rFonts w:ascii="宋体" w:hAnsi="宋体" w:cs="宋体" w:eastAsia="宋体" w:hint="default"/>
                <w:sz w:val="18"/>
                <w:szCs w:val="18"/>
              </w:rPr>
              <w:t>证券时</w:t>
            </w:r>
          </w:p>
        </w:tc>
      </w:tr>
      <w:tr>
        <w:trPr>
          <w:trHeight w:val="1560"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北明软件现金 购买山东成功 信息技术有限 公司股权</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716.91</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报、巨潮资讯网</w:t>
            </w:r>
          </w:p>
          <w:p>
            <w:pPr>
              <w:pStyle w:val="TableParagraph"/>
              <w:spacing w:line="307" w:lineRule="auto" w:before="76"/>
              <w:ind w:left="23" w:right="24"/>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http://www.cninfo.</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pacing w:val="-39"/>
                <w:sz w:val="18"/>
                <w:szCs w:val="18"/>
              </w:rPr>
            </w: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）《关于全资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子公司北明软件收 </w:t>
            </w:r>
            <w:r>
              <w:rPr>
                <w:rFonts w:ascii="宋体" w:hAnsi="宋体" w:cs="宋体" w:eastAsia="宋体" w:hint="default"/>
                <w:spacing w:val="-10"/>
                <w:sz w:val="18"/>
                <w:szCs w:val="18"/>
              </w:rPr>
              <w:t>购股权的公告》（公</w:t>
            </w: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26"/>
              <w:jc w:val="left"/>
              <w:rPr>
                <w:rFonts w:ascii="宋体" w:hAnsi="宋体" w:cs="宋体" w:eastAsia="宋体" w:hint="default"/>
                <w:sz w:val="18"/>
                <w:szCs w:val="18"/>
              </w:rPr>
            </w:pP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2015-054</w:t>
            </w:r>
            <w:r>
              <w:rPr>
                <w:rFonts w:ascii="宋体" w:hAnsi="宋体" w:cs="宋体" w:eastAsia="宋体" w:hint="default"/>
                <w:sz w:val="18"/>
                <w:szCs w:val="18"/>
              </w:rPr>
              <w:t>）</w:t>
            </w:r>
          </w:p>
        </w:tc>
      </w:tr>
      <w:tr>
        <w:trPr>
          <w:trHeight w:val="357" w:hRule="exact"/>
        </w:trPr>
        <w:tc>
          <w:tcPr>
            <w:tcW w:w="1306"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1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78"/>
                <w:sz w:val="18"/>
                <w:szCs w:val="18"/>
              </w:rPr>
              <w:t>、</w:t>
            </w:r>
            <w:r>
              <w:rPr>
                <w:rFonts w:ascii="宋体" w:hAnsi="宋体" w:cs="宋体" w:eastAsia="宋体" w:hint="default"/>
                <w:sz w:val="18"/>
                <w:szCs w:val="18"/>
              </w:rPr>
              <w:t>证券时</w:t>
            </w:r>
          </w:p>
        </w:tc>
      </w:tr>
      <w:tr>
        <w:trPr>
          <w:trHeight w:val="311"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报、巨潮资讯网</w:t>
            </w:r>
          </w:p>
        </w:tc>
      </w:tr>
      <w:tr>
        <w:trPr>
          <w:trHeight w:val="317"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312"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北明软件现金</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90"/>
                <w:sz w:val="18"/>
                <w:szCs w:val="18"/>
              </w:rPr>
              <w:t>）</w:t>
            </w:r>
            <w:r>
              <w:rPr>
                <w:rFonts w:ascii="宋体" w:hAnsi="宋体" w:cs="宋体" w:eastAsia="宋体" w:hint="default"/>
                <w:sz w:val="18"/>
                <w:szCs w:val="18"/>
              </w:rPr>
              <w:t>《北</w:t>
            </w:r>
            <w:r>
              <w:rPr>
                <w:rFonts w:ascii="宋体" w:hAnsi="宋体" w:cs="宋体" w:eastAsia="宋体" w:hint="default"/>
                <w:spacing w:val="-2"/>
                <w:sz w:val="18"/>
                <w:szCs w:val="18"/>
              </w:rPr>
              <w:t>明</w:t>
            </w:r>
            <w:r>
              <w:rPr>
                <w:rFonts w:ascii="宋体" w:hAnsi="宋体" w:cs="宋体" w:eastAsia="宋体" w:hint="default"/>
                <w:sz w:val="18"/>
                <w:szCs w:val="18"/>
              </w:rPr>
              <w:t>软件</w:t>
            </w:r>
          </w:p>
        </w:tc>
      </w:tr>
      <w:tr>
        <w:trPr>
          <w:trHeight w:val="625"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91"/>
              <w:jc w:val="left"/>
              <w:rPr>
                <w:rFonts w:ascii="宋体" w:hAnsi="宋体" w:cs="宋体" w:eastAsia="宋体" w:hint="default"/>
                <w:sz w:val="18"/>
                <w:szCs w:val="18"/>
              </w:rPr>
            </w:pPr>
            <w:r>
              <w:rPr>
                <w:rFonts w:ascii="宋体" w:hAnsi="宋体" w:cs="宋体" w:eastAsia="宋体" w:hint="default"/>
                <w:sz w:val="18"/>
                <w:szCs w:val="18"/>
              </w:rPr>
              <w:t>购买北京金实 盈信科技有限</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1,757.1</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3" w:right="122"/>
              <w:jc w:val="left"/>
              <w:rPr>
                <w:rFonts w:ascii="宋体" w:hAnsi="宋体" w:cs="宋体" w:eastAsia="宋体" w:hint="default"/>
                <w:sz w:val="18"/>
                <w:szCs w:val="18"/>
              </w:rPr>
            </w:pPr>
            <w:r>
              <w:rPr>
                <w:rFonts w:ascii="宋体" w:hAnsi="宋体" w:cs="宋体" w:eastAsia="宋体" w:hint="default"/>
                <w:sz w:val="18"/>
                <w:szCs w:val="18"/>
              </w:rPr>
              <w:t>有限公司与席波及 西安盈泰企业管理</w:t>
            </w:r>
          </w:p>
        </w:tc>
      </w:tr>
      <w:tr>
        <w:trPr>
          <w:trHeight w:val="307"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公司股权</w:t>
            </w: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咨询有限公司关于</w:t>
            </w:r>
          </w:p>
        </w:tc>
      </w:tr>
      <w:tr>
        <w:trPr>
          <w:trHeight w:val="311"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北京金实盈信科技</w:t>
            </w:r>
          </w:p>
        </w:tc>
      </w:tr>
      <w:tr>
        <w:trPr>
          <w:trHeight w:val="313" w:hRule="exact"/>
        </w:trPr>
        <w:tc>
          <w:tcPr>
            <w:tcW w:w="1306" w:type="dxa"/>
            <w:tcBorders>
              <w:top w:val="nil" w:sz="6" w:space="0" w:color="auto"/>
              <w:left w:val="single" w:sz="4" w:space="0" w:color="000000"/>
              <w:bottom w:val="nil" w:sz="6" w:space="0" w:color="auto"/>
              <w:right w:val="single" w:sz="4" w:space="0" w:color="000000"/>
            </w:tcBorders>
            <w:shd w:val="clear" w:color="auto" w:fill="C7EDCC"/>
          </w:tcPr>
          <w:p>
            <w:pPr/>
          </w:p>
        </w:tc>
        <w:tc>
          <w:tcPr>
            <w:tcW w:w="1178" w:type="dxa"/>
            <w:tcBorders>
              <w:top w:val="nil" w:sz="6" w:space="0" w:color="auto"/>
              <w:left w:val="single" w:sz="4" w:space="0" w:color="000000"/>
              <w:bottom w:val="nil" w:sz="6" w:space="0" w:color="auto"/>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
        </w:tc>
        <w:tc>
          <w:tcPr>
            <w:tcW w:w="101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
        </w:tc>
        <w:tc>
          <w:tcPr>
            <w:tcW w:w="1182" w:type="dxa"/>
            <w:tcBorders>
              <w:top w:val="nil" w:sz="6" w:space="0" w:color="auto"/>
              <w:left w:val="single" w:sz="4" w:space="0" w:color="000000"/>
              <w:bottom w:val="nil" w:sz="6" w:space="0" w:color="auto"/>
              <w:right w:val="single" w:sz="4" w:space="0" w:color="000000"/>
            </w:tcBorders>
          </w:tcPr>
          <w:p>
            <w:pPr/>
          </w:p>
        </w:tc>
        <w:tc>
          <w:tcPr>
            <w:tcW w:w="159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有限公司之股权转</w:t>
            </w:r>
          </w:p>
        </w:tc>
      </w:tr>
      <w:tr>
        <w:trPr>
          <w:trHeight w:val="357" w:hRule="exact"/>
        </w:trPr>
        <w:tc>
          <w:tcPr>
            <w:tcW w:w="1306"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1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让协议》</w:t>
            </w:r>
          </w:p>
        </w:tc>
      </w:tr>
    </w:tbl>
    <w:p>
      <w:pPr>
        <w:pStyle w:val="BodyText"/>
        <w:spacing w:line="240" w:lineRule="auto" w:before="51"/>
        <w:ind w:left="154" w:right="0"/>
        <w:jc w:val="left"/>
      </w:pPr>
      <w:r>
        <w:rPr/>
        <w:t>公司股东、交易对手方在报告年度经营业绩做出的承诺情况</w:t>
      </w:r>
    </w:p>
    <w:p>
      <w:pPr>
        <w:pStyle w:val="BodyText"/>
        <w:spacing w:line="338" w:lineRule="auto" w:before="117"/>
        <w:ind w:left="514" w:right="19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根据本公司与交易各方签署的《发行股份购买资产暨利润补偿协议》及其补充协议，业绩补偿方承诺北明软件</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t>年</w:t>
      </w:r>
    </w:p>
    <w:p>
      <w:pPr>
        <w:pStyle w:val="BodyText"/>
        <w:spacing w:line="230" w:lineRule="exact"/>
        <w:ind w:left="154" w:right="0"/>
        <w:jc w:val="left"/>
      </w:pPr>
      <w:r>
        <w:rPr/>
        <w:t>度预测扣除非经常性损益的净利润为</w:t>
      </w:r>
      <w:r>
        <w:rPr>
          <w:rFonts w:ascii="Times New Roman" w:hAnsi="Times New Roman" w:cs="Times New Roman" w:eastAsia="Times New Roman" w:hint="default"/>
        </w:rPr>
        <w:t>25,377.00</w:t>
      </w:r>
      <w:r>
        <w:rPr/>
        <w:t>万元，当年实际盈利数为</w:t>
      </w:r>
      <w:r>
        <w:rPr>
          <w:rFonts w:ascii="Times New Roman" w:hAnsi="Times New Roman" w:cs="Times New Roman" w:eastAsia="Times New Roman" w:hint="default"/>
        </w:rPr>
        <w:t>27,648.88</w:t>
      </w:r>
      <w:r>
        <w:rPr/>
        <w:t>万元，超额完成了业绩承诺。</w:t>
      </w:r>
    </w:p>
    <w:p>
      <w:pPr>
        <w:spacing w:after="0" w:line="230" w:lineRule="exact"/>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2" w:lineRule="auto" w:before="44"/>
        <w:ind w:right="211" w:firstLine="360"/>
        <w:jc w:val="left"/>
      </w:pPr>
      <w:r>
        <w:rPr>
          <w:spacing w:val="-2"/>
        </w:rPr>
        <w:t>根据北明软件分别与各交易对手方签署的《股权转让协议》，北京明润华创科技有限责任公司、北京天时前程自动化工</w:t>
      </w:r>
      <w:r>
        <w:rPr/>
        <w:t> </w:t>
      </w:r>
      <w:r>
        <w:rPr>
          <w:spacing w:val="-2"/>
        </w:rPr>
        <w:t>程技术有限公司、索科维尔（北京）软件系统有限公司、山东成功信息技术有限公司、北京金实盈信科技有限公司分别承诺</w:t>
      </w:r>
      <w:r>
        <w:rPr>
          <w:spacing w:val="-66"/>
        </w:rPr>
        <w:t> </w:t>
      </w:r>
      <w:r>
        <w:rPr>
          <w:spacing w:val="-66"/>
        </w:rPr>
      </w:r>
      <w:r>
        <w:rPr>
          <w:rFonts w:ascii="Times New Roman" w:hAnsi="Times New Roman" w:cs="Times New Roman" w:eastAsia="Times New Roman" w:hint="default"/>
          <w:spacing w:val="-2"/>
        </w:rPr>
        <w:t>2017</w:t>
      </w:r>
      <w:r>
        <w:rPr>
          <w:spacing w:val="-2"/>
        </w:rPr>
        <w:t>年扣除非经常损益的净利润完成</w:t>
      </w:r>
      <w:r>
        <w:rPr>
          <w:rFonts w:ascii="Times New Roman" w:hAnsi="Times New Roman" w:cs="Times New Roman" w:eastAsia="Times New Roman" w:hint="default"/>
          <w:spacing w:val="-2"/>
        </w:rPr>
        <w:t>608.00</w:t>
      </w:r>
      <w:r>
        <w:rPr>
          <w:spacing w:val="-2"/>
        </w:rPr>
        <w:t>万元、</w:t>
      </w:r>
      <w:r>
        <w:rPr>
          <w:rFonts w:ascii="Times New Roman" w:hAnsi="Times New Roman" w:cs="Times New Roman" w:eastAsia="Times New Roman" w:hint="default"/>
          <w:spacing w:val="-2"/>
        </w:rPr>
        <w:t>2,813.00</w:t>
      </w:r>
      <w:r>
        <w:rPr>
          <w:spacing w:val="-2"/>
        </w:rPr>
        <w:t>万元、</w:t>
      </w:r>
      <w:r>
        <w:rPr>
          <w:rFonts w:ascii="Times New Roman" w:hAnsi="Times New Roman" w:cs="Times New Roman" w:eastAsia="Times New Roman" w:hint="default"/>
          <w:spacing w:val="-2"/>
        </w:rPr>
        <w:t>1,797.00</w:t>
      </w:r>
      <w:r>
        <w:rPr>
          <w:spacing w:val="-2"/>
        </w:rPr>
        <w:t>万元、</w:t>
      </w:r>
      <w:r>
        <w:rPr>
          <w:rFonts w:ascii="Times New Roman" w:hAnsi="Times New Roman" w:cs="Times New Roman" w:eastAsia="Times New Roman" w:hint="default"/>
          <w:spacing w:val="-2"/>
        </w:rPr>
        <w:t>625.00</w:t>
      </w:r>
      <w:r>
        <w:rPr>
          <w:spacing w:val="-2"/>
        </w:rPr>
        <w:t>万元和</w:t>
      </w:r>
      <w:r>
        <w:rPr>
          <w:rFonts w:ascii="Times New Roman" w:hAnsi="Times New Roman" w:cs="Times New Roman" w:eastAsia="Times New Roman" w:hint="default"/>
          <w:spacing w:val="-2"/>
        </w:rPr>
        <w:t>1,750.00</w:t>
      </w:r>
      <w:r>
        <w:rPr>
          <w:spacing w:val="-2"/>
        </w:rPr>
        <w:t>万元，上述五家公司当</w:t>
      </w:r>
      <w:r>
        <w:rPr>
          <w:spacing w:val="-30"/>
        </w:rPr>
        <w:t> </w:t>
      </w:r>
      <w:r>
        <w:rPr>
          <w:spacing w:val="-30"/>
        </w:rPr>
      </w:r>
      <w:r>
        <w:rPr/>
        <w:t>年实际净利润分别为</w:t>
      </w:r>
      <w:r>
        <w:rPr>
          <w:rFonts w:ascii="Times New Roman" w:hAnsi="Times New Roman" w:cs="Times New Roman" w:eastAsia="Times New Roman" w:hint="default"/>
        </w:rPr>
        <w:t>680.02</w:t>
      </w:r>
      <w:r>
        <w:rPr/>
        <w:t>万元、</w:t>
      </w:r>
      <w:r>
        <w:rPr>
          <w:rFonts w:ascii="Times New Roman" w:hAnsi="Times New Roman" w:cs="Times New Roman" w:eastAsia="Times New Roman" w:hint="default"/>
        </w:rPr>
        <w:t>2,910.66</w:t>
      </w:r>
      <w:r>
        <w:rPr/>
        <w:t>万元、</w:t>
      </w:r>
      <w:r>
        <w:rPr>
          <w:rFonts w:ascii="Times New Roman" w:hAnsi="Times New Roman" w:cs="Times New Roman" w:eastAsia="Times New Roman" w:hint="default"/>
        </w:rPr>
        <w:t>-74.84</w:t>
      </w:r>
      <w:r>
        <w:rPr/>
        <w:t>万元、</w:t>
      </w:r>
      <w:r>
        <w:rPr>
          <w:rFonts w:ascii="Times New Roman" w:hAnsi="Times New Roman" w:cs="Times New Roman" w:eastAsia="Times New Roman" w:hint="default"/>
        </w:rPr>
        <w:t>716.91</w:t>
      </w:r>
      <w:r>
        <w:rPr/>
        <w:t>万元和</w:t>
      </w:r>
      <w:r>
        <w:rPr>
          <w:rFonts w:ascii="Times New Roman" w:hAnsi="Times New Roman" w:cs="Times New Roman" w:eastAsia="Times New Roman" w:hint="default"/>
        </w:rPr>
        <w:t>1,757.10</w:t>
      </w:r>
      <w:r>
        <w:rPr/>
        <w:t>万元，其中北京明润华创科技有限责任 </w:t>
      </w:r>
      <w:r>
        <w:rPr>
          <w:spacing w:val="-2"/>
        </w:rPr>
        <w:t>公司、北京天时前程自动化工程技术有限公司、山东成功信息技术有限公司、北京金实盈信科技有限公司四家公司超额完成</w:t>
      </w:r>
      <w:r>
        <w:rPr>
          <w:spacing w:val="-66"/>
        </w:rPr>
        <w:t> </w:t>
      </w:r>
      <w:r>
        <w:rPr>
          <w:spacing w:val="-66"/>
        </w:rPr>
      </w:r>
      <w:r>
        <w:rPr/>
        <w:t>了业绩承诺，索科维尔（北京）软件系统有限公司实际盈利数未能达到承诺利润数。</w:t>
      </w:r>
    </w:p>
    <w:p>
      <w:pPr>
        <w:pStyle w:val="BodyText"/>
        <w:spacing w:line="309" w:lineRule="auto" w:before="22"/>
        <w:ind w:right="211" w:firstLine="360"/>
        <w:jc w:val="both"/>
      </w:pPr>
      <w:r>
        <w:rPr>
          <w:spacing w:val="-2"/>
        </w:rPr>
        <w:t>索科维尔当期实际业绩未达预测的原因为：索科维尔主要从事能源领域的</w:t>
      </w:r>
      <w:r>
        <w:rPr>
          <w:rFonts w:ascii="Times New Roman" w:hAnsi="Times New Roman" w:cs="Times New Roman" w:eastAsia="Times New Roman" w:hint="default"/>
          <w:spacing w:val="-2"/>
        </w:rPr>
        <w:t>IT</w:t>
      </w:r>
      <w:r>
        <w:rPr>
          <w:spacing w:val="-2"/>
        </w:rPr>
        <w:t>业务。近年来，油价持续低迷，能源行业的</w:t>
      </w:r>
      <w:r>
        <w:rPr/>
        <w:t> </w:t>
      </w:r>
      <w:r>
        <w:rPr>
          <w:spacing w:val="-2"/>
        </w:rPr>
        <w:t>利润大幅下滑，能源领域用于</w:t>
      </w:r>
      <w:r>
        <w:rPr>
          <w:rFonts w:ascii="Times New Roman" w:hAnsi="Times New Roman" w:cs="Times New Roman" w:eastAsia="Times New Roman" w:hint="default"/>
          <w:spacing w:val="-2"/>
        </w:rPr>
        <w:t>IT</w:t>
      </w:r>
      <w:r>
        <w:rPr>
          <w:spacing w:val="-2"/>
        </w:rPr>
        <w:t>方面的支出大幅度削减。很多项目都在搁置、暂停、减少投资状态，所以能源领域市场需求</w:t>
      </w:r>
      <w:r>
        <w:rPr>
          <w:spacing w:val="-55"/>
        </w:rPr>
        <w:t> </w:t>
      </w:r>
      <w:r>
        <w:rPr>
          <w:spacing w:val="-55"/>
        </w:rPr>
      </w:r>
      <w:r>
        <w:rPr>
          <w:spacing w:val="-2"/>
        </w:rPr>
        <w:t>未能达到索科维尔管理层预计水平，对索科维尔的盈利能力造成了较大的不利影响。虽然索科维尔管理层已在认识到能源领</w:t>
      </w:r>
      <w:r>
        <w:rPr>
          <w:spacing w:val="-64"/>
        </w:rPr>
        <w:t> </w:t>
      </w:r>
      <w:r>
        <w:rPr>
          <w:spacing w:val="-64"/>
        </w:rPr>
      </w:r>
      <w:r>
        <w:rPr>
          <w:spacing w:val="-2"/>
        </w:rPr>
        <w:t>域不能满足其发展的需要时，积极调整了经营策略，但是由于项目开展、项目签约乃至项目完成都需要一定的时间周期，所</w:t>
      </w:r>
      <w:r>
        <w:rPr>
          <w:spacing w:val="-66"/>
        </w:rPr>
        <w:t> </w:t>
      </w:r>
      <w:r>
        <w:rPr>
          <w:spacing w:val="-66"/>
        </w:rPr>
      </w:r>
      <w:r>
        <w:rPr/>
        <w:t>以经营策略的转变并未对索科维尔</w:t>
      </w:r>
      <w:r>
        <w:rPr>
          <w:rFonts w:ascii="Times New Roman" w:hAnsi="Times New Roman" w:cs="Times New Roman" w:eastAsia="Times New Roman" w:hint="default"/>
        </w:rPr>
        <w:t>2017</w:t>
      </w:r>
      <w:r>
        <w:rPr/>
        <w:t>年的盈利能力带来明显的变化。</w:t>
      </w:r>
    </w:p>
    <w:p>
      <w:pPr>
        <w:pStyle w:val="BodyText"/>
        <w:spacing w:line="316" w:lineRule="auto" w:before="5"/>
        <w:ind w:left="513" w:right="111"/>
        <w:jc w:val="left"/>
      </w:pPr>
      <w:r>
        <w:rPr/>
        <w:t>为提升盈利能力，保证后期盈利预测的实现，索科维尔正在采取及拟采取的措施： 一是稳定油企业务，提高服务水平，等待回暖；二是开疆破土，建立新的客户群。</w:t>
      </w:r>
      <w:r>
        <w:rPr>
          <w:rFonts w:ascii="Times New Roman" w:hAnsi="Times New Roman" w:cs="Times New Roman" w:eastAsia="Times New Roman" w:hint="default"/>
        </w:rPr>
        <w:t>2017</w:t>
      </w:r>
      <w:r>
        <w:rPr/>
        <w:t>年已经初见成效，分别在电科、</w:t>
      </w:r>
    </w:p>
    <w:p>
      <w:pPr>
        <w:pStyle w:val="BodyText"/>
        <w:spacing w:line="300" w:lineRule="auto"/>
        <w:ind w:right="211"/>
        <w:jc w:val="left"/>
      </w:pPr>
      <w:r>
        <w:rPr>
          <w:spacing w:val="-2"/>
        </w:rPr>
        <w:t>某部委、兵器等大型央企及部委采购招标中入围及签约；</w:t>
      </w:r>
      <w:r>
        <w:rPr>
          <w:rFonts w:ascii="Times New Roman" w:hAnsi="Times New Roman" w:cs="Times New Roman" w:eastAsia="Times New Roman" w:hint="default"/>
          <w:spacing w:val="-2"/>
        </w:rPr>
        <w:t>2018</w:t>
      </w:r>
      <w:r>
        <w:rPr>
          <w:spacing w:val="-2"/>
        </w:rPr>
        <w:t>年在巩固原有客户并大力开发新增客户的同时，推进原自有软</w:t>
      </w:r>
      <w:r>
        <w:rPr>
          <w:spacing w:val="-62"/>
        </w:rPr>
        <w:t> </w:t>
      </w:r>
      <w:r>
        <w:rPr>
          <w:spacing w:val="-62"/>
        </w:rPr>
      </w:r>
      <w:r>
        <w:rPr/>
        <w:t>件产品和数据分析业务，扩大系统集成业务，做到既有粘度又有广度。</w:t>
      </w:r>
    </w:p>
    <w:p>
      <w:pPr>
        <w:pStyle w:val="BodyText"/>
        <w:spacing w:line="300" w:lineRule="auto" w:before="31"/>
        <w:ind w:right="278" w:firstLine="360"/>
        <w:jc w:val="both"/>
      </w:pPr>
      <w:r>
        <w:rPr/>
        <w:t>在未来</w:t>
      </w:r>
      <w:r>
        <w:rPr>
          <w:rFonts w:ascii="Times New Roman" w:hAnsi="Times New Roman" w:cs="Times New Roman" w:eastAsia="Times New Roman" w:hint="default"/>
        </w:rPr>
        <w:t>3-5</w:t>
      </w:r>
      <w:r>
        <w:rPr/>
        <w:t>年，通过加大销售力度和高端技术人员的技术投入，稳定</w:t>
      </w:r>
      <w:r>
        <w:rPr>
          <w:rFonts w:ascii="Times New Roman" w:hAnsi="Times New Roman" w:cs="Times New Roman" w:eastAsia="Times New Roman" w:hint="default"/>
        </w:rPr>
        <w:t>8-10</w:t>
      </w:r>
      <w:r>
        <w:rPr/>
        <w:t>个大型央企、部委等核心客户，参与其核心业 务的开发，提供核心的数据分析业务以及参与集成业务服务。</w:t>
      </w:r>
    </w:p>
    <w:p>
      <w:pPr>
        <w:pStyle w:val="BodyText"/>
        <w:spacing w:line="300" w:lineRule="auto" w:before="31"/>
        <w:ind w:right="210" w:firstLine="360"/>
        <w:jc w:val="both"/>
      </w:pPr>
      <w:r>
        <w:rPr>
          <w:spacing w:val="-2"/>
        </w:rPr>
        <w:t>根据北明软件与索科维尔签署的《股权转让协议》有关条款，业绩承诺方的承诺期间为</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2018</w:t>
      </w:r>
      <w:r>
        <w:rPr>
          <w:spacing w:val="-2"/>
        </w:rPr>
        <w:t>年，由于承诺期未</w:t>
      </w:r>
      <w:r>
        <w:rPr/>
        <w:t> </w:t>
      </w:r>
      <w:r>
        <w:rPr>
          <w:spacing w:val="-2"/>
        </w:rPr>
        <w:t>满，无需根据索科维尔业绩完成情况，调整《股权转让协议》约定的公司估值及最终股权转让价款。但是索科维尔</w:t>
      </w:r>
      <w:r>
        <w:rPr>
          <w:rFonts w:ascii="Times New Roman" w:hAnsi="Times New Roman" w:cs="Times New Roman" w:eastAsia="Times New Roman" w:hint="default"/>
          <w:spacing w:val="-2"/>
        </w:rPr>
        <w:t>2017</w:t>
      </w:r>
      <w:r>
        <w:rPr>
          <w:spacing w:val="-2"/>
        </w:rPr>
        <w:t>年度</w:t>
      </w:r>
      <w:r>
        <w:rPr>
          <w:spacing w:val="-62"/>
        </w:rPr>
        <w:t> </w:t>
      </w:r>
      <w:r>
        <w:rPr/>
        <w:t>未完成业绩承诺触发了《股权转让协议》</w:t>
      </w:r>
      <w:r>
        <w:rPr>
          <w:rFonts w:ascii="Times New Roman" w:hAnsi="Times New Roman" w:cs="Times New Roman" w:eastAsia="Times New Roman" w:hint="default"/>
        </w:rPr>
        <w:t>“2.7</w:t>
      </w:r>
      <w:r>
        <w:rPr>
          <w:rFonts w:ascii="Times New Roman" w:hAnsi="Times New Roman" w:cs="Times New Roman" w:eastAsia="Times New Roman" w:hint="default"/>
          <w:spacing w:val="26"/>
        </w:rPr>
        <w:t> </w:t>
      </w:r>
      <w:r>
        <w:rPr/>
        <w:t>股权转让款的后续付款安排</w:t>
      </w:r>
      <w:r>
        <w:rPr>
          <w:rFonts w:ascii="Times New Roman" w:hAnsi="Times New Roman" w:cs="Times New Roman" w:eastAsia="Times New Roman" w:hint="default"/>
        </w:rPr>
        <w:t>”</w:t>
      </w:r>
      <w:r>
        <w:rPr/>
        <w:t>条款，按《股权转让协议》中约定的第五笔股权 </w:t>
      </w:r>
      <w:r>
        <w:rPr>
          <w:spacing w:val="-2"/>
        </w:rPr>
        <w:t>转让款的计算公式</w:t>
      </w:r>
      <w:r>
        <w:rPr>
          <w:rFonts w:ascii="Times New Roman" w:hAnsi="Times New Roman" w:cs="Times New Roman" w:eastAsia="Times New Roman" w:hint="default"/>
          <w:spacing w:val="-2"/>
        </w:rPr>
        <w:t>[</w:t>
      </w:r>
      <w:r>
        <w:rPr>
          <w:spacing w:val="-2"/>
        </w:rPr>
        <w:t>第五笔股权转让款</w:t>
      </w:r>
      <w:r>
        <w:rPr>
          <w:rFonts w:ascii="Times New Roman" w:hAnsi="Times New Roman" w:cs="Times New Roman" w:eastAsia="Times New Roman" w:hint="default"/>
          <w:spacing w:val="-2"/>
        </w:rPr>
        <w:t>=</w:t>
      </w:r>
      <w:r>
        <w:rPr>
          <w:spacing w:val="-2"/>
        </w:rPr>
        <w:t>初步股权转让款</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A</w:t>
      </w:r>
      <w:r>
        <w:rPr>
          <w:spacing w:val="-2"/>
        </w:rPr>
        <w:t>）（</w:t>
      </w:r>
      <w:r>
        <w:rPr>
          <w:rFonts w:ascii="Times New Roman" w:hAnsi="Times New Roman" w:cs="Times New Roman" w:eastAsia="Times New Roman" w:hint="default"/>
          <w:spacing w:val="-2"/>
        </w:rPr>
        <w:t>A=</w:t>
      </w:r>
      <w:r>
        <w:rPr>
          <w:spacing w:val="-2"/>
        </w:rPr>
        <w:t>对应考核年度单年实际净利润</w:t>
      </w:r>
      <w:r>
        <w:rPr>
          <w:rFonts w:ascii="Times New Roman" w:hAnsi="Times New Roman" w:cs="Times New Roman" w:eastAsia="Times New Roman" w:hint="default"/>
          <w:spacing w:val="-2"/>
        </w:rPr>
        <w:t>/</w:t>
      </w:r>
      <w:r>
        <w:rPr>
          <w:spacing w:val="-2"/>
        </w:rPr>
        <w:t>对应考核年度单年承</w:t>
      </w:r>
      <w:r>
        <w:rPr>
          <w:spacing w:val="-60"/>
        </w:rPr>
        <w:t> </w:t>
      </w:r>
      <w:r>
        <w:rPr/>
        <w:t>诺净利润，如</w:t>
      </w:r>
      <w:r>
        <w:rPr>
          <w:rFonts w:ascii="Times New Roman" w:hAnsi="Times New Roman" w:cs="Times New Roman" w:eastAsia="Times New Roman" w:hint="default"/>
        </w:rPr>
        <w:t>A</w:t>
      </w:r>
      <w:r>
        <w:rPr/>
        <w:t>＜</w:t>
      </w:r>
      <w:r>
        <w:rPr>
          <w:rFonts w:ascii="Times New Roman" w:hAnsi="Times New Roman" w:cs="Times New Roman" w:eastAsia="Times New Roman" w:hint="default"/>
        </w:rPr>
        <w:t>0.7</w:t>
      </w:r>
      <w:r>
        <w:rPr/>
        <w:t>，则</w:t>
      </w:r>
      <w:r>
        <w:rPr>
          <w:rFonts w:ascii="Times New Roman" w:hAnsi="Times New Roman" w:cs="Times New Roman" w:eastAsia="Times New Roman" w:hint="default"/>
        </w:rPr>
        <w:t>A=0</w:t>
      </w:r>
      <w:r>
        <w:rPr/>
        <w:t>）］计算，北明软件应支付的第五笔股权转让款的金额为</w:t>
      </w:r>
      <w:r>
        <w:rPr>
          <w:rFonts w:ascii="Times New Roman" w:hAnsi="Times New Roman" w:cs="Times New Roman" w:eastAsia="Times New Roman" w:hint="default"/>
        </w:rPr>
        <w:t>0</w:t>
      </w:r>
      <w:r>
        <w:rPr/>
        <w:t>元。</w:t>
      </w:r>
    </w:p>
    <w:p>
      <w:pPr>
        <w:spacing w:line="240" w:lineRule="auto" w:before="4"/>
        <w:rPr>
          <w:rFonts w:ascii="宋体" w:hAnsi="宋体" w:cs="宋体" w:eastAsia="宋体" w:hint="default"/>
          <w:sz w:val="20"/>
          <w:szCs w:val="20"/>
        </w:rPr>
      </w:pPr>
    </w:p>
    <w:p>
      <w:pPr>
        <w:pStyle w:val="Heading2"/>
        <w:spacing w:line="240" w:lineRule="auto"/>
        <w:ind w:right="211"/>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54" w:right="4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11"/>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154" w:right="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211"/>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2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1" w:right="211"/>
        <w:jc w:val="left"/>
      </w:pPr>
      <w:r>
        <w:rPr/>
        <w:t>①因执行新企业会计准则导致的会计政策变更</w:t>
      </w:r>
    </w:p>
    <w:p>
      <w:pPr>
        <w:pStyle w:val="BodyText"/>
        <w:spacing w:line="300" w:lineRule="auto" w:before="76"/>
        <w:ind w:right="111" w:firstLine="35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28</w:t>
      </w:r>
      <w:r>
        <w:rPr>
          <w:spacing w:val="-5"/>
        </w:rPr>
        <w:t>日，财政部发布了《企业会计准则第</w:t>
      </w:r>
      <w:r>
        <w:rPr>
          <w:rFonts w:ascii="Times New Roman" w:hAnsi="Times New Roman" w:cs="Times New Roman" w:eastAsia="Times New Roman" w:hint="default"/>
          <w:spacing w:val="-5"/>
        </w:rPr>
        <w:t>42</w:t>
      </w:r>
      <w:r>
        <w:rPr>
          <w:spacing w:val="-5"/>
        </w:rPr>
        <w:t>号</w:t>
      </w:r>
      <w:r>
        <w:rPr>
          <w:rFonts w:ascii="Times New Roman" w:hAnsi="Times New Roman" w:cs="Times New Roman" w:eastAsia="Times New Roman" w:hint="default"/>
          <w:spacing w:val="-5"/>
        </w:rPr>
        <w:t>——</w:t>
      </w:r>
      <w:r>
        <w:rPr>
          <w:spacing w:val="-5"/>
        </w:rPr>
        <w:t>持有待售的非流动资产、处置组和终止经营》（财会〔</w:t>
      </w:r>
      <w:r>
        <w:rPr>
          <w:rFonts w:ascii="Times New Roman" w:hAnsi="Times New Roman" w:cs="Times New Roman" w:eastAsia="Times New Roman" w:hint="default"/>
          <w:spacing w:val="-5"/>
        </w:rPr>
        <w:t>2017</w:t>
      </w:r>
      <w:r>
        <w:rPr>
          <w:spacing w:val="-5"/>
        </w:rPr>
        <w:t>〕</w:t>
      </w:r>
      <w:r>
        <w:rPr/>
        <w:t> </w:t>
      </w:r>
      <w:r>
        <w:rPr>
          <w:rFonts w:ascii="Times New Roman" w:hAnsi="Times New Roman" w:cs="Times New Roman" w:eastAsia="Times New Roman" w:hint="default"/>
        </w:rPr>
        <w:t>13</w:t>
      </w:r>
      <w:r>
        <w:rPr/>
        <w:t>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日起施行，对于施行日存在的持有待售的非流动资产、处置组和终止经营，要求采用未来适用法处</w:t>
      </w:r>
      <w:r>
        <w:rPr>
          <w:spacing w:val="-83"/>
        </w:rPr>
        <w:t> </w:t>
      </w:r>
      <w:r>
        <w:rPr>
          <w:spacing w:val="-83"/>
        </w:rPr>
      </w:r>
      <w:r>
        <w:rPr/>
        <w:t>理。</w:t>
      </w:r>
    </w:p>
    <w:p>
      <w:pPr>
        <w:pStyle w:val="BodyText"/>
        <w:spacing w:line="300" w:lineRule="auto" w:before="31"/>
        <w:ind w:right="207" w:firstLine="357"/>
        <w:jc w:val="both"/>
      </w:pPr>
      <w:r>
        <w:rPr>
          <w:rFonts w:ascii="Times New Roman" w:hAnsi="Times New Roman" w:cs="Times New Roman" w:eastAsia="Times New Roman" w:hint="default"/>
        </w:rPr>
        <w:t>b. </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10</w:t>
      </w:r>
      <w:r>
        <w:rPr>
          <w:spacing w:val="-4"/>
        </w:rPr>
        <w:t>日，财政部发布了《企业会计准则第</w:t>
      </w:r>
      <w:r>
        <w:rPr/>
        <w:t> </w:t>
      </w:r>
      <w:r>
        <w:rPr>
          <w:rFonts w:ascii="Times New Roman" w:hAnsi="Times New Roman" w:cs="Times New Roman" w:eastAsia="Times New Roman" w:hint="default"/>
        </w:rPr>
        <w:t>16 </w:t>
      </w:r>
      <w:r>
        <w:rPr>
          <w:spacing w:val="-10"/>
        </w:rPr>
        <w:t>号</w:t>
      </w:r>
      <w:r>
        <w:rPr>
          <w:rFonts w:ascii="Times New Roman" w:hAnsi="Times New Roman" w:cs="Times New Roman" w:eastAsia="Times New Roman" w:hint="default"/>
          <w:spacing w:val="-10"/>
        </w:rPr>
        <w:t>——</w:t>
      </w:r>
      <w:r>
        <w:rPr>
          <w:spacing w:val="-10"/>
        </w:rPr>
        <w:t>政府补助（</w:t>
      </w:r>
      <w:r>
        <w:rPr>
          <w:rFonts w:ascii="Times New Roman" w:hAnsi="Times New Roman" w:cs="Times New Roman" w:eastAsia="Times New Roman" w:hint="default"/>
          <w:spacing w:val="-10"/>
        </w:rPr>
        <w:t>2017</w:t>
      </w:r>
      <w:r>
        <w:rPr>
          <w:spacing w:val="-10"/>
        </w:rPr>
        <w:t>年修订）》（财会〔</w:t>
      </w:r>
      <w:r>
        <w:rPr>
          <w:rFonts w:ascii="Times New Roman" w:hAnsi="Times New Roman" w:cs="Times New Roman" w:eastAsia="Times New Roman" w:hint="default"/>
          <w:spacing w:val="-10"/>
        </w:rPr>
        <w:t>2017</w:t>
      </w:r>
      <w:r>
        <w:rPr>
          <w:spacing w:val="-10"/>
        </w:rPr>
        <w:t>〕</w:t>
      </w:r>
      <w:r>
        <w:rPr>
          <w:rFonts w:ascii="Times New Roman" w:hAnsi="Times New Roman" w:cs="Times New Roman" w:eastAsia="Times New Roman" w:hint="default"/>
          <w:spacing w:val="-10"/>
        </w:rPr>
        <w:t>15</w:t>
      </w:r>
      <w:r>
        <w:rPr>
          <w:spacing w:val="-10"/>
        </w:rPr>
        <w:t>号），自</w:t>
      </w:r>
      <w:r>
        <w:rPr>
          <w:spacing w:val="-31"/>
        </w:rPr>
        <w:t> </w:t>
      </w:r>
      <w:r>
        <w:rPr>
          <w:rFonts w:ascii="Times New Roman" w:hAnsi="Times New Roman" w:cs="Times New Roman" w:eastAsia="Times New Roman" w:hint="default"/>
        </w:rPr>
        <w:t>2017 </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日起施行，对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7"/>
        </w:rPr>
        <w:t> </w:t>
      </w:r>
      <w:r>
        <w:rPr>
          <w:spacing w:val="-1"/>
        </w:rPr>
        <w:t>月</w:t>
      </w:r>
      <w:r>
        <w:rPr>
          <w:rFonts w:ascii="Times New Roman" w:hAnsi="Times New Roman" w:cs="Times New Roman" w:eastAsia="Times New Roman" w:hint="default"/>
          <w:spacing w:val="-1"/>
        </w:rPr>
        <w:t>1</w:t>
      </w:r>
      <w:r>
        <w:rPr>
          <w:spacing w:val="-1"/>
        </w:rPr>
        <w:t>日存在的政府补助采用未来适用法处理，对</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日至本准则施行日之间新增的政府</w:t>
      </w:r>
      <w:r>
        <w:rPr/>
        <w:t> 补助根据本准则进行调整。</w:t>
      </w:r>
    </w:p>
    <w:p>
      <w:pPr>
        <w:pStyle w:val="BodyText"/>
        <w:spacing w:line="240" w:lineRule="auto" w:before="31"/>
        <w:ind w:left="511" w:right="111"/>
        <w:jc w:val="left"/>
        <w:rPr>
          <w:rFonts w:ascii="Times New Roman" w:hAnsi="Times New Roman" w:cs="Times New Roman" w:eastAsia="Times New Roman" w:hint="default"/>
        </w:rPr>
      </w:pPr>
      <w:r>
        <w:rPr>
          <w:rFonts w:ascii="Times New Roman" w:hAnsi="Times New Roman" w:cs="Times New Roman" w:eastAsia="Times New Roman" w:hint="default"/>
        </w:rPr>
        <w:t>c.</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日，财政部发布了《关于修订印发一般企业财务报表格式的通知》（财会〔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号），适用于</w:t>
      </w:r>
      <w:r>
        <w:rPr>
          <w:rFonts w:ascii="Times New Roman" w:hAnsi="Times New Roman" w:cs="Times New Roman" w:eastAsia="Times New Roman" w:hint="default"/>
          <w:spacing w:val="-2"/>
        </w:rPr>
        <w:t>2017</w:t>
      </w:r>
    </w:p>
    <w:p>
      <w:pPr>
        <w:pStyle w:val="BodyText"/>
        <w:spacing w:line="240" w:lineRule="auto" w:before="63"/>
        <w:ind w:right="211"/>
        <w:jc w:val="left"/>
      </w:pPr>
      <w:r>
        <w:rPr/>
        <w:t>年度及以后期间的财务报表的编制。</w:t>
      </w:r>
    </w:p>
    <w:p>
      <w:pPr>
        <w:spacing w:after="0" w:line="240" w:lineRule="auto"/>
        <w:jc w:val="left"/>
        <w:sectPr>
          <w:pgSz w:w="11910" w:h="16840"/>
          <w:pgMar w:header="747" w:footer="982" w:top="1060" w:bottom="1180" w:left="980" w:right="920"/>
        </w:sectPr>
      </w:pPr>
    </w:p>
    <w:p>
      <w:pPr>
        <w:spacing w:line="240" w:lineRule="auto" w:before="12"/>
        <w:rPr>
          <w:rFonts w:ascii="宋体" w:hAnsi="宋体" w:cs="宋体" w:eastAsia="宋体" w:hint="default"/>
          <w:sz w:val="25"/>
          <w:szCs w:val="25"/>
        </w:rPr>
      </w:pPr>
    </w:p>
    <w:p>
      <w:pPr>
        <w:pStyle w:val="BodyText"/>
        <w:spacing w:line="240" w:lineRule="auto" w:before="44"/>
        <w:ind w:left="511" w:right="0"/>
        <w:jc w:val="left"/>
      </w:pPr>
      <w:r>
        <w:rPr/>
        <w:t>本公司执行上述三项会计政策对列报前期财务报表项目及金额的影响如下：</w:t>
      </w:r>
    </w:p>
    <w:p>
      <w:pPr>
        <w:pStyle w:val="BodyText"/>
        <w:spacing w:line="240" w:lineRule="auto" w:before="76"/>
        <w:ind w:left="0" w:right="1370"/>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724"/>
        <w:gridCol w:w="2989"/>
        <w:gridCol w:w="3313"/>
        <w:gridCol w:w="2668"/>
      </w:tblGrid>
      <w:tr>
        <w:trPr>
          <w:trHeight w:val="350"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7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676" w:right="0"/>
              <w:jc w:val="left"/>
              <w:rPr>
                <w:rFonts w:ascii="宋体" w:hAnsi="宋体" w:cs="宋体" w:eastAsia="宋体" w:hint="default"/>
                <w:sz w:val="18"/>
                <w:szCs w:val="18"/>
              </w:rPr>
            </w:pPr>
            <w:r>
              <w:rPr>
                <w:rFonts w:ascii="宋体" w:hAnsi="宋体" w:cs="宋体" w:eastAsia="宋体" w:hint="default"/>
                <w:sz w:val="18"/>
                <w:szCs w:val="18"/>
              </w:rPr>
              <w:t>会计政策变更的依据</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749"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9" w:hRule="exact"/>
        </w:trPr>
        <w:tc>
          <w:tcPr>
            <w:tcW w:w="7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298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348,984.72</w:t>
            </w:r>
          </w:p>
        </w:tc>
      </w:tr>
      <w:tr>
        <w:trPr>
          <w:trHeight w:val="350" w:hRule="exact"/>
        </w:trPr>
        <w:tc>
          <w:tcPr>
            <w:tcW w:w="724" w:type="dxa"/>
            <w:vMerge/>
            <w:tcBorders>
              <w:left w:val="single" w:sz="6" w:space="0" w:color="000000"/>
              <w:right w:val="single" w:sz="6" w:space="0" w:color="000000"/>
            </w:tcBorders>
          </w:tcPr>
          <w:p>
            <w:pPr/>
          </w:p>
        </w:tc>
        <w:tc>
          <w:tcPr>
            <w:tcW w:w="2989" w:type="dxa"/>
            <w:vMerge/>
            <w:tcBorders>
              <w:left w:val="single" w:sz="6" w:space="0" w:color="000000"/>
              <w:right w:val="single" w:sz="6" w:space="0" w:color="000000"/>
            </w:tcBorders>
          </w:tcPr>
          <w:p>
            <w:pP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-625,878.71</w:t>
            </w:r>
          </w:p>
        </w:tc>
      </w:tr>
      <w:tr>
        <w:trPr>
          <w:trHeight w:val="350" w:hRule="exact"/>
        </w:trPr>
        <w:tc>
          <w:tcPr>
            <w:tcW w:w="724" w:type="dxa"/>
            <w:vMerge/>
            <w:tcBorders>
              <w:left w:val="single" w:sz="6" w:space="0" w:color="000000"/>
              <w:bottom w:val="single" w:sz="6" w:space="0" w:color="000000"/>
              <w:right w:val="single" w:sz="6" w:space="0" w:color="000000"/>
            </w:tcBorders>
          </w:tcPr>
          <w:p>
            <w:pPr/>
          </w:p>
        </w:tc>
        <w:tc>
          <w:tcPr>
            <w:tcW w:w="2989" w:type="dxa"/>
            <w:vMerge/>
            <w:tcBorders>
              <w:left w:val="single" w:sz="6" w:space="0" w:color="000000"/>
              <w:bottom w:val="single" w:sz="6" w:space="0" w:color="000000"/>
              <w:right w:val="single" w:sz="6" w:space="0" w:color="000000"/>
            </w:tcBorders>
          </w:tcPr>
          <w:p>
            <w:pP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-276,893.99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154" w:right="5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本报告期，公司新设立两家子公司，分别为：河北常山恒云数据科技有限公司、河北北明兴云互联网科技有限责任公司，</w:t>
      </w:r>
    </w:p>
    <w:p>
      <w:pPr>
        <w:pStyle w:val="BodyText"/>
        <w:spacing w:line="240" w:lineRule="auto" w:before="4"/>
        <w:ind w:left="154" w:right="0"/>
        <w:jc w:val="left"/>
      </w:pPr>
      <w:r>
        <w:rPr/>
        <w:t>对上述两家子公司本公司均持有</w:t>
      </w:r>
      <w:r>
        <w:rPr>
          <w:rFonts w:ascii="Times New Roman" w:hAnsi="Times New Roman" w:cs="Times New Roman" w:eastAsia="Times New Roman" w:hint="default"/>
        </w:rPr>
        <w:t>100%</w:t>
      </w:r>
      <w:r>
        <w:rPr/>
        <w:t>股权。</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63"/>
        <w:gridCol w:w="4805"/>
      </w:tblGrid>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8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8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805"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805"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王凤岐、王飞</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805" w:type="dxa"/>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left="154" w:right="0"/>
        <w:jc w:val="left"/>
      </w:pPr>
      <w:r>
        <w:rPr/>
        <w:t>当期是否改聘会计师事务所</w:t>
      </w:r>
    </w:p>
    <w:p>
      <w:pPr>
        <w:pStyle w:val="BodyText"/>
        <w:spacing w:line="360" w:lineRule="auto" w:before="116"/>
        <w:ind w:right="5311"/>
        <w:jc w:val="left"/>
      </w:pPr>
      <w:r>
        <w:rPr/>
        <w:t>□ 是 √ 否 聘请内部控制审计会计师事务所、财务顾问或保荐人情况</w:t>
      </w:r>
    </w:p>
    <w:p>
      <w:pPr>
        <w:pStyle w:val="BodyText"/>
        <w:spacing w:line="357" w:lineRule="auto" w:before="26"/>
        <w:ind w:right="1711"/>
        <w:jc w:val="left"/>
      </w:pPr>
      <w:r>
        <w:rPr/>
        <w:t>√ 适用 □ 不适用 本年度，公司聘请中兴财光华会计师事务所（特殊普通合伙）为内部控制审计机构，支付报酬</w:t>
      </w:r>
      <w:r>
        <w:rPr>
          <w:rFonts w:ascii="Times New Roman" w:hAnsi="Times New Roman" w:cs="Times New Roman" w:eastAsia="Times New Roman" w:hint="default"/>
        </w:rPr>
        <w:t>35</w:t>
      </w:r>
      <w:r>
        <w:rPr/>
        <w:t>万元。</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67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1"/>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44"/>
        <w:ind w:left="0" w:right="236"/>
        <w:jc w:val="right"/>
      </w:pPr>
      <w:r>
        <w:rPr/>
        <w:pict>
          <v:shape style="position:absolute;margin-left:56.459999pt;margin-top:-44.348003pt;width:476.1pt;height:196.7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900"/>
                    <w:gridCol w:w="900"/>
                    <w:gridCol w:w="1080"/>
                    <w:gridCol w:w="1620"/>
                    <w:gridCol w:w="1440"/>
                    <w:gridCol w:w="1064"/>
                    <w:gridCol w:w="1063"/>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623" w:right="24"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7"/>
                          <w:ind w:left="8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43" w:right="24" w:hanging="42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 展</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33" w:right="24" w:hanging="51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 及影响</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44" w:right="24" w:hanging="42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1" w:hRule="exact"/>
                    </w:trPr>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45"/>
                          <w:jc w:val="both"/>
                          <w:rPr>
                            <w:rFonts w:ascii="宋体" w:hAnsi="宋体" w:cs="宋体" w:eastAsia="宋体" w:hint="default"/>
                            <w:sz w:val="18"/>
                            <w:szCs w:val="18"/>
                          </w:rPr>
                        </w:pPr>
                        <w:r>
                          <w:rPr>
                            <w:rFonts w:ascii="宋体" w:hAnsi="宋体" w:cs="宋体" w:eastAsia="宋体" w:hint="default"/>
                            <w:sz w:val="18"/>
                            <w:szCs w:val="18"/>
                          </w:rPr>
                          <w:t>北明软件诉中国 电子器材总公司 仓储材料失火案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3,323.98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北明软件于</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314" w:lineRule="auto" w:before="63"/>
                          <w:ind w:left="22" w:right="-33"/>
                          <w:jc w:val="left"/>
                          <w:rPr>
                            <w:rFonts w:ascii="宋体" w:hAnsi="宋体" w:cs="宋体" w:eastAsia="宋体" w:hint="default"/>
                            <w:sz w:val="18"/>
                            <w:szCs w:val="18"/>
                          </w:rPr>
                        </w:pPr>
                        <w:r>
                          <w:rPr>
                            <w:rFonts w:ascii="宋体" w:hAnsi="宋体" w:cs="宋体" w:eastAsia="宋体" w:hint="default"/>
                            <w:sz w:val="18"/>
                            <w:szCs w:val="18"/>
                          </w:rPr>
                          <w:t>收到北京市 第一中级人 民法院签发 </w:t>
                        </w:r>
                        <w:r>
                          <w:rPr>
                            <w:rFonts w:ascii="宋体" w:hAnsi="宋体" w:cs="宋体" w:eastAsia="宋体" w:hint="default"/>
                            <w:spacing w:val="-10"/>
                            <w:sz w:val="18"/>
                            <w:szCs w:val="18"/>
                          </w:rPr>
                          <w:t>的《民事判决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0"/>
                            <w:sz w:val="18"/>
                            <w:szCs w:val="18"/>
                          </w:rPr>
                          <w:t>书》【（</w:t>
                        </w:r>
                        <w:r>
                          <w:rPr>
                            <w:rFonts w:ascii="Times New Roman" w:hAnsi="Times New Roman" w:cs="Times New Roman" w:eastAsia="Times New Roman" w:hint="default"/>
                            <w:spacing w:val="-20"/>
                            <w:sz w:val="18"/>
                            <w:szCs w:val="18"/>
                          </w:rPr>
                          <w:t>2017</w:t>
                        </w:r>
                        <w:r>
                          <w:rPr>
                            <w:rFonts w:ascii="宋体" w:hAnsi="宋体" w:cs="宋体" w:eastAsia="宋体" w:hint="default"/>
                            <w:spacing w:val="-20"/>
                            <w:sz w:val="18"/>
                            <w:szCs w:val="18"/>
                          </w:rPr>
                          <w:t>）</w:t>
                        </w:r>
                        <w:r>
                          <w:rPr>
                            <w:rFonts w:ascii="宋体" w:hAnsi="宋体" w:cs="宋体" w:eastAsia="宋体" w:hint="default"/>
                            <w:sz w:val="18"/>
                            <w:szCs w:val="18"/>
                          </w:rPr>
                          <w:t> 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民终</w:t>
                        </w:r>
                      </w:p>
                      <w:p>
                        <w:pPr>
                          <w:pStyle w:val="TableParagraph"/>
                          <w:spacing w:line="302" w:lineRule="auto" w:before="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5312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101"/>
                            <w:sz w:val="18"/>
                            <w:szCs w:val="18"/>
                          </w:rPr>
                          <w:t>】</w:t>
                        </w:r>
                        <w:r>
                          <w:rPr>
                            <w:rFonts w:ascii="宋体" w:hAnsi="宋体" w:cs="宋体" w:eastAsia="宋体" w:hint="default"/>
                            <w:sz w:val="18"/>
                            <w:szCs w:val="18"/>
                          </w:rPr>
                          <w:t>（终</w:t>
                        </w:r>
                        <w:r>
                          <w:rPr>
                            <w:rFonts w:ascii="宋体" w:hAnsi="宋体" w:cs="宋体" w:eastAsia="宋体" w:hint="default"/>
                            <w:sz w:val="18"/>
                            <w:szCs w:val="18"/>
                          </w:rPr>
                          <w:t> 审判决</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判决被告中电公司 向北明软件赔偿损</w:t>
                        </w:r>
                      </w:p>
                      <w:p>
                        <w:pPr>
                          <w:pStyle w:val="TableParagraph"/>
                          <w:spacing w:line="240" w:lineRule="auto" w:before="19"/>
                          <w:ind w:left="22" w:right="-33"/>
                          <w:jc w:val="left"/>
                          <w:rPr>
                            <w:rFonts w:ascii="宋体" w:hAnsi="宋体" w:cs="宋体" w:eastAsia="宋体" w:hint="default"/>
                            <w:sz w:val="18"/>
                            <w:szCs w:val="18"/>
                          </w:rPr>
                        </w:pPr>
                        <w:r>
                          <w:rPr>
                            <w:rFonts w:ascii="宋体" w:hAnsi="宋体" w:cs="宋体" w:eastAsia="宋体" w:hint="default"/>
                            <w:sz w:val="18"/>
                            <w:szCs w:val="18"/>
                          </w:rPr>
                          <w:t>失</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21,995,681.69</w:t>
                        </w:r>
                        <w:r>
                          <w:rPr>
                            <w:rFonts w:ascii="Times New Roman" w:hAnsi="Times New Roman" w:cs="Times New Roman" w:eastAsia="Times New Roman" w:hint="default"/>
                            <w:spacing w:val="-8"/>
                            <w:sz w:val="18"/>
                            <w:szCs w:val="18"/>
                          </w:rPr>
                          <w:t> </w:t>
                        </w:r>
                        <w:r>
                          <w:rPr>
                            <w:rFonts w:ascii="宋体" w:hAnsi="宋体" w:cs="宋体" w:eastAsia="宋体" w:hint="default"/>
                            <w:spacing w:val="-17"/>
                            <w:sz w:val="18"/>
                            <w:szCs w:val="18"/>
                          </w:rPr>
                          <w:t>元，</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二审案件受理费</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212,504.00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元，由北</w:t>
                        </w:r>
                      </w:p>
                      <w:p>
                        <w:pPr>
                          <w:pStyle w:val="TableParagraph"/>
                          <w:spacing w:line="312" w:lineRule="auto" w:before="63"/>
                          <w:ind w:left="22" w:right="-32"/>
                          <w:jc w:val="left"/>
                          <w:rPr>
                            <w:rFonts w:ascii="宋体" w:hAnsi="宋体" w:cs="宋体" w:eastAsia="宋体" w:hint="default"/>
                            <w:sz w:val="18"/>
                            <w:szCs w:val="18"/>
                          </w:rPr>
                        </w:pPr>
                        <w:r>
                          <w:rPr>
                            <w:rFonts w:ascii="宋体" w:hAnsi="宋体" w:cs="宋体" w:eastAsia="宋体" w:hint="default"/>
                            <w:sz w:val="18"/>
                            <w:szCs w:val="18"/>
                          </w:rPr>
                          <w:t>明软件负担 </w:t>
                        </w:r>
                        <w:r>
                          <w:rPr>
                            <w:rFonts w:ascii="Times New Roman" w:hAnsi="Times New Roman" w:cs="Times New Roman" w:eastAsia="Times New Roman" w:hint="default"/>
                            <w:sz w:val="18"/>
                            <w:szCs w:val="18"/>
                          </w:rPr>
                          <w:t>89,265.00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元，由中 国电子器材总公司 负担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123,239.00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4"/>
                          <w:ind w:left="22" w:right="-33"/>
                          <w:jc w:val="left"/>
                          <w:rPr>
                            <w:rFonts w:ascii="宋体" w:hAnsi="宋体" w:cs="宋体" w:eastAsia="宋体" w:hint="default"/>
                            <w:sz w:val="18"/>
                            <w:szCs w:val="18"/>
                          </w:rPr>
                        </w:pPr>
                        <w:r>
                          <w:rPr>
                            <w:rFonts w:ascii="宋体" w:hAnsi="宋体" w:cs="宋体" w:eastAsia="宋体" w:hint="default"/>
                            <w:sz w:val="18"/>
                            <w:szCs w:val="18"/>
                          </w:rPr>
                          <w:t>本判决为终审判决。</w:t>
                        </w:r>
                      </w:p>
                    </w:tc>
                    <w:tc>
                      <w:tcPr>
                        <w:tcW w:w="1440" w:type="dxa"/>
                        <w:tcBorders>
                          <w:top w:val="single" w:sz="4" w:space="0" w:color="000000"/>
                          <w:left w:val="single" w:sz="4" w:space="0" w:color="000000"/>
                          <w:bottom w:val="single" w:sz="4" w:space="0" w:color="000000"/>
                          <w:right w:val="single" w:sz="9" w:space="0" w:color="FFFFFF"/>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北明软件于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12" w:lineRule="auto" w:before="63"/>
                          <w:ind w:left="22" w:right="-3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月收到本案 </w:t>
                        </w:r>
                        <w:r>
                          <w:rPr>
                            <w:rFonts w:ascii="宋体" w:hAnsi="宋体" w:cs="宋体" w:eastAsia="宋体" w:hint="default"/>
                            <w:spacing w:val="-8"/>
                            <w:sz w:val="18"/>
                            <w:szCs w:val="18"/>
                          </w:rPr>
                          <w:t>执行款，包括赔偿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损失款 </w:t>
                        </w:r>
                        <w:r>
                          <w:rPr>
                            <w:rFonts w:ascii="Times New Roman" w:hAnsi="Times New Roman" w:cs="Times New Roman" w:eastAsia="Times New Roman" w:hint="default"/>
                            <w:sz w:val="18"/>
                            <w:szCs w:val="18"/>
                          </w:rPr>
                          <w:t>21,995,681.69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案件受理费</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136,908.00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元，保</w:t>
                        </w:r>
                      </w:p>
                      <w:p>
                        <w:pPr>
                          <w:pStyle w:val="TableParagraph"/>
                          <w:spacing w:line="300" w:lineRule="auto" w:before="63"/>
                          <w:ind w:left="22" w:right="-39"/>
                          <w:jc w:val="left"/>
                          <w:rPr>
                            <w:rFonts w:ascii="宋体" w:hAnsi="宋体" w:cs="宋体" w:eastAsia="宋体" w:hint="default"/>
                            <w:sz w:val="18"/>
                            <w:szCs w:val="18"/>
                          </w:rPr>
                        </w:pPr>
                        <w:r>
                          <w:rPr>
                            <w:rFonts w:ascii="宋体" w:hAnsi="宋体" w:cs="宋体" w:eastAsia="宋体" w:hint="default"/>
                            <w:sz w:val="18"/>
                            <w:szCs w:val="18"/>
                          </w:rPr>
                          <w:t>全费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合计</w:t>
                        </w:r>
                      </w:p>
                      <w:p>
                        <w:pPr>
                          <w:pStyle w:val="TableParagraph"/>
                          <w:spacing w:line="240" w:lineRule="auto" w:before="32"/>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22,135,810.69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06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中国证券报 </w:t>
                        </w:r>
                        <w:r>
                          <w:rPr>
                            <w:rFonts w:ascii="宋体" w:hAnsi="宋体" w:cs="宋体" w:eastAsia="宋体" w:hint="default"/>
                            <w:spacing w:val="-12"/>
                            <w:sz w:val="18"/>
                            <w:szCs w:val="18"/>
                          </w:rPr>
                          <w:t>证券时报、巨</w:t>
                        </w:r>
                        <w:r>
                          <w:rPr>
                            <w:rFonts w:ascii="宋体" w:hAnsi="宋体" w:cs="宋体" w:eastAsia="宋体" w:hint="default"/>
                            <w:sz w:val="18"/>
                            <w:szCs w:val="18"/>
                          </w:rPr>
                          <w:t> </w:t>
                        </w:r>
                        <w:r>
                          <w:rPr>
                            <w:rFonts w:ascii="宋体" w:hAnsi="宋体" w:cs="宋体" w:eastAsia="宋体" w:hint="default"/>
                            <w:spacing w:val="-12"/>
                            <w:sz w:val="18"/>
                            <w:szCs w:val="18"/>
                          </w:rPr>
                          <w:t>潮资讯网《关</w:t>
                        </w:r>
                        <w:r>
                          <w:rPr>
                            <w:rFonts w:ascii="宋体" w:hAnsi="宋体" w:cs="宋体" w:eastAsia="宋体" w:hint="default"/>
                            <w:sz w:val="18"/>
                            <w:szCs w:val="18"/>
                          </w:rPr>
                          <w:t> 于全资子公 司收到民事 判决书的公 </w:t>
                        </w:r>
                        <w:r>
                          <w:rPr>
                            <w:rFonts w:ascii="宋体" w:hAnsi="宋体" w:cs="宋体" w:eastAsia="宋体" w:hint="default"/>
                            <w:spacing w:val="-15"/>
                            <w:sz w:val="18"/>
                            <w:szCs w:val="18"/>
                          </w:rPr>
                          <w:t>告》（公告编</w:t>
                        </w:r>
                        <w:r>
                          <w:rPr>
                            <w:rFonts w:ascii="宋体" w:hAnsi="宋体" w:cs="宋体" w:eastAsia="宋体" w:hint="default"/>
                            <w:sz w:val="18"/>
                            <w:szCs w:val="18"/>
                          </w:rPr>
                          <w:t> 号：</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2017-068</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248" w:lineRule="exact"/>
        <w:ind w:left="753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52.75pt;height:62.4pt;mso-position-horizontal-relative:char;mso-position-vertical-relative:line" coordorigin="0,0" coordsize="1055,1248">
            <v:group style="position:absolute;left:0;top:0;width:1055;height:1248" coordorigin="0,0" coordsize="1055,1248">
              <v:shape style="position:absolute;left:0;top:0;width:1055;height:1248" coordorigin="0,0" coordsize="1055,1248" path="m0,1248l1055,1248,1055,0,0,0,0,1248xe" filled="true" fillcolor="#ffffff" stroked="false">
                <v:path arrowok="t"/>
                <v:fill type="solid"/>
              </v:shape>
            </v:group>
          </v:group>
        </w:pict>
      </w:r>
      <w:r>
        <w:rPr>
          <w:rFonts w:ascii="宋体" w:hAnsi="宋体" w:cs="宋体" w:eastAsia="宋体" w:hint="default"/>
          <w:position w:val="-24"/>
          <w:sz w:val="20"/>
          <w:szCs w:val="20"/>
        </w:rPr>
      </w:r>
    </w:p>
    <w:p>
      <w:pPr>
        <w:spacing w:line="240" w:lineRule="auto" w:before="0"/>
        <w:rPr>
          <w:rFonts w:ascii="宋体" w:hAnsi="宋体" w:cs="宋体" w:eastAsia="宋体" w:hint="default"/>
          <w:sz w:val="19"/>
          <w:szCs w:val="19"/>
        </w:rPr>
      </w:pPr>
    </w:p>
    <w:p>
      <w:pPr>
        <w:pStyle w:val="Heading2"/>
        <w:spacing w:line="240" w:lineRule="auto" w:before="26"/>
        <w:ind w:right="141"/>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44"/>
        <w:ind w:left="0" w:right="199"/>
        <w:jc w:val="right"/>
      </w:pPr>
      <w:r>
        <w:rPr/>
        <w:pict>
          <v:shape style="position:absolute;margin-left:56.459999pt;margin-top:-52.148003pt;width:477.15pt;height:71.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611"/>
                    <w:gridCol w:w="1009"/>
                    <w:gridCol w:w="1367"/>
                    <w:gridCol w:w="1356"/>
                    <w:gridCol w:w="1379"/>
                    <w:gridCol w:w="2187"/>
                  </w:tblGrid>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调查处罚类型</w:t>
                        </w: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石家庄常山北明科 技股份有限公司</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3"/>
                          <w:jc w:val="left"/>
                          <w:rPr>
                            <w:rFonts w:ascii="宋体" w:hAnsi="宋体" w:cs="宋体" w:eastAsia="宋体" w:hint="default"/>
                            <w:sz w:val="18"/>
                            <w:szCs w:val="18"/>
                          </w:rPr>
                        </w:pPr>
                        <w:r>
                          <w:rPr>
                            <w:rFonts w:ascii="宋体" w:hAnsi="宋体" w:cs="宋体" w:eastAsia="宋体" w:hint="default"/>
                            <w:sz w:val="18"/>
                            <w:szCs w:val="18"/>
                          </w:rPr>
                          <w:t>涉嫌信息披 露违法违规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9"/>
                          <w:jc w:val="center"/>
                          <w:rPr>
                            <w:rFonts w:ascii="宋体" w:hAnsi="宋体" w:cs="宋体" w:eastAsia="宋体" w:hint="default"/>
                            <w:sz w:val="18"/>
                            <w:szCs w:val="18"/>
                          </w:rPr>
                        </w:pPr>
                        <w:r>
                          <w:rPr>
                            <w:rFonts w:ascii="宋体" w:hAnsi="宋体" w:cs="宋体" w:eastAsia="宋体" w:hint="default"/>
                            <w:sz w:val="18"/>
                            <w:szCs w:val="18"/>
                          </w:rPr>
                          <w:t>被有权机关调查</w:t>
                        </w:r>
                      </w:p>
                    </w:tc>
                    <w:tc>
                      <w:tcPr>
                        <w:tcW w:w="13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60"/>
                          <w:jc w:val="both"/>
                          <w:rPr>
                            <w:rFonts w:ascii="宋体" w:hAnsi="宋体" w:cs="宋体" w:eastAsia="宋体" w:hint="default"/>
                            <w:sz w:val="18"/>
                            <w:szCs w:val="18"/>
                          </w:rPr>
                        </w:pPr>
                        <w:r>
                          <w:rPr>
                            <w:rFonts w:ascii="宋体" w:hAnsi="宋体" w:cs="宋体" w:eastAsia="宋体" w:hint="default"/>
                            <w:sz w:val="18"/>
                            <w:szCs w:val="18"/>
                          </w:rPr>
                          <w:t>至披露日，已结 案，不予行政处 罚。</w:t>
                        </w:r>
                      </w:p>
                    </w:tc>
                    <w:tc>
                      <w:tcPr>
                        <w:tcW w:w="1379" w:type="dxa"/>
                        <w:tcBorders>
                          <w:top w:val="single" w:sz="4" w:space="0" w:color="000000"/>
                          <w:left w:val="single" w:sz="12"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巨潮资讯网《关于收到中国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证监会</w:t>
                        </w:r>
                        <w:r>
                          <w:rPr>
                            <w:rFonts w:ascii="Times New Roman" w:hAnsi="Times New Roman" w:cs="Times New Roman" w:eastAsia="Times New Roman" w:hint="default"/>
                            <w:sz w:val="18"/>
                            <w:szCs w:val="18"/>
                          </w:rPr>
                          <w:t>&lt;</w:t>
                        </w:r>
                        <w:r>
                          <w:rPr>
                            <w:rFonts w:ascii="宋体" w:hAnsi="宋体" w:cs="宋体" w:eastAsia="宋体" w:hint="default"/>
                            <w:sz w:val="18"/>
                            <w:szCs w:val="18"/>
                          </w:rPr>
                          <w:t>结案通知书</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2017-023</w:t>
                        </w:r>
                      </w:p>
                    </w:tc>
                  </w:tr>
                </w:tbl>
                <w:p>
                  <w:pPr/>
                </w:p>
              </w:txbxContent>
            </v:textbox>
            <w10:wrap type="none"/>
          </v:shape>
        </w:pict>
      </w:r>
      <w:r>
        <w:rPr/>
        <w:t>）</w:t>
      </w:r>
    </w:p>
    <w:p>
      <w:pPr>
        <w:spacing w:line="240" w:lineRule="auto" w:before="12"/>
        <w:rPr>
          <w:rFonts w:ascii="宋体" w:hAnsi="宋体" w:cs="宋体" w:eastAsia="宋体" w:hint="default"/>
          <w:sz w:val="26"/>
          <w:szCs w:val="26"/>
        </w:rPr>
      </w:pPr>
    </w:p>
    <w:p>
      <w:pPr>
        <w:pStyle w:val="Heading2"/>
        <w:spacing w:line="240" w:lineRule="auto" w:before="26"/>
        <w:ind w:right="141"/>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41"/>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34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41"/>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4" w:right="3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6"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503.279999pt;margin-top:71.900002pt;width:35pt;height:680.2pt;mso-position-horizontal-relative:page;mso-position-vertical-relative:page;z-index:-1221784" coordorigin="10066,1438" coordsize="700,13604">
            <v:group style="position:absolute;left:10066;top:7770;width:633;height:7272" coordorigin="10066,7770" coordsize="633,7272">
              <v:shape style="position:absolute;left:10066;top:7770;width:633;height:7272" coordorigin="10066,7770" coordsize="633,7272" path="m10066,15042l10698,15042,10698,7770,10066,7770,10066,15042xe" filled="true" fillcolor="#c7edcc" stroked="false">
                <v:path arrowok="t"/>
                <v:fill type="solid"/>
              </v:shape>
            </v:group>
            <v:group style="position:absolute;left:10078;top:1450;width:2;height:6320" coordorigin="10078,1450" coordsize="2,6320">
              <v:shape style="position:absolute;left:10078;top:1450;width:2;height:6320" coordorigin="10078,1450" coordsize="0,6320" path="m10078,1450l10078,7770e" filled="false" stroked="true" strokeweight="1.2pt" strokecolor="#c7edcc">
                <v:path arrowok="t"/>
              </v:shape>
            </v:group>
            <v:group style="position:absolute;left:10687;top:1450;width:2;height:6321" coordorigin="10687,1450" coordsize="2,6321">
              <v:shape style="position:absolute;left:10687;top:1450;width:2;height:6321" coordorigin="10687,1450" coordsize="0,6321" path="m10687,1450l10687,7770e" filled="false" stroked="true" strokeweight="1.140pt" strokecolor="#c7edcc">
                <v:path arrowok="t"/>
              </v:shape>
            </v:group>
            <v:group style="position:absolute;left:10090;top:1450;width:586;height:352" coordorigin="10090,1450" coordsize="586,352">
              <v:shape style="position:absolute;left:10090;top:1450;width:586;height:352" coordorigin="10090,1450" coordsize="586,352" path="m10090,1801l10675,1801,10675,1450,10090,1450,10090,1801xe" filled="true" fillcolor="#c7edcc" stroked="false">
                <v:path arrowok="t"/>
                <v:fill type="solid"/>
              </v:shape>
            </v:group>
            <v:group style="position:absolute;left:10090;top:1801;width:586;height:312" coordorigin="10090,1801" coordsize="586,312">
              <v:shape style="position:absolute;left:10090;top:1801;width:586;height:312" coordorigin="10090,1801" coordsize="586,312" path="m10090,2113l10675,2113,10675,1801,10090,1801,10090,2113xe" filled="true" fillcolor="#c7edcc" stroked="false">
                <v:path arrowok="t"/>
                <v:fill type="solid"/>
              </v:shape>
            </v:group>
            <v:group style="position:absolute;left:10090;top:2113;width:586;height:312" coordorigin="10090,2113" coordsize="586,312">
              <v:shape style="position:absolute;left:10090;top:2113;width:586;height:312" coordorigin="10090,2113" coordsize="586,312" path="m10090,2425l10675,2425,10675,2113,10090,2113,10090,2425xe" filled="true" fillcolor="#c7edcc" stroked="false">
                <v:path arrowok="t"/>
                <v:fill type="solid"/>
              </v:shape>
            </v:group>
            <v:group style="position:absolute;left:10090;top:2425;width:586;height:312" coordorigin="10090,2425" coordsize="586,312">
              <v:shape style="position:absolute;left:10090;top:2425;width:586;height:312" coordorigin="10090,2425" coordsize="586,312" path="m10090,2737l10675,2737,10675,2425,10090,2425,10090,2737xe" filled="true" fillcolor="#c7edcc" stroked="false">
                <v:path arrowok="t"/>
                <v:fill type="solid"/>
              </v:shape>
            </v:group>
            <v:group style="position:absolute;left:10090;top:2737;width:586;height:312" coordorigin="10090,2737" coordsize="586,312">
              <v:shape style="position:absolute;left:10090;top:2737;width:586;height:312" coordorigin="10090,2737" coordsize="586,312" path="m10090,3049l10675,3049,10675,2737,10090,2737,10090,3049xe" filled="true" fillcolor="#c7edcc" stroked="false">
                <v:path arrowok="t"/>
                <v:fill type="solid"/>
              </v:shape>
            </v:group>
            <v:group style="position:absolute;left:10090;top:3049;width:586;height:312" coordorigin="10090,3049" coordsize="586,312">
              <v:shape style="position:absolute;left:10090;top:3049;width:586;height:312" coordorigin="10090,3049" coordsize="586,312" path="m10090,3361l10675,3361,10675,3049,10090,3049,10090,3361xe" filled="true" fillcolor="#c7edcc" stroked="false">
                <v:path arrowok="t"/>
                <v:fill type="solid"/>
              </v:shape>
            </v:group>
            <v:group style="position:absolute;left:10090;top:3361;width:586;height:312" coordorigin="10090,3361" coordsize="586,312">
              <v:shape style="position:absolute;left:10090;top:3361;width:586;height:312" coordorigin="10090,3361" coordsize="586,312" path="m10090,3673l10675,3673,10675,3361,10090,3361,10090,3673xe" filled="true" fillcolor="#c7edcc" stroked="false">
                <v:path arrowok="t"/>
                <v:fill type="solid"/>
              </v:shape>
            </v:group>
            <v:group style="position:absolute;left:10090;top:3673;width:586;height:312" coordorigin="10090,3673" coordsize="586,312">
              <v:shape style="position:absolute;left:10090;top:3673;width:586;height:312" coordorigin="10090,3673" coordsize="586,312" path="m10090,3985l10675,3985,10675,3673,10090,3673,10090,3985xe" filled="true" fillcolor="#c7edcc" stroked="false">
                <v:path arrowok="t"/>
                <v:fill type="solid"/>
              </v:shape>
            </v:group>
            <v:group style="position:absolute;left:10090;top:3985;width:586;height:312" coordorigin="10090,3985" coordsize="586,312">
              <v:shape style="position:absolute;left:10090;top:3985;width:586;height:312" coordorigin="10090,3985" coordsize="586,312" path="m10090,4297l10675,4297,10675,3985,10090,3985,10090,4297xe" filled="true" fillcolor="#c7edcc" stroked="false">
                <v:path arrowok="t"/>
                <v:fill type="solid"/>
              </v:shape>
            </v:group>
            <v:group style="position:absolute;left:10090;top:4297;width:586;height:312" coordorigin="10090,4297" coordsize="586,312">
              <v:shape style="position:absolute;left:10090;top:4297;width:586;height:312" coordorigin="10090,4297" coordsize="586,312" path="m10090,4609l10675,4609,10675,4297,10090,4297,10090,4609xe" filled="true" fillcolor="#c7edcc" stroked="false">
                <v:path arrowok="t"/>
                <v:fill type="solid"/>
              </v:shape>
            </v:group>
            <v:group style="position:absolute;left:10090;top:4609;width:586;height:312" coordorigin="10090,4609" coordsize="586,312">
              <v:shape style="position:absolute;left:10090;top:4609;width:586;height:312" coordorigin="10090,4609" coordsize="586,312" path="m10090,4921l10675,4921,10675,4609,10090,4609,10090,4921xe" filled="true" fillcolor="#c7edcc" stroked="false">
                <v:path arrowok="t"/>
                <v:fill type="solid"/>
              </v:shape>
            </v:group>
            <v:group style="position:absolute;left:10090;top:4921;width:586;height:312" coordorigin="10090,4921" coordsize="586,312">
              <v:shape style="position:absolute;left:10090;top:4921;width:586;height:312" coordorigin="10090,4921" coordsize="586,312" path="m10090,5233l10675,5233,10675,4921,10090,4921,10090,5233xe" filled="true" fillcolor="#c7edcc" stroked="false">
                <v:path arrowok="t"/>
                <v:fill type="solid"/>
              </v:shape>
            </v:group>
            <v:group style="position:absolute;left:10090;top:5233;width:586;height:312" coordorigin="10090,5233" coordsize="586,312">
              <v:shape style="position:absolute;left:10090;top:5233;width:586;height:312" coordorigin="10090,5233" coordsize="586,312" path="m10090,5545l10675,5545,10675,5233,10090,5233,10090,5545xe" filled="true" fillcolor="#c7edcc" stroked="false">
                <v:path arrowok="t"/>
                <v:fill type="solid"/>
              </v:shape>
            </v:group>
            <v:group style="position:absolute;left:10090;top:5545;width:586;height:312" coordorigin="10090,5545" coordsize="586,312">
              <v:shape style="position:absolute;left:10090;top:5545;width:586;height:312" coordorigin="10090,5545" coordsize="586,312" path="m10090,5857l10675,5857,10675,5545,10090,5545,10090,5857xe" filled="true" fillcolor="#c7edcc" stroked="false">
                <v:path arrowok="t"/>
                <v:fill type="solid"/>
              </v:shape>
            </v:group>
            <v:group style="position:absolute;left:10090;top:5857;width:586;height:312" coordorigin="10090,5857" coordsize="586,312">
              <v:shape style="position:absolute;left:10090;top:5857;width:586;height:312" coordorigin="10090,5857" coordsize="586,312" path="m10090,6169l10675,6169,10675,5857,10090,5857,10090,6169xe" filled="true" fillcolor="#c7edcc" stroked="false">
                <v:path arrowok="t"/>
                <v:fill type="solid"/>
              </v:shape>
            </v:group>
            <v:group style="position:absolute;left:10090;top:6169;width:586;height:312" coordorigin="10090,6169" coordsize="586,312">
              <v:shape style="position:absolute;left:10090;top:6169;width:586;height:312" coordorigin="10090,6169" coordsize="586,312" path="m10090,6481l10675,6481,10675,6169,10090,6169,10090,6481xe" filled="true" fillcolor="#c7edcc" stroked="false">
                <v:path arrowok="t"/>
                <v:fill type="solid"/>
              </v:shape>
            </v:group>
            <v:group style="position:absolute;left:10090;top:6481;width:586;height:312" coordorigin="10090,6481" coordsize="586,312">
              <v:shape style="position:absolute;left:10090;top:6481;width:586;height:312" coordorigin="10090,6481" coordsize="586,312" path="m10090,6793l10675,6793,10675,6481,10090,6481,10090,6793xe" filled="true" fillcolor="#c7edcc" stroked="false">
                <v:path arrowok="t"/>
                <v:fill type="solid"/>
              </v:shape>
            </v:group>
            <v:group style="position:absolute;left:10090;top:6793;width:586;height:312" coordorigin="10090,6793" coordsize="586,312">
              <v:shape style="position:absolute;left:10090;top:6793;width:586;height:312" coordorigin="10090,6793" coordsize="586,312" path="m10090,7105l10675,7105,10675,6793,10090,6793,10090,7105xe" filled="true" fillcolor="#c7edcc" stroked="false">
                <v:path arrowok="t"/>
                <v:fill type="solid"/>
              </v:shape>
            </v:group>
            <v:group style="position:absolute;left:10090;top:7105;width:586;height:312" coordorigin="10090,7105" coordsize="586,312">
              <v:shape style="position:absolute;left:10090;top:7105;width:586;height:312" coordorigin="10090,7105" coordsize="586,312" path="m10090,7417l10675,7417,10675,7105,10090,7105,10090,7417xe" filled="true" fillcolor="#c7edcc" stroked="false">
                <v:path arrowok="t"/>
                <v:fill type="solid"/>
              </v:shape>
            </v:group>
            <v:group style="position:absolute;left:10090;top:7417;width:586;height:353" coordorigin="10090,7417" coordsize="586,353">
              <v:shape style="position:absolute;left:10090;top:7417;width:586;height:353" coordorigin="10090,7417" coordsize="586,353" path="m10090,7770l10675,7770,10675,7417,10090,7417,10090,7770xe" filled="true" fillcolor="#c7edcc" stroked="false">
                <v:path arrowok="t"/>
                <v:fill type="solid"/>
              </v:shape>
              <v:shape style="position:absolute;left:10585;top:498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团进出口 贸易有限 责任公司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1,794.4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8,000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1,794.4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69"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115"/>
              <w:ind w:left="226" w:right="0"/>
              <w:jc w:val="center"/>
              <w:rPr>
                <w:rFonts w:ascii="Times New Roman" w:hAnsi="Times New Roman" w:cs="Times New Roman" w:eastAsia="Times New Roman" w:hint="default"/>
                <w:sz w:val="18"/>
                <w:szCs w:val="18"/>
              </w:rPr>
            </w:pPr>
            <w:r>
              <w:rPr>
                <w:rFonts w:ascii="Times New Roman"/>
                <w:sz w:val="18"/>
              </w:rPr>
              <w:t>2017</w:t>
            </w:r>
          </w:p>
          <w:p>
            <w:pPr>
              <w:pStyle w:val="TableParagraph"/>
              <w:spacing w:line="316" w:lineRule="auto" w:before="65"/>
              <w:ind w:left="23" w:right="20" w:firstLine="45"/>
              <w:jc w:val="both"/>
              <w:rPr>
                <w:rFonts w:ascii="宋体" w:hAnsi="宋体" w:cs="宋体" w:eastAsia="宋体" w:hint="default"/>
                <w:sz w:val="18"/>
                <w:szCs w:val="18"/>
              </w:rPr>
            </w:pPr>
            <w:r>
              <w:rPr>
                <w:rFonts w:ascii="宋体" w:hAnsi="宋体" w:cs="宋体" w:eastAsia="宋体" w:hint="default"/>
                <w:sz w:val="18"/>
                <w:szCs w:val="18"/>
              </w:rPr>
              <w:t>年度日 常关联 交易预 计的公 </w:t>
            </w:r>
            <w:r>
              <w:rPr>
                <w:rFonts w:ascii="宋体" w:hAnsi="宋体" w:cs="宋体" w:eastAsia="宋体" w:hint="default"/>
                <w:spacing w:val="-34"/>
                <w:sz w:val="18"/>
                <w:szCs w:val="18"/>
              </w:rPr>
              <w:t>告》（编</w:t>
            </w:r>
          </w:p>
          <w:p>
            <w:pPr>
              <w:pStyle w:val="TableParagraph"/>
              <w:spacing w:line="240" w:lineRule="auto" w:before="19"/>
              <w:ind w:left="226" w:right="0"/>
              <w:jc w:val="center"/>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99" w:right="0"/>
              <w:jc w:val="both"/>
              <w:rPr>
                <w:rFonts w:ascii="Times New Roman" w:hAnsi="Times New Roman" w:cs="Times New Roman" w:eastAsia="Times New Roman" w:hint="default"/>
                <w:sz w:val="18"/>
                <w:szCs w:val="18"/>
              </w:rPr>
            </w:pPr>
            <w:r>
              <w:rPr>
                <w:rFonts w:ascii="Times New Roman"/>
                <w:sz w:val="18"/>
              </w:rPr>
              <w:t>2017-0</w:t>
            </w:r>
          </w:p>
          <w:p>
            <w:pPr>
              <w:pStyle w:val="TableParagraph"/>
              <w:spacing w:line="300" w:lineRule="auto" w:before="65"/>
              <w:ind w:left="69" w:right="20" w:hanging="46"/>
              <w:jc w:val="both"/>
              <w:rPr>
                <w:rFonts w:ascii="宋体" w:hAnsi="宋体" w:cs="宋体" w:eastAsia="宋体" w:hint="default"/>
                <w:sz w:val="18"/>
                <w:szCs w:val="18"/>
              </w:rPr>
            </w:pPr>
            <w:r>
              <w:rPr>
                <w:rFonts w:ascii="Times New Roman" w:hAnsi="Times New Roman" w:cs="Times New Roman" w:eastAsia="Times New Roman" w:hint="default"/>
                <w:spacing w:val="-27"/>
                <w:sz w:val="18"/>
                <w:szCs w:val="18"/>
              </w:rPr>
              <w:t>26</w:t>
            </w:r>
            <w:r>
              <w:rPr>
                <w:rFonts w:ascii="宋体" w:hAnsi="宋体" w:cs="宋体" w:eastAsia="宋体" w:hint="default"/>
                <w:spacing w:val="-27"/>
                <w:sz w:val="18"/>
                <w:szCs w:val="18"/>
              </w:rPr>
              <w:t>）《中</w:t>
            </w:r>
            <w:r>
              <w:rPr>
                <w:rFonts w:ascii="宋体" w:hAnsi="宋体" w:cs="宋体" w:eastAsia="宋体" w:hint="default"/>
                <w:sz w:val="18"/>
                <w:szCs w:val="18"/>
              </w:rPr>
              <w:t> 国证券</w:t>
            </w:r>
          </w:p>
          <w:p>
            <w:pPr>
              <w:pStyle w:val="TableParagraph"/>
              <w:spacing w:line="240" w:lineRule="auto" w:before="31"/>
              <w:ind w:left="136" w:right="0"/>
              <w:jc w:val="center"/>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76"/>
              <w:ind w:left="69" w:right="20"/>
              <w:jc w:val="both"/>
              <w:rPr>
                <w:rFonts w:ascii="宋体" w:hAnsi="宋体" w:cs="宋体" w:eastAsia="宋体" w:hint="default"/>
                <w:sz w:val="18"/>
                <w:szCs w:val="18"/>
              </w:rPr>
            </w:pPr>
            <w:r>
              <w:rPr>
                <w:rFonts w:ascii="宋体" w:hAnsi="宋体" w:cs="宋体" w:eastAsia="宋体" w:hint="default"/>
                <w:sz w:val="18"/>
                <w:szCs w:val="18"/>
              </w:rPr>
              <w:t>《证券 时报》 和巨潮 资讯网</w:t>
            </w:r>
          </w:p>
          <w:p>
            <w:pPr>
              <w:pStyle w:val="TableParagraph"/>
              <w:spacing w:line="240" w:lineRule="auto" w:before="19"/>
              <w:ind w:left="49"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38" w:lineRule="auto" w:before="102"/>
              <w:ind w:left="23" w:right="-17" w:firstLine="3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山纺织贸 易有限责 任公司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13.11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13.11</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团供销公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0.34%</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2,468.1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团经编实 业有限公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3,633.4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0.50%</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3,633.4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团有限责 任公司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1.31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1.31</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团第三实 业有限公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vMerge/>
            <w:tcBorders>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0.09</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团供销公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46" w:right="0"/>
              <w:jc w:val="left"/>
              <w:rPr>
                <w:rFonts w:ascii="Times New Roman" w:hAnsi="Times New Roman" w:cs="Times New Roman" w:eastAsia="Times New Roman" w:hint="default"/>
                <w:sz w:val="18"/>
                <w:szCs w:val="18"/>
              </w:rPr>
            </w:pPr>
            <w:r>
              <w:rPr>
                <w:rFonts w:ascii="Times New Roman"/>
                <w:sz w:val="18"/>
              </w:rPr>
              <w:t>12,000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10,253.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团进出口 贸易有限 责任公司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1,324.4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1,324.4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shd w:val="clear" w:color="auto" w:fill="C7EDCC"/>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团第四实 业有限公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vMerge/>
            <w:tcBorders>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17.75</w:t>
            </w:r>
          </w:p>
        </w:tc>
        <w:tc>
          <w:tcPr>
            <w:tcW w:w="670" w:type="dxa"/>
            <w:vMerge/>
            <w:tcBorders>
              <w:left w:val="single" w:sz="4" w:space="0" w:color="000000"/>
              <w:bottom w:val="nil" w:sz="6" w:space="0" w:color="auto"/>
              <w:right w:val="single" w:sz="4" w:space="0" w:color="000000"/>
            </w:tcBorders>
          </w:tcPr>
          <w:p>
            <w:pPr/>
          </w:p>
        </w:tc>
        <w:tc>
          <w:tcPr>
            <w:tcW w:w="642" w:type="dxa"/>
            <w:vMerge/>
            <w:tcBorders>
              <w:left w:val="single" w:sz="4" w:space="0" w:color="000000"/>
              <w:bottom w:val="nil" w:sz="6" w:space="0" w:color="auto"/>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团经编实 业有限公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263.53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263.53</w:t>
            </w: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石家庄赛 孚纺织有 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176.17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176.17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北京北明 兆业科技 有限公司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19.93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北京云启 志新科技 股份有限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0.53%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2,108.5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郑州郑热 天时自动 化工程技 术有限公 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53.73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北京国智 云鼎软件 有限公司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96.23</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北京云启 志新科技 股份有限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155.62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0.05%</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155.62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北京北明 兆业科技 有限公司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917.71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917.71</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79"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vMerge w:val="restart"/>
            <w:tcBorders>
              <w:top w:val="single" w:sz="4" w:space="0" w:color="000000"/>
              <w:left w:val="single" w:sz="9" w:space="0" w:color="D3D3D3"/>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20,000</w:t>
            </w:r>
          </w:p>
        </w:tc>
        <w:tc>
          <w:tcPr>
            <w:tcW w:w="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3D3D3"/>
              <w:right w:val="single" w:sz="4" w:space="0" w:color="000000"/>
            </w:tcBorders>
          </w:tcPr>
          <w:p>
            <w:pPr/>
          </w:p>
        </w:tc>
        <w:tc>
          <w:tcPr>
            <w:tcW w:w="673" w:type="dxa"/>
            <w:vMerge/>
            <w:tcBorders>
              <w:left w:val="single" w:sz="4" w:space="0" w:color="000000"/>
              <w:right w:val="single" w:sz="4" w:space="0" w:color="000000"/>
            </w:tcBorders>
            <w:shd w:val="clear" w:color="auto" w:fill="D3D3D3"/>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3D3D3"/>
          </w:tcPr>
          <w:p>
            <w:pPr/>
          </w:p>
        </w:tc>
        <w:tc>
          <w:tcPr>
            <w:tcW w:w="673" w:type="dxa"/>
            <w:vMerge/>
            <w:tcBorders>
              <w:left w:val="single" w:sz="4" w:space="0" w:color="000000"/>
              <w:right w:val="single" w:sz="4" w:space="0" w:color="000000"/>
            </w:tcBorders>
            <w:shd w:val="clear" w:color="auto" w:fill="D3D3D3"/>
          </w:tcPr>
          <w:p>
            <w:pPr/>
          </w:p>
        </w:tc>
        <w:tc>
          <w:tcPr>
            <w:tcW w:w="674" w:type="dxa"/>
            <w:vMerge/>
            <w:tcBorders>
              <w:left w:val="single" w:sz="4" w:space="0" w:color="000000"/>
              <w:right w:val="single" w:sz="4" w:space="0" w:color="000000"/>
            </w:tcBorders>
            <w:shd w:val="clear" w:color="auto" w:fill="D3D3D3"/>
          </w:tcPr>
          <w:p>
            <w:pPr/>
          </w:p>
        </w:tc>
        <w:tc>
          <w:tcPr>
            <w:tcW w:w="670" w:type="dxa"/>
            <w:vMerge/>
            <w:tcBorders>
              <w:left w:val="single" w:sz="4" w:space="0" w:color="000000"/>
              <w:right w:val="single" w:sz="4" w:space="0" w:color="000000"/>
            </w:tcBorders>
            <w:shd w:val="clear" w:color="auto" w:fill="D3D3D3"/>
          </w:tcPr>
          <w:p>
            <w:pPr/>
          </w:p>
        </w:tc>
        <w:tc>
          <w:tcPr>
            <w:tcW w:w="642" w:type="dxa"/>
            <w:vMerge/>
            <w:tcBorders>
              <w:left w:val="single" w:sz="4" w:space="0" w:color="000000"/>
              <w:right w:val="single" w:sz="4" w:space="0" w:color="000000"/>
            </w:tcBorders>
            <w:shd w:val="clear" w:color="auto" w:fill="D3D3D3"/>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79"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vMerge/>
            <w:tcBorders>
              <w:left w:val="single" w:sz="9" w:space="0" w:color="D3D3D3"/>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3D3D3"/>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3D3D3"/>
          </w:tcPr>
          <w:p>
            <w:pPr/>
          </w:p>
        </w:tc>
        <w:tc>
          <w:tcPr>
            <w:tcW w:w="673" w:type="dxa"/>
            <w:vMerge/>
            <w:tcBorders>
              <w:left w:val="single" w:sz="4" w:space="0" w:color="000000"/>
              <w:bottom w:val="single" w:sz="4" w:space="0" w:color="000000"/>
              <w:right w:val="single" w:sz="4" w:space="0" w:color="000000"/>
            </w:tcBorders>
            <w:shd w:val="clear" w:color="auto" w:fill="D3D3D3"/>
          </w:tcPr>
          <w:p>
            <w:pPr/>
          </w:p>
        </w:tc>
        <w:tc>
          <w:tcPr>
            <w:tcW w:w="674" w:type="dxa"/>
            <w:vMerge/>
            <w:tcBorders>
              <w:left w:val="single" w:sz="4" w:space="0" w:color="000000"/>
              <w:bottom w:val="single" w:sz="4" w:space="0" w:color="000000"/>
              <w:right w:val="single" w:sz="4" w:space="0" w:color="000000"/>
            </w:tcBorders>
            <w:shd w:val="clear" w:color="auto" w:fill="D3D3D3"/>
          </w:tcPr>
          <w:p>
            <w:pPr/>
          </w:p>
        </w:tc>
        <w:tc>
          <w:tcPr>
            <w:tcW w:w="670" w:type="dxa"/>
            <w:vMerge/>
            <w:tcBorders>
              <w:left w:val="single" w:sz="4" w:space="0" w:color="000000"/>
              <w:bottom w:val="single" w:sz="4" w:space="0" w:color="000000"/>
              <w:right w:val="single" w:sz="4" w:space="0" w:color="000000"/>
            </w:tcBorders>
            <w:shd w:val="clear" w:color="auto" w:fill="D3D3D3"/>
          </w:tcPr>
          <w:p>
            <w:pPr/>
          </w:p>
        </w:tc>
        <w:tc>
          <w:tcPr>
            <w:tcW w:w="64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09"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709" w:type="dxa"/>
            <w:gridSpan w:val="10"/>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1"/>
              <w:ind w:left="15" w:right="20" w:firstLine="36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年年度股东大会审议通过与常山集团签署</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年度日常生产经营 关联交易协议的议案，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年度预计销售商品发生关联交易</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36"/>
                <w:sz w:val="18"/>
                <w:szCs w:val="18"/>
              </w:rPr>
              <w:t> </w:t>
            </w:r>
            <w:r>
              <w:rPr>
                <w:rFonts w:ascii="宋体" w:hAnsi="宋体" w:cs="宋体" w:eastAsia="宋体" w:hint="default"/>
                <w:spacing w:val="-4"/>
                <w:sz w:val="18"/>
                <w:szCs w:val="18"/>
              </w:rPr>
              <w:t>万元，购买商品发</w:t>
            </w:r>
            <w:r>
              <w:rPr>
                <w:rFonts w:ascii="宋体" w:hAnsi="宋体" w:cs="宋体" w:eastAsia="宋体" w:hint="default"/>
                <w:sz w:val="18"/>
                <w:szCs w:val="18"/>
              </w:rPr>
              <w:t> 生关联交易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万元，本报告期内公司与常山集团及附属企业实际发生销售商品</w:t>
            </w:r>
          </w:p>
          <w:p>
            <w:pPr>
              <w:pStyle w:val="TableParagraph"/>
              <w:spacing w:line="302" w:lineRule="auto" w:before="13"/>
              <w:ind w:left="15" w:right="23"/>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7,910.49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万元，发生购买商品关联交易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11,858.91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万元，在股东大会授权范围</w:t>
            </w:r>
            <w:r>
              <w:rPr>
                <w:rFonts w:ascii="宋体" w:hAnsi="宋体" w:cs="宋体" w:eastAsia="宋体" w:hint="default"/>
                <w:sz w:val="18"/>
                <w:szCs w:val="18"/>
              </w:rPr>
              <w:t> 内。</w:t>
            </w:r>
          </w:p>
        </w:tc>
      </w:tr>
      <w:tr>
        <w:trPr>
          <w:trHeight w:val="1016"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09" w:type="dxa"/>
            <w:gridSpan w:val="10"/>
            <w:vMerge/>
            <w:tcBorders>
              <w:left w:val="single" w:sz="10" w:space="0" w:color="D3D3D3"/>
              <w:right w:val="single" w:sz="4" w:space="0" w:color="000000"/>
            </w:tcBorders>
            <w:shd w:val="clear" w:color="auto" w:fill="C7EDCC"/>
          </w:tcPr>
          <w:p>
            <w:pPr/>
          </w:p>
        </w:tc>
      </w:tr>
      <w:tr>
        <w:trPr>
          <w:trHeight w:val="317"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709" w:type="dxa"/>
            <w:gridSpan w:val="10"/>
            <w:vMerge/>
            <w:tcBorders>
              <w:left w:val="single" w:sz="10" w:space="0" w:color="D3D3D3"/>
              <w:bottom w:val="single" w:sz="4" w:space="0" w:color="000000"/>
              <w:right w:val="single" w:sz="4" w:space="0" w:color="000000"/>
            </w:tcBorders>
            <w:shd w:val="clear" w:color="auto" w:fill="C7EDCC"/>
          </w:tcPr>
          <w:p>
            <w:pP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09" w:type="dxa"/>
            <w:gridSpan w:val="10"/>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141"/>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4" w:right="54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4" w:right="6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141"/>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left="154"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41"/>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141"/>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4"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141"/>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54"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00" w:lineRule="auto" w:before="39"/>
        <w:ind w:left="154" w:right="133" w:firstLine="360"/>
        <w:jc w:val="both"/>
      </w:pPr>
      <w:r>
        <w:rPr>
          <w:spacing w:val="-2"/>
        </w:rPr>
        <w:t>本报告期，北明软件依据租赁合同承租关联方广州移动科技有限公司办公楼，承租期为自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rPr>
        <w:t> </w:t>
      </w:r>
      <w:r>
        <w:rPr>
          <w:spacing w:val="-1"/>
        </w:rPr>
        <w:t>日，租赁费</w:t>
      </w:r>
      <w:r>
        <w:rPr>
          <w:rFonts w:ascii="Times New Roman" w:hAnsi="Times New Roman" w:cs="Times New Roman" w:eastAsia="Times New Roman" w:hint="default"/>
          <w:spacing w:val="-1"/>
        </w:rPr>
        <w:t>115,858.80</w:t>
      </w:r>
      <w:r>
        <w:rPr>
          <w:spacing w:val="-1"/>
        </w:rPr>
        <w:t>元</w:t>
      </w:r>
      <w:r>
        <w:rPr>
          <w:rFonts w:ascii="Times New Roman" w:hAnsi="Times New Roman" w:cs="Times New Roman" w:eastAsia="Times New Roman" w:hint="default"/>
          <w:spacing w:val="-1"/>
        </w:rPr>
        <w:t>/</w:t>
      </w:r>
      <w:r>
        <w:rPr>
          <w:spacing w:val="-1"/>
        </w:rPr>
        <w:t>月，根据合同规定，自第三年起租金价格每年上涨</w:t>
      </w:r>
      <w:r>
        <w:rPr>
          <w:rFonts w:ascii="Times New Roman" w:hAnsi="Times New Roman" w:cs="Times New Roman" w:eastAsia="Times New Roman" w:hint="default"/>
          <w:spacing w:val="-1"/>
        </w:rPr>
        <w:t>5%</w:t>
      </w:r>
      <w:r>
        <w:rPr>
          <w:spacing w:val="-1"/>
        </w:rPr>
        <w:t>，即</w:t>
      </w:r>
      <w:r>
        <w:rPr>
          <w:rFonts w:ascii="Times New Roman" w:hAnsi="Times New Roman" w:cs="Times New Roman" w:eastAsia="Times New Roman" w:hint="default"/>
          <w:spacing w:val="-1"/>
        </w:rPr>
        <w:t>2017</w:t>
      </w:r>
      <w:r>
        <w:rPr>
          <w:spacing w:val="-1"/>
        </w:rPr>
        <w:t>年月租金为</w:t>
      </w:r>
      <w:r>
        <w:rPr>
          <w:rFonts w:ascii="Times New Roman" w:hAnsi="Times New Roman" w:cs="Times New Roman" w:eastAsia="Times New Roman" w:hint="default"/>
          <w:spacing w:val="-1"/>
        </w:rPr>
        <w:t>134,121.04</w:t>
      </w:r>
      <w:r>
        <w:rPr>
          <w:spacing w:val="-1"/>
        </w:rPr>
        <w:t>元</w:t>
      </w:r>
      <w:r>
        <w:rPr>
          <w:rFonts w:ascii="Times New Roman" w:hAnsi="Times New Roman" w:cs="Times New Roman" w:eastAsia="Times New Roman" w:hint="default"/>
          <w:spacing w:val="-1"/>
        </w:rPr>
        <w:t>/</w:t>
      </w:r>
      <w:r>
        <w:rPr>
          <w:spacing w:val="-1"/>
        </w:rPr>
        <w:t>月；北明软</w:t>
      </w:r>
      <w:r>
        <w:rPr>
          <w:spacing w:val="-87"/>
        </w:rPr>
        <w:t> </w:t>
      </w:r>
      <w:r>
        <w:rPr>
          <w:spacing w:val="-87"/>
        </w:rPr>
      </w:r>
      <w:r>
        <w:rPr>
          <w:spacing w:val="-2"/>
        </w:rPr>
        <w:t>件子公司广州市龙泰信息技术有限公司依据租赁合同承租关联方广州移动科技有限公司办公楼，承租期为自</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spacing w:val="-58"/>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日，租赁费</w:t>
      </w:r>
      <w:r>
        <w:rPr>
          <w:rFonts w:ascii="Times New Roman" w:hAnsi="Times New Roman" w:cs="Times New Roman" w:eastAsia="Times New Roman" w:hint="default"/>
        </w:rPr>
        <w:t>4,763</w:t>
      </w:r>
      <w:r>
        <w:rPr/>
        <w:t>元</w:t>
      </w:r>
      <w:r>
        <w:rPr>
          <w:rFonts w:ascii="Times New Roman" w:hAnsi="Times New Roman" w:cs="Times New Roman" w:eastAsia="Times New Roman" w:hint="default"/>
        </w:rPr>
        <w:t>/</w:t>
      </w:r>
      <w:r>
        <w:rPr/>
        <w:t>月，根据合同规定，自第二年起租金价格每年上涨</w:t>
      </w:r>
      <w:r>
        <w:rPr>
          <w:rFonts w:ascii="Times New Roman" w:hAnsi="Times New Roman" w:cs="Times New Roman" w:eastAsia="Times New Roman" w:hint="default"/>
        </w:rPr>
        <w:t>5%</w:t>
      </w:r>
      <w:r>
        <w:rPr/>
        <w:t>，即</w:t>
      </w:r>
      <w:r>
        <w:rPr>
          <w:rFonts w:ascii="Times New Roman" w:hAnsi="Times New Roman" w:cs="Times New Roman" w:eastAsia="Times New Roman" w:hint="default"/>
        </w:rPr>
        <w:t>2017</w:t>
      </w:r>
      <w:r>
        <w:rPr/>
        <w:t>年月租金为</w:t>
      </w:r>
      <w:r>
        <w:rPr>
          <w:rFonts w:ascii="Times New Roman" w:hAnsi="Times New Roman" w:cs="Times New Roman" w:eastAsia="Times New Roman" w:hint="default"/>
        </w:rPr>
        <w:t>5,001.15</w:t>
      </w:r>
      <w:r>
        <w:rPr/>
        <w:t>元</w:t>
      </w:r>
      <w:r>
        <w:rPr>
          <w:rFonts w:ascii="Times New Roman" w:hAnsi="Times New Roman" w:cs="Times New Roman" w:eastAsia="Times New Roman" w:hint="default"/>
        </w:rPr>
        <w:t>/</w:t>
      </w:r>
      <w:r>
        <w:rPr/>
        <w:t>月。</w:t>
      </w:r>
    </w:p>
    <w:p>
      <w:pPr>
        <w:spacing w:after="0" w:line="300" w:lineRule="auto"/>
        <w:jc w:val="both"/>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141"/>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141"/>
        <w:jc w:val="left"/>
      </w:pPr>
      <w:r>
        <w:rPr/>
        <w:t>□ 适用 √ 不适用</w:t>
      </w:r>
    </w:p>
    <w:p>
      <w:pPr>
        <w:pStyle w:val="BodyText"/>
        <w:spacing w:line="240" w:lineRule="auto" w:before="117"/>
        <w:ind w:right="141"/>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0"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7"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石家庄常山恒新纺织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6,495.61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七年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石家庄常山恒新纺织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石家庄常山恒新纺织 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石家庄常山恒荣进出 口贸易有限公司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37,064.56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44,283.31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21,550.99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石家庄常山北明科技 股份有限公司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97"/>
        <w:gridCol w:w="912"/>
        <w:gridCol w:w="936"/>
        <w:gridCol w:w="1304"/>
        <w:gridCol w:w="1048"/>
        <w:gridCol w:w="1033"/>
        <w:gridCol w:w="1062"/>
        <w:gridCol w:w="785"/>
        <w:gridCol w:w="785"/>
      </w:tblGrid>
      <w:tr>
        <w:trPr>
          <w:trHeight w:val="362" w:hRule="exact"/>
        </w:trPr>
        <w:tc>
          <w:tcPr>
            <w:tcW w:w="16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0"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178,550</w:t>
            </w:r>
          </w:p>
        </w:tc>
        <w:tc>
          <w:tcPr>
            <w:tcW w:w="20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3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210,019.47</w:t>
            </w:r>
          </w:p>
        </w:tc>
      </w:tr>
      <w:tr>
        <w:trPr>
          <w:trHeight w:val="714" w:hRule="exact"/>
        </w:trPr>
        <w:tc>
          <w:tcPr>
            <w:tcW w:w="26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0"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269,550</w:t>
            </w:r>
          </w:p>
        </w:tc>
        <w:tc>
          <w:tcPr>
            <w:tcW w:w="20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3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210,019.47</w:t>
            </w:r>
          </w:p>
        </w:tc>
      </w:tr>
      <w:tr>
        <w:trPr>
          <w:trHeight w:val="401"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697" w:type="dxa"/>
            <w:vMerge w:val="restart"/>
            <w:tcBorders>
              <w:top w:val="single" w:sz="4" w:space="0" w:color="000000"/>
              <w:left w:val="single" w:sz="4" w:space="0" w:color="000000"/>
              <w:right w:val="single" w:sz="4" w:space="0" w:color="000000"/>
            </w:tcBorders>
            <w:shd w:val="clear" w:color="auto" w:fill="D3D3D3"/>
          </w:tcPr>
          <w:p>
            <w:pPr/>
          </w:p>
        </w:tc>
        <w:tc>
          <w:tcPr>
            <w:tcW w:w="91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93"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vMerge w:val="restart"/>
            <w:tcBorders>
              <w:top w:val="single" w:sz="4" w:space="0" w:color="000000"/>
              <w:left w:val="single" w:sz="4" w:space="0" w:color="000000"/>
              <w:right w:val="single" w:sz="4" w:space="0" w:color="000000"/>
            </w:tcBorders>
            <w:shd w:val="clear" w:color="auto" w:fill="D3D3D3"/>
          </w:tcPr>
          <w:p>
            <w:pPr/>
          </w:p>
        </w:tc>
        <w:tc>
          <w:tcPr>
            <w:tcW w:w="13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3" w:type="dxa"/>
            <w:vMerge w:val="restart"/>
            <w:tcBorders>
              <w:top w:val="single" w:sz="4" w:space="0" w:color="000000"/>
              <w:left w:val="single" w:sz="4" w:space="0" w:color="000000"/>
              <w:right w:val="single" w:sz="4" w:space="0" w:color="000000"/>
            </w:tcBorders>
            <w:shd w:val="clear" w:color="auto" w:fill="D3D3D3"/>
          </w:tcPr>
          <w:p>
            <w:pPr/>
          </w:p>
        </w:tc>
        <w:tc>
          <w:tcPr>
            <w:tcW w:w="1062" w:type="dxa"/>
            <w:vMerge w:val="restart"/>
            <w:tcBorders>
              <w:top w:val="single" w:sz="4" w:space="0" w:color="000000"/>
              <w:left w:val="single" w:sz="4" w:space="0" w:color="000000"/>
              <w:right w:val="single" w:sz="4" w:space="0" w:color="000000"/>
            </w:tcBorders>
            <w:shd w:val="clear" w:color="auto" w:fill="D3D3D3"/>
          </w:tcPr>
          <w:p>
            <w:pPr/>
          </w:p>
        </w:tc>
        <w:tc>
          <w:tcPr>
            <w:tcW w:w="785" w:type="dxa"/>
            <w:tcBorders>
              <w:top w:val="single" w:sz="4" w:space="0" w:color="000000"/>
              <w:left w:val="single" w:sz="4" w:space="0" w:color="000000"/>
              <w:bottom w:val="nil" w:sz="6" w:space="0" w:color="auto"/>
              <w:right w:val="single" w:sz="4" w:space="0" w:color="000000"/>
            </w:tcBorders>
            <w:shd w:val="clear" w:color="auto" w:fill="D3D3D3"/>
          </w:tcPr>
          <w:p>
            <w:pPr/>
          </w:p>
        </w:tc>
        <w:tc>
          <w:tcPr>
            <w:tcW w:w="7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697" w:type="dxa"/>
            <w:vMerge/>
            <w:tcBorders>
              <w:left w:val="single" w:sz="4" w:space="0" w:color="000000"/>
              <w:bottom w:val="nil" w:sz="6" w:space="0" w:color="auto"/>
              <w:right w:val="single" w:sz="4" w:space="0" w:color="000000"/>
            </w:tcBorders>
            <w:shd w:val="clear" w:color="auto" w:fill="D3D3D3"/>
          </w:tcPr>
          <w:p>
            <w:pPr/>
          </w:p>
        </w:tc>
        <w:tc>
          <w:tcPr>
            <w:tcW w:w="912" w:type="dxa"/>
            <w:vMerge/>
            <w:tcBorders>
              <w:left w:val="single" w:sz="4" w:space="0" w:color="000000"/>
              <w:right w:val="single" w:sz="4" w:space="0" w:color="000000"/>
            </w:tcBorders>
            <w:shd w:val="clear" w:color="auto" w:fill="D3D3D3"/>
          </w:tcPr>
          <w:p>
            <w:pPr/>
          </w:p>
        </w:tc>
        <w:tc>
          <w:tcPr>
            <w:tcW w:w="936" w:type="dxa"/>
            <w:vMerge/>
            <w:tcBorders>
              <w:left w:val="single" w:sz="4" w:space="0" w:color="000000"/>
              <w:bottom w:val="nil" w:sz="6" w:space="0" w:color="auto"/>
              <w:right w:val="single" w:sz="4" w:space="0" w:color="000000"/>
            </w:tcBorders>
            <w:shd w:val="clear" w:color="auto" w:fill="D3D3D3"/>
          </w:tcPr>
          <w:p>
            <w:pPr/>
          </w:p>
        </w:tc>
        <w:tc>
          <w:tcPr>
            <w:tcW w:w="130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20" w:right="7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3" w:type="dxa"/>
            <w:vMerge/>
            <w:tcBorders>
              <w:left w:val="single" w:sz="4" w:space="0" w:color="000000"/>
              <w:bottom w:val="nil" w:sz="6" w:space="0" w:color="auto"/>
              <w:right w:val="single" w:sz="4" w:space="0" w:color="000000"/>
            </w:tcBorders>
            <w:shd w:val="clear" w:color="auto" w:fill="D3D3D3"/>
          </w:tcPr>
          <w:p>
            <w:pPr/>
          </w:p>
        </w:tc>
        <w:tc>
          <w:tcPr>
            <w:tcW w:w="1062" w:type="dxa"/>
            <w:vMerge/>
            <w:tcBorders>
              <w:left w:val="single" w:sz="4" w:space="0" w:color="000000"/>
              <w:bottom w:val="nil" w:sz="6" w:space="0" w:color="auto"/>
              <w:right w:val="single" w:sz="4" w:space="0" w:color="000000"/>
            </w:tcBorders>
            <w:shd w:val="clear" w:color="auto" w:fill="D3D3D3"/>
          </w:tcPr>
          <w:p>
            <w:pPr/>
          </w:p>
        </w:tc>
        <w:tc>
          <w:tcPr>
            <w:tcW w:w="7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tcBorders>
              <w:left w:val="single" w:sz="4" w:space="0" w:color="000000"/>
              <w:right w:val="single" w:sz="4" w:space="0" w:color="000000"/>
            </w:tcBorders>
            <w:shd w:val="clear" w:color="auto" w:fill="D3D3D3"/>
          </w:tcPr>
          <w:p>
            <w:pPr/>
          </w:p>
        </w:tc>
        <w:tc>
          <w:tcPr>
            <w:tcW w:w="9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vMerge/>
            <w:tcBorders>
              <w:left w:val="single" w:sz="4" w:space="0" w:color="000000"/>
              <w:right w:val="single" w:sz="4" w:space="0" w:color="000000"/>
            </w:tcBorders>
            <w:shd w:val="clear" w:color="auto" w:fill="D3D3D3"/>
          </w:tcPr>
          <w:p>
            <w:pPr/>
          </w:p>
        </w:tc>
        <w:tc>
          <w:tcPr>
            <w:tcW w:w="1048" w:type="dxa"/>
            <w:vMerge/>
            <w:tcBorders>
              <w:left w:val="single" w:sz="4" w:space="0" w:color="000000"/>
              <w:right w:val="single" w:sz="4" w:space="0" w:color="000000"/>
            </w:tcBorders>
            <w:shd w:val="clear" w:color="auto" w:fill="D3D3D3"/>
          </w:tcPr>
          <w:p>
            <w:pPr/>
          </w:p>
        </w:tc>
        <w:tc>
          <w:tcPr>
            <w:tcW w:w="10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3D3D3"/>
          </w:tcPr>
          <w:p>
            <w:pPr/>
          </w:p>
        </w:tc>
        <w:tc>
          <w:tcPr>
            <w:tcW w:w="785" w:type="dxa"/>
            <w:vMerge/>
            <w:tcBorders>
              <w:left w:val="single" w:sz="4" w:space="0" w:color="000000"/>
              <w:right w:val="single" w:sz="4" w:space="0" w:color="000000"/>
            </w:tcBorders>
            <w:shd w:val="clear" w:color="auto" w:fill="D3D3D3"/>
          </w:tcPr>
          <w:p>
            <w:pPr/>
          </w:p>
        </w:tc>
      </w:tr>
      <w:tr>
        <w:trPr>
          <w:trHeight w:val="156" w:hRule="exact"/>
        </w:trPr>
        <w:tc>
          <w:tcPr>
            <w:tcW w:w="1697" w:type="dxa"/>
            <w:vMerge w:val="restart"/>
            <w:tcBorders>
              <w:top w:val="nil" w:sz="6" w:space="0" w:color="auto"/>
              <w:left w:val="single" w:sz="4" w:space="0" w:color="000000"/>
              <w:right w:val="single" w:sz="4" w:space="0" w:color="000000"/>
            </w:tcBorders>
            <w:shd w:val="clear" w:color="auto" w:fill="D3D3D3"/>
          </w:tcPr>
          <w:p>
            <w:pPr/>
          </w:p>
        </w:tc>
        <w:tc>
          <w:tcPr>
            <w:tcW w:w="912" w:type="dxa"/>
            <w:vMerge/>
            <w:tcBorders>
              <w:left w:val="single" w:sz="4" w:space="0" w:color="000000"/>
              <w:right w:val="single" w:sz="4" w:space="0" w:color="000000"/>
            </w:tcBorders>
            <w:shd w:val="clear" w:color="auto" w:fill="D3D3D3"/>
          </w:tcPr>
          <w:p>
            <w:pPr/>
          </w:p>
        </w:tc>
        <w:tc>
          <w:tcPr>
            <w:tcW w:w="936" w:type="dxa"/>
            <w:vMerge w:val="restart"/>
            <w:tcBorders>
              <w:top w:val="nil" w:sz="6" w:space="0" w:color="auto"/>
              <w:left w:val="single" w:sz="4" w:space="0" w:color="000000"/>
              <w:right w:val="single" w:sz="4" w:space="0" w:color="000000"/>
            </w:tcBorders>
            <w:shd w:val="clear" w:color="auto" w:fill="D3D3D3"/>
          </w:tcPr>
          <w:p>
            <w:pPr/>
          </w:p>
        </w:tc>
        <w:tc>
          <w:tcPr>
            <w:tcW w:w="1304" w:type="dxa"/>
            <w:vMerge/>
            <w:tcBorders>
              <w:left w:val="single" w:sz="4" w:space="0" w:color="000000"/>
              <w:bottom w:val="nil" w:sz="6" w:space="0" w:color="auto"/>
              <w:right w:val="single" w:sz="4" w:space="0" w:color="000000"/>
            </w:tcBorders>
            <w:shd w:val="clear" w:color="auto" w:fill="D3D3D3"/>
          </w:tcPr>
          <w:p>
            <w:pPr/>
          </w:p>
        </w:tc>
        <w:tc>
          <w:tcPr>
            <w:tcW w:w="1048" w:type="dxa"/>
            <w:vMerge/>
            <w:tcBorders>
              <w:left w:val="single" w:sz="4" w:space="0" w:color="000000"/>
              <w:bottom w:val="nil" w:sz="6" w:space="0" w:color="auto"/>
              <w:right w:val="single" w:sz="4" w:space="0" w:color="000000"/>
            </w:tcBorders>
            <w:shd w:val="clear" w:color="auto" w:fill="D3D3D3"/>
          </w:tcPr>
          <w:p>
            <w:pPr/>
          </w:p>
        </w:tc>
        <w:tc>
          <w:tcPr>
            <w:tcW w:w="1033" w:type="dxa"/>
            <w:vMerge w:val="restart"/>
            <w:tcBorders>
              <w:top w:val="nil" w:sz="6" w:space="0" w:color="auto"/>
              <w:left w:val="single" w:sz="4" w:space="0" w:color="000000"/>
              <w:right w:val="single" w:sz="4" w:space="0" w:color="000000"/>
            </w:tcBorders>
            <w:shd w:val="clear" w:color="auto" w:fill="D3D3D3"/>
          </w:tcPr>
          <w:p>
            <w:pPr/>
          </w:p>
        </w:tc>
        <w:tc>
          <w:tcPr>
            <w:tcW w:w="1062" w:type="dxa"/>
            <w:vMerge w:val="restart"/>
            <w:tcBorders>
              <w:top w:val="nil" w:sz="6" w:space="0" w:color="auto"/>
              <w:left w:val="single" w:sz="4" w:space="0" w:color="000000"/>
              <w:right w:val="single" w:sz="4" w:space="0" w:color="000000"/>
            </w:tcBorders>
            <w:shd w:val="clear" w:color="auto" w:fill="D3D3D3"/>
          </w:tcPr>
          <w:p>
            <w:pPr/>
          </w:p>
        </w:tc>
        <w:tc>
          <w:tcPr>
            <w:tcW w:w="785" w:type="dxa"/>
            <w:vMerge/>
            <w:tcBorders>
              <w:left w:val="single" w:sz="4" w:space="0" w:color="000000"/>
              <w:bottom w:val="nil" w:sz="6" w:space="0" w:color="auto"/>
              <w:right w:val="single" w:sz="4" w:space="0" w:color="000000"/>
            </w:tcBorders>
            <w:shd w:val="clear" w:color="auto" w:fill="D3D3D3"/>
          </w:tcPr>
          <w:p>
            <w:pPr/>
          </w:p>
        </w:tc>
        <w:tc>
          <w:tcPr>
            <w:tcW w:w="785"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697" w:type="dxa"/>
            <w:vMerge/>
            <w:tcBorders>
              <w:left w:val="single" w:sz="4" w:space="0" w:color="000000"/>
              <w:bottom w:val="single" w:sz="4" w:space="0" w:color="000000"/>
              <w:right w:val="single" w:sz="4" w:space="0" w:color="000000"/>
            </w:tcBorders>
            <w:shd w:val="clear" w:color="auto" w:fill="D3D3D3"/>
          </w:tcPr>
          <w:p>
            <w:pPr/>
          </w:p>
        </w:tc>
        <w:tc>
          <w:tcPr>
            <w:tcW w:w="912"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13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3"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785" w:type="dxa"/>
            <w:tcBorders>
              <w:top w:val="nil" w:sz="6" w:space="0" w:color="auto"/>
              <w:left w:val="single" w:sz="4" w:space="0" w:color="000000"/>
              <w:bottom w:val="single" w:sz="4" w:space="0" w:color="000000"/>
              <w:right w:val="single" w:sz="4" w:space="0" w:color="000000"/>
            </w:tcBorders>
            <w:shd w:val="clear" w:color="auto" w:fill="D3D3D3"/>
          </w:tcPr>
          <w:p>
            <w:pPr/>
          </w:p>
        </w:tc>
        <w:tc>
          <w:tcPr>
            <w:tcW w:w="7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北京天时前程自动化 工程技术有限公司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1,500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0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北京天时前程自动化 工程技术有限公司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3,500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3" w:right="10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40"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20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3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r>
      <w:tr>
        <w:trPr>
          <w:trHeight w:val="714" w:hRule="exact"/>
        </w:trPr>
        <w:tc>
          <w:tcPr>
            <w:tcW w:w="26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40"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20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3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5" w:hRule="exact"/>
        </w:trPr>
        <w:tc>
          <w:tcPr>
            <w:tcW w:w="26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0"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182,050</w:t>
            </w:r>
          </w:p>
        </w:tc>
        <w:tc>
          <w:tcPr>
            <w:tcW w:w="20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212,019.47</w:t>
            </w:r>
          </w:p>
        </w:tc>
      </w:tr>
      <w:tr>
        <w:trPr>
          <w:trHeight w:val="714" w:hRule="exact"/>
        </w:trPr>
        <w:tc>
          <w:tcPr>
            <w:tcW w:w="260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0"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274,550</w:t>
            </w:r>
          </w:p>
        </w:tc>
        <w:tc>
          <w:tcPr>
            <w:tcW w:w="20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2"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212,019.47</w:t>
            </w:r>
          </w:p>
        </w:tc>
      </w:tr>
      <w:tr>
        <w:trPr>
          <w:trHeight w:val="402"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3"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35.29%</w:t>
            </w:r>
          </w:p>
        </w:tc>
      </w:tr>
      <w:tr>
        <w:trPr>
          <w:trHeight w:val="401"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5"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13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3"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37,064.56</w:t>
            </w:r>
          </w:p>
        </w:tc>
      </w:tr>
      <w:tr>
        <w:trPr>
          <w:trHeight w:val="402" w:hRule="exact"/>
        </w:trPr>
        <w:tc>
          <w:tcPr>
            <w:tcW w:w="484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3"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37,064.56</w:t>
            </w:r>
          </w:p>
        </w:tc>
      </w:tr>
    </w:tbl>
    <w:p>
      <w:pPr>
        <w:pStyle w:val="BodyText"/>
        <w:spacing w:line="240" w:lineRule="auto" w:before="51"/>
        <w:ind w:left="154" w:right="141"/>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141"/>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810"/>
        <w:jc w:val="left"/>
      </w:pPr>
      <w:r>
        <w:rPr/>
        <w:t>□ 适用 √ 不适用 公司报告期无违规对外担保情况。</w:t>
      </w:r>
    </w:p>
    <w:p>
      <w:pPr>
        <w:spacing w:line="240" w:lineRule="auto" w:before="11"/>
        <w:rPr>
          <w:rFonts w:ascii="宋体" w:hAnsi="宋体" w:cs="宋体" w:eastAsia="宋体" w:hint="default"/>
          <w:sz w:val="19"/>
          <w:szCs w:val="19"/>
        </w:rPr>
      </w:pPr>
    </w:p>
    <w:p>
      <w:pPr>
        <w:pStyle w:val="Heading3"/>
        <w:spacing w:line="240" w:lineRule="auto"/>
        <w:ind w:right="141"/>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431"/>
        <w:jc w:val="left"/>
      </w:pPr>
      <w:r>
        <w:rPr/>
        <w:t>□ 适用 √ 不适用 公司报告期不存在委托理财。</w:t>
      </w:r>
    </w:p>
    <w:p>
      <w:pPr>
        <w:spacing w:after="0" w:line="357"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431"/>
        <w:jc w:val="left"/>
      </w:pPr>
      <w:r>
        <w:rPr/>
        <w:t>□ 适用 √ 不适用 公司报告期不存在委托贷款。</w:t>
      </w:r>
    </w:p>
    <w:p>
      <w:pPr>
        <w:spacing w:line="240" w:lineRule="auto" w:before="1"/>
        <w:rPr>
          <w:rFonts w:ascii="宋体" w:hAnsi="宋体" w:cs="宋体" w:eastAsia="宋体" w:hint="default"/>
          <w:sz w:val="20"/>
          <w:szCs w:val="20"/>
        </w:rPr>
      </w:pPr>
    </w:p>
    <w:p>
      <w:pPr>
        <w:pStyle w:val="Heading3"/>
        <w:spacing w:line="240" w:lineRule="auto"/>
        <w:ind w:right="141"/>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071"/>
        <w:jc w:val="left"/>
      </w:pPr>
      <w:r>
        <w:rPr/>
        <w:t>□ 适用 √ 不适用 公司报告期不存在其他重大合同。</w:t>
      </w:r>
    </w:p>
    <w:p>
      <w:pPr>
        <w:spacing w:line="240" w:lineRule="auto" w:before="1"/>
        <w:rPr>
          <w:rFonts w:ascii="宋体" w:hAnsi="宋体" w:cs="宋体" w:eastAsia="宋体" w:hint="default"/>
          <w:sz w:val="18"/>
          <w:szCs w:val="18"/>
        </w:rPr>
      </w:pPr>
    </w:p>
    <w:p>
      <w:pPr>
        <w:pStyle w:val="Heading2"/>
        <w:spacing w:line="240" w:lineRule="auto"/>
        <w:ind w:right="141"/>
        <w:jc w:val="left"/>
        <w:rPr>
          <w:b w:val="0"/>
          <w:bCs w:val="0"/>
        </w:rPr>
      </w:pP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181" w:firstLine="319"/>
        <w:jc w:val="left"/>
      </w:pPr>
      <w:r>
        <w:rPr>
          <w:rFonts w:ascii="Times New Roman" w:hAnsi="Times New Roman" w:cs="Times New Roman" w:eastAsia="Times New Roman" w:hint="default"/>
        </w:rPr>
        <w:t>1</w:t>
      </w:r>
      <w:r>
        <w:rPr/>
        <w:t>、公司不断完善治理结构，严格管理，不存在违规担保、关联方违规占用资金、内幕交易等损害投资者债权人等利益 相关者的行为。</w:t>
      </w:r>
    </w:p>
    <w:p>
      <w:pPr>
        <w:pStyle w:val="BodyText"/>
        <w:spacing w:line="240" w:lineRule="auto" w:before="69"/>
        <w:ind w:left="473" w:right="141"/>
        <w:jc w:val="left"/>
      </w:pPr>
      <w:r>
        <w:rPr>
          <w:rFonts w:ascii="Times New Roman" w:hAnsi="Times New Roman" w:cs="Times New Roman" w:eastAsia="Times New Roman" w:hint="default"/>
        </w:rPr>
        <w:t>2</w:t>
      </w:r>
      <w:r>
        <w:rPr/>
        <w:t>、公司守法诚信经营，与上下游客户建立了和谐共盈的合作关系。</w:t>
      </w:r>
    </w:p>
    <w:p>
      <w:pPr>
        <w:pStyle w:val="BodyText"/>
        <w:spacing w:line="302" w:lineRule="auto" w:before="102"/>
        <w:ind w:left="154" w:right="181" w:firstLine="319"/>
        <w:jc w:val="left"/>
      </w:pPr>
      <w:r>
        <w:rPr>
          <w:rFonts w:ascii="Times New Roman" w:hAnsi="Times New Roman" w:cs="Times New Roman" w:eastAsia="Times New Roman" w:hint="default"/>
        </w:rPr>
        <w:t>3</w:t>
      </w:r>
      <w:r>
        <w:rPr/>
        <w:t>、公司严格按照《劳动合同法》要求，与职工签订劳动合同，按照国家相关规定为职工缴纳各项社会保险，尊重员工 各项权利。</w:t>
      </w:r>
    </w:p>
    <w:p>
      <w:pPr>
        <w:spacing w:line="240" w:lineRule="auto" w:before="2"/>
        <w:rPr>
          <w:rFonts w:ascii="宋体" w:hAnsi="宋体" w:cs="宋体" w:eastAsia="宋体" w:hint="default"/>
          <w:sz w:val="23"/>
          <w:szCs w:val="23"/>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731"/>
        <w:jc w:val="left"/>
      </w:pPr>
      <w:r>
        <w:rPr/>
        <w:t>上市公司及其子公司是否属于环境保护部门公布的重点排污单位 否</w:t>
      </w:r>
    </w:p>
    <w:p>
      <w:pPr>
        <w:pStyle w:val="BodyText"/>
        <w:spacing w:line="307" w:lineRule="auto" w:before="26"/>
        <w:ind w:right="148" w:firstLine="319"/>
        <w:jc w:val="both"/>
      </w:pPr>
      <w:r>
        <w:rPr>
          <w:spacing w:val="-3"/>
        </w:rPr>
        <w:t>公司认真贯彻《中华人民共和国环境保护法》，生产全过程认真执行质量管理体系</w:t>
      </w:r>
      <w:r>
        <w:rPr>
          <w:rFonts w:ascii="Times New Roman" w:hAnsi="Times New Roman" w:cs="Times New Roman" w:eastAsia="Times New Roman" w:hint="default"/>
          <w:spacing w:val="-3"/>
        </w:rPr>
        <w:t>ISO9001:2015</w:t>
      </w:r>
      <w:r>
        <w:rPr>
          <w:spacing w:val="-3"/>
        </w:rPr>
        <w:t>标准和环境管理体系</w:t>
      </w:r>
      <w:r>
        <w:rPr>
          <w:rFonts w:ascii="Times New Roman" w:hAnsi="Times New Roman" w:cs="Times New Roman" w:eastAsia="Times New Roman" w:hint="default"/>
          <w:spacing w:val="-3"/>
        </w:rPr>
        <w:t>ISO</w:t>
      </w:r>
      <w:r>
        <w:rPr>
          <w:rFonts w:ascii="Times New Roman" w:hAnsi="Times New Roman" w:cs="Times New Roman" w:eastAsia="Times New Roman" w:hint="default"/>
        </w:rPr>
        <w:t> 14001</w:t>
      </w:r>
      <w:r>
        <w:rPr/>
        <w:t>：</w:t>
      </w:r>
      <w:r>
        <w:rPr>
          <w:rFonts w:ascii="Times New Roman" w:hAnsi="Times New Roman" w:cs="Times New Roman" w:eastAsia="Times New Roman" w:hint="default"/>
        </w:rPr>
        <w:t>2015</w:t>
      </w:r>
      <w:r>
        <w:rPr/>
        <w:t>标准，努力开展清洁生产经营活动，达到环保要求，减少环境污染，为了更好地实现公司可持续发展，推行节 </w:t>
      </w:r>
      <w:r>
        <w:rPr>
          <w:spacing w:val="-2"/>
        </w:rPr>
        <w:t>能减排创新工作。公司努力降低能源的消耗，在技术升级、工艺调整、浆料配方优化等方面不断创新，做到达标排放。改造</w:t>
      </w:r>
      <w:r>
        <w:rPr>
          <w:spacing w:val="-68"/>
        </w:rPr>
        <w:t> </w:t>
      </w:r>
      <w:r>
        <w:rPr>
          <w:spacing w:val="-68"/>
        </w:rPr>
      </w:r>
      <w:r>
        <w:rPr>
          <w:spacing w:val="-2"/>
        </w:rPr>
        <w:t>车间用水，在保证生产的情况下实现了湿分绞水的循环利用，节约用水降低成本，达到了废水排放量的降低；空调采用较为</w:t>
      </w:r>
      <w:r>
        <w:rPr>
          <w:spacing w:val="-66"/>
        </w:rPr>
        <w:t> </w:t>
      </w:r>
      <w:r>
        <w:rPr>
          <w:spacing w:val="-66"/>
        </w:rPr>
      </w:r>
      <w:r>
        <w:rPr>
          <w:spacing w:val="-1"/>
        </w:rPr>
        <w:t>先进的喷淋头，降低空调用水，做到循环利用，提高了空调效率，在节约电能的同时节约了用水量。报告期内，公司</w:t>
      </w:r>
      <w:r>
        <w:rPr>
          <w:rFonts w:ascii="Times New Roman" w:hAnsi="Times New Roman" w:cs="Times New Roman" w:eastAsia="Times New Roman" w:hint="default"/>
          <w:spacing w:val="-1"/>
        </w:rPr>
        <w:t>"</w:t>
      </w:r>
      <w:r>
        <w:rPr>
          <w:spacing w:val="-1"/>
        </w:rPr>
        <w:t>三废</w:t>
      </w:r>
      <w:r>
        <w:rPr>
          <w:rFonts w:ascii="Times New Roman" w:hAnsi="Times New Roman" w:cs="Times New Roman" w:eastAsia="Times New Roman" w:hint="default"/>
          <w:spacing w:val="-1"/>
        </w:rPr>
        <w:t>"</w:t>
      </w:r>
      <w:r>
        <w:rPr>
          <w:rFonts w:ascii="Times New Roman" w:hAnsi="Times New Roman" w:cs="Times New Roman" w:eastAsia="Times New Roman" w:hint="default"/>
        </w:rPr>
        <w:t> </w:t>
      </w:r>
      <w:r>
        <w:rPr/>
        <w:t>全部实现达标排放，未发生环境纠纷和环境污染事故。</w:t>
      </w:r>
    </w:p>
    <w:p>
      <w:pPr>
        <w:spacing w:line="240" w:lineRule="auto" w:before="3"/>
        <w:rPr>
          <w:rFonts w:ascii="宋体" w:hAnsi="宋体" w:cs="宋体" w:eastAsia="宋体" w:hint="default"/>
          <w:sz w:val="21"/>
          <w:szCs w:val="21"/>
        </w:rPr>
      </w:pPr>
    </w:p>
    <w:p>
      <w:pPr>
        <w:pStyle w:val="Heading2"/>
        <w:spacing w:line="240" w:lineRule="auto"/>
        <w:ind w:right="141"/>
        <w:jc w:val="left"/>
        <w:rPr>
          <w:b w:val="0"/>
          <w:bCs w:val="0"/>
        </w:rPr>
      </w:pP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141"/>
        <w:jc w:val="left"/>
      </w:pPr>
      <w:r>
        <w:rPr>
          <w:rFonts w:ascii="Times New Roman" w:hAnsi="Times New Roman" w:cs="Times New Roman" w:eastAsia="Times New Roman" w:hint="default"/>
        </w:rPr>
        <w:t>1</w:t>
      </w:r>
      <w:r>
        <w:rPr/>
        <w:t>、经公司董事会六届十四次会议审议通过，公司决定投资建设云数据中心项目一期工程，计划总投资</w:t>
      </w:r>
      <w:r>
        <w:rPr>
          <w:rFonts w:ascii="Times New Roman" w:hAnsi="Times New Roman" w:cs="Times New Roman" w:eastAsia="Times New Roman" w:hint="default"/>
        </w:rPr>
        <w:t>80,070</w:t>
      </w:r>
      <w:r>
        <w:rPr/>
        <w:t>万元。</w:t>
      </w:r>
    </w:p>
    <w:p>
      <w:pPr>
        <w:pStyle w:val="BodyText"/>
        <w:spacing w:line="300" w:lineRule="auto" w:before="101"/>
        <w:ind w:right="151" w:firstLine="360"/>
        <w:jc w:val="both"/>
      </w:pPr>
      <w:r>
        <w:rPr>
          <w:rFonts w:ascii="Times New Roman" w:hAnsi="Times New Roman" w:cs="Times New Roman" w:eastAsia="Times New Roman" w:hint="default"/>
          <w:spacing w:val="-5"/>
        </w:rPr>
        <w:t>2</w:t>
      </w:r>
      <w:r>
        <w:rPr>
          <w:spacing w:val="-5"/>
        </w:rPr>
        <w:t>、经公司董事会六届十五次会议、</w:t>
      </w:r>
      <w:r>
        <w:rPr>
          <w:rFonts w:ascii="Times New Roman" w:hAnsi="Times New Roman" w:cs="Times New Roman" w:eastAsia="Times New Roman" w:hint="default"/>
          <w:spacing w:val="-5"/>
        </w:rPr>
        <w:t>2016</w:t>
      </w:r>
      <w:r>
        <w:rPr>
          <w:spacing w:val="-5"/>
        </w:rPr>
        <w:t>年度股东大会审议通过，并经石家庄市行政审批局核准，公司名称正式变更为</w:t>
      </w:r>
      <w:r>
        <w:rPr>
          <w:rFonts w:ascii="Times New Roman" w:hAnsi="Times New Roman" w:cs="Times New Roman" w:eastAsia="Times New Roman" w:hint="default"/>
          <w:spacing w:val="-5"/>
        </w:rPr>
        <w:t>“</w:t>
      </w:r>
      <w:r>
        <w:rPr>
          <w:spacing w:val="-5"/>
        </w:rPr>
        <w:t>石</w:t>
      </w:r>
      <w:r>
        <w:rPr/>
        <w:t> 家庄常山北明科技股份有限公司</w:t>
      </w:r>
      <w:r>
        <w:rPr>
          <w:rFonts w:ascii="Times New Roman" w:hAnsi="Times New Roman" w:cs="Times New Roman" w:eastAsia="Times New Roman" w:hint="default"/>
        </w:rPr>
        <w:t>”</w:t>
      </w:r>
      <w:r>
        <w:rPr/>
        <w:t>；经公司董事会六届二十二次会议审议通过，并经深圳证券交易所核准同意，公司证券简 称自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日起由</w:t>
      </w:r>
      <w:r>
        <w:rPr>
          <w:rFonts w:ascii="Times New Roman" w:hAnsi="Times New Roman" w:cs="Times New Roman" w:eastAsia="Times New Roman" w:hint="default"/>
        </w:rPr>
        <w:t>“</w:t>
      </w:r>
      <w:r>
        <w:rPr/>
        <w:t>常山股份</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常山北明</w:t>
      </w:r>
      <w:r>
        <w:rPr>
          <w:rFonts w:ascii="Times New Roman" w:hAnsi="Times New Roman" w:cs="Times New Roman" w:eastAsia="Times New Roman" w:hint="default"/>
        </w:rPr>
        <w:t>”</w:t>
      </w:r>
      <w:r>
        <w:rPr/>
        <w:t>，英文简称由</w:t>
      </w:r>
      <w:r>
        <w:rPr>
          <w:rFonts w:ascii="Times New Roman" w:hAnsi="Times New Roman" w:cs="Times New Roman" w:eastAsia="Times New Roman" w:hint="default"/>
        </w:rPr>
        <w:t>“CSTEX”</w:t>
      </w:r>
      <w:r>
        <w:rPr/>
        <w:t>变更为</w:t>
      </w:r>
      <w:r>
        <w:rPr>
          <w:rFonts w:ascii="Times New Roman" w:hAnsi="Times New Roman" w:cs="Times New Roman" w:eastAsia="Times New Roman" w:hint="default"/>
        </w:rPr>
        <w:t>“CSBM”</w:t>
      </w:r>
      <w:r>
        <w:rPr/>
        <w:t>。</w:t>
      </w:r>
    </w:p>
    <w:p>
      <w:pPr>
        <w:pStyle w:val="BodyText"/>
        <w:spacing w:line="302" w:lineRule="auto" w:before="52"/>
        <w:ind w:left="154" w:right="158" w:firstLine="360"/>
        <w:jc w:val="both"/>
      </w:pPr>
      <w:r>
        <w:rPr>
          <w:rFonts w:ascii="Times New Roman" w:hAnsi="Times New Roman" w:cs="Times New Roman" w:eastAsia="Times New Roman" w:hint="default"/>
        </w:rPr>
        <w:t>3</w:t>
      </w:r>
      <w:r>
        <w:rPr/>
        <w:t>、经公司董事会六届十五次会议、</w:t>
      </w:r>
      <w:r>
        <w:rPr>
          <w:rFonts w:ascii="Times New Roman" w:hAnsi="Times New Roman" w:cs="Times New Roman" w:eastAsia="Times New Roman" w:hint="default"/>
        </w:rPr>
        <w:t>2016</w:t>
      </w:r>
      <w:r>
        <w:rPr/>
        <w:t>年度股东大会审议通过，公司决定在新疆投资建设纺织服装综合项目暨一期工 程，项目计划总投资</w:t>
      </w:r>
      <w:r>
        <w:rPr>
          <w:rFonts w:ascii="Times New Roman" w:hAnsi="Times New Roman" w:cs="Times New Roman" w:eastAsia="Times New Roman" w:hint="default"/>
        </w:rPr>
        <w:t>131,149.43</w:t>
      </w:r>
      <w:r>
        <w:rPr/>
        <w:t>万元，其中一期工程计划投资</w:t>
      </w:r>
      <w:r>
        <w:rPr>
          <w:rFonts w:ascii="Times New Roman" w:hAnsi="Times New Roman" w:cs="Times New Roman" w:eastAsia="Times New Roman" w:hint="default"/>
        </w:rPr>
        <w:t>5.9</w:t>
      </w:r>
      <w:r>
        <w:rPr/>
        <w:t>亿元。</w:t>
      </w:r>
    </w:p>
    <w:p>
      <w:pPr>
        <w:spacing w:after="0" w:line="302" w:lineRule="auto"/>
        <w:jc w:val="both"/>
        <w:sectPr>
          <w:footerReference w:type="default" r:id="rId16"/>
          <w:pgSz w:w="11910" w:h="16840"/>
          <w:pgMar w:footer="982" w:header="747" w:top="1060" w:bottom="1180" w:left="980" w:right="980"/>
          <w:pgNumType w:start="44"/>
        </w:sectPr>
      </w:pPr>
    </w:p>
    <w:p>
      <w:pPr>
        <w:spacing w:line="240" w:lineRule="auto" w:before="12"/>
        <w:rPr>
          <w:rFonts w:ascii="宋体" w:hAnsi="宋体" w:cs="宋体" w:eastAsia="宋体" w:hint="default"/>
          <w:sz w:val="25"/>
          <w:szCs w:val="25"/>
        </w:rPr>
      </w:pPr>
    </w:p>
    <w:p>
      <w:pPr>
        <w:pStyle w:val="BodyText"/>
        <w:spacing w:line="302" w:lineRule="auto" w:before="44"/>
        <w:ind w:right="226" w:firstLine="360"/>
        <w:jc w:val="left"/>
      </w:pPr>
      <w:r>
        <w:rPr>
          <w:rFonts w:ascii="Times New Roman" w:hAnsi="Times New Roman" w:cs="Times New Roman" w:eastAsia="Times New Roman" w:hint="default"/>
        </w:rPr>
        <w:t>4</w:t>
      </w:r>
      <w:r>
        <w:rPr/>
        <w:t>、经公司董事会六届二十二次会议审议通过，公司投资设立了河北常山恒云数据科技有限公司，注册资本</w:t>
      </w:r>
      <w:r>
        <w:rPr>
          <w:rFonts w:ascii="Times New Roman" w:hAnsi="Times New Roman" w:cs="Times New Roman" w:eastAsia="Times New Roman" w:hint="default"/>
        </w:rPr>
        <w:t>10,000</w:t>
      </w:r>
      <w:r>
        <w:rPr/>
        <w:t>万元 人民币，公司</w:t>
      </w:r>
      <w:r>
        <w:rPr>
          <w:rFonts w:ascii="Times New Roman" w:hAnsi="Times New Roman" w:cs="Times New Roman" w:eastAsia="Times New Roman" w:hint="default"/>
        </w:rPr>
        <w:t>100%</w:t>
      </w:r>
      <w:r>
        <w:rPr/>
        <w:t>持股，截止本报告期末，该公司的工商注册手续已完成。</w:t>
      </w:r>
    </w:p>
    <w:p>
      <w:pPr>
        <w:pStyle w:val="BodyText"/>
        <w:spacing w:line="240" w:lineRule="auto" w:before="50"/>
        <w:ind w:left="513" w:right="0"/>
        <w:jc w:val="left"/>
      </w:pPr>
      <w:r>
        <w:rPr>
          <w:rFonts w:ascii="Times New Roman" w:hAnsi="Times New Roman" w:cs="Times New Roman" w:eastAsia="Times New Roman" w:hint="default"/>
        </w:rPr>
        <w:t>5</w:t>
      </w:r>
      <w:r>
        <w:rPr/>
        <w:t>、公司作为牵头人与金鹏电子信息机器有限公司组成的联合体中标了舞钢市智慧城市建设项目（</w:t>
      </w:r>
      <w:r>
        <w:rPr>
          <w:rFonts w:ascii="Times New Roman" w:hAnsi="Times New Roman" w:cs="Times New Roman" w:eastAsia="Times New Roman" w:hint="default"/>
        </w:rPr>
        <w:t>PPP</w:t>
      </w:r>
      <w:r>
        <w:rPr/>
        <w:t>项目）。</w:t>
      </w:r>
    </w:p>
    <w:p>
      <w:pPr>
        <w:pStyle w:val="BodyText"/>
        <w:spacing w:line="302" w:lineRule="auto" w:before="102"/>
        <w:ind w:right="87" w:firstLine="360"/>
        <w:jc w:val="left"/>
      </w:pPr>
      <w:r>
        <w:rPr>
          <w:rFonts w:ascii="Times New Roman" w:hAnsi="Times New Roman" w:cs="Times New Roman" w:eastAsia="Times New Roman" w:hint="default"/>
          <w:spacing w:val="-2"/>
        </w:rPr>
        <w:t>6</w:t>
      </w:r>
      <w:r>
        <w:rPr>
          <w:spacing w:val="-2"/>
        </w:rPr>
        <w:t>、报告期内，公司全资子公司北明软件分别中标中国民用航空局空中交通管理局的</w:t>
      </w:r>
      <w:r>
        <w:rPr>
          <w:rFonts w:ascii="Times New Roman" w:hAnsi="Times New Roman" w:cs="Times New Roman" w:eastAsia="Times New Roman" w:hint="default"/>
          <w:spacing w:val="-2"/>
        </w:rPr>
        <w:t>“</w:t>
      </w:r>
      <w:r>
        <w:rPr>
          <w:spacing w:val="-2"/>
        </w:rPr>
        <w:t>民航通信网工程传输网设备采购项</w:t>
      </w:r>
      <w:r>
        <w:rPr/>
        <w:t> 目</w:t>
      </w:r>
      <w:r>
        <w:rPr>
          <w:rFonts w:ascii="Times New Roman" w:hAnsi="Times New Roman" w:cs="Times New Roman" w:eastAsia="Times New Roman" w:hint="default"/>
        </w:rPr>
        <w:t>”</w:t>
      </w:r>
      <w:r>
        <w:rPr/>
        <w:t>、</w:t>
      </w:r>
      <w:r>
        <w:rPr>
          <w:spacing w:val="-51"/>
        </w:rPr>
        <w:t> </w:t>
      </w:r>
      <w:r>
        <w:rPr>
          <w:rFonts w:ascii="Times New Roman" w:hAnsi="Times New Roman" w:cs="Times New Roman" w:eastAsia="Times New Roman" w:hint="default"/>
          <w:spacing w:val="-1"/>
        </w:rPr>
        <w:t>“</w:t>
      </w:r>
      <w:r>
        <w:rPr>
          <w:spacing w:val="-1"/>
        </w:rPr>
        <w:t>民航通信网工程</w:t>
      </w:r>
      <w:r>
        <w:rPr>
          <w:rFonts w:ascii="Times New Roman" w:hAnsi="Times New Roman" w:cs="Times New Roman" w:eastAsia="Times New Roman" w:hint="default"/>
          <w:spacing w:val="-1"/>
        </w:rPr>
        <w:t>IP</w:t>
      </w:r>
      <w:r>
        <w:rPr>
          <w:spacing w:val="-1"/>
        </w:rPr>
        <w:t>承载网设备采购项目</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民航通信网工程综合网管、实验测试培训运维平台及容灾中心采购项目</w:t>
      </w:r>
      <w:r>
        <w:rPr>
          <w:rFonts w:ascii="Times New Roman" w:hAnsi="Times New Roman" w:cs="Times New Roman" w:eastAsia="Times New Roman" w:hint="default"/>
          <w:spacing w:val="-1"/>
        </w:rPr>
        <w:t>”</w:t>
      </w:r>
      <w:r>
        <w:rPr>
          <w:spacing w:val="-1"/>
        </w:rPr>
        <w:t>。</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4"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5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57"/>
        <w:gridCol w:w="1272"/>
        <w:gridCol w:w="720"/>
        <w:gridCol w:w="540"/>
        <w:gridCol w:w="360"/>
        <w:gridCol w:w="1080"/>
        <w:gridCol w:w="1080"/>
        <w:gridCol w:w="1080"/>
        <w:gridCol w:w="1260"/>
        <w:gridCol w:w="720"/>
      </w:tblGrid>
      <w:tr>
        <w:trPr>
          <w:trHeight w:val="402" w:hRule="exact"/>
        </w:trPr>
        <w:tc>
          <w:tcPr>
            <w:tcW w:w="19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57" w:type="dxa"/>
            <w:vMerge w:val="restart"/>
            <w:tcBorders>
              <w:top w:val="nil" w:sz="6" w:space="0" w:color="auto"/>
              <w:left w:val="single" w:sz="4" w:space="0" w:color="000000"/>
              <w:right w:val="single" w:sz="4" w:space="0" w:color="000000"/>
            </w:tcBorders>
            <w:shd w:val="clear" w:color="auto" w:fill="D3D3D3"/>
          </w:tcPr>
          <w:p>
            <w:pPr/>
          </w:p>
        </w:tc>
        <w:tc>
          <w:tcPr>
            <w:tcW w:w="1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3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送 股</w:t>
            </w: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4" w:hRule="exact"/>
        </w:trPr>
        <w:tc>
          <w:tcPr>
            <w:tcW w:w="1957" w:type="dxa"/>
            <w:vMerge/>
            <w:tcBorders>
              <w:left w:val="single" w:sz="4" w:space="0" w:color="000000"/>
              <w:bottom w:val="nil" w:sz="6" w:space="0" w:color="auto"/>
              <w:right w:val="single" w:sz="4" w:space="0" w:color="000000"/>
            </w:tcBorders>
            <w:shd w:val="clear" w:color="auto" w:fill="D3D3D3"/>
          </w:tcPr>
          <w:p>
            <w:pPr/>
          </w:p>
        </w:tc>
        <w:tc>
          <w:tcPr>
            <w:tcW w:w="12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40" w:type="dxa"/>
            <w:vMerge/>
            <w:tcBorders>
              <w:left w:val="single" w:sz="4" w:space="0" w:color="000000"/>
              <w:right w:val="single" w:sz="4" w:space="0" w:color="000000"/>
            </w:tcBorders>
            <w:shd w:val="clear" w:color="auto" w:fill="D3D3D3"/>
          </w:tcPr>
          <w:p>
            <w:pPr/>
          </w:p>
        </w:tc>
        <w:tc>
          <w:tcPr>
            <w:tcW w:w="360" w:type="dxa"/>
            <w:vMerge/>
            <w:tcBorders>
              <w:left w:val="single" w:sz="4" w:space="0" w:color="000000"/>
              <w:right w:val="single" w:sz="4" w:space="0" w:color="000000"/>
            </w:tcBorders>
            <w:shd w:val="clear" w:color="auto" w:fill="D3D3D3"/>
          </w:tcPr>
          <w:p>
            <w:pP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957" w:type="dxa"/>
            <w:vMerge w:val="restart"/>
            <w:tcBorders>
              <w:top w:val="nil" w:sz="6" w:space="0" w:color="auto"/>
              <w:left w:val="single" w:sz="4" w:space="0" w:color="000000"/>
              <w:right w:val="single" w:sz="4" w:space="0" w:color="000000"/>
            </w:tcBorders>
            <w:shd w:val="clear" w:color="auto" w:fill="D3D3D3"/>
          </w:tcPr>
          <w:p>
            <w:pPr/>
          </w:p>
        </w:tc>
        <w:tc>
          <w:tcPr>
            <w:tcW w:w="1272"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540" w:type="dxa"/>
            <w:vMerge/>
            <w:tcBorders>
              <w:left w:val="single" w:sz="4" w:space="0" w:color="000000"/>
              <w:right w:val="single" w:sz="4" w:space="0" w:color="000000"/>
            </w:tcBorders>
            <w:shd w:val="clear" w:color="auto" w:fill="D3D3D3"/>
          </w:tcPr>
          <w:p>
            <w:pPr/>
          </w:p>
        </w:tc>
        <w:tc>
          <w:tcPr>
            <w:tcW w:w="360" w:type="dxa"/>
            <w:vMerge/>
            <w:tcBorders>
              <w:left w:val="single" w:sz="4" w:space="0" w:color="000000"/>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957" w:type="dxa"/>
            <w:vMerge/>
            <w:tcBorders>
              <w:left w:val="single" w:sz="4" w:space="0" w:color="000000"/>
              <w:bottom w:val="single" w:sz="4" w:space="0" w:color="000000"/>
              <w:right w:val="single" w:sz="4" w:space="0" w:color="000000"/>
            </w:tcBorders>
            <w:shd w:val="clear" w:color="auto" w:fill="D3D3D3"/>
          </w:tcPr>
          <w:p>
            <w:pPr/>
          </w:p>
        </w:tc>
        <w:tc>
          <w:tcPr>
            <w:tcW w:w="127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360" w:type="dxa"/>
            <w:vMerge/>
            <w:tcBorders>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505,656,674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39.77%</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151,697,002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-19,488,119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132,208,883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637,865,557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38.59%</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505,656,674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39.77%</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151,697,002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-19,488,119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132,208,883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637,865,557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38.59%</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412,628,451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32.45%</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123,788,535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123,788,535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536,416,986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32.45%</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93,028,223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7.32%</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27,908,467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-19,488,119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8,420,348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101,448,571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6.14%</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765,785,604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60.23%</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229,735,681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19,488,119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249,223,800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1,015,009,404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61.41%</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765,785,604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60.23%</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229,735,681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19,488,119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249,223,800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1,015,009,404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61.41%</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1,271,442,278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381,432,683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381,432,683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、公司董事会六届十五次会议和</w:t>
      </w:r>
      <w:r>
        <w:rPr>
          <w:rFonts w:ascii="Times New Roman" w:hAnsi="Times New Roman" w:cs="Times New Roman" w:eastAsia="Times New Roman" w:hint="default"/>
          <w:spacing w:val="-2"/>
        </w:rPr>
        <w:t>2016</w:t>
      </w:r>
      <w:r>
        <w:rPr>
          <w:spacing w:val="-2"/>
        </w:rPr>
        <w:t>年度股东大会审议通过了公司</w:t>
      </w:r>
      <w:r>
        <w:rPr>
          <w:rFonts w:ascii="Times New Roman" w:hAnsi="Times New Roman" w:cs="Times New Roman" w:eastAsia="Times New Roman" w:hint="default"/>
          <w:spacing w:val="-2"/>
        </w:rPr>
        <w:t>2016</w:t>
      </w:r>
      <w:r>
        <w:rPr>
          <w:spacing w:val="-2"/>
        </w:rPr>
        <w:t>年度权益分派方案，公司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日实施了</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
        </w:rPr>
        <w:t> </w:t>
      </w:r>
      <w:r>
        <w:rPr/>
        <w:t>年权益分派方案。其中，以</w:t>
      </w:r>
      <w:r>
        <w:rPr>
          <w:rFonts w:ascii="Times New Roman" w:hAnsi="Times New Roman" w:cs="Times New Roman" w:eastAsia="Times New Roman" w:hint="default"/>
        </w:rPr>
        <w:t>2016</w:t>
      </w:r>
      <w:r>
        <w:rPr/>
        <w:t>年末总股份</w:t>
      </w:r>
      <w:r>
        <w:rPr>
          <w:rFonts w:ascii="Times New Roman" w:hAnsi="Times New Roman" w:cs="Times New Roman" w:eastAsia="Times New Roman" w:hint="default"/>
        </w:rPr>
        <w:t>1,271,442,278</w:t>
      </w:r>
      <w:r>
        <w:rPr/>
        <w:t>股为基数，向全体股东以资本公积金转增股本，每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p>
    <w:p>
      <w:pPr>
        <w:pStyle w:val="BodyText"/>
        <w:spacing w:line="338" w:lineRule="auto"/>
        <w:ind w:right="1711"/>
        <w:jc w:val="left"/>
      </w:pPr>
      <w:r>
        <w:rPr/>
        <w:t>转增后公司总股本增至</w:t>
      </w:r>
      <w:r>
        <w:rPr>
          <w:rFonts w:ascii="Times New Roman" w:hAnsi="Times New Roman" w:cs="Times New Roman" w:eastAsia="Times New Roman" w:hint="default"/>
        </w:rPr>
        <w:t>1,652,874,961</w:t>
      </w:r>
      <w:r>
        <w:rPr/>
        <w:t>股。 </w:t>
      </w:r>
      <w:r>
        <w:rPr>
          <w:rFonts w:ascii="Times New Roman" w:hAnsi="Times New Roman" w:cs="Times New Roman" w:eastAsia="Times New Roman" w:hint="default"/>
        </w:rPr>
        <w:t>2</w:t>
      </w:r>
      <w:r>
        <w:rPr/>
        <w:t>、报告期内，鲍宪国等</w:t>
      </w:r>
      <w:r>
        <w:rPr>
          <w:rFonts w:ascii="Times New Roman" w:hAnsi="Times New Roman" w:cs="Times New Roman" w:eastAsia="Times New Roman" w:hint="default"/>
        </w:rPr>
        <w:t>24</w:t>
      </w:r>
      <w:r>
        <w:rPr/>
        <w:t>位股东所持共计</w:t>
      </w:r>
      <w:r>
        <w:rPr>
          <w:rFonts w:ascii="Times New Roman" w:hAnsi="Times New Roman" w:cs="Times New Roman" w:eastAsia="Times New Roman" w:hint="default"/>
        </w:rPr>
        <w:t>14,963,484</w:t>
      </w:r>
      <w:r>
        <w:rPr/>
        <w:t>股股份解除限售，上述股份于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日上市流通。 股份变动的批准情况</w:t>
      </w:r>
    </w:p>
    <w:p>
      <w:pPr>
        <w:pStyle w:val="BodyText"/>
        <w:spacing w:line="338" w:lineRule="auto" w:before="42"/>
        <w:ind w:left="154" w:right="33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2016</w:t>
      </w:r>
      <w:r>
        <w:rPr/>
        <w:t>年度权益分派方案已经公司董事会六届十五次会议及</w:t>
      </w:r>
      <w:r>
        <w:rPr>
          <w:rFonts w:ascii="Times New Roman" w:hAnsi="Times New Roman" w:cs="Times New Roman" w:eastAsia="Times New Roman" w:hint="default"/>
        </w:rPr>
        <w:t>2016</w:t>
      </w:r>
      <w:r>
        <w:rPr/>
        <w:t>年度股东大会审议批准。 股份变动的过户情况</w:t>
      </w:r>
    </w:p>
    <w:p>
      <w:pPr>
        <w:pStyle w:val="BodyText"/>
        <w:spacing w:line="338" w:lineRule="auto" w:before="42"/>
        <w:ind w:left="154" w:right="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28" w:lineRule="auto" w:before="43"/>
        <w:ind w:left="154" w:right="0"/>
        <w:jc w:val="left"/>
        <w:rPr>
          <w:rFonts w:ascii="Times New Roman" w:hAnsi="Times New Roman" w:cs="Times New Roman" w:eastAsia="Times New Roman" w:hint="default"/>
        </w:rPr>
      </w:pPr>
      <w:r>
        <w:rPr/>
        <w:pict>
          <v:shape style="position:absolute;margin-left:56.34pt;margin-top:50.343513pt;width:469.1pt;height:87.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0"/>
                    <w:gridCol w:w="1440"/>
                    <w:gridCol w:w="1440"/>
                    <w:gridCol w:w="1300"/>
                    <w:gridCol w:w="1400"/>
                  </w:tblGrid>
                  <w:tr>
                    <w:trPr>
                      <w:trHeight w:val="347" w:hRule="exact"/>
                    </w:trPr>
                    <w:tc>
                      <w:tcPr>
                        <w:tcW w:w="378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2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r>
                  <w:tr>
                    <w:trPr>
                      <w:trHeight w:val="347" w:hRule="exact"/>
                    </w:trPr>
                    <w:tc>
                      <w:tcPr>
                        <w:tcW w:w="3780" w:type="dxa"/>
                        <w:vMerge/>
                        <w:tcBorders>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sz w:val="18"/>
                            <w:szCs w:val="18"/>
                          </w:rPr>
                          <w:t>股本变动前</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1" w:right="0"/>
                          <w:jc w:val="left"/>
                          <w:rPr>
                            <w:rFonts w:ascii="宋体" w:hAnsi="宋体" w:cs="宋体" w:eastAsia="宋体" w:hint="default"/>
                            <w:sz w:val="18"/>
                            <w:szCs w:val="18"/>
                          </w:rPr>
                        </w:pPr>
                        <w:r>
                          <w:rPr>
                            <w:rFonts w:ascii="宋体" w:hAnsi="宋体" w:cs="宋体" w:eastAsia="宋体" w:hint="default"/>
                            <w:sz w:val="18"/>
                            <w:szCs w:val="18"/>
                          </w:rPr>
                          <w:t>股本变动后</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股本变动前</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3" w:right="0"/>
                          <w:jc w:val="left"/>
                          <w:rPr>
                            <w:rFonts w:ascii="宋体" w:hAnsi="宋体" w:cs="宋体" w:eastAsia="宋体" w:hint="default"/>
                            <w:sz w:val="18"/>
                            <w:szCs w:val="18"/>
                          </w:rPr>
                        </w:pPr>
                        <w:r>
                          <w:rPr>
                            <w:rFonts w:ascii="宋体" w:hAnsi="宋体" w:cs="宋体" w:eastAsia="宋体" w:hint="default"/>
                            <w:sz w:val="18"/>
                            <w:szCs w:val="18"/>
                          </w:rPr>
                          <w:t>股本变动后</w:t>
                        </w:r>
                      </w:p>
                    </w:tc>
                  </w:tr>
                  <w:tr>
                    <w:trPr>
                      <w:trHeight w:val="347" w:hRule="exact"/>
                    </w:trPr>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0.28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0.21</w:t>
                        </w:r>
                      </w:p>
                    </w:tc>
                  </w:tr>
                  <w:tr>
                    <w:trPr>
                      <w:trHeight w:val="348" w:hRule="exact"/>
                    </w:trPr>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0.28</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0.21</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0.28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0.21</w:t>
                        </w:r>
                      </w:p>
                    </w:tc>
                  </w:tr>
                  <w:tr>
                    <w:trPr>
                      <w:trHeight w:val="347" w:hRule="exact"/>
                    </w:trPr>
                    <w:tc>
                      <w:tcPr>
                        <w:tcW w:w="3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4.51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3.47</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4.73</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3.63</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本次股份变动，对公司最近一年和最近一期基本每股收益和稀释每股收益、归属于公司普通股股东的每股净资产等财务指标</w:t>
      </w:r>
      <w:r>
        <w:rPr>
          <w:spacing w:val="-64"/>
        </w:rPr>
        <w:t> </w:t>
      </w:r>
      <w:r>
        <w:rPr>
          <w:spacing w:val="-64"/>
        </w:rPr>
      </w:r>
      <w:r>
        <w:rPr/>
        <w:t>的影响如下</w:t>
      </w:r>
      <w:r>
        <w:rPr>
          <w:rFonts w:ascii="Times New Roman" w:hAnsi="Times New Roman" w:cs="Times New Roman" w:eastAsia="Times New Roman" w:hint="default"/>
        </w:rPr>
        <w:t>:</w:t>
      </w:r>
    </w:p>
    <w:p>
      <w:pPr>
        <w:spacing w:after="0" w:line="328" w:lineRule="auto"/>
        <w:jc w:val="left"/>
        <w:rPr>
          <w:rFonts w:ascii="Times New Roman" w:hAnsi="Times New Roman" w:cs="Times New Roman" w:eastAsia="Times New Roman" w:hint="default"/>
        </w:rPr>
        <w:sectPr>
          <w:pgSz w:w="11910" w:h="16840"/>
          <w:pgMar w:header="747" w:footer="982" w:top="1060" w:bottom="1180" w:left="980" w:right="58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170"/>
        <w:jc w:val="left"/>
      </w:pPr>
      <w:r>
        <w:rPr/>
        <w:t>公司认为必要或证券监管机构要求披露的其他内容</w:t>
      </w:r>
    </w:p>
    <w:p>
      <w:pPr>
        <w:pStyle w:val="BodyText"/>
        <w:spacing w:line="240" w:lineRule="auto" w:before="116"/>
        <w:ind w:right="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7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71"/>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08"/>
        <w:gridCol w:w="1272"/>
        <w:gridCol w:w="1080"/>
        <w:gridCol w:w="1080"/>
        <w:gridCol w:w="1260"/>
        <w:gridCol w:w="1046"/>
        <w:gridCol w:w="1440"/>
      </w:tblGrid>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7"/>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192,425,254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57,727,576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250,152,830</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pacing w:val="-5"/>
                <w:sz w:val="18"/>
                <w:szCs w:val="18"/>
              </w:rPr>
              <w:t>北京万峰嘉晔投资管理中心（有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限合伙）</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60,445,996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18,133,799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78,579,795</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1026"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新华基金－平安银行－新华恒 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号常山股份定向增发资产 管理计划</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48,516,260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14,554,878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63,071,138</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pacing w:val="-5"/>
                <w:sz w:val="18"/>
                <w:szCs w:val="18"/>
              </w:rPr>
              <w:t>北京万峰嘉华投资管理中心（有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限合伙）</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48,232,813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14,469,844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62,702,657</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深圳市神华投资集团有限公司</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30,487,804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9,146,341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39,634,145</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1026"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广发证券资管－平安银行－广 发恒定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号常山股份定向增发 集合资产管理计划</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22,357,723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6,707,317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29,065,040</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13,786,195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4,135,858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17,922,053</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13,080,074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3,924,022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17,004,096</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神华期货有限公司</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10,162,601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3,048,780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13,211,381</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严道平</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9,428,471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2,828,541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12,257,012</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李莹等股东</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56,548,533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14,963,484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12,475,514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54,060,565</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非公开发行</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12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184,950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204,845</w:t>
            </w:r>
          </w:p>
        </w:tc>
        <w:tc>
          <w:tcPr>
            <w:tcW w:w="10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505,656,674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14,999,072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147,207,953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637,865,557</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7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7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7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444" w:right="410"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公司董事会六届十五次会议和</w:t>
      </w:r>
      <w:r>
        <w:rPr>
          <w:rFonts w:ascii="Times New Roman" w:hAnsi="Times New Roman" w:cs="Times New Roman" w:eastAsia="Times New Roman" w:hint="default"/>
        </w:rPr>
        <w:t>2016</w:t>
      </w:r>
      <w:r>
        <w:rPr/>
        <w:t>年度股东大会审议通过了公司</w:t>
      </w:r>
      <w:r>
        <w:rPr>
          <w:rFonts w:ascii="Times New Roman" w:hAnsi="Times New Roman" w:cs="Times New Roman" w:eastAsia="Times New Roman" w:hint="default"/>
        </w:rPr>
        <w:t>2016</w:t>
      </w:r>
      <w:r>
        <w:rPr/>
        <w:t>年度权益分派方案，公司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日实施了</w:t>
      </w:r>
    </w:p>
    <w:p>
      <w:pPr>
        <w:pStyle w:val="BodyText"/>
        <w:spacing w:line="230" w:lineRule="exact"/>
        <w:ind w:left="154" w:right="17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年权益分派方案。其中，以</w:t>
      </w:r>
      <w:r>
        <w:rPr>
          <w:rFonts w:ascii="Times New Roman" w:hAnsi="Times New Roman" w:cs="Times New Roman" w:eastAsia="Times New Roman" w:hint="default"/>
        </w:rPr>
        <w:t>2016</w:t>
      </w:r>
      <w:r>
        <w:rPr/>
        <w:t>年末总股份</w:t>
      </w:r>
      <w:r>
        <w:rPr>
          <w:rFonts w:ascii="Times New Roman" w:hAnsi="Times New Roman" w:cs="Times New Roman" w:eastAsia="Times New Roman" w:hint="default"/>
        </w:rPr>
        <w:t>1,271,442,278</w:t>
      </w:r>
      <w:r>
        <w:rPr/>
        <w:t>股为基数，向全体股东以资本公积金转增股本，每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p>
    <w:p>
      <w:pPr>
        <w:spacing w:after="0" w:line="230" w:lineRule="exact"/>
        <w:jc w:val="left"/>
        <w:rPr>
          <w:rFonts w:ascii="Times New Roman" w:hAnsi="Times New Roman" w:cs="Times New Roman" w:eastAsia="Times New Roman" w:hint="default"/>
        </w:rPr>
        <w:sectPr>
          <w:pgSz w:w="11910" w:h="16840"/>
          <w:pgMar w:header="747" w:footer="982" w:top="1060" w:bottom="1180" w:left="980" w:right="96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股，转增后公司总股本增至</w:t>
      </w:r>
      <w:r>
        <w:rPr>
          <w:rFonts w:ascii="Times New Roman" w:hAnsi="Times New Roman" w:cs="Times New Roman" w:eastAsia="Times New Roman" w:hint="default"/>
        </w:rPr>
        <w:t>1,652,874,961</w:t>
      </w:r>
      <w:r>
        <w:rPr/>
        <w:t>股。</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1"/>
        <w:gridCol w:w="419"/>
        <w:gridCol w:w="920"/>
        <w:gridCol w:w="791"/>
        <w:gridCol w:w="1017"/>
        <w:gridCol w:w="334"/>
        <w:gridCol w:w="746"/>
        <w:gridCol w:w="1052"/>
        <w:gridCol w:w="220"/>
        <w:gridCol w:w="860"/>
        <w:gridCol w:w="455"/>
        <w:gridCol w:w="775"/>
        <w:gridCol w:w="412"/>
        <w:gridCol w:w="668"/>
      </w:tblGrid>
      <w:tr>
        <w:trPr>
          <w:trHeight w:val="161" w:hRule="exact"/>
        </w:trPr>
        <w:tc>
          <w:tcPr>
            <w:tcW w:w="1201" w:type="dxa"/>
            <w:vMerge w:val="restart"/>
            <w:tcBorders>
              <w:top w:val="single" w:sz="4" w:space="0" w:color="000000"/>
              <w:left w:val="single" w:sz="4" w:space="0" w:color="000000"/>
              <w:right w:val="single" w:sz="4" w:space="0" w:color="000000"/>
            </w:tcBorders>
            <w:shd w:val="clear" w:color="auto" w:fill="D3D3D3"/>
          </w:tcPr>
          <w:p>
            <w:pPr/>
          </w:p>
        </w:tc>
        <w:tc>
          <w:tcPr>
            <w:tcW w:w="1339" w:type="dxa"/>
            <w:gridSpan w:val="2"/>
            <w:vMerge w:val="restart"/>
            <w:tcBorders>
              <w:top w:val="single" w:sz="4" w:space="0" w:color="000000"/>
              <w:left w:val="single" w:sz="10" w:space="0" w:color="D3D3D3"/>
              <w:right w:val="single" w:sz="10"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52,947</w:t>
            </w:r>
          </w:p>
        </w:tc>
        <w:tc>
          <w:tcPr>
            <w:tcW w:w="7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1"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16" w:right="0"/>
              <w:jc w:val="left"/>
              <w:rPr>
                <w:rFonts w:ascii="Times New Roman" w:hAnsi="Times New Roman" w:cs="Times New Roman" w:eastAsia="Times New Roman" w:hint="default"/>
                <w:sz w:val="18"/>
                <w:szCs w:val="18"/>
              </w:rPr>
            </w:pPr>
            <w:r>
              <w:rPr>
                <w:rFonts w:ascii="Times New Roman"/>
                <w:sz w:val="18"/>
              </w:rPr>
              <w:t>51,065</w:t>
            </w:r>
          </w:p>
        </w:tc>
        <w:tc>
          <w:tcPr>
            <w:tcW w:w="2018" w:type="dxa"/>
            <w:gridSpan w:val="3"/>
            <w:vMerge w:val="restart"/>
            <w:tcBorders>
              <w:top w:val="single" w:sz="4" w:space="0" w:color="000000"/>
              <w:left w:val="single" w:sz="4" w:space="0" w:color="000000"/>
              <w:right w:val="single" w:sz="4" w:space="0" w:color="000000"/>
            </w:tcBorders>
            <w:shd w:val="clear" w:color="auto" w:fill="D3D3D3"/>
          </w:tcPr>
          <w:p>
            <w:pPr/>
          </w:p>
        </w:tc>
        <w:tc>
          <w:tcPr>
            <w:tcW w:w="1315" w:type="dxa"/>
            <w:gridSpan w:val="2"/>
            <w:vMerge w:val="restart"/>
            <w:tcBorders>
              <w:top w:val="single" w:sz="4" w:space="0" w:color="000000"/>
              <w:left w:val="single" w:sz="9" w:space="0" w:color="D3D3D3"/>
              <w:right w:val="single" w:sz="10"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8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6"/>
                <w:sz w:val="18"/>
                <w:szCs w:val="18"/>
              </w:rPr>
              <w:t>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68" w:type="dxa"/>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1" w:type="dxa"/>
            <w:vMerge/>
            <w:tcBorders>
              <w:left w:val="single" w:sz="4" w:space="0" w:color="000000"/>
              <w:right w:val="single" w:sz="4" w:space="0" w:color="000000"/>
            </w:tcBorders>
            <w:shd w:val="clear" w:color="auto" w:fill="D3D3D3"/>
          </w:tcPr>
          <w:p>
            <w:pPr/>
          </w:p>
        </w:tc>
        <w:tc>
          <w:tcPr>
            <w:tcW w:w="1339" w:type="dxa"/>
            <w:gridSpan w:val="2"/>
            <w:vMerge/>
            <w:tcBorders>
              <w:left w:val="single" w:sz="10" w:space="0" w:color="D3D3D3"/>
              <w:right w:val="single" w:sz="10" w:space="0" w:color="D3D3D3"/>
            </w:tcBorders>
          </w:tcPr>
          <w:p>
            <w:pPr/>
          </w:p>
        </w:tc>
        <w:tc>
          <w:tcPr>
            <w:tcW w:w="79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1" w:right="27"/>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351" w:type="dxa"/>
            <w:gridSpan w:val="2"/>
            <w:vMerge/>
            <w:tcBorders>
              <w:left w:val="single" w:sz="9" w:space="0" w:color="D3D3D3"/>
              <w:right w:val="single" w:sz="9" w:space="0" w:color="D3D3D3"/>
            </w:tcBorders>
          </w:tcPr>
          <w:p>
            <w:pPr/>
          </w:p>
        </w:tc>
        <w:tc>
          <w:tcPr>
            <w:tcW w:w="2018" w:type="dxa"/>
            <w:gridSpan w:val="3"/>
            <w:vMerge/>
            <w:tcBorders>
              <w:left w:val="single" w:sz="4" w:space="0" w:color="000000"/>
              <w:bottom w:val="nil" w:sz="6" w:space="0" w:color="auto"/>
              <w:right w:val="single" w:sz="4" w:space="0" w:color="000000"/>
            </w:tcBorders>
            <w:shd w:val="clear" w:color="auto" w:fill="D3D3D3"/>
          </w:tcPr>
          <w:p>
            <w:pPr/>
          </w:p>
        </w:tc>
        <w:tc>
          <w:tcPr>
            <w:tcW w:w="1315" w:type="dxa"/>
            <w:gridSpan w:val="2"/>
            <w:vMerge/>
            <w:tcBorders>
              <w:left w:val="single" w:sz="9" w:space="0" w:color="D3D3D3"/>
              <w:right w:val="single" w:sz="10" w:space="0" w:color="D3D3D3"/>
            </w:tcBorders>
          </w:tcPr>
          <w:p>
            <w:pPr/>
          </w:p>
        </w:tc>
        <w:tc>
          <w:tcPr>
            <w:tcW w:w="1187" w:type="dxa"/>
            <w:gridSpan w:val="2"/>
            <w:vMerge/>
            <w:tcBorders>
              <w:left w:val="single" w:sz="4" w:space="0" w:color="000000"/>
              <w:right w:val="single" w:sz="4" w:space="0" w:color="000000"/>
            </w:tcBorders>
            <w:shd w:val="clear" w:color="auto" w:fill="D3D3D3"/>
          </w:tcPr>
          <w:p>
            <w:pPr/>
          </w:p>
        </w:tc>
        <w:tc>
          <w:tcPr>
            <w:tcW w:w="668" w:type="dxa"/>
            <w:vMerge/>
            <w:tcBorders>
              <w:left w:val="single" w:sz="13" w:space="0" w:color="D3D3D3"/>
              <w:right w:val="single" w:sz="4" w:space="0" w:color="000000"/>
            </w:tcBorders>
          </w:tcPr>
          <w:p>
            <w:pPr/>
          </w:p>
        </w:tc>
      </w:tr>
      <w:tr>
        <w:trPr>
          <w:trHeight w:val="156" w:hRule="exact"/>
        </w:trPr>
        <w:tc>
          <w:tcPr>
            <w:tcW w:w="1201" w:type="dxa"/>
            <w:vMerge/>
            <w:tcBorders>
              <w:left w:val="single" w:sz="4" w:space="0" w:color="000000"/>
              <w:bottom w:val="nil" w:sz="6" w:space="0" w:color="auto"/>
              <w:right w:val="single" w:sz="4" w:space="0" w:color="000000"/>
            </w:tcBorders>
            <w:shd w:val="clear" w:color="auto" w:fill="D3D3D3"/>
          </w:tcPr>
          <w:p>
            <w:pPr/>
          </w:p>
        </w:tc>
        <w:tc>
          <w:tcPr>
            <w:tcW w:w="1339" w:type="dxa"/>
            <w:gridSpan w:val="2"/>
            <w:vMerge/>
            <w:tcBorders>
              <w:left w:val="single" w:sz="10" w:space="0" w:color="D3D3D3"/>
              <w:right w:val="single" w:sz="10" w:space="0" w:color="D3D3D3"/>
            </w:tcBorders>
          </w:tcPr>
          <w:p>
            <w:pPr/>
          </w:p>
        </w:tc>
        <w:tc>
          <w:tcPr>
            <w:tcW w:w="791" w:type="dxa"/>
            <w:vMerge/>
            <w:tcBorders>
              <w:left w:val="single" w:sz="4" w:space="0" w:color="000000"/>
              <w:right w:val="single" w:sz="4" w:space="0" w:color="000000"/>
            </w:tcBorders>
            <w:shd w:val="clear" w:color="auto" w:fill="D3D3D3"/>
          </w:tcPr>
          <w:p>
            <w:pPr/>
          </w:p>
        </w:tc>
        <w:tc>
          <w:tcPr>
            <w:tcW w:w="1351" w:type="dxa"/>
            <w:gridSpan w:val="2"/>
            <w:vMerge/>
            <w:tcBorders>
              <w:left w:val="single" w:sz="9" w:space="0" w:color="D3D3D3"/>
              <w:right w:val="single" w:sz="9" w:space="0" w:color="D3D3D3"/>
            </w:tcBorders>
          </w:tcPr>
          <w:p>
            <w:pPr/>
          </w:p>
        </w:tc>
        <w:tc>
          <w:tcPr>
            <w:tcW w:w="2018"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报告期末表决权恢复的 优先股股东总数（如有）</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315" w:type="dxa"/>
            <w:gridSpan w:val="2"/>
            <w:vMerge/>
            <w:tcBorders>
              <w:left w:val="single" w:sz="9" w:space="0" w:color="D3D3D3"/>
              <w:right w:val="single" w:sz="10" w:space="0" w:color="D3D3D3"/>
            </w:tcBorders>
          </w:tcPr>
          <w:p>
            <w:pPr/>
          </w:p>
        </w:tc>
        <w:tc>
          <w:tcPr>
            <w:tcW w:w="1187" w:type="dxa"/>
            <w:gridSpan w:val="2"/>
            <w:vMerge/>
            <w:tcBorders>
              <w:left w:val="single" w:sz="4" w:space="0" w:color="000000"/>
              <w:right w:val="single" w:sz="4" w:space="0" w:color="000000"/>
            </w:tcBorders>
            <w:shd w:val="clear" w:color="auto" w:fill="D3D3D3"/>
          </w:tcPr>
          <w:p>
            <w:pPr/>
          </w:p>
        </w:tc>
        <w:tc>
          <w:tcPr>
            <w:tcW w:w="668" w:type="dxa"/>
            <w:vMerge/>
            <w:tcBorders>
              <w:left w:val="single" w:sz="13" w:space="0" w:color="D3D3D3"/>
              <w:right w:val="single" w:sz="4" w:space="0" w:color="000000"/>
            </w:tcBorders>
          </w:tcPr>
          <w:p>
            <w:pPr/>
          </w:p>
        </w:tc>
      </w:tr>
      <w:tr>
        <w:trPr>
          <w:trHeight w:val="704" w:hRule="exact"/>
        </w:trPr>
        <w:tc>
          <w:tcPr>
            <w:tcW w:w="12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339" w:type="dxa"/>
            <w:gridSpan w:val="2"/>
            <w:vMerge/>
            <w:tcBorders>
              <w:left w:val="single" w:sz="10" w:space="0" w:color="D3D3D3"/>
              <w:right w:val="single" w:sz="10" w:space="0" w:color="D3D3D3"/>
            </w:tcBorders>
          </w:tcPr>
          <w:p>
            <w:pPr/>
          </w:p>
        </w:tc>
        <w:tc>
          <w:tcPr>
            <w:tcW w:w="791" w:type="dxa"/>
            <w:vMerge/>
            <w:tcBorders>
              <w:left w:val="single" w:sz="4" w:space="0" w:color="000000"/>
              <w:right w:val="single" w:sz="4" w:space="0" w:color="000000"/>
            </w:tcBorders>
            <w:shd w:val="clear" w:color="auto" w:fill="D3D3D3"/>
          </w:tcPr>
          <w:p>
            <w:pPr/>
          </w:p>
        </w:tc>
        <w:tc>
          <w:tcPr>
            <w:tcW w:w="1351" w:type="dxa"/>
            <w:gridSpan w:val="2"/>
            <w:vMerge/>
            <w:tcBorders>
              <w:left w:val="single" w:sz="9" w:space="0" w:color="D3D3D3"/>
              <w:right w:val="single" w:sz="9" w:space="0" w:color="D3D3D3"/>
            </w:tcBorders>
          </w:tcPr>
          <w:p>
            <w:pPr/>
          </w:p>
        </w:tc>
        <w:tc>
          <w:tcPr>
            <w:tcW w:w="2018" w:type="dxa"/>
            <w:gridSpan w:val="3"/>
            <w:vMerge/>
            <w:tcBorders>
              <w:left w:val="single" w:sz="4" w:space="0" w:color="000000"/>
              <w:right w:val="single" w:sz="4" w:space="0" w:color="000000"/>
            </w:tcBorders>
            <w:shd w:val="clear" w:color="auto" w:fill="D3D3D3"/>
          </w:tcPr>
          <w:p>
            <w:pPr/>
          </w:p>
        </w:tc>
        <w:tc>
          <w:tcPr>
            <w:tcW w:w="1315" w:type="dxa"/>
            <w:gridSpan w:val="2"/>
            <w:vMerge/>
            <w:tcBorders>
              <w:left w:val="single" w:sz="9" w:space="0" w:color="D3D3D3"/>
              <w:right w:val="single" w:sz="10" w:space="0" w:color="D3D3D3"/>
            </w:tcBorders>
          </w:tcPr>
          <w:p>
            <w:pPr/>
          </w:p>
        </w:tc>
        <w:tc>
          <w:tcPr>
            <w:tcW w:w="1187" w:type="dxa"/>
            <w:gridSpan w:val="2"/>
            <w:vMerge/>
            <w:tcBorders>
              <w:left w:val="single" w:sz="4" w:space="0" w:color="000000"/>
              <w:right w:val="single" w:sz="4" w:space="0" w:color="000000"/>
            </w:tcBorders>
            <w:shd w:val="clear" w:color="auto" w:fill="D3D3D3"/>
          </w:tcPr>
          <w:p>
            <w:pPr/>
          </w:p>
        </w:tc>
        <w:tc>
          <w:tcPr>
            <w:tcW w:w="668" w:type="dxa"/>
            <w:vMerge/>
            <w:tcBorders>
              <w:left w:val="single" w:sz="13" w:space="0" w:color="D3D3D3"/>
              <w:right w:val="single" w:sz="4" w:space="0" w:color="000000"/>
            </w:tcBorders>
          </w:tcPr>
          <w:p>
            <w:pPr/>
          </w:p>
        </w:tc>
      </w:tr>
      <w:tr>
        <w:trPr>
          <w:trHeight w:val="156" w:hRule="exact"/>
        </w:trPr>
        <w:tc>
          <w:tcPr>
            <w:tcW w:w="1201" w:type="dxa"/>
            <w:vMerge w:val="restart"/>
            <w:tcBorders>
              <w:top w:val="nil" w:sz="6" w:space="0" w:color="auto"/>
              <w:left w:val="single" w:sz="4" w:space="0" w:color="000000"/>
              <w:right w:val="single" w:sz="4" w:space="0" w:color="000000"/>
            </w:tcBorders>
            <w:shd w:val="clear" w:color="auto" w:fill="D3D3D3"/>
          </w:tcPr>
          <w:p>
            <w:pPr/>
          </w:p>
        </w:tc>
        <w:tc>
          <w:tcPr>
            <w:tcW w:w="1339" w:type="dxa"/>
            <w:gridSpan w:val="2"/>
            <w:vMerge/>
            <w:tcBorders>
              <w:left w:val="single" w:sz="10" w:space="0" w:color="D3D3D3"/>
              <w:right w:val="single" w:sz="10" w:space="0" w:color="D3D3D3"/>
            </w:tcBorders>
          </w:tcPr>
          <w:p>
            <w:pPr/>
          </w:p>
        </w:tc>
        <w:tc>
          <w:tcPr>
            <w:tcW w:w="791" w:type="dxa"/>
            <w:vMerge/>
            <w:tcBorders>
              <w:left w:val="single" w:sz="4" w:space="0" w:color="000000"/>
              <w:right w:val="single" w:sz="4" w:space="0" w:color="000000"/>
            </w:tcBorders>
            <w:shd w:val="clear" w:color="auto" w:fill="D3D3D3"/>
          </w:tcPr>
          <w:p>
            <w:pPr/>
          </w:p>
        </w:tc>
        <w:tc>
          <w:tcPr>
            <w:tcW w:w="1351" w:type="dxa"/>
            <w:gridSpan w:val="2"/>
            <w:vMerge/>
            <w:tcBorders>
              <w:left w:val="single" w:sz="9" w:space="0" w:color="D3D3D3"/>
              <w:right w:val="single" w:sz="9" w:space="0" w:color="D3D3D3"/>
            </w:tcBorders>
          </w:tcPr>
          <w:p>
            <w:pPr/>
          </w:p>
        </w:tc>
        <w:tc>
          <w:tcPr>
            <w:tcW w:w="2018" w:type="dxa"/>
            <w:gridSpan w:val="3"/>
            <w:vMerge/>
            <w:tcBorders>
              <w:left w:val="single" w:sz="4" w:space="0" w:color="000000"/>
              <w:bottom w:val="nil" w:sz="6" w:space="0" w:color="auto"/>
              <w:right w:val="single" w:sz="4" w:space="0" w:color="000000"/>
            </w:tcBorders>
            <w:shd w:val="clear" w:color="auto" w:fill="D3D3D3"/>
          </w:tcPr>
          <w:p>
            <w:pPr/>
          </w:p>
        </w:tc>
        <w:tc>
          <w:tcPr>
            <w:tcW w:w="1315" w:type="dxa"/>
            <w:gridSpan w:val="2"/>
            <w:vMerge/>
            <w:tcBorders>
              <w:left w:val="single" w:sz="9" w:space="0" w:color="D3D3D3"/>
              <w:right w:val="single" w:sz="10" w:space="0" w:color="D3D3D3"/>
            </w:tcBorders>
          </w:tcPr>
          <w:p>
            <w:pPr/>
          </w:p>
        </w:tc>
        <w:tc>
          <w:tcPr>
            <w:tcW w:w="1187" w:type="dxa"/>
            <w:gridSpan w:val="2"/>
            <w:vMerge/>
            <w:tcBorders>
              <w:left w:val="single" w:sz="4" w:space="0" w:color="000000"/>
              <w:right w:val="single" w:sz="4" w:space="0" w:color="000000"/>
            </w:tcBorders>
            <w:shd w:val="clear" w:color="auto" w:fill="D3D3D3"/>
          </w:tcPr>
          <w:p>
            <w:pPr/>
          </w:p>
        </w:tc>
        <w:tc>
          <w:tcPr>
            <w:tcW w:w="668" w:type="dxa"/>
            <w:vMerge/>
            <w:tcBorders>
              <w:left w:val="single" w:sz="13" w:space="0" w:color="D3D3D3"/>
              <w:right w:val="single" w:sz="4" w:space="0" w:color="000000"/>
            </w:tcBorders>
          </w:tcPr>
          <w:p>
            <w:pPr/>
          </w:p>
        </w:tc>
      </w:tr>
      <w:tr>
        <w:trPr>
          <w:trHeight w:val="312" w:hRule="exact"/>
        </w:trPr>
        <w:tc>
          <w:tcPr>
            <w:tcW w:w="1201" w:type="dxa"/>
            <w:vMerge/>
            <w:tcBorders>
              <w:left w:val="single" w:sz="4" w:space="0" w:color="000000"/>
              <w:right w:val="single" w:sz="4" w:space="0" w:color="000000"/>
            </w:tcBorders>
            <w:shd w:val="clear" w:color="auto" w:fill="D3D3D3"/>
          </w:tcPr>
          <w:p>
            <w:pPr/>
          </w:p>
        </w:tc>
        <w:tc>
          <w:tcPr>
            <w:tcW w:w="1339" w:type="dxa"/>
            <w:gridSpan w:val="2"/>
            <w:vMerge/>
            <w:tcBorders>
              <w:left w:val="single" w:sz="10" w:space="0" w:color="D3D3D3"/>
              <w:right w:val="single" w:sz="10" w:space="0" w:color="D3D3D3"/>
            </w:tcBorders>
          </w:tcPr>
          <w:p>
            <w:pPr/>
          </w:p>
        </w:tc>
        <w:tc>
          <w:tcPr>
            <w:tcW w:w="791" w:type="dxa"/>
            <w:vMerge/>
            <w:tcBorders>
              <w:left w:val="single" w:sz="4" w:space="0" w:color="000000"/>
              <w:bottom w:val="nil" w:sz="6" w:space="0" w:color="auto"/>
              <w:right w:val="single" w:sz="4" w:space="0" w:color="000000"/>
            </w:tcBorders>
            <w:shd w:val="clear" w:color="auto" w:fill="D3D3D3"/>
          </w:tcPr>
          <w:p>
            <w:pPr/>
          </w:p>
        </w:tc>
        <w:tc>
          <w:tcPr>
            <w:tcW w:w="1351" w:type="dxa"/>
            <w:gridSpan w:val="2"/>
            <w:vMerge/>
            <w:tcBorders>
              <w:left w:val="single" w:sz="9" w:space="0" w:color="D3D3D3"/>
              <w:right w:val="single" w:sz="9" w:space="0" w:color="D3D3D3"/>
            </w:tcBorders>
          </w:tcPr>
          <w:p>
            <w:pPr/>
          </w:p>
        </w:tc>
        <w:tc>
          <w:tcPr>
            <w:tcW w:w="2018" w:type="dxa"/>
            <w:gridSpan w:val="3"/>
            <w:vMerge w:val="restart"/>
            <w:tcBorders>
              <w:top w:val="nil" w:sz="6" w:space="0" w:color="auto"/>
              <w:left w:val="single" w:sz="4" w:space="0" w:color="000000"/>
              <w:right w:val="single" w:sz="4" w:space="0" w:color="000000"/>
            </w:tcBorders>
            <w:shd w:val="clear" w:color="auto" w:fill="D3D3D3"/>
          </w:tcPr>
          <w:p>
            <w:pPr/>
          </w:p>
        </w:tc>
        <w:tc>
          <w:tcPr>
            <w:tcW w:w="1315" w:type="dxa"/>
            <w:gridSpan w:val="2"/>
            <w:vMerge/>
            <w:tcBorders>
              <w:left w:val="single" w:sz="9" w:space="0" w:color="D3D3D3"/>
              <w:right w:val="single" w:sz="10" w:space="0" w:color="D3D3D3"/>
            </w:tcBorders>
          </w:tcPr>
          <w:p>
            <w:pPr/>
          </w:p>
        </w:tc>
        <w:tc>
          <w:tcPr>
            <w:tcW w:w="1187" w:type="dxa"/>
            <w:gridSpan w:val="2"/>
            <w:vMerge/>
            <w:tcBorders>
              <w:left w:val="single" w:sz="4" w:space="0" w:color="000000"/>
              <w:right w:val="single" w:sz="4" w:space="0" w:color="000000"/>
            </w:tcBorders>
            <w:shd w:val="clear" w:color="auto" w:fill="D3D3D3"/>
          </w:tcPr>
          <w:p>
            <w:pPr/>
          </w:p>
        </w:tc>
        <w:tc>
          <w:tcPr>
            <w:tcW w:w="668" w:type="dxa"/>
            <w:vMerge/>
            <w:tcBorders>
              <w:left w:val="single" w:sz="13" w:space="0" w:color="D3D3D3"/>
              <w:right w:val="single" w:sz="4" w:space="0" w:color="000000"/>
            </w:tcBorders>
          </w:tcPr>
          <w:p>
            <w:pPr/>
          </w:p>
        </w:tc>
      </w:tr>
      <w:tr>
        <w:trPr>
          <w:trHeight w:val="162" w:hRule="exact"/>
        </w:trPr>
        <w:tc>
          <w:tcPr>
            <w:tcW w:w="1201" w:type="dxa"/>
            <w:vMerge/>
            <w:tcBorders>
              <w:left w:val="single" w:sz="4" w:space="0" w:color="000000"/>
              <w:bottom w:val="single" w:sz="4" w:space="0" w:color="000000"/>
              <w:right w:val="single" w:sz="4" w:space="0" w:color="000000"/>
            </w:tcBorders>
            <w:shd w:val="clear" w:color="auto" w:fill="D3D3D3"/>
          </w:tcPr>
          <w:p>
            <w:pPr/>
          </w:p>
        </w:tc>
        <w:tc>
          <w:tcPr>
            <w:tcW w:w="1339" w:type="dxa"/>
            <w:gridSpan w:val="2"/>
            <w:vMerge/>
            <w:tcBorders>
              <w:left w:val="single" w:sz="10" w:space="0" w:color="D3D3D3"/>
              <w:bottom w:val="single" w:sz="4" w:space="0" w:color="000000"/>
              <w:right w:val="single" w:sz="10" w:space="0" w:color="D3D3D3"/>
            </w:tcBorders>
          </w:tcPr>
          <w:p>
            <w:pPr/>
          </w:p>
        </w:tc>
        <w:tc>
          <w:tcPr>
            <w:tcW w:w="7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1" w:type="dxa"/>
            <w:gridSpan w:val="2"/>
            <w:vMerge/>
            <w:tcBorders>
              <w:left w:val="single" w:sz="9" w:space="0" w:color="D3D3D3"/>
              <w:bottom w:val="single" w:sz="4" w:space="0" w:color="000000"/>
              <w:right w:val="single" w:sz="9" w:space="0" w:color="D3D3D3"/>
            </w:tcBorders>
          </w:tcPr>
          <w:p>
            <w:pPr/>
          </w:p>
        </w:tc>
        <w:tc>
          <w:tcPr>
            <w:tcW w:w="2018" w:type="dxa"/>
            <w:gridSpan w:val="3"/>
            <w:vMerge/>
            <w:tcBorders>
              <w:left w:val="single" w:sz="4" w:space="0" w:color="000000"/>
              <w:bottom w:val="single" w:sz="4" w:space="0" w:color="000000"/>
              <w:right w:val="single" w:sz="4" w:space="0" w:color="000000"/>
            </w:tcBorders>
            <w:shd w:val="clear" w:color="auto" w:fill="D3D3D3"/>
          </w:tcPr>
          <w:p>
            <w:pPr/>
          </w:p>
        </w:tc>
        <w:tc>
          <w:tcPr>
            <w:tcW w:w="1315" w:type="dxa"/>
            <w:gridSpan w:val="2"/>
            <w:vMerge/>
            <w:tcBorders>
              <w:left w:val="single" w:sz="9" w:space="0" w:color="D3D3D3"/>
              <w:bottom w:val="single" w:sz="4" w:space="0" w:color="000000"/>
              <w:right w:val="single" w:sz="10" w:space="0" w:color="D3D3D3"/>
            </w:tcBorders>
          </w:tcPr>
          <w:p>
            <w:pPr/>
          </w:p>
        </w:tc>
        <w:tc>
          <w:tcPr>
            <w:tcW w:w="1187" w:type="dxa"/>
            <w:gridSpan w:val="2"/>
            <w:vMerge/>
            <w:tcBorders>
              <w:left w:val="single" w:sz="4" w:space="0" w:color="000000"/>
              <w:bottom w:val="single" w:sz="4" w:space="0" w:color="000000"/>
              <w:right w:val="single" w:sz="4" w:space="0" w:color="000000"/>
            </w:tcBorders>
            <w:shd w:val="clear" w:color="auto" w:fill="D3D3D3"/>
          </w:tcPr>
          <w:p>
            <w:pPr/>
          </w:p>
        </w:tc>
        <w:tc>
          <w:tcPr>
            <w:tcW w:w="668" w:type="dxa"/>
            <w:vMerge/>
            <w:tcBorders>
              <w:left w:val="single" w:sz="13" w:space="0" w:color="D3D3D3"/>
              <w:bottom w:val="single" w:sz="4" w:space="0" w:color="000000"/>
              <w:right w:val="single" w:sz="4" w:space="0" w:color="000000"/>
            </w:tcBorders>
          </w:tcPr>
          <w:p>
            <w:pPr/>
          </w:p>
        </w:tc>
      </w:tr>
      <w:tr>
        <w:trPr>
          <w:trHeight w:val="401" w:hRule="exact"/>
        </w:trPr>
        <w:tc>
          <w:tcPr>
            <w:tcW w:w="9870"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57" w:hRule="exact"/>
        </w:trPr>
        <w:tc>
          <w:tcPr>
            <w:tcW w:w="1620" w:type="dxa"/>
            <w:gridSpan w:val="2"/>
            <w:vMerge w:val="restart"/>
            <w:tcBorders>
              <w:top w:val="single" w:sz="4" w:space="0" w:color="000000"/>
              <w:left w:val="single" w:sz="4" w:space="0" w:color="000000"/>
              <w:right w:val="single" w:sz="4" w:space="0" w:color="000000"/>
            </w:tcBorders>
            <w:shd w:val="clear" w:color="auto" w:fill="D3D3D3"/>
          </w:tcPr>
          <w:p>
            <w:pPr/>
          </w:p>
        </w:tc>
        <w:tc>
          <w:tcPr>
            <w:tcW w:w="920" w:type="dxa"/>
            <w:vMerge w:val="restart"/>
            <w:tcBorders>
              <w:top w:val="single" w:sz="4" w:space="0" w:color="000000"/>
              <w:left w:val="single" w:sz="4" w:space="0" w:color="000000"/>
              <w:right w:val="single" w:sz="4" w:space="0" w:color="000000"/>
            </w:tcBorders>
            <w:shd w:val="clear" w:color="auto" w:fill="D3D3D3"/>
          </w:tcPr>
          <w:p>
            <w:pPr/>
          </w:p>
        </w:tc>
        <w:tc>
          <w:tcPr>
            <w:tcW w:w="791" w:type="dxa"/>
            <w:vMerge w:val="restart"/>
            <w:tcBorders>
              <w:top w:val="single" w:sz="4" w:space="0" w:color="000000"/>
              <w:left w:val="single" w:sz="4" w:space="0" w:color="000000"/>
              <w:right w:val="single" w:sz="4" w:space="0" w:color="000000"/>
            </w:tcBorders>
            <w:shd w:val="clear" w:color="auto" w:fill="D3D3D3"/>
          </w:tcPr>
          <w:p>
            <w:pPr/>
          </w:p>
        </w:tc>
        <w:tc>
          <w:tcPr>
            <w:tcW w:w="10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0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1" w:right="6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4" w:right="8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310"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620" w:type="dxa"/>
            <w:gridSpan w:val="2"/>
            <w:vMerge/>
            <w:tcBorders>
              <w:left w:val="single" w:sz="4" w:space="0" w:color="000000"/>
              <w:bottom w:val="nil" w:sz="6" w:space="0" w:color="auto"/>
              <w:right w:val="single" w:sz="4" w:space="0" w:color="000000"/>
            </w:tcBorders>
            <w:shd w:val="clear" w:color="auto" w:fill="D3D3D3"/>
          </w:tcPr>
          <w:p>
            <w:pPr/>
          </w:p>
        </w:tc>
        <w:tc>
          <w:tcPr>
            <w:tcW w:w="920" w:type="dxa"/>
            <w:vMerge/>
            <w:tcBorders>
              <w:left w:val="single" w:sz="4" w:space="0" w:color="000000"/>
              <w:bottom w:val="nil" w:sz="6" w:space="0" w:color="auto"/>
              <w:right w:val="single" w:sz="4" w:space="0" w:color="000000"/>
            </w:tcBorders>
            <w:shd w:val="clear" w:color="auto" w:fill="D3D3D3"/>
          </w:tcPr>
          <w:p>
            <w:pPr/>
          </w:p>
        </w:tc>
        <w:tc>
          <w:tcPr>
            <w:tcW w:w="791" w:type="dxa"/>
            <w:vMerge/>
            <w:tcBorders>
              <w:left w:val="single" w:sz="4" w:space="0" w:color="000000"/>
              <w:bottom w:val="nil" w:sz="6" w:space="0" w:color="auto"/>
              <w:right w:val="single" w:sz="4" w:space="0" w:color="000000"/>
            </w:tcBorders>
            <w:shd w:val="clear" w:color="auto" w:fill="D3D3D3"/>
          </w:tcPr>
          <w:p>
            <w:pPr/>
          </w:p>
        </w:tc>
        <w:tc>
          <w:tcPr>
            <w:tcW w:w="10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22" w:right="62"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85" w:right="8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52"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2310" w:type="dxa"/>
            <w:gridSpan w:val="4"/>
            <w:vMerge/>
            <w:tcBorders>
              <w:left w:val="single" w:sz="4" w:space="0" w:color="000000"/>
              <w:right w:val="single" w:sz="4" w:space="0" w:color="000000"/>
            </w:tcBorders>
            <w:shd w:val="clear" w:color="auto" w:fill="D3D3D3"/>
          </w:tcPr>
          <w:p>
            <w:pPr/>
          </w:p>
        </w:tc>
      </w:tr>
      <w:tr>
        <w:trPr>
          <w:trHeight w:val="144" w:hRule="exact"/>
        </w:trPr>
        <w:tc>
          <w:tcPr>
            <w:tcW w:w="162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44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17"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2310" w:type="dxa"/>
            <w:gridSpan w:val="4"/>
            <w:vMerge/>
            <w:tcBorders>
              <w:left w:val="single" w:sz="4" w:space="0" w:color="000000"/>
              <w:bottom w:val="single" w:sz="4" w:space="0" w:color="000000"/>
              <w:right w:val="single" w:sz="4" w:space="0" w:color="000000"/>
            </w:tcBorders>
            <w:shd w:val="clear" w:color="auto" w:fill="D3D3D3"/>
          </w:tcPr>
          <w:p>
            <w:pPr/>
          </w:p>
        </w:tc>
      </w:tr>
      <w:tr>
        <w:trPr>
          <w:trHeight w:val="246" w:hRule="exact"/>
        </w:trPr>
        <w:tc>
          <w:tcPr>
            <w:tcW w:w="1620" w:type="dxa"/>
            <w:gridSpan w:val="2"/>
            <w:vMerge/>
            <w:tcBorders>
              <w:left w:val="single" w:sz="4" w:space="0" w:color="000000"/>
              <w:bottom w:val="nil" w:sz="6" w:space="0" w:color="auto"/>
              <w:right w:val="single" w:sz="4" w:space="0" w:color="000000"/>
            </w:tcBorders>
            <w:shd w:val="clear" w:color="auto" w:fill="D3D3D3"/>
          </w:tcPr>
          <w:p>
            <w:pPr/>
          </w:p>
        </w:tc>
        <w:tc>
          <w:tcPr>
            <w:tcW w:w="920" w:type="dxa"/>
            <w:vMerge/>
            <w:tcBorders>
              <w:left w:val="single" w:sz="4" w:space="0" w:color="000000"/>
              <w:bottom w:val="nil" w:sz="6" w:space="0" w:color="auto"/>
              <w:right w:val="single" w:sz="4" w:space="0" w:color="000000"/>
            </w:tcBorders>
            <w:shd w:val="clear" w:color="auto" w:fill="D3D3D3"/>
          </w:tcPr>
          <w:p>
            <w:pPr/>
          </w:p>
        </w:tc>
        <w:tc>
          <w:tcPr>
            <w:tcW w:w="791" w:type="dxa"/>
            <w:vMerge/>
            <w:tcBorders>
              <w:left w:val="single" w:sz="4" w:space="0" w:color="000000"/>
              <w:bottom w:val="nil" w:sz="6" w:space="0" w:color="auto"/>
              <w:right w:val="single" w:sz="4" w:space="0" w:color="000000"/>
            </w:tcBorders>
            <w:shd w:val="clear" w:color="auto" w:fill="D3D3D3"/>
          </w:tcPr>
          <w:p>
            <w:pPr/>
          </w:p>
        </w:tc>
        <w:tc>
          <w:tcPr>
            <w:tcW w:w="1017"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12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24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left="35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620" w:type="dxa"/>
            <w:gridSpan w:val="2"/>
            <w:vMerge w:val="restart"/>
            <w:tcBorders>
              <w:top w:val="nil" w:sz="6" w:space="0" w:color="auto"/>
              <w:left w:val="single" w:sz="4" w:space="0" w:color="000000"/>
              <w:right w:val="single" w:sz="4" w:space="0" w:color="000000"/>
            </w:tcBorders>
            <w:shd w:val="clear" w:color="auto" w:fill="D3D3D3"/>
          </w:tcPr>
          <w:p>
            <w:pPr/>
          </w:p>
        </w:tc>
        <w:tc>
          <w:tcPr>
            <w:tcW w:w="920" w:type="dxa"/>
            <w:vMerge w:val="restart"/>
            <w:tcBorders>
              <w:top w:val="nil" w:sz="6" w:space="0" w:color="auto"/>
              <w:left w:val="single" w:sz="4" w:space="0" w:color="000000"/>
              <w:right w:val="single" w:sz="4" w:space="0" w:color="000000"/>
            </w:tcBorders>
            <w:shd w:val="clear" w:color="auto" w:fill="D3D3D3"/>
          </w:tcPr>
          <w:p>
            <w:pPr/>
          </w:p>
        </w:tc>
        <w:tc>
          <w:tcPr>
            <w:tcW w:w="791" w:type="dxa"/>
            <w:vMerge w:val="restart"/>
            <w:tcBorders>
              <w:top w:val="nil" w:sz="6" w:space="0" w:color="auto"/>
              <w:left w:val="single" w:sz="4" w:space="0" w:color="000000"/>
              <w:right w:val="single" w:sz="4" w:space="0" w:color="000000"/>
            </w:tcBorders>
            <w:shd w:val="clear" w:color="auto" w:fill="D3D3D3"/>
          </w:tcPr>
          <w:p>
            <w:pPr/>
          </w:p>
        </w:tc>
        <w:tc>
          <w:tcPr>
            <w:tcW w:w="1017" w:type="dxa"/>
            <w:vMerge/>
            <w:tcBorders>
              <w:left w:val="single" w:sz="4" w:space="0" w:color="000000"/>
              <w:bottom w:val="nil" w:sz="6" w:space="0" w:color="auto"/>
              <w:right w:val="single" w:sz="4" w:space="0" w:color="000000"/>
            </w:tcBorders>
            <w:shd w:val="clear" w:color="auto" w:fill="D3D3D3"/>
          </w:tcPr>
          <w:p>
            <w:pPr/>
          </w:p>
        </w:tc>
        <w:tc>
          <w:tcPr>
            <w:tcW w:w="1080" w:type="dxa"/>
            <w:gridSpan w:val="2"/>
            <w:vMerge/>
            <w:tcBorders>
              <w:left w:val="single" w:sz="4" w:space="0" w:color="000000"/>
              <w:bottom w:val="nil" w:sz="6" w:space="0" w:color="auto"/>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1230" w:type="dxa"/>
            <w:gridSpan w:val="2"/>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r>
      <w:tr>
        <w:trPr>
          <w:trHeight w:val="167" w:hRule="exact"/>
        </w:trPr>
        <w:tc>
          <w:tcPr>
            <w:tcW w:w="1620" w:type="dxa"/>
            <w:gridSpan w:val="2"/>
            <w:vMerge/>
            <w:tcBorders>
              <w:left w:val="single" w:sz="4" w:space="0" w:color="000000"/>
              <w:bottom w:val="single" w:sz="4" w:space="0" w:color="000000"/>
              <w:right w:val="single" w:sz="4" w:space="0" w:color="000000"/>
            </w:tcBorders>
            <w:shd w:val="clear" w:color="auto" w:fill="D3D3D3"/>
          </w:tcPr>
          <w:p>
            <w:pPr/>
          </w:p>
        </w:tc>
        <w:tc>
          <w:tcPr>
            <w:tcW w:w="920" w:type="dxa"/>
            <w:vMerge/>
            <w:tcBorders>
              <w:left w:val="single" w:sz="4" w:space="0" w:color="000000"/>
              <w:bottom w:val="single" w:sz="4" w:space="0" w:color="000000"/>
              <w:right w:val="single" w:sz="4" w:space="0" w:color="000000"/>
            </w:tcBorders>
            <w:shd w:val="clear" w:color="auto" w:fill="D3D3D3"/>
          </w:tcPr>
          <w:p>
            <w:pPr/>
          </w:p>
        </w:tc>
        <w:tc>
          <w:tcPr>
            <w:tcW w:w="791" w:type="dxa"/>
            <w:vMerge/>
            <w:tcBorders>
              <w:left w:val="single" w:sz="4" w:space="0" w:color="000000"/>
              <w:bottom w:val="single" w:sz="4" w:space="0" w:color="000000"/>
              <w:right w:val="single" w:sz="4" w:space="0" w:color="000000"/>
            </w:tcBorders>
            <w:shd w:val="clear" w:color="auto" w:fill="D3D3D3"/>
          </w:tcPr>
          <w:p>
            <w:pPr/>
          </w:p>
        </w:tc>
        <w:tc>
          <w:tcPr>
            <w:tcW w:w="10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052" w:type="dxa"/>
            <w:vMerge/>
            <w:tcBorders>
              <w:left w:val="single" w:sz="4" w:space="0" w:color="000000"/>
              <w:bottom w:val="single" w:sz="4" w:space="0" w:color="000000"/>
              <w:right w:val="single" w:sz="4" w:space="0" w:color="000000"/>
            </w:tcBorders>
            <w:shd w:val="clear" w:color="auto" w:fill="D3D3D3"/>
          </w:tcPr>
          <w:p>
            <w:pPr/>
          </w:p>
        </w:tc>
        <w:tc>
          <w:tcPr>
            <w:tcW w:w="1080" w:type="dxa"/>
            <w:gridSpan w:val="2"/>
            <w:vMerge/>
            <w:tcBorders>
              <w:left w:val="single" w:sz="4" w:space="0" w:color="000000"/>
              <w:bottom w:val="single" w:sz="4" w:space="0" w:color="000000"/>
              <w:right w:val="single" w:sz="4" w:space="0" w:color="000000"/>
            </w:tcBorders>
            <w:shd w:val="clear" w:color="auto" w:fill="D3D3D3"/>
          </w:tcPr>
          <w:p>
            <w:pPr/>
          </w:p>
        </w:tc>
        <w:tc>
          <w:tcPr>
            <w:tcW w:w="1230" w:type="dxa"/>
            <w:gridSpan w:val="2"/>
            <w:vMerge/>
            <w:tcBorders>
              <w:left w:val="single" w:sz="4" w:space="0" w:color="000000"/>
              <w:bottom w:val="single" w:sz="4" w:space="0" w:color="000000"/>
              <w:right w:val="single" w:sz="4" w:space="0" w:color="000000"/>
            </w:tcBorders>
            <w:shd w:val="clear" w:color="auto" w:fill="D3D3D3"/>
          </w:tcPr>
          <w:p>
            <w:pPr/>
          </w:p>
        </w:tc>
        <w:tc>
          <w:tcPr>
            <w:tcW w:w="1080" w:type="dxa"/>
            <w:gridSpan w:val="2"/>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27.32%</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451,567,884</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104,207,973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451,567,884</w:t>
            </w:r>
          </w:p>
        </w:tc>
        <w:tc>
          <w:tcPr>
            <w:tcW w:w="1230" w:type="dxa"/>
            <w:gridSpan w:val="2"/>
            <w:tcBorders>
              <w:top w:val="single" w:sz="49" w:space="0" w:color="D3D3D3"/>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gridSpan w:val="2"/>
            <w:tcBorders>
              <w:top w:val="single" w:sz="49" w:space="0" w:color="D3D3D3"/>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85,000,000</w:t>
            </w:r>
          </w:p>
        </w:tc>
      </w:tr>
      <w:tr>
        <w:trPr>
          <w:trHeight w:val="714" w:hRule="exact"/>
        </w:trPr>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北京北明伟业控股 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z w:val="18"/>
              </w:rPr>
              <w:t>15.13%</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250,152,830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55,542,186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250,152,830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46,484,000</w:t>
            </w:r>
          </w:p>
        </w:tc>
      </w:tr>
      <w:tr>
        <w:trPr>
          <w:trHeight w:val="1026" w:hRule="exact"/>
        </w:trPr>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北京万峰嘉晔投资 管理中心（有限合 伙）</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5.00%</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82,644,361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22,198,365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78,579,795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4,064,566</w:t>
            </w:r>
          </w:p>
        </w:tc>
        <w:tc>
          <w:tcPr>
            <w:tcW w:w="1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20,020,000</w:t>
            </w:r>
          </w:p>
        </w:tc>
      </w:tr>
      <w:tr>
        <w:trPr>
          <w:trHeight w:val="1026" w:hRule="exact"/>
        </w:trPr>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北京万峰嘉华投资 管理中心（有限合 伙）</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4.02%</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66,495,251</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18,262,438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62,702,657</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3,792,594</w:t>
            </w:r>
          </w:p>
        </w:tc>
        <w:tc>
          <w:tcPr>
            <w:tcW w:w="1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14,300,000</w:t>
            </w:r>
          </w:p>
        </w:tc>
      </w:tr>
      <w:tr>
        <w:trPr>
          <w:trHeight w:val="1338" w:hRule="exact"/>
        </w:trPr>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新华基金－平安银 行－新华恒定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常山股份定向增发 资产管理计划</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3.82%</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63,071,138</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14,554,878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63,071,138</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30" w:type="dxa"/>
            <w:gridSpan w:val="2"/>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深圳市神华投资集 团有限公司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2.40%</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39,634,145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9,146,341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29,884,145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9,750,000</w:t>
            </w:r>
          </w:p>
        </w:tc>
        <w:tc>
          <w:tcPr>
            <w:tcW w:w="1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21,950,000</w:t>
            </w:r>
          </w:p>
        </w:tc>
      </w:tr>
      <w:tr>
        <w:trPr>
          <w:trHeight w:val="1297" w:hRule="exact"/>
        </w:trPr>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广发证券资管－平 安银行－广发恒定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号常山股份定向 增发集合资产管理</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1.76%</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29,065,040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6,707,317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29,065,040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30" w:type="dxa"/>
            <w:gridSpan w:val="2"/>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7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20"/>
        <w:gridCol w:w="906"/>
        <w:gridCol w:w="783"/>
        <w:gridCol w:w="1039"/>
        <w:gridCol w:w="1080"/>
        <w:gridCol w:w="1052"/>
        <w:gridCol w:w="1080"/>
        <w:gridCol w:w="1230"/>
        <w:gridCol w:w="1080"/>
      </w:tblGrid>
      <w:tr>
        <w:trPr>
          <w:trHeight w:val="36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90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1.08%</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17,922,053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4,135,858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17,922,053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17,004,096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3,924,022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17,004,096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8,320,000</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神华期货有限公司</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13,211,381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3,048,780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13,211,381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526" w:type="dxa"/>
            <w:gridSpan w:val="2"/>
            <w:tcBorders>
              <w:top w:val="single" w:sz="4" w:space="0" w:color="000000"/>
              <w:left w:val="single" w:sz="4" w:space="0" w:color="000000"/>
              <w:bottom w:val="nil" w:sz="6" w:space="0" w:color="auto"/>
              <w:right w:val="single" w:sz="13" w:space="0" w:color="C7EDCC"/>
            </w:tcBorders>
            <w:shd w:val="clear" w:color="auto" w:fill="D3D3D3"/>
          </w:tcPr>
          <w:p>
            <w:pPr/>
          </w:p>
        </w:tc>
        <w:tc>
          <w:tcPr>
            <w:tcW w:w="7344" w:type="dxa"/>
            <w:gridSpan w:val="7"/>
            <w:vMerge w:val="restart"/>
            <w:tcBorders>
              <w:top w:val="single" w:sz="4" w:space="0" w:color="000000"/>
              <w:left w:val="single" w:sz="10" w:space="0" w:color="D3D3D3"/>
              <w:right w:val="single" w:sz="4" w:space="0" w:color="000000"/>
            </w:tcBorders>
            <w:shd w:val="clear" w:color="auto" w:fill="C7EDCC"/>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新华基金－平安银行－新华恒定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号常山股份定向增发资产管理计划、深圳市神华投资</w:t>
            </w:r>
          </w:p>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集团有限公司、广发证券资管－平安银行－广发恒定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号常山股份定向增发集合资产管理计</w:t>
            </w:r>
          </w:p>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划和神华期货有限公司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家战略投资者通过认购公司发行股份购买资产并募集配套资金成为</w:t>
            </w:r>
          </w:p>
          <w:p>
            <w:pPr>
              <w:pStyle w:val="TableParagraph"/>
              <w:spacing w:line="240" w:lineRule="auto" w:before="64"/>
              <w:ind w:left="9"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名股东，约定持股起止日期为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16" w:hRule="exact"/>
        </w:trPr>
        <w:tc>
          <w:tcPr>
            <w:tcW w:w="2526" w:type="dxa"/>
            <w:gridSpan w:val="2"/>
            <w:tcBorders>
              <w:top w:val="nil" w:sz="6" w:space="0" w:color="auto"/>
              <w:left w:val="single" w:sz="4" w:space="0" w:color="000000"/>
              <w:bottom w:val="nil" w:sz="6" w:space="0" w:color="auto"/>
              <w:right w:val="single" w:sz="13" w:space="0" w:color="C7EDCC"/>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344" w:type="dxa"/>
            <w:gridSpan w:val="7"/>
            <w:vMerge/>
            <w:tcBorders>
              <w:left w:val="single" w:sz="10" w:space="0" w:color="D3D3D3"/>
              <w:right w:val="single" w:sz="4" w:space="0" w:color="000000"/>
            </w:tcBorders>
            <w:shd w:val="clear" w:color="auto" w:fill="C7EDCC"/>
          </w:tcPr>
          <w:p>
            <w:pPr/>
          </w:p>
        </w:tc>
      </w:tr>
      <w:tr>
        <w:trPr>
          <w:trHeight w:val="161" w:hRule="exact"/>
        </w:trPr>
        <w:tc>
          <w:tcPr>
            <w:tcW w:w="2526" w:type="dxa"/>
            <w:gridSpan w:val="2"/>
            <w:tcBorders>
              <w:top w:val="nil" w:sz="6" w:space="0" w:color="auto"/>
              <w:left w:val="single" w:sz="4" w:space="0" w:color="000000"/>
              <w:bottom w:val="single" w:sz="4" w:space="0" w:color="000000"/>
              <w:right w:val="single" w:sz="13" w:space="0" w:color="C7EDCC"/>
            </w:tcBorders>
            <w:shd w:val="clear" w:color="auto" w:fill="D3D3D3"/>
          </w:tcPr>
          <w:p>
            <w:pPr/>
          </w:p>
        </w:tc>
        <w:tc>
          <w:tcPr>
            <w:tcW w:w="7344" w:type="dxa"/>
            <w:gridSpan w:val="7"/>
            <w:vMerge/>
            <w:tcBorders>
              <w:left w:val="single" w:sz="10" w:space="0" w:color="D3D3D3"/>
              <w:bottom w:val="single" w:sz="4" w:space="0" w:color="000000"/>
              <w:right w:val="single" w:sz="4" w:space="0" w:color="000000"/>
            </w:tcBorders>
            <w:shd w:val="clear" w:color="auto" w:fill="C7EDCC"/>
          </w:tcPr>
          <w:p>
            <w:pPr/>
          </w:p>
        </w:tc>
      </w:tr>
      <w:tr>
        <w:trPr>
          <w:trHeight w:val="317" w:hRule="exact"/>
        </w:trPr>
        <w:tc>
          <w:tcPr>
            <w:tcW w:w="2526" w:type="dxa"/>
            <w:gridSpan w:val="2"/>
            <w:tcBorders>
              <w:top w:val="single" w:sz="4" w:space="0" w:color="000000"/>
              <w:left w:val="single" w:sz="4" w:space="0" w:color="000000"/>
              <w:bottom w:val="nil" w:sz="6" w:space="0" w:color="auto"/>
              <w:right w:val="single" w:sz="13" w:space="0" w:color="C7EDCC"/>
            </w:tcBorders>
            <w:shd w:val="clear" w:color="auto" w:fill="D3D3D3"/>
          </w:tcPr>
          <w:p>
            <w:pPr/>
          </w:p>
        </w:tc>
        <w:tc>
          <w:tcPr>
            <w:tcW w:w="7344" w:type="dxa"/>
            <w:gridSpan w:val="7"/>
            <w:vMerge w:val="restart"/>
            <w:tcBorders>
              <w:top w:val="single" w:sz="4" w:space="0" w:color="000000"/>
              <w:left w:val="single" w:sz="10" w:space="0" w:color="D3D3D3"/>
              <w:right w:val="single" w:sz="4" w:space="0" w:color="000000"/>
            </w:tcBorders>
            <w:shd w:val="clear" w:color="auto" w:fill="C7EDCC"/>
          </w:tcPr>
          <w:p>
            <w:pPr>
              <w:pStyle w:val="TableParagraph"/>
              <w:spacing w:line="316" w:lineRule="auto" w:before="52"/>
              <w:ind w:left="9" w:right="23" w:firstLine="360"/>
              <w:jc w:val="both"/>
              <w:rPr>
                <w:rFonts w:ascii="宋体" w:hAnsi="宋体" w:cs="宋体" w:eastAsia="宋体" w:hint="default"/>
                <w:sz w:val="18"/>
                <w:szCs w:val="18"/>
              </w:rPr>
            </w:pPr>
            <w:r>
              <w:rPr>
                <w:rFonts w:ascii="宋体" w:hAnsi="宋体" w:cs="宋体" w:eastAsia="宋体" w:hint="default"/>
                <w:spacing w:val="-3"/>
                <w:sz w:val="18"/>
                <w:szCs w:val="18"/>
              </w:rPr>
              <w:t>石家庄常山纺织集团有限责任公司与其他股东之间无关联关系。北京万峰嘉晔投资管理中</w:t>
            </w:r>
            <w:r>
              <w:rPr>
                <w:rFonts w:ascii="宋体" w:hAnsi="宋体" w:cs="宋体" w:eastAsia="宋体" w:hint="default"/>
                <w:sz w:val="18"/>
                <w:szCs w:val="18"/>
              </w:rPr>
              <w:t> </w:t>
            </w:r>
            <w:r>
              <w:rPr>
                <w:rFonts w:ascii="宋体" w:hAnsi="宋体" w:cs="宋体" w:eastAsia="宋体" w:hint="default"/>
                <w:spacing w:val="-3"/>
                <w:sz w:val="18"/>
                <w:szCs w:val="18"/>
              </w:rPr>
              <w:t>心（有限合伙）与北京万峰嘉华投资管理中心（有限合伙）均系北明软件公司员工持股。北京</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北明伟业控股有限公司、李锋与应华江为一致行动人。公司未知其他股东之间是否存在关联关</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系或属于《上市公司股东持股变动信息披露管理办法》规定的一致行动人。</w:t>
            </w:r>
          </w:p>
        </w:tc>
      </w:tr>
      <w:tr>
        <w:trPr>
          <w:trHeight w:val="704" w:hRule="exact"/>
        </w:trPr>
        <w:tc>
          <w:tcPr>
            <w:tcW w:w="2526" w:type="dxa"/>
            <w:gridSpan w:val="2"/>
            <w:tcBorders>
              <w:top w:val="nil" w:sz="6" w:space="0" w:color="auto"/>
              <w:left w:val="single" w:sz="4" w:space="0" w:color="000000"/>
              <w:bottom w:val="nil" w:sz="6" w:space="0" w:color="auto"/>
              <w:right w:val="single" w:sz="13" w:space="0" w:color="C7EDCC"/>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344" w:type="dxa"/>
            <w:gridSpan w:val="7"/>
            <w:vMerge/>
            <w:tcBorders>
              <w:left w:val="single" w:sz="10" w:space="0" w:color="D3D3D3"/>
              <w:right w:val="single" w:sz="4" w:space="0" w:color="000000"/>
            </w:tcBorders>
            <w:shd w:val="clear" w:color="auto" w:fill="C7EDCC"/>
          </w:tcPr>
          <w:p>
            <w:pPr/>
          </w:p>
        </w:tc>
      </w:tr>
      <w:tr>
        <w:trPr>
          <w:trHeight w:val="317" w:hRule="exact"/>
        </w:trPr>
        <w:tc>
          <w:tcPr>
            <w:tcW w:w="2526" w:type="dxa"/>
            <w:gridSpan w:val="2"/>
            <w:tcBorders>
              <w:top w:val="nil" w:sz="6" w:space="0" w:color="auto"/>
              <w:left w:val="single" w:sz="4" w:space="0" w:color="000000"/>
              <w:bottom w:val="single" w:sz="4" w:space="0" w:color="000000"/>
              <w:right w:val="single" w:sz="13" w:space="0" w:color="C7EDCC"/>
            </w:tcBorders>
            <w:shd w:val="clear" w:color="auto" w:fill="D3D3D3"/>
          </w:tcPr>
          <w:p>
            <w:pPr/>
          </w:p>
        </w:tc>
        <w:tc>
          <w:tcPr>
            <w:tcW w:w="7344" w:type="dxa"/>
            <w:gridSpan w:val="7"/>
            <w:vMerge/>
            <w:tcBorders>
              <w:left w:val="single" w:sz="10" w:space="0" w:color="D3D3D3"/>
              <w:bottom w:val="single" w:sz="4" w:space="0" w:color="000000"/>
              <w:right w:val="single" w:sz="4" w:space="0" w:color="000000"/>
            </w:tcBorders>
            <w:shd w:val="clear" w:color="auto" w:fill="C7EDCC"/>
          </w:tcPr>
          <w:p>
            <w:pPr/>
          </w:p>
        </w:tc>
      </w:tr>
      <w:tr>
        <w:trPr>
          <w:trHeight w:val="402" w:hRule="exact"/>
        </w:trPr>
        <w:tc>
          <w:tcPr>
            <w:tcW w:w="98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252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5034"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31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1" w:hRule="exact"/>
        </w:trPr>
        <w:tc>
          <w:tcPr>
            <w:tcW w:w="2526"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34"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5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10"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526" w:type="dxa"/>
            <w:gridSpan w:val="2"/>
            <w:vMerge/>
            <w:tcBorders>
              <w:left w:val="single" w:sz="4" w:space="0" w:color="000000"/>
              <w:bottom w:val="nil" w:sz="6" w:space="0" w:color="auto"/>
              <w:right w:val="single" w:sz="4" w:space="0" w:color="000000"/>
            </w:tcBorders>
            <w:shd w:val="clear" w:color="auto" w:fill="D3D3D3"/>
          </w:tcPr>
          <w:p>
            <w:pPr/>
          </w:p>
        </w:tc>
        <w:tc>
          <w:tcPr>
            <w:tcW w:w="5034" w:type="dxa"/>
            <w:gridSpan w:val="5"/>
            <w:vMerge/>
            <w:tcBorders>
              <w:left w:val="single" w:sz="4" w:space="0" w:color="000000"/>
              <w:bottom w:val="nil" w:sz="6" w:space="0" w:color="auto"/>
              <w:right w:val="single" w:sz="4" w:space="0" w:color="000000"/>
            </w:tcBorders>
            <w:shd w:val="clear" w:color="auto" w:fill="D3D3D3"/>
          </w:tcPr>
          <w:p>
            <w:pPr/>
          </w:p>
        </w:tc>
        <w:tc>
          <w:tcPr>
            <w:tcW w:w="12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4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13" w:hRule="exact"/>
        </w:trPr>
        <w:tc>
          <w:tcPr>
            <w:tcW w:w="2526"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5034"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23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石家庄常山纺织集团有限责任 公司</w:t>
            </w:r>
          </w:p>
        </w:tc>
        <w:tc>
          <w:tcPr>
            <w:tcW w:w="5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451,567,884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451,567,884</w:t>
            </w:r>
          </w:p>
        </w:tc>
      </w:tr>
      <w:tr>
        <w:trPr>
          <w:trHeight w:val="402" w:hRule="exact"/>
        </w:trPr>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广发信德投资管理有限公司</w:t>
            </w:r>
          </w:p>
        </w:tc>
        <w:tc>
          <w:tcPr>
            <w:tcW w:w="5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12,720,007</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12,720,007</w:t>
            </w:r>
          </w:p>
        </w:tc>
      </w:tr>
      <w:tr>
        <w:trPr>
          <w:trHeight w:val="402" w:hRule="exact"/>
        </w:trPr>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俞振军</w:t>
            </w:r>
          </w:p>
        </w:tc>
        <w:tc>
          <w:tcPr>
            <w:tcW w:w="5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9,956,961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9,956,961</w:t>
            </w:r>
          </w:p>
        </w:tc>
      </w:tr>
      <w:tr>
        <w:trPr>
          <w:trHeight w:val="402" w:hRule="exact"/>
        </w:trPr>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吴惠霞</w:t>
            </w:r>
          </w:p>
        </w:tc>
        <w:tc>
          <w:tcPr>
            <w:tcW w:w="5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9,071,032</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9,071,032</w:t>
            </w:r>
          </w:p>
        </w:tc>
      </w:tr>
      <w:tr>
        <w:trPr>
          <w:trHeight w:val="402" w:hRule="exact"/>
        </w:trPr>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徐俊</w:t>
            </w:r>
          </w:p>
        </w:tc>
        <w:tc>
          <w:tcPr>
            <w:tcW w:w="5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8,613,439</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8,613,439</w:t>
            </w:r>
          </w:p>
        </w:tc>
      </w:tr>
      <w:tr>
        <w:trPr>
          <w:trHeight w:val="402" w:hRule="exact"/>
        </w:trPr>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周永生</w:t>
            </w:r>
          </w:p>
        </w:tc>
        <w:tc>
          <w:tcPr>
            <w:tcW w:w="5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8,527,686</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8,527,686</w:t>
            </w:r>
          </w:p>
        </w:tc>
      </w:tr>
      <w:tr>
        <w:trPr>
          <w:trHeight w:val="402" w:hRule="exact"/>
        </w:trPr>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查振松</w:t>
            </w:r>
          </w:p>
        </w:tc>
        <w:tc>
          <w:tcPr>
            <w:tcW w:w="5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6,651,850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6,651,850</w:t>
            </w:r>
          </w:p>
        </w:tc>
      </w:tr>
      <w:tr>
        <w:trPr>
          <w:trHeight w:val="402" w:hRule="exact"/>
        </w:trPr>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唐勇辉</w:t>
            </w:r>
          </w:p>
        </w:tc>
        <w:tc>
          <w:tcPr>
            <w:tcW w:w="5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5,152,227</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5,152,227</w:t>
            </w:r>
          </w:p>
        </w:tc>
      </w:tr>
      <w:tr>
        <w:trPr>
          <w:trHeight w:val="402" w:hRule="exact"/>
        </w:trPr>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郑东信</w:t>
            </w:r>
          </w:p>
        </w:tc>
        <w:tc>
          <w:tcPr>
            <w:tcW w:w="5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5,050,800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5,050,800</w:t>
            </w:r>
          </w:p>
        </w:tc>
      </w:tr>
      <w:tr>
        <w:trPr>
          <w:trHeight w:val="1026" w:hRule="exact"/>
        </w:trPr>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天津信托有限责任公司－天津 </w:t>
            </w:r>
            <w:r>
              <w:rPr>
                <w:rFonts w:ascii="宋体" w:hAnsi="宋体" w:cs="宋体" w:eastAsia="宋体" w:hint="default"/>
                <w:spacing w:val="-12"/>
                <w:sz w:val="18"/>
                <w:szCs w:val="18"/>
              </w:rPr>
              <w:t>信托·丰裕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号证券投资集合资 金信托计划</w:t>
            </w:r>
          </w:p>
        </w:tc>
        <w:tc>
          <w:tcPr>
            <w:tcW w:w="50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4,527,131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4,527,131</w:t>
            </w:r>
          </w:p>
        </w:tc>
      </w:tr>
      <w:tr>
        <w:trPr>
          <w:trHeight w:val="1338" w:hRule="exact"/>
        </w:trPr>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302" w:lineRule="auto" w:before="63"/>
              <w:ind w:left="22" w:right="61"/>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 系或一致行动的说明</w:t>
            </w:r>
          </w:p>
        </w:tc>
        <w:tc>
          <w:tcPr>
            <w:tcW w:w="7344"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 w:right="23" w:firstLine="360"/>
              <w:jc w:val="left"/>
              <w:rPr>
                <w:rFonts w:ascii="宋体" w:hAnsi="宋体" w:cs="宋体" w:eastAsia="宋体" w:hint="default"/>
                <w:sz w:val="18"/>
                <w:szCs w:val="18"/>
              </w:rPr>
            </w:pPr>
            <w:r>
              <w:rPr>
                <w:rFonts w:ascii="宋体" w:hAnsi="宋体" w:cs="宋体" w:eastAsia="宋体" w:hint="default"/>
                <w:spacing w:val="-3"/>
                <w:sz w:val="18"/>
                <w:szCs w:val="18"/>
              </w:rPr>
              <w:t>石家庄常山纺织集团有限责任公司与其他股东之间无关联关系。公司未知其他股东之间是</w:t>
            </w:r>
            <w:r>
              <w:rPr>
                <w:rFonts w:ascii="宋体" w:hAnsi="宋体" w:cs="宋体" w:eastAsia="宋体" w:hint="default"/>
                <w:sz w:val="18"/>
                <w:szCs w:val="18"/>
              </w:rPr>
              <w:t> 否存在关联关系或属于《上市公司股东持股变动信息披露管理办法》规定的一致行动人。</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left="154" w:right="0"/>
        <w:jc w:val="left"/>
      </w:pPr>
      <w:r>
        <w:rPr/>
        <w:t>□ 是 √ 否</w:t>
      </w:r>
    </w:p>
    <w:p>
      <w:pPr>
        <w:pStyle w:val="BodyText"/>
        <w:spacing w:line="240" w:lineRule="auto" w:before="116"/>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82" w:top="1060" w:bottom="1180" w:left="980" w:right="780"/>
        </w:sectPr>
      </w:pPr>
    </w:p>
    <w:p>
      <w:pPr>
        <w:spacing w:line="240" w:lineRule="auto" w:before="9"/>
        <w:rPr>
          <w:rFonts w:ascii="宋体" w:hAnsi="宋体" w:cs="宋体" w:eastAsia="宋体" w:hint="default"/>
          <w:sz w:val="24"/>
          <w:szCs w:val="24"/>
        </w:rPr>
      </w:pPr>
    </w:p>
    <w:p>
      <w:pPr>
        <w:pStyle w:val="Heading3"/>
        <w:spacing w:line="240" w:lineRule="auto" w:before="35"/>
        <w:ind w:right="14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431"/>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left="0" w:right="158"/>
        <w:jc w:val="right"/>
      </w:pPr>
      <w:r>
        <w:rPr/>
        <w:pict>
          <v:shape style="position:absolute;margin-left:56.459999pt;margin-top:-36.547909pt;width:479.1pt;height:123.2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2"/>
                    <w:gridCol w:w="1627"/>
                    <w:gridCol w:w="1722"/>
                    <w:gridCol w:w="1879"/>
                    <w:gridCol w:w="2087"/>
                  </w:tblGrid>
                  <w:tr>
                    <w:trPr>
                      <w:trHeight w:val="714" w:hRule="exact"/>
                    </w:trPr>
                    <w:tc>
                      <w:tcPr>
                        <w:tcW w:w="2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633" w:right="56"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1" w:hRule="exact"/>
                    </w:trPr>
                    <w:tc>
                      <w:tcPr>
                        <w:tcW w:w="2252"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石家庄常山纺织集团有限责 任公司</w:t>
                        </w:r>
                      </w:p>
                    </w:tc>
                    <w:tc>
                      <w:tcPr>
                        <w:tcW w:w="1627" w:type="dxa"/>
                        <w:tcBorders>
                          <w:top w:val="single" w:sz="4" w:space="0" w:color="000000"/>
                          <w:left w:val="single" w:sz="4" w:space="0" w:color="000000"/>
                          <w:bottom w:val="nil" w:sz="6" w:space="0" w:color="auto"/>
                          <w:right w:val="single" w:sz="4" w:space="0" w:color="000000"/>
                        </w:tcBorders>
                        <w:shd w:val="clear" w:color="auto" w:fill="C7EDCC"/>
                      </w:tcPr>
                      <w:p>
                        <w:pPr/>
                      </w:p>
                    </w:tc>
                    <w:tc>
                      <w:tcPr>
                        <w:tcW w:w="1722" w:type="dxa"/>
                        <w:vMerge w:val="restart"/>
                        <w:tcBorders>
                          <w:top w:val="single" w:sz="4" w:space="0" w:color="000000"/>
                          <w:left w:val="single" w:sz="10" w:space="0" w:color="C7EDCC"/>
                          <w:right w:val="single" w:sz="9" w:space="0" w:color="C7EDC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79" w:type="dxa"/>
                        <w:tcBorders>
                          <w:top w:val="single" w:sz="4" w:space="0" w:color="000000"/>
                          <w:left w:val="single" w:sz="4" w:space="0" w:color="000000"/>
                          <w:bottom w:val="nil" w:sz="6" w:space="0" w:color="auto"/>
                          <w:right w:val="single" w:sz="4" w:space="0" w:color="000000"/>
                        </w:tcBorders>
                        <w:shd w:val="clear" w:color="auto" w:fill="C7EDCC"/>
                      </w:tcPr>
                      <w:p>
                        <w:pPr/>
                      </w:p>
                    </w:tc>
                    <w:tc>
                      <w:tcPr>
                        <w:tcW w:w="208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pacing w:val="-4"/>
                            <w:sz w:val="18"/>
                            <w:szCs w:val="18"/>
                          </w:rPr>
                          <w:t>针纺织品开发、制造销售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纺织配件配材加工销售等</w:t>
                        </w:r>
                      </w:p>
                    </w:tc>
                  </w:tr>
                  <w:tr>
                    <w:trPr>
                      <w:trHeight w:val="391" w:hRule="exact"/>
                    </w:trPr>
                    <w:tc>
                      <w:tcPr>
                        <w:tcW w:w="2252" w:type="dxa"/>
                        <w:vMerge/>
                        <w:tcBorders>
                          <w:left w:val="single" w:sz="4" w:space="0" w:color="000000"/>
                          <w:right w:val="single" w:sz="4" w:space="0" w:color="000000"/>
                        </w:tcBorders>
                        <w:shd w:val="clear" w:color="auto" w:fill="C7EDCC"/>
                      </w:tcPr>
                      <w:p>
                        <w:pPr/>
                      </w:p>
                    </w:tc>
                    <w:tc>
                      <w:tcPr>
                        <w:tcW w:w="162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1722" w:type="dxa"/>
                        <w:vMerge/>
                        <w:tcBorders>
                          <w:left w:val="single" w:sz="10" w:space="0" w:color="C7EDCC"/>
                          <w:right w:val="single" w:sz="9" w:space="0" w:color="C7EDCC"/>
                        </w:tcBorders>
                      </w:tcPr>
                      <w:p>
                        <w:pPr/>
                      </w:p>
                    </w:tc>
                    <w:tc>
                      <w:tcPr>
                        <w:tcW w:w="18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911301002360441730</w:t>
                        </w:r>
                      </w:p>
                    </w:tc>
                    <w:tc>
                      <w:tcPr>
                        <w:tcW w:w="2087" w:type="dxa"/>
                        <w:vMerge/>
                        <w:tcBorders>
                          <w:left w:val="single" w:sz="4" w:space="0" w:color="000000"/>
                          <w:right w:val="single" w:sz="4" w:space="0" w:color="000000"/>
                        </w:tcBorders>
                        <w:shd w:val="clear" w:color="auto" w:fill="C7EDCC"/>
                      </w:tcPr>
                      <w:p>
                        <w:pPr/>
                      </w:p>
                    </w:tc>
                  </w:tr>
                  <w:tr>
                    <w:trPr>
                      <w:trHeight w:val="163" w:hRule="exact"/>
                    </w:trPr>
                    <w:tc>
                      <w:tcPr>
                        <w:tcW w:w="2252" w:type="dxa"/>
                        <w:vMerge/>
                        <w:tcBorders>
                          <w:left w:val="single" w:sz="4" w:space="0" w:color="000000"/>
                          <w:bottom w:val="single" w:sz="4" w:space="0" w:color="000000"/>
                          <w:right w:val="single" w:sz="4" w:space="0" w:color="000000"/>
                        </w:tcBorders>
                        <w:shd w:val="clear" w:color="auto" w:fill="C7EDCC"/>
                      </w:tcPr>
                      <w:p>
                        <w:pPr/>
                      </w:p>
                    </w:tc>
                    <w:tc>
                      <w:tcPr>
                        <w:tcW w:w="1627" w:type="dxa"/>
                        <w:tcBorders>
                          <w:top w:val="nil" w:sz="6" w:space="0" w:color="auto"/>
                          <w:left w:val="single" w:sz="4" w:space="0" w:color="000000"/>
                          <w:bottom w:val="single" w:sz="4" w:space="0" w:color="000000"/>
                          <w:right w:val="single" w:sz="4" w:space="0" w:color="000000"/>
                        </w:tcBorders>
                        <w:shd w:val="clear" w:color="auto" w:fill="C7EDCC"/>
                      </w:tcPr>
                      <w:p>
                        <w:pPr/>
                      </w:p>
                    </w:tc>
                    <w:tc>
                      <w:tcPr>
                        <w:tcW w:w="1722" w:type="dxa"/>
                        <w:vMerge/>
                        <w:tcBorders>
                          <w:left w:val="single" w:sz="10" w:space="0" w:color="C7EDCC"/>
                          <w:bottom w:val="single" w:sz="4" w:space="0" w:color="000000"/>
                          <w:right w:val="single" w:sz="9" w:space="0" w:color="C7EDCC"/>
                        </w:tcBorders>
                      </w:tcPr>
                      <w:p>
                        <w:pPr/>
                      </w:p>
                    </w:tc>
                    <w:tc>
                      <w:tcPr>
                        <w:tcW w:w="1879" w:type="dxa"/>
                        <w:tcBorders>
                          <w:top w:val="nil" w:sz="6" w:space="0" w:color="auto"/>
                          <w:left w:val="single" w:sz="4" w:space="0" w:color="000000"/>
                          <w:bottom w:val="single" w:sz="4" w:space="0" w:color="000000"/>
                          <w:right w:val="single" w:sz="4" w:space="0" w:color="000000"/>
                        </w:tcBorders>
                        <w:shd w:val="clear" w:color="auto" w:fill="C7EDCC"/>
                      </w:tcPr>
                      <w:p>
                        <w:pPr/>
                      </w:p>
                    </w:tc>
                    <w:tc>
                      <w:tcPr>
                        <w:tcW w:w="2087" w:type="dxa"/>
                        <w:vMerge/>
                        <w:tcBorders>
                          <w:left w:val="single" w:sz="4" w:space="0" w:color="000000"/>
                          <w:bottom w:val="single" w:sz="4" w:space="0" w:color="000000"/>
                          <w:right w:val="single" w:sz="4" w:space="0" w:color="000000"/>
                        </w:tcBorders>
                        <w:shd w:val="clear" w:color="auto" w:fill="C7EDCC"/>
                      </w:tcPr>
                      <w:p>
                        <w:pPr/>
                      </w:p>
                    </w:tc>
                  </w:tr>
                  <w:tr>
                    <w:trPr>
                      <w:trHeight w:val="317" w:hRule="exact"/>
                    </w:trPr>
                    <w:tc>
                      <w:tcPr>
                        <w:tcW w:w="2252"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15" w:type="dxa"/>
                        <w:gridSpan w:val="4"/>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1" w:hRule="exact"/>
                    </w:trPr>
                    <w:tc>
                      <w:tcPr>
                        <w:tcW w:w="2252" w:type="dxa"/>
                        <w:vMerge/>
                        <w:tcBorders>
                          <w:left w:val="single" w:sz="4" w:space="0" w:color="000000"/>
                          <w:right w:val="single" w:sz="9" w:space="0" w:color="C7EDCC"/>
                        </w:tcBorders>
                        <w:shd w:val="clear" w:color="auto" w:fill="D3D3D3"/>
                      </w:tcPr>
                      <w:p>
                        <w:pPr/>
                      </w:p>
                    </w:tc>
                    <w:tc>
                      <w:tcPr>
                        <w:tcW w:w="7315" w:type="dxa"/>
                        <w:gridSpan w:val="4"/>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8" w:hRule="exact"/>
                    </w:trPr>
                    <w:tc>
                      <w:tcPr>
                        <w:tcW w:w="2252" w:type="dxa"/>
                        <w:vMerge/>
                        <w:tcBorders>
                          <w:left w:val="single" w:sz="4" w:space="0" w:color="000000"/>
                          <w:bottom w:val="single" w:sz="4" w:space="0" w:color="000000"/>
                          <w:right w:val="single" w:sz="9" w:space="0" w:color="C7EDCC"/>
                        </w:tcBorders>
                        <w:shd w:val="clear" w:color="auto" w:fill="D3D3D3"/>
                      </w:tcPr>
                      <w:p>
                        <w:pPr/>
                      </w:p>
                    </w:tc>
                    <w:tc>
                      <w:tcPr>
                        <w:tcW w:w="7315" w:type="dxa"/>
                        <w:gridSpan w:val="4"/>
                        <w:tcBorders>
                          <w:top w:val="nil" w:sz="6" w:space="0" w:color="auto"/>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154" w:right="141"/>
        <w:jc w:val="left"/>
      </w:pPr>
      <w:r>
        <w:rPr/>
        <w:t>控股股东报告期内变更</w:t>
      </w:r>
    </w:p>
    <w:p>
      <w:pPr>
        <w:pStyle w:val="BodyText"/>
        <w:spacing w:line="357" w:lineRule="auto" w:before="117"/>
        <w:ind w:right="7071"/>
        <w:jc w:val="left"/>
      </w:pPr>
      <w:r>
        <w:rPr/>
        <w:t>□ 适用 √ 不适用 公司报告期控股股东未发生变更。</w:t>
      </w:r>
    </w:p>
    <w:p>
      <w:pPr>
        <w:spacing w:line="240" w:lineRule="auto" w:before="13"/>
        <w:rPr>
          <w:rFonts w:ascii="宋体" w:hAnsi="宋体" w:cs="宋体" w:eastAsia="宋体" w:hint="default"/>
          <w:sz w:val="19"/>
          <w:szCs w:val="19"/>
        </w:rPr>
      </w:pPr>
    </w:p>
    <w:p>
      <w:pPr>
        <w:pStyle w:val="Heading3"/>
        <w:spacing w:line="240" w:lineRule="auto"/>
        <w:ind w:right="141"/>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891"/>
        <w:jc w:val="left"/>
      </w:pPr>
      <w:r>
        <w:rPr/>
        <w:t>实际控制人性质：地方国资管理机构 实际控制人类型：法人</w:t>
      </w:r>
    </w:p>
    <w:tbl>
      <w:tblPr>
        <w:tblW w:w="0" w:type="auto"/>
        <w:jc w:val="left"/>
        <w:tblInd w:w="160" w:type="dxa"/>
        <w:tblLayout w:type="fixed"/>
        <w:tblCellMar>
          <w:top w:w="0" w:type="dxa"/>
          <w:left w:w="0" w:type="dxa"/>
          <w:bottom w:w="0" w:type="dxa"/>
          <w:right w:w="0" w:type="dxa"/>
        </w:tblCellMar>
        <w:tblLook w:val="01E0"/>
      </w:tblPr>
      <w:tblGrid>
        <w:gridCol w:w="2386"/>
        <w:gridCol w:w="1381"/>
        <w:gridCol w:w="1524"/>
        <w:gridCol w:w="1829"/>
        <w:gridCol w:w="2436"/>
      </w:tblGrid>
      <w:tr>
        <w:trPr>
          <w:trHeight w:val="714"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15" w:right="2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1" w:hRule="exact"/>
        </w:trPr>
        <w:tc>
          <w:tcPr>
            <w:tcW w:w="2386"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石家庄市国有资产监督管理委 员会</w:t>
            </w:r>
          </w:p>
        </w:tc>
        <w:tc>
          <w:tcPr>
            <w:tcW w:w="1381" w:type="dxa"/>
            <w:tcBorders>
              <w:top w:val="single" w:sz="4" w:space="0" w:color="000000"/>
              <w:left w:val="single" w:sz="4" w:space="0" w:color="000000"/>
              <w:bottom w:val="nil" w:sz="6" w:space="0" w:color="auto"/>
              <w:right w:val="single" w:sz="4" w:space="0" w:color="000000"/>
            </w:tcBorders>
            <w:shd w:val="clear" w:color="auto" w:fill="C7EDCC"/>
          </w:tcPr>
          <w:p>
            <w:pPr/>
          </w:p>
        </w:tc>
        <w:tc>
          <w:tcPr>
            <w:tcW w:w="1524" w:type="dxa"/>
            <w:vMerge w:val="restart"/>
            <w:tcBorders>
              <w:top w:val="single" w:sz="4" w:space="0" w:color="000000"/>
              <w:left w:val="single" w:sz="9" w:space="0" w:color="C7EDCC"/>
              <w:right w:val="single" w:sz="10" w:space="0" w:color="C7EDCC"/>
            </w:tcBorders>
          </w:tcPr>
          <w:p>
            <w:pPr/>
          </w:p>
        </w:tc>
        <w:tc>
          <w:tcPr>
            <w:tcW w:w="1829" w:type="dxa"/>
            <w:tcBorders>
              <w:top w:val="single" w:sz="4" w:space="0" w:color="000000"/>
              <w:left w:val="single" w:sz="4" w:space="0" w:color="000000"/>
              <w:bottom w:val="nil" w:sz="6" w:space="0" w:color="auto"/>
              <w:right w:val="single" w:sz="4" w:space="0" w:color="000000"/>
            </w:tcBorders>
            <w:shd w:val="clear" w:color="auto" w:fill="C7EDCC"/>
          </w:tcPr>
          <w:p>
            <w:pPr/>
          </w:p>
        </w:tc>
        <w:tc>
          <w:tcPr>
            <w:tcW w:w="243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2386" w:type="dxa"/>
            <w:vMerge/>
            <w:tcBorders>
              <w:left w:val="single" w:sz="4" w:space="0" w:color="000000"/>
              <w:right w:val="single" w:sz="4" w:space="0" w:color="000000"/>
            </w:tcBorders>
            <w:shd w:val="clear" w:color="auto" w:fill="C7EDCC"/>
          </w:tcPr>
          <w:p>
            <w:pPr/>
          </w:p>
        </w:tc>
        <w:tc>
          <w:tcPr>
            <w:tcW w:w="138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张军卫</w:t>
            </w:r>
          </w:p>
        </w:tc>
        <w:tc>
          <w:tcPr>
            <w:tcW w:w="1524" w:type="dxa"/>
            <w:vMerge/>
            <w:tcBorders>
              <w:left w:val="single" w:sz="9" w:space="0" w:color="C7EDCC"/>
              <w:right w:val="single" w:sz="10" w:space="0" w:color="C7EDCC"/>
            </w:tcBorders>
          </w:tcPr>
          <w:p>
            <w:pPr/>
          </w:p>
        </w:tc>
        <w:tc>
          <w:tcPr>
            <w:tcW w:w="182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76205558-5</w:t>
            </w:r>
          </w:p>
        </w:tc>
        <w:tc>
          <w:tcPr>
            <w:tcW w:w="24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162" w:hRule="exact"/>
        </w:trPr>
        <w:tc>
          <w:tcPr>
            <w:tcW w:w="2386" w:type="dxa"/>
            <w:vMerge/>
            <w:tcBorders>
              <w:left w:val="single" w:sz="4" w:space="0" w:color="000000"/>
              <w:bottom w:val="single" w:sz="4" w:space="0" w:color="000000"/>
              <w:right w:val="single" w:sz="4" w:space="0" w:color="000000"/>
            </w:tcBorders>
            <w:shd w:val="clear" w:color="auto" w:fill="C7EDCC"/>
          </w:tcPr>
          <w:p>
            <w:pPr/>
          </w:p>
        </w:tc>
        <w:tc>
          <w:tcPr>
            <w:tcW w:w="1381" w:type="dxa"/>
            <w:tcBorders>
              <w:top w:val="nil" w:sz="6" w:space="0" w:color="auto"/>
              <w:left w:val="single" w:sz="4" w:space="0" w:color="000000"/>
              <w:bottom w:val="single" w:sz="4" w:space="0" w:color="000000"/>
              <w:right w:val="single" w:sz="4" w:space="0" w:color="000000"/>
            </w:tcBorders>
            <w:shd w:val="clear" w:color="auto" w:fill="C7EDCC"/>
          </w:tcPr>
          <w:p>
            <w:pPr/>
          </w:p>
        </w:tc>
        <w:tc>
          <w:tcPr>
            <w:tcW w:w="1524" w:type="dxa"/>
            <w:vMerge/>
            <w:tcBorders>
              <w:left w:val="single" w:sz="9" w:space="0" w:color="C7EDCC"/>
              <w:bottom w:val="single" w:sz="4" w:space="0" w:color="000000"/>
              <w:right w:val="single" w:sz="10" w:space="0" w:color="C7EDCC"/>
            </w:tcBorders>
          </w:tcPr>
          <w:p>
            <w:pPr/>
          </w:p>
        </w:tc>
        <w:tc>
          <w:tcPr>
            <w:tcW w:w="1829" w:type="dxa"/>
            <w:tcBorders>
              <w:top w:val="nil" w:sz="6" w:space="0" w:color="auto"/>
              <w:left w:val="single" w:sz="4" w:space="0" w:color="000000"/>
              <w:bottom w:val="single" w:sz="4" w:space="0" w:color="000000"/>
              <w:right w:val="single" w:sz="4" w:space="0" w:color="000000"/>
            </w:tcBorders>
            <w:shd w:val="clear" w:color="auto" w:fill="C7EDCC"/>
          </w:tcPr>
          <w:p>
            <w:pPr/>
          </w:p>
        </w:tc>
        <w:tc>
          <w:tcPr>
            <w:tcW w:w="243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61" w:hRule="exact"/>
        </w:trPr>
        <w:tc>
          <w:tcPr>
            <w:tcW w:w="2386"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11" w:right="16"/>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0" w:type="dxa"/>
            <w:gridSpan w:val="4"/>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2386" w:type="dxa"/>
            <w:vMerge/>
            <w:tcBorders>
              <w:left w:val="single" w:sz="4" w:space="0" w:color="000000"/>
              <w:right w:val="single" w:sz="9" w:space="0" w:color="C7EDCC"/>
            </w:tcBorders>
            <w:shd w:val="clear" w:color="auto" w:fill="D3D3D3"/>
          </w:tcPr>
          <w:p>
            <w:pPr/>
          </w:p>
        </w:tc>
        <w:tc>
          <w:tcPr>
            <w:tcW w:w="7170" w:type="dxa"/>
            <w:gridSpan w:val="4"/>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386" w:type="dxa"/>
            <w:vMerge/>
            <w:tcBorders>
              <w:left w:val="single" w:sz="4" w:space="0" w:color="000000"/>
              <w:bottom w:val="single" w:sz="4" w:space="0" w:color="000000"/>
              <w:right w:val="single" w:sz="9" w:space="0" w:color="C7EDCC"/>
            </w:tcBorders>
            <w:shd w:val="clear" w:color="auto" w:fill="D3D3D3"/>
          </w:tcPr>
          <w:p>
            <w:pPr/>
          </w:p>
        </w:tc>
        <w:tc>
          <w:tcPr>
            <w:tcW w:w="7170" w:type="dxa"/>
            <w:gridSpan w:val="4"/>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69"/>
        <w:ind w:left="154" w:right="141"/>
        <w:jc w:val="left"/>
      </w:pPr>
      <w:r>
        <w:rPr/>
        <w:t>实际控制人报告期内变更</w:t>
      </w:r>
    </w:p>
    <w:p>
      <w:pPr>
        <w:pStyle w:val="BodyText"/>
        <w:spacing w:line="357" w:lineRule="auto" w:before="117"/>
        <w:ind w:right="5811"/>
        <w:jc w:val="left"/>
      </w:pPr>
      <w:r>
        <w:rPr/>
        <w:t>□ 适用 √ 不适用 公司报告期实际控制人未发生变更。 公司与实际控制人之间的产权及控制关系的方框图</w:t>
      </w:r>
    </w:p>
    <w:p>
      <w:pPr>
        <w:spacing w:line="240" w:lineRule="auto" w:before="10"/>
        <w:rPr>
          <w:rFonts w:ascii="宋体" w:hAnsi="宋体" w:cs="宋体" w:eastAsia="宋体" w:hint="default"/>
          <w:sz w:val="24"/>
          <w:szCs w:val="24"/>
        </w:rPr>
      </w:pPr>
    </w:p>
    <w:p>
      <w:pPr>
        <w:spacing w:line="3135" w:lineRule="exact"/>
        <w:ind w:left="1356"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4592457" cy="19907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4592457" cy="1990725"/>
                    </a:xfrm>
                    <a:prstGeom prst="rect">
                      <a:avLst/>
                    </a:prstGeom>
                  </pic:spPr>
                </pic:pic>
              </a:graphicData>
            </a:graphic>
          </wp:inline>
        </w:drawing>
      </w:r>
      <w:r>
        <w:rPr>
          <w:rFonts w:ascii="宋体" w:hAnsi="宋体" w:cs="宋体" w:eastAsia="宋体" w:hint="default"/>
          <w:position w:val="-62"/>
          <w:sz w:val="20"/>
          <w:szCs w:val="20"/>
        </w:rPr>
      </w:r>
    </w:p>
    <w:p>
      <w:pPr>
        <w:spacing w:after="0" w:line="3135"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141"/>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141"/>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40"/>
        <w:gridCol w:w="1021"/>
        <w:gridCol w:w="1412"/>
        <w:gridCol w:w="852"/>
        <w:gridCol w:w="3903"/>
      </w:tblGrid>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5" w:right="2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2"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026" w:hRule="exact"/>
        </w:trPr>
        <w:tc>
          <w:tcPr>
            <w:tcW w:w="23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22"/>
              <w:jc w:val="center"/>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02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3,150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w:t>
            </w:r>
          </w:p>
        </w:tc>
        <w:tc>
          <w:tcPr>
            <w:tcW w:w="3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4" w:right="8"/>
              <w:jc w:val="left"/>
              <w:rPr>
                <w:rFonts w:ascii="宋体" w:hAnsi="宋体" w:cs="宋体" w:eastAsia="宋体" w:hint="default"/>
                <w:sz w:val="18"/>
                <w:szCs w:val="18"/>
              </w:rPr>
            </w:pPr>
            <w:r>
              <w:rPr>
                <w:rFonts w:ascii="宋体" w:hAnsi="宋体" w:cs="宋体" w:eastAsia="宋体" w:hint="default"/>
                <w:spacing w:val="-5"/>
                <w:sz w:val="18"/>
                <w:szCs w:val="18"/>
              </w:rPr>
              <w:t>项目投资；投资管理；资产管理；投资咨询。（依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法须经批准的项目，经相关部门批准后方可开展</w:t>
            </w:r>
            <w:r>
              <w:rPr>
                <w:rFonts w:ascii="宋体" w:hAnsi="宋体" w:cs="宋体" w:eastAsia="宋体" w:hint="default"/>
                <w:sz w:val="18"/>
                <w:szCs w:val="18"/>
              </w:rPr>
              <w:t> 经营活动）</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41"/>
        <w:jc w:val="left"/>
      </w:pPr>
      <w:r>
        <w:rPr/>
        <w:t>□ 适用 √ 不适用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41"/>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57" w:lineRule="auto" w:before="44"/>
        <w:ind w:right="7611"/>
        <w:jc w:val="left"/>
      </w:pPr>
      <w:r>
        <w:rPr/>
        <w:t>□ 适用 √ 不适用 报告期公司不存在优先股。</w:t>
      </w:r>
    </w:p>
    <w:p>
      <w:pPr>
        <w:spacing w:after="0" w:line="35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41"/>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41"/>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20"/>
        <w:gridCol w:w="797"/>
        <w:gridCol w:w="565"/>
        <w:gridCol w:w="438"/>
        <w:gridCol w:w="463"/>
        <w:gridCol w:w="977"/>
        <w:gridCol w:w="900"/>
        <w:gridCol w:w="950"/>
        <w:gridCol w:w="798"/>
        <w:gridCol w:w="798"/>
        <w:gridCol w:w="977"/>
        <w:gridCol w:w="1080"/>
      </w:tblGrid>
      <w:tr>
        <w:trPr>
          <w:trHeight w:val="1026"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98" w:right="9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7"/>
              <w:jc w:val="right"/>
              <w:rPr>
                <w:rFonts w:ascii="宋体" w:hAnsi="宋体" w:cs="宋体" w:eastAsia="宋体" w:hint="default"/>
                <w:sz w:val="18"/>
                <w:szCs w:val="18"/>
              </w:rPr>
            </w:pPr>
            <w:r>
              <w:rPr>
                <w:rFonts w:ascii="宋体" w:hAnsi="宋体" w:cs="宋体" w:eastAsia="宋体" w:hint="default"/>
                <w:sz w:val="18"/>
                <w:szCs w:val="18"/>
              </w:rPr>
              <w:t>年龄</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3" w:right="3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9" w:right="10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23" w:right="31" w:hanging="90"/>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57,070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13,786,195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+4,135,858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17,922,053</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13,080,074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+3,924,022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17,004,096</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25,870</w:t>
            </w:r>
          </w:p>
        </w:tc>
      </w:tr>
      <w:tr>
        <w:trPr>
          <w:trHeight w:val="1026"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总工程师</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31,590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62</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33,670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22,490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tabs>
                <w:tab w:pos="47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w:t>
              <w:tab/>
              <w:t>哲</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20"/>
        <w:gridCol w:w="797"/>
        <w:gridCol w:w="565"/>
        <w:gridCol w:w="438"/>
        <w:gridCol w:w="463"/>
        <w:gridCol w:w="977"/>
        <w:gridCol w:w="900"/>
        <w:gridCol w:w="950"/>
        <w:gridCol w:w="798"/>
        <w:gridCol w:w="798"/>
        <w:gridCol w:w="977"/>
        <w:gridCol w:w="1080"/>
      </w:tblGrid>
      <w:tr>
        <w:trPr>
          <w:trHeight w:val="362"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书</w:t>
            </w:r>
          </w:p>
        </w:tc>
        <w:tc>
          <w:tcPr>
            <w:tcW w:w="565" w:type="dxa"/>
            <w:tcBorders>
              <w:top w:val="single" w:sz="4" w:space="0" w:color="000000"/>
              <w:left w:val="single" w:sz="4" w:space="0" w:color="000000"/>
              <w:bottom w:val="single" w:sz="4" w:space="0" w:color="000000"/>
              <w:right w:val="single" w:sz="4" w:space="0" w:color="000000"/>
            </w:tcBorders>
          </w:tcPr>
          <w:p>
            <w:pPr/>
          </w:p>
        </w:tc>
        <w:tc>
          <w:tcPr>
            <w:tcW w:w="438"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常务副总 经理、总 会计师</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69"/>
              <w:jc w:val="righ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36,140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tabs>
                <w:tab w:pos="47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w:t>
              <w:tab/>
              <w:t>辉</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6,400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2,353,740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+706,122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3,059,862</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娄天峰</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现任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79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离任</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47,450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t>--</w:t>
            </w:r>
          </w:p>
        </w:tc>
        <w:tc>
          <w:tcPr>
            <w:tcW w:w="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29,466,609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+8,838,062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38,298,271</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1330"/>
        <w:gridCol w:w="1010"/>
        <w:gridCol w:w="1800"/>
        <w:gridCol w:w="4247"/>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辞去总经理，任董事长</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辞去副董事长，任总经理</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主动辞职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公司现任董事、监事、高级管理人员专业背景、主要工作经历以及目前在公司的主要职责</w:t>
      </w:r>
    </w:p>
    <w:p>
      <w:pPr>
        <w:pStyle w:val="BodyText"/>
        <w:spacing w:line="338" w:lineRule="auto" w:before="116"/>
        <w:ind w:left="513" w:right="181" w:hanging="35"/>
        <w:jc w:val="left"/>
      </w:pPr>
      <w:r>
        <w:rPr>
          <w:rFonts w:ascii="Times New Roman" w:hAnsi="Times New Roman" w:cs="Times New Roman" w:eastAsia="Times New Roman" w:hint="default"/>
        </w:rPr>
        <w:t>1</w:t>
      </w:r>
      <w:r>
        <w:rPr/>
        <w:t>、董事情况 肖荣智先生，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4</w:t>
      </w:r>
      <w:r>
        <w:rPr/>
        <w:t>月出生，中共党员，研究生学历，正高级会计师，正高级经济师。曾任石家庄常山纺织集团有限</w:t>
      </w:r>
    </w:p>
    <w:p>
      <w:pPr>
        <w:pStyle w:val="BodyText"/>
        <w:spacing w:line="217" w:lineRule="exact"/>
        <w:ind w:right="0"/>
        <w:jc w:val="left"/>
      </w:pPr>
      <w:r>
        <w:rPr/>
        <w:t>责任公司财务部副部长，本公司财务部、证券部经理、副总经理。现任石家庄常山纺织集团有限责任公司董事长，石家庄常</w:t>
      </w:r>
    </w:p>
    <w:p>
      <w:pPr>
        <w:pStyle w:val="BodyText"/>
        <w:spacing w:line="357" w:lineRule="auto" w:before="77"/>
        <w:ind w:left="513" w:right="181" w:hanging="360"/>
        <w:jc w:val="left"/>
      </w:pPr>
      <w:r>
        <w:rPr/>
        <w:t>山恒新纺织有限公司董事、上海常纺恒友国际贸易有限公司执行董事，本公司董事长。 李锋先生，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月出生，中共党员，本科学历，曾任北大方正出版公司副总经理，北京天桥北大青鸟科技股份有限</w:t>
      </w:r>
    </w:p>
    <w:p>
      <w:pPr>
        <w:pStyle w:val="BodyText"/>
        <w:spacing w:line="201" w:lineRule="exact"/>
        <w:ind w:right="0"/>
        <w:jc w:val="left"/>
      </w:pPr>
      <w:r>
        <w:rPr/>
        <w:t>公司高级副总裁，青鸟软件股份有限公司董事长。现任北京北明伟业控股有限公司董事长，北明软件有限公司董事长，本公</w:t>
      </w:r>
    </w:p>
    <w:p>
      <w:pPr>
        <w:pStyle w:val="BodyText"/>
        <w:spacing w:line="357" w:lineRule="auto" w:before="77"/>
        <w:ind w:left="513" w:right="181" w:hanging="360"/>
        <w:jc w:val="left"/>
      </w:pPr>
      <w:r>
        <w:rPr/>
        <w:t>司董事、总经理。 应华江先生，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2</w:t>
      </w:r>
      <w:r>
        <w:rPr/>
        <w:t>月出生，本科学历。曾任山东省山泉石村有限公司总经理助理，广州瑞曼妮时装有限公司总经理</w:t>
      </w:r>
    </w:p>
    <w:p>
      <w:pPr>
        <w:pStyle w:val="BodyText"/>
        <w:spacing w:line="201" w:lineRule="exact"/>
        <w:ind w:right="0"/>
        <w:jc w:val="left"/>
      </w:pPr>
      <w:r>
        <w:rPr/>
        <w:t>助理，广州志海软件有限公司董事长，广州北大明天资源科技发展有限公司董事长。现任北京北明伟业控股有限公司董事，</w:t>
      </w:r>
    </w:p>
    <w:p>
      <w:pPr>
        <w:pStyle w:val="BodyText"/>
        <w:spacing w:line="357" w:lineRule="auto" w:before="77"/>
        <w:ind w:left="513" w:right="0" w:hanging="360"/>
        <w:jc w:val="left"/>
      </w:pPr>
      <w:r>
        <w:rPr/>
        <w:t>北明软件有限公司董事、总裁，二六三网络通信股份有限公司独立董事，本公司副董事长。 </w:t>
      </w:r>
      <w:r>
        <w:rPr>
          <w:spacing w:val="-2"/>
        </w:rPr>
        <w:t>王惠君先生，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12</w:t>
      </w:r>
      <w:r>
        <w:rPr>
          <w:spacing w:val="-2"/>
        </w:rPr>
        <w:t>月出生，中共党员，本科学历。曾任石家庄纺织经编厂办公室干事，石家庄常山纺织集团有限责</w:t>
      </w:r>
    </w:p>
    <w:p>
      <w:pPr>
        <w:pStyle w:val="BodyText"/>
        <w:spacing w:line="201" w:lineRule="exact"/>
        <w:ind w:right="0"/>
        <w:jc w:val="left"/>
      </w:pPr>
      <w:r>
        <w:rPr/>
        <w:t>任公司办公室秘书、科长、副主任、主任，石家庄常山纺织集团经编实业有限公司总经理。现任石家庄常山纺织集团有限责</w:t>
      </w:r>
    </w:p>
    <w:p>
      <w:pPr>
        <w:pStyle w:val="BodyText"/>
        <w:spacing w:line="240" w:lineRule="auto" w:before="77"/>
        <w:ind w:right="0"/>
        <w:jc w:val="left"/>
      </w:pPr>
      <w:r>
        <w:rPr/>
        <w:t>任公司副董事长、副总裁，本公司董事。</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right="188" w:firstLine="360"/>
        <w:jc w:val="both"/>
      </w:pPr>
      <w:r>
        <w:rPr>
          <w:spacing w:val="-2"/>
        </w:rPr>
        <w:t>薛建昌先生，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10</w:t>
      </w:r>
      <w:r>
        <w:rPr>
          <w:spacing w:val="-2"/>
        </w:rPr>
        <w:t>月出生，中共党员，本科学历，正高级工程师。曾任石家庄棉二锦宏纺织有限公司生产技术部主</w:t>
      </w:r>
      <w:r>
        <w:rPr/>
        <w:t> </w:t>
      </w:r>
      <w:r>
        <w:rPr>
          <w:spacing w:val="-2"/>
        </w:rPr>
        <w:t>任工程师，本公司生产技术部部长、副总工程师。现任石家庄常山恒新纺织有限公司董事长、总经理，本公司董事、副总经</w:t>
      </w:r>
      <w:r>
        <w:rPr>
          <w:spacing w:val="-68"/>
        </w:rPr>
        <w:t> </w:t>
      </w:r>
      <w:r>
        <w:rPr>
          <w:spacing w:val="-68"/>
        </w:rPr>
      </w:r>
      <w:r>
        <w:rPr/>
        <w:t>理、总工程师。</w:t>
      </w:r>
    </w:p>
    <w:p>
      <w:pPr>
        <w:pStyle w:val="BodyText"/>
        <w:spacing w:line="302" w:lineRule="auto" w:before="62"/>
        <w:ind w:right="191" w:firstLine="360"/>
        <w:jc w:val="both"/>
      </w:pPr>
      <w:r>
        <w:rPr>
          <w:spacing w:val="-2"/>
        </w:rPr>
        <w:t>徐卫波先生，</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11</w:t>
      </w:r>
      <w:r>
        <w:rPr>
          <w:spacing w:val="-2"/>
        </w:rPr>
        <w:t>月出生，本科学历。曾任杭州中远电子工程有限公司总经理，杭州源合有限公司董事长。现任北</w:t>
      </w:r>
      <w:r>
        <w:rPr/>
        <w:t> 明软件有限公司高级副总裁，本公司董事。</w:t>
      </w:r>
    </w:p>
    <w:p>
      <w:pPr>
        <w:pStyle w:val="BodyText"/>
        <w:spacing w:line="312" w:lineRule="auto" w:before="69"/>
        <w:ind w:right="191" w:firstLine="360"/>
        <w:jc w:val="both"/>
      </w:pPr>
      <w:r>
        <w:rPr/>
        <w:t>白彦春先生，男、汉族，</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8</w:t>
      </w:r>
      <w:r>
        <w:rPr/>
        <w:t>月出生，硕士学历。曾任中国国际贸易促进委员会律师、北京市金杜律师事务所合伙 </w:t>
      </w:r>
      <w:r>
        <w:rPr>
          <w:spacing w:val="-2"/>
        </w:rPr>
        <w:t>人，中国证监会第九届发行审核委员会委员。现任北京市通商律师事务所律师，兼任深圳市朗科科技股份有限公司董事、洛</w:t>
      </w:r>
      <w:r>
        <w:rPr>
          <w:spacing w:val="-66"/>
        </w:rPr>
        <w:t> </w:t>
      </w:r>
      <w:r>
        <w:rPr>
          <w:spacing w:val="-66"/>
        </w:rPr>
      </w:r>
      <w:r>
        <w:rPr>
          <w:spacing w:val="-2"/>
        </w:rPr>
        <w:t>阳栾川钼业集团股份有限公司独立董事、常熟市汽车饰件股份有限公司独立董事、领孚（上海）网络科技有限公司监事、北</w:t>
      </w:r>
      <w:r>
        <w:rPr>
          <w:spacing w:val="-66"/>
        </w:rPr>
        <w:t> </w:t>
      </w:r>
      <w:r>
        <w:rPr>
          <w:spacing w:val="-66"/>
        </w:rPr>
      </w:r>
      <w:r>
        <w:rPr/>
        <w:t>京通商君睿投资管理有限公司董事，本公司董事。</w:t>
      </w:r>
    </w:p>
    <w:p>
      <w:pPr>
        <w:pStyle w:val="BodyText"/>
        <w:spacing w:line="309" w:lineRule="auto" w:before="63"/>
        <w:ind w:right="191" w:firstLine="360"/>
        <w:jc w:val="both"/>
      </w:pPr>
      <w:r>
        <w:rPr>
          <w:spacing w:val="-2"/>
        </w:rPr>
        <w:t>史静敏女士，</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12</w:t>
      </w:r>
      <w:r>
        <w:rPr>
          <w:spacing w:val="-2"/>
        </w:rPr>
        <w:t>月出生，注册会计师，注册税务师，企业高级管理咨询顾问。曾任中国化学工程总公司第十二建</w:t>
      </w:r>
      <w:r>
        <w:rPr/>
        <w:t> </w:t>
      </w:r>
      <w:r>
        <w:rPr>
          <w:spacing w:val="-2"/>
        </w:rPr>
        <w:t>设公司核算主任，河北天华会计师事务所有限公司审计部主任，河北航空集团有限公司世贸广场酒店总会计师，石家庄东方</w:t>
      </w:r>
      <w:r>
        <w:rPr>
          <w:spacing w:val="-66"/>
        </w:rPr>
        <w:t> </w:t>
      </w:r>
      <w:r>
        <w:rPr>
          <w:spacing w:val="-66"/>
        </w:rPr>
      </w:r>
      <w:r>
        <w:rPr/>
        <w:t>热电股份有限公司独立董事。现任河北航空集团有限公司财务部长，本公司独立董事。</w:t>
      </w:r>
    </w:p>
    <w:p>
      <w:pPr>
        <w:pStyle w:val="BodyText"/>
        <w:spacing w:line="302" w:lineRule="auto" w:before="62"/>
        <w:ind w:right="191" w:firstLine="360"/>
        <w:jc w:val="both"/>
      </w:pPr>
      <w:r>
        <w:rPr>
          <w:spacing w:val="-2"/>
        </w:rPr>
        <w:t>袁宗琦先生，</w:t>
      </w:r>
      <w:r>
        <w:rPr>
          <w:rFonts w:ascii="Times New Roman" w:hAnsi="Times New Roman" w:cs="Times New Roman" w:eastAsia="Times New Roman" w:hint="default"/>
          <w:spacing w:val="-2"/>
        </w:rPr>
        <w:t>1955</w:t>
      </w:r>
      <w:r>
        <w:rPr>
          <w:spacing w:val="-2"/>
        </w:rPr>
        <w:t>年</w:t>
      </w:r>
      <w:r>
        <w:rPr>
          <w:rFonts w:ascii="Times New Roman" w:hAnsi="Times New Roman" w:cs="Times New Roman" w:eastAsia="Times New Roman" w:hint="default"/>
          <w:spacing w:val="-2"/>
        </w:rPr>
        <w:t>10</w:t>
      </w:r>
      <w:r>
        <w:rPr>
          <w:spacing w:val="-2"/>
        </w:rPr>
        <w:t>月出生，大专学历。曾任职于建设部信息中心，清华紫光集团紫光锐影有限公司副董事长，浙大</w:t>
      </w:r>
      <w:r>
        <w:rPr/>
        <w:t> 网新集团新轨道交通有限公司副董事长。现任本公司独立董事。</w:t>
      </w:r>
    </w:p>
    <w:p>
      <w:pPr>
        <w:pStyle w:val="BodyText"/>
        <w:spacing w:line="309" w:lineRule="auto" w:before="69"/>
        <w:ind w:right="188" w:firstLine="360"/>
        <w:jc w:val="both"/>
      </w:pPr>
      <w:r>
        <w:rPr/>
        <w:t>李质仙先生，</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6</w:t>
      </w:r>
      <w:r>
        <w:rPr/>
        <w:t>月出生，研究生学历。曾任中国纺织总会经济贸易部副部长、国泰证券公司信息研究中心行业部 </w:t>
      </w:r>
      <w:r>
        <w:rPr>
          <w:spacing w:val="-2"/>
        </w:rPr>
        <w:t>经理、国泰君安证券公司研究所董事、总经理、首席研究员、中国纺织工业联合会信息统计部首席研究员。现任本公司独立</w:t>
      </w:r>
      <w:r>
        <w:rPr>
          <w:spacing w:val="-66"/>
        </w:rPr>
        <w:t> </w:t>
      </w:r>
      <w:r>
        <w:rPr>
          <w:spacing w:val="-66"/>
        </w:rPr>
      </w:r>
      <w:r>
        <w:rPr/>
        <w:t>董事。</w:t>
      </w:r>
    </w:p>
    <w:p>
      <w:pPr>
        <w:pStyle w:val="BodyText"/>
        <w:spacing w:line="312" w:lineRule="auto" w:before="62"/>
        <w:ind w:right="190" w:firstLine="362"/>
        <w:jc w:val="both"/>
      </w:pPr>
      <w:r>
        <w:rPr/>
        <w:t>李量先生，</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4</w:t>
      </w:r>
      <w:r>
        <w:rPr/>
        <w:t>月生，法学硕士，工商行政管理学硕士、律师，曾任吉林省土畜产品进出口总公司业务经理，吉林 </w:t>
      </w:r>
      <w:r>
        <w:rPr>
          <w:spacing w:val="-2"/>
        </w:rPr>
        <w:t>省外经贸委驻南非代表处代表，北京市中银律师事务所律师、北京市德恒律师事务所律师、北京市金杜律师事务所律师。现</w:t>
      </w:r>
      <w:r>
        <w:rPr>
          <w:spacing w:val="-66"/>
        </w:rPr>
        <w:t> </w:t>
      </w:r>
      <w:r>
        <w:rPr>
          <w:spacing w:val="-66"/>
        </w:rPr>
      </w:r>
      <w:r>
        <w:rPr>
          <w:spacing w:val="-2"/>
        </w:rPr>
        <w:t>任北京市龙朔律师事务所主任、北京安控科技股份有限公司独立董事、河北四通新型金属材料股份有限公司独立董事，本公</w:t>
      </w:r>
      <w:r>
        <w:rPr>
          <w:spacing w:val="-66"/>
        </w:rPr>
        <w:t> </w:t>
      </w:r>
      <w:r>
        <w:rPr>
          <w:spacing w:val="-66"/>
        </w:rPr>
      </w:r>
      <w:r>
        <w:rPr/>
        <w:t>司独立董事。</w:t>
      </w:r>
    </w:p>
    <w:p>
      <w:pPr>
        <w:pStyle w:val="BodyText"/>
        <w:spacing w:line="338" w:lineRule="auto" w:before="62"/>
        <w:ind w:left="513" w:right="0"/>
        <w:jc w:val="left"/>
      </w:pPr>
      <w:r>
        <w:rPr>
          <w:rFonts w:ascii="Times New Roman" w:hAnsi="Times New Roman" w:cs="Times New Roman" w:eastAsia="Times New Roman" w:hint="default"/>
        </w:rPr>
        <w:t>2</w:t>
      </w:r>
      <w:r>
        <w:rPr/>
        <w:t>、监事 </w:t>
      </w:r>
      <w:r>
        <w:rPr>
          <w:spacing w:val="-2"/>
        </w:rPr>
        <w:t>邵光毅先生，</w:t>
      </w:r>
      <w:r>
        <w:rPr>
          <w:rFonts w:ascii="Times New Roman" w:hAnsi="Times New Roman" w:cs="Times New Roman" w:eastAsia="Times New Roman" w:hint="default"/>
          <w:spacing w:val="-2"/>
        </w:rPr>
        <w:t>1959</w:t>
      </w:r>
      <w:r>
        <w:rPr>
          <w:spacing w:val="-2"/>
        </w:rPr>
        <w:t>年</w:t>
      </w:r>
      <w:r>
        <w:rPr>
          <w:rFonts w:ascii="Times New Roman" w:hAnsi="Times New Roman" w:cs="Times New Roman" w:eastAsia="Times New Roman" w:hint="default"/>
          <w:spacing w:val="-2"/>
        </w:rPr>
        <w:t>12</w:t>
      </w:r>
      <w:r>
        <w:rPr>
          <w:spacing w:val="-2"/>
        </w:rPr>
        <w:t>月出生，本科学历，正高级政工师，中共党员。曾任石家庄棉二锦宏纺织有限公司团委书记、宣</w:t>
      </w:r>
    </w:p>
    <w:p>
      <w:pPr>
        <w:pStyle w:val="BodyText"/>
        <w:spacing w:line="217" w:lineRule="exact"/>
        <w:ind w:right="0"/>
        <w:jc w:val="left"/>
      </w:pPr>
      <w:r>
        <w:rPr/>
        <w:t>传室主任、组织室主任；石家庄常山纺织股份有限公司棉二分公司党务工作部副部长，石家庄常山纺织股份有限公司党委工</w:t>
      </w:r>
    </w:p>
    <w:p>
      <w:pPr>
        <w:pStyle w:val="BodyText"/>
        <w:spacing w:line="319" w:lineRule="auto" w:before="76"/>
        <w:ind w:right="0"/>
        <w:jc w:val="left"/>
      </w:pPr>
      <w:r>
        <w:rPr>
          <w:spacing w:val="-4"/>
        </w:rPr>
        <w:t>作部副部长。现任石家庄常山恒新纺织有限公司监事会主席，石家庄常山赵州纺织有限公司监事会主席，本公司监事会主席、</w:t>
      </w:r>
      <w:r>
        <w:rPr>
          <w:spacing w:val="-44"/>
        </w:rPr>
        <w:t> </w:t>
      </w:r>
      <w:r>
        <w:rPr>
          <w:spacing w:val="-44"/>
        </w:rPr>
      </w:r>
      <w:r>
        <w:rPr/>
        <w:t>工会主席。</w:t>
      </w:r>
    </w:p>
    <w:p>
      <w:pPr>
        <w:pStyle w:val="BodyText"/>
        <w:spacing w:line="309" w:lineRule="auto" w:before="55"/>
        <w:ind w:right="191" w:firstLine="360"/>
        <w:jc w:val="both"/>
      </w:pPr>
      <w:r>
        <w:rPr/>
        <w:t>高俊岐先生，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月出生，本科学历，正高级会计师，中共党员。曾任石家庄市纺织工业局党校会计、党校行政科 </w:t>
      </w:r>
      <w:r>
        <w:rPr>
          <w:spacing w:val="-2"/>
        </w:rPr>
        <w:t>副科长、财务处科员，石家庄常山纺织集团财务审计部副部长、部长，石家庄常山纺织股份有限公司总会计师。现任石家庄</w:t>
      </w:r>
      <w:r>
        <w:rPr>
          <w:spacing w:val="-66"/>
        </w:rPr>
        <w:t> </w:t>
      </w:r>
      <w:r>
        <w:rPr>
          <w:spacing w:val="-66"/>
        </w:rPr>
      </w:r>
      <w:r>
        <w:rPr/>
        <w:t>常山纺织集团有限责任公司总会计师，本公司监事。</w:t>
      </w:r>
    </w:p>
    <w:p>
      <w:pPr>
        <w:pStyle w:val="BodyText"/>
        <w:spacing w:line="309" w:lineRule="auto" w:before="62"/>
        <w:ind w:right="191" w:firstLine="360"/>
        <w:jc w:val="both"/>
      </w:pPr>
      <w:r>
        <w:rPr/>
        <w:t>王哲先生，</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月出生，本科学历，会计师。曾任北京燕山石油化工公司会计；北京北大青鸟商用信息系统有限公 </w:t>
      </w:r>
      <w:r>
        <w:rPr>
          <w:spacing w:val="-2"/>
        </w:rPr>
        <w:t>司、北京天桥北大青鸟科技股份有限公司财务经理；麦科特光电股份有限公司财务部经理；领锐资产管理股份有限公司财务</w:t>
      </w:r>
      <w:r>
        <w:rPr>
          <w:spacing w:val="-66"/>
        </w:rPr>
        <w:t> </w:t>
      </w:r>
      <w:r>
        <w:rPr>
          <w:spacing w:val="-66"/>
        </w:rPr>
      </w:r>
      <w:r>
        <w:rPr/>
        <w:t>部总经理；青鸟软件股份有限公司财务总监。现任北明软件有限公司董事、财务总监，本公司监事。</w:t>
      </w:r>
    </w:p>
    <w:p>
      <w:pPr>
        <w:pStyle w:val="BodyText"/>
        <w:spacing w:line="338" w:lineRule="auto" w:before="65"/>
        <w:ind w:left="513" w:right="7111" w:firstLine="2"/>
        <w:jc w:val="left"/>
      </w:pPr>
      <w:r>
        <w:rPr>
          <w:rFonts w:ascii="Times New Roman" w:hAnsi="Times New Roman" w:cs="Times New Roman" w:eastAsia="Times New Roman" w:hint="default"/>
        </w:rPr>
        <w:t>3</w:t>
      </w:r>
      <w:r>
        <w:rPr/>
        <w:t>、高级管理人员 薛建昌先生，详见董事履历。</w:t>
      </w:r>
    </w:p>
    <w:p>
      <w:pPr>
        <w:pStyle w:val="BodyText"/>
        <w:spacing w:line="309" w:lineRule="auto" w:before="41"/>
        <w:ind w:right="190" w:firstLine="360"/>
        <w:jc w:val="both"/>
      </w:pPr>
      <w:r>
        <w:rPr/>
        <w:t>池俊平先生，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月出生，本科学历，中共党员。曾任石家庄宝石电子玻璃股份有限公司证券部职员，华夏证券公 </w:t>
      </w:r>
      <w:r>
        <w:rPr>
          <w:spacing w:val="-2"/>
        </w:rPr>
        <w:t>司石家庄营业部职员，华夏证券公司保定营业部职员，本公司证券部职员、证券事务代表。现任河北常山恒云数据科技有限</w:t>
      </w:r>
      <w:r>
        <w:rPr>
          <w:spacing w:val="-66"/>
        </w:rPr>
        <w:t> </w:t>
      </w:r>
      <w:r>
        <w:rPr>
          <w:spacing w:val="-66"/>
        </w:rPr>
      </w:r>
      <w:r>
        <w:rPr/>
        <w:t>公司监事、本公司董事会秘书。</w:t>
      </w:r>
    </w:p>
    <w:p>
      <w:pPr>
        <w:pStyle w:val="BodyText"/>
        <w:spacing w:line="309" w:lineRule="auto" w:before="64"/>
        <w:ind w:right="108" w:firstLine="359"/>
        <w:jc w:val="both"/>
      </w:pPr>
      <w:r>
        <w:rPr>
          <w:spacing w:val="-2"/>
        </w:rPr>
        <w:t>赵英涛先生，</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10</w:t>
      </w:r>
      <w:r>
        <w:rPr>
          <w:spacing w:val="-2"/>
        </w:rPr>
        <w:t>月出生，本科学历，会计师，中共党员。曾任石家庄第一印染厂财务处职员，石家庄棉三纺织股</w:t>
      </w:r>
      <w:r>
        <w:rPr/>
        <w:t> </w:t>
      </w:r>
      <w:r>
        <w:rPr>
          <w:spacing w:val="-2"/>
        </w:rPr>
        <w:t>份有限公司一印分公司财务处职员，石家庄常山纺织股份有限公司财务部职员、财务部经理、副总会计师。现任北明软件有</w:t>
      </w:r>
      <w:r>
        <w:rPr>
          <w:spacing w:val="-66"/>
        </w:rPr>
        <w:t> </w:t>
      </w:r>
      <w:r>
        <w:rPr>
          <w:spacing w:val="-66"/>
        </w:rPr>
      </w:r>
      <w:r>
        <w:rPr/>
        <w:t>限公司董事，石家庄常山恒新纺织有限公司董事，新疆常山恒宏纺织科技有限公司董事，本公司常务副总经理、总会计师。</w:t>
      </w:r>
    </w:p>
    <w:p>
      <w:pPr>
        <w:pStyle w:val="BodyText"/>
        <w:spacing w:line="300" w:lineRule="auto" w:before="62"/>
        <w:ind w:right="191" w:firstLine="360"/>
        <w:jc w:val="both"/>
      </w:pPr>
      <w:r>
        <w:rPr/>
        <w:t>刘辉先生，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月出生，本科学历，高级工程师，中共党员。曾任石家庄第二棉纺织厂织造车间技术员、劳动人事 </w:t>
      </w:r>
      <w:r>
        <w:rPr>
          <w:spacing w:val="-2"/>
        </w:rPr>
        <w:t>部职员，石家庄常山纺织股份有限公司劳动人事部职员，新疆库尔勒香梨股份有限公司副总裁（援疆干部），石家庄常山纺</w:t>
      </w:r>
    </w:p>
    <w:p>
      <w:pPr>
        <w:spacing w:after="0" w:line="300" w:lineRule="auto"/>
        <w:jc w:val="both"/>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357" w:lineRule="auto" w:before="44"/>
        <w:ind w:left="513" w:right="181" w:hanging="360"/>
        <w:jc w:val="left"/>
      </w:pPr>
      <w:r>
        <w:rPr/>
        <w:t>织股份有限公司总经理助理。现任本公司副总经理。 何长青先生，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5</w:t>
      </w:r>
      <w:r>
        <w:rPr/>
        <w:t>月出生，本科学历。曾任北京市软件技术开发中心高级工程师，西科姆（中国）有限公司计算机</w:t>
      </w:r>
    </w:p>
    <w:p>
      <w:pPr>
        <w:pStyle w:val="BodyText"/>
        <w:spacing w:line="201" w:lineRule="exact"/>
        <w:ind w:right="0"/>
        <w:jc w:val="left"/>
      </w:pPr>
      <w:r>
        <w:rPr/>
        <w:t>事业部副总经理，北京湘计立德科技有限公司副董事长、总经理，宇信易诚科技有限公司高级副总裁。现任北明软件有限公</w:t>
      </w:r>
    </w:p>
    <w:p>
      <w:pPr>
        <w:pStyle w:val="BodyText"/>
        <w:spacing w:line="357" w:lineRule="auto" w:before="77"/>
        <w:ind w:left="513" w:right="201" w:hanging="360"/>
        <w:jc w:val="left"/>
      </w:pPr>
      <w:r>
        <w:rPr/>
        <w:t>司董事、高级副总裁，本公司副总经理。 童庆明先生，男，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3</w:t>
      </w:r>
      <w:r>
        <w:rPr/>
        <w:t>月出生，</w:t>
      </w:r>
      <w:r>
        <w:rPr>
          <w:rFonts w:ascii="Times New Roman" w:hAnsi="Times New Roman" w:cs="Times New Roman" w:eastAsia="Times New Roman" w:hint="default"/>
        </w:rPr>
        <w:t>EMBA</w:t>
      </w:r>
      <w:r>
        <w:rPr/>
        <w:t>硕士。曾任北大方正集团计算机公司副总经理、南京分公司总经理、华东区</w:t>
      </w:r>
    </w:p>
    <w:p>
      <w:pPr>
        <w:pStyle w:val="BodyText"/>
        <w:spacing w:line="201" w:lineRule="exact"/>
        <w:ind w:right="0"/>
        <w:jc w:val="left"/>
      </w:pPr>
      <w:r>
        <w:rPr/>
        <w:t>总经理、方正电脑公司董事、副总经理、总经理，北京高阳万为电力信息技术有限公司总经理，北大青鸟集团北京青鸟华光</w:t>
      </w:r>
    </w:p>
    <w:p>
      <w:pPr>
        <w:pStyle w:val="BodyText"/>
        <w:spacing w:line="319" w:lineRule="auto" w:before="76"/>
        <w:ind w:right="0"/>
        <w:jc w:val="left"/>
      </w:pPr>
      <w:r>
        <w:rPr>
          <w:spacing w:val="-2"/>
        </w:rPr>
        <w:t>科技有限公司总经理、潍坊青鸟华光电池有限公司总经理、潍坊青鸟华光科技股份有限公司副总裁、总裁、青鸟软件股份有</w:t>
      </w:r>
      <w:r>
        <w:rPr>
          <w:spacing w:val="-66"/>
        </w:rPr>
        <w:t> </w:t>
      </w:r>
      <w:r>
        <w:rPr>
          <w:spacing w:val="-66"/>
        </w:rPr>
      </w:r>
      <w:r>
        <w:rPr/>
        <w:t>限公司高级副总裁。现任北明软件有限公司高级副总裁，本公司副总经理。</w:t>
      </w:r>
    </w:p>
    <w:p>
      <w:pPr>
        <w:pStyle w:val="BodyText"/>
        <w:spacing w:line="312" w:lineRule="auto" w:before="55"/>
        <w:ind w:right="91" w:firstLine="290"/>
        <w:jc w:val="left"/>
      </w:pPr>
      <w:r>
        <w:rPr/>
        <w:t>娄天峰先生，男，</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12</w:t>
      </w:r>
      <w:r>
        <w:rPr/>
        <w:t>月出生，博士研究生。曾就职于信息产业部电子三所科技处、信息产业部科技司、国家发改 </w:t>
      </w:r>
      <w:r>
        <w:rPr>
          <w:spacing w:val="-2"/>
        </w:rPr>
        <w:t>委高技术产业司、信息产业部综合规划司、中国国际工程咨询有限公司高技术业务部，北大青鸟软件公司市场与质量保证部</w:t>
      </w:r>
      <w:r>
        <w:rPr>
          <w:spacing w:val="-66"/>
        </w:rPr>
        <w:t> </w:t>
      </w:r>
      <w:r>
        <w:rPr>
          <w:spacing w:val="-66"/>
        </w:rPr>
      </w:r>
      <w:r>
        <w:rPr/>
        <w:t>总经理，北京天和正通信息技术有限公司总经理。现任北京中交物联智能交通关键应用技术工程研究中心有限公司总经理、 董事，中交智能（北京）科技有限公司董事长、本公司副总经理。</w:t>
      </w:r>
    </w:p>
    <w:p>
      <w:pPr>
        <w:pStyle w:val="BodyText"/>
        <w:spacing w:line="240" w:lineRule="auto" w:before="62"/>
        <w:ind w:right="0"/>
        <w:jc w:val="left"/>
      </w:pPr>
      <w:r>
        <w:rPr/>
        <w:t>在股东单位任职情况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9"/>
        <w:gridCol w:w="3284"/>
        <w:gridCol w:w="1082"/>
        <w:gridCol w:w="1814"/>
        <w:gridCol w:w="772"/>
        <w:gridCol w:w="1404"/>
      </w:tblGrid>
      <w:tr>
        <w:trPr>
          <w:trHeight w:val="714" w:hRule="exact"/>
        </w:trPr>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71"/>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 w:right="10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55" w:right="6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2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1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32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0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1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2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0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1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2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81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2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81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32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81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2"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189" w:type="dxa"/>
            <w:vMerge w:val="restart"/>
            <w:tcBorders>
              <w:top w:val="single" w:sz="4" w:space="0" w:color="000000"/>
              <w:left w:val="single" w:sz="4" w:space="0" w:color="000000"/>
              <w:right w:val="single" w:sz="10" w:space="0" w:color="C7EDCC"/>
            </w:tcBorders>
            <w:shd w:val="clear" w:color="auto" w:fill="D3D3D3"/>
          </w:tcPr>
          <w:p>
            <w:pPr>
              <w:pStyle w:val="TableParagraph"/>
              <w:spacing w:line="316" w:lineRule="auto" w:before="51"/>
              <w:ind w:left="11" w:right="78"/>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6"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189" w:type="dxa"/>
            <w:vMerge/>
            <w:tcBorders>
              <w:left w:val="single" w:sz="4" w:space="0" w:color="000000"/>
              <w:right w:val="single" w:sz="10" w:space="0" w:color="C7EDCC"/>
            </w:tcBorders>
            <w:shd w:val="clear" w:color="auto" w:fill="D3D3D3"/>
          </w:tcPr>
          <w:p>
            <w:pPr/>
          </w:p>
        </w:tc>
        <w:tc>
          <w:tcPr>
            <w:tcW w:w="8356"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189" w:type="dxa"/>
            <w:vMerge/>
            <w:tcBorders>
              <w:left w:val="single" w:sz="4" w:space="0" w:color="000000"/>
              <w:bottom w:val="single" w:sz="4" w:space="0" w:color="000000"/>
              <w:right w:val="single" w:sz="10" w:space="0" w:color="C7EDCC"/>
            </w:tcBorders>
            <w:shd w:val="clear" w:color="auto" w:fill="D3D3D3"/>
          </w:tcPr>
          <w:p>
            <w:pPr/>
          </w:p>
        </w:tc>
        <w:tc>
          <w:tcPr>
            <w:tcW w:w="8356"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left="154" w:right="0"/>
        <w:jc w:val="left"/>
      </w:pPr>
      <w:r>
        <w:rPr/>
        <w:t>在其他单位任职情况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2726"/>
        <w:gridCol w:w="1092"/>
        <w:gridCol w:w="1608"/>
        <w:gridCol w:w="162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0" w:right="9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72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深圳市朗科科技股份有限公司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205"/>
        <w:gridCol w:w="2727"/>
        <w:gridCol w:w="1096"/>
        <w:gridCol w:w="1620"/>
        <w:gridCol w:w="1620"/>
        <w:gridCol w:w="1376"/>
      </w:tblGrid>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北京市通商律师事务所</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洛阳栾川钼业集团股份有限公司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常熟市汽车饰件股份有限公司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领孚（上海）网络科技有限公司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北京通商君睿投资管理有限公司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河北航空集团有限公司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财务部长</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北京华通联合投资有限公司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北京龙朔律师事务所</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北京安控科技股份有限公司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205" w:type="dxa"/>
            <w:tcBorders>
              <w:top w:val="single" w:sz="4" w:space="0" w:color="000000"/>
              <w:left w:val="single" w:sz="4" w:space="0" w:color="000000"/>
              <w:bottom w:val="nil" w:sz="6" w:space="0" w:color="auto"/>
              <w:right w:val="single" w:sz="4" w:space="0" w:color="000000"/>
            </w:tcBorders>
            <w:shd w:val="clear" w:color="auto" w:fill="C7EDCC"/>
          </w:tcPr>
          <w:p>
            <w:pPr/>
          </w:p>
        </w:tc>
        <w:tc>
          <w:tcPr>
            <w:tcW w:w="272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39" w:right="-6"/>
              <w:jc w:val="left"/>
              <w:rPr>
                <w:rFonts w:ascii="宋体" w:hAnsi="宋体" w:cs="宋体" w:eastAsia="宋体" w:hint="default"/>
                <w:sz w:val="18"/>
                <w:szCs w:val="18"/>
              </w:rPr>
            </w:pPr>
            <w:r>
              <w:rPr>
                <w:rFonts w:ascii="宋体" w:hAnsi="宋体" w:cs="宋体" w:eastAsia="宋体" w:hint="default"/>
                <w:spacing w:val="11"/>
                <w:sz w:val="18"/>
                <w:szCs w:val="18"/>
              </w:rPr>
              <w:t>河北四通新型金属材料股份有限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0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620" w:type="dxa"/>
            <w:vMerge w:val="restart"/>
            <w:tcBorders>
              <w:top w:val="single" w:sz="4" w:space="0" w:color="000000"/>
              <w:left w:val="single" w:sz="10" w:space="0" w:color="C7ED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vMerge w:val="restart"/>
            <w:tcBorders>
              <w:top w:val="single" w:sz="4" w:space="0" w:color="000000"/>
              <w:left w:val="single" w:sz="4" w:space="0" w:color="000000"/>
              <w:right w:val="single" w:sz="4" w:space="0" w:color="000000"/>
            </w:tcBorders>
          </w:tcPr>
          <w:p>
            <w:pP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2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2727" w:type="dxa"/>
            <w:vMerge/>
            <w:tcBorders>
              <w:left w:val="single" w:sz="4" w:space="0" w:color="000000"/>
              <w:right w:val="single" w:sz="4" w:space="0" w:color="000000"/>
            </w:tcBorders>
            <w:shd w:val="clear" w:color="auto" w:fill="C7EDCC"/>
          </w:tcPr>
          <w:p>
            <w:pPr/>
          </w:p>
        </w:tc>
        <w:tc>
          <w:tcPr>
            <w:tcW w:w="10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vMerge/>
            <w:tcBorders>
              <w:left w:val="single" w:sz="10" w:space="0" w:color="C7EDCC"/>
              <w:right w:val="single" w:sz="4" w:space="0" w:color="000000"/>
            </w:tcBorders>
          </w:tcPr>
          <w:p>
            <w:pPr/>
          </w:p>
        </w:tc>
        <w:tc>
          <w:tcPr>
            <w:tcW w:w="1620"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r>
      <w:tr>
        <w:trPr>
          <w:trHeight w:val="161" w:hRule="exact"/>
        </w:trPr>
        <w:tc>
          <w:tcPr>
            <w:tcW w:w="1205" w:type="dxa"/>
            <w:tcBorders>
              <w:top w:val="nil" w:sz="6" w:space="0" w:color="auto"/>
              <w:left w:val="single" w:sz="4" w:space="0" w:color="000000"/>
              <w:bottom w:val="single" w:sz="4" w:space="0" w:color="000000"/>
              <w:right w:val="single" w:sz="4" w:space="0" w:color="000000"/>
            </w:tcBorders>
            <w:shd w:val="clear" w:color="auto" w:fill="C7EDCC"/>
          </w:tcPr>
          <w:p>
            <w:pPr/>
          </w:p>
        </w:tc>
        <w:tc>
          <w:tcPr>
            <w:tcW w:w="2727" w:type="dxa"/>
            <w:vMerge/>
            <w:tcBorders>
              <w:left w:val="single" w:sz="4" w:space="0" w:color="000000"/>
              <w:bottom w:val="single" w:sz="4" w:space="0" w:color="000000"/>
              <w:right w:val="single" w:sz="4" w:space="0" w:color="000000"/>
            </w:tcBorders>
            <w:shd w:val="clear" w:color="auto" w:fill="C7EDCC"/>
          </w:tcPr>
          <w:p>
            <w:pPr/>
          </w:p>
        </w:tc>
        <w:tc>
          <w:tcPr>
            <w:tcW w:w="10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620" w:type="dxa"/>
            <w:vMerge/>
            <w:tcBorders>
              <w:left w:val="single" w:sz="10" w:space="0" w:color="C7EDCC"/>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石家庄恒新纺织有限公司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王哲</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王哲</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河北常山恒云数据科技有限公司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石家庄恒新纺织有限公司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新疆常山恒宏纺织科技有限公司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205" w:type="dxa"/>
            <w:tcBorders>
              <w:top w:val="single" w:sz="4" w:space="0" w:color="000000"/>
              <w:left w:val="single" w:sz="4" w:space="0" w:color="000000"/>
              <w:bottom w:val="nil" w:sz="6" w:space="0" w:color="auto"/>
              <w:right w:val="single" w:sz="4" w:space="0" w:color="000000"/>
            </w:tcBorders>
            <w:shd w:val="clear" w:color="auto" w:fill="C7EDCC"/>
          </w:tcPr>
          <w:p>
            <w:pPr/>
          </w:p>
        </w:tc>
        <w:tc>
          <w:tcPr>
            <w:tcW w:w="2727"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39" w:right="155"/>
              <w:jc w:val="left"/>
              <w:rPr>
                <w:rFonts w:ascii="宋体" w:hAnsi="宋体" w:cs="宋体" w:eastAsia="宋体" w:hint="default"/>
                <w:sz w:val="18"/>
                <w:szCs w:val="18"/>
              </w:rPr>
            </w:pPr>
            <w:r>
              <w:rPr>
                <w:rFonts w:ascii="宋体" w:hAnsi="宋体" w:cs="宋体" w:eastAsia="宋体" w:hint="default"/>
                <w:sz w:val="18"/>
                <w:szCs w:val="18"/>
              </w:rPr>
              <w:t>北京中交物联智能交通关键应用 技术工程研究中心有限公司</w:t>
            </w:r>
          </w:p>
        </w:tc>
        <w:tc>
          <w:tcPr>
            <w:tcW w:w="1096" w:type="dxa"/>
            <w:tcBorders>
              <w:top w:val="single" w:sz="4" w:space="0" w:color="000000"/>
              <w:left w:val="single" w:sz="4" w:space="0" w:color="000000"/>
              <w:bottom w:val="nil" w:sz="6" w:space="0" w:color="auto"/>
              <w:right w:val="single" w:sz="4" w:space="0" w:color="000000"/>
            </w:tcBorders>
            <w:shd w:val="clear" w:color="auto" w:fill="C7EDCC"/>
          </w:tcPr>
          <w:p>
            <w:pPr/>
          </w:p>
        </w:tc>
        <w:tc>
          <w:tcPr>
            <w:tcW w:w="1620" w:type="dxa"/>
            <w:vMerge w:val="restart"/>
            <w:tcBorders>
              <w:top w:val="single" w:sz="4" w:space="0" w:color="000000"/>
              <w:left w:val="single" w:sz="10" w:space="0" w:color="C7ED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vMerge w:val="restart"/>
            <w:tcBorders>
              <w:top w:val="single" w:sz="4" w:space="0" w:color="000000"/>
              <w:left w:val="single" w:sz="4" w:space="0" w:color="000000"/>
              <w:right w:val="single" w:sz="4" w:space="0" w:color="000000"/>
            </w:tcBorders>
          </w:tcPr>
          <w:p>
            <w:pPr/>
          </w:p>
        </w:tc>
        <w:tc>
          <w:tcPr>
            <w:tcW w:w="13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2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娄天峰</w:t>
            </w:r>
          </w:p>
        </w:tc>
        <w:tc>
          <w:tcPr>
            <w:tcW w:w="2727" w:type="dxa"/>
            <w:vMerge/>
            <w:tcBorders>
              <w:left w:val="single" w:sz="4" w:space="0" w:color="000000"/>
              <w:right w:val="single" w:sz="4" w:space="0" w:color="000000"/>
            </w:tcBorders>
            <w:shd w:val="clear" w:color="auto" w:fill="C7EDCC"/>
          </w:tcPr>
          <w:p>
            <w:pPr/>
          </w:p>
        </w:tc>
        <w:tc>
          <w:tcPr>
            <w:tcW w:w="10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620" w:type="dxa"/>
            <w:vMerge/>
            <w:tcBorders>
              <w:left w:val="single" w:sz="10" w:space="0" w:color="C7EDCC"/>
              <w:right w:val="single" w:sz="4" w:space="0" w:color="000000"/>
            </w:tcBorders>
          </w:tcPr>
          <w:p>
            <w:pPr/>
          </w:p>
        </w:tc>
        <w:tc>
          <w:tcPr>
            <w:tcW w:w="1620" w:type="dxa"/>
            <w:vMerge/>
            <w:tcBorders>
              <w:left w:val="single" w:sz="4" w:space="0" w:color="000000"/>
              <w:right w:val="single" w:sz="4" w:space="0" w:color="000000"/>
            </w:tcBorders>
          </w:tcPr>
          <w:p>
            <w:pPr/>
          </w:p>
        </w:tc>
        <w:tc>
          <w:tcPr>
            <w:tcW w:w="1376" w:type="dxa"/>
            <w:vMerge/>
            <w:tcBorders>
              <w:left w:val="single" w:sz="4" w:space="0" w:color="000000"/>
              <w:right w:val="single" w:sz="4" w:space="0" w:color="000000"/>
            </w:tcBorders>
          </w:tcPr>
          <w:p>
            <w:pPr/>
          </w:p>
        </w:tc>
      </w:tr>
      <w:tr>
        <w:trPr>
          <w:trHeight w:val="161" w:hRule="exact"/>
        </w:trPr>
        <w:tc>
          <w:tcPr>
            <w:tcW w:w="1205" w:type="dxa"/>
            <w:tcBorders>
              <w:top w:val="nil" w:sz="6" w:space="0" w:color="auto"/>
              <w:left w:val="single" w:sz="4" w:space="0" w:color="000000"/>
              <w:bottom w:val="single" w:sz="4" w:space="0" w:color="000000"/>
              <w:right w:val="single" w:sz="4" w:space="0" w:color="000000"/>
            </w:tcBorders>
            <w:shd w:val="clear" w:color="auto" w:fill="C7EDCC"/>
          </w:tcPr>
          <w:p>
            <w:pPr/>
          </w:p>
        </w:tc>
        <w:tc>
          <w:tcPr>
            <w:tcW w:w="2727" w:type="dxa"/>
            <w:vMerge/>
            <w:tcBorders>
              <w:left w:val="single" w:sz="4" w:space="0" w:color="000000"/>
              <w:bottom w:val="single" w:sz="4" w:space="0" w:color="000000"/>
              <w:right w:val="single" w:sz="4" w:space="0" w:color="000000"/>
            </w:tcBorders>
            <w:shd w:val="clear" w:color="auto" w:fill="C7EDCC"/>
          </w:tcPr>
          <w:p>
            <w:pPr/>
          </w:p>
        </w:tc>
        <w:tc>
          <w:tcPr>
            <w:tcW w:w="1096" w:type="dxa"/>
            <w:tcBorders>
              <w:top w:val="nil" w:sz="6" w:space="0" w:color="auto"/>
              <w:left w:val="single" w:sz="4" w:space="0" w:color="000000"/>
              <w:bottom w:val="single" w:sz="4" w:space="0" w:color="000000"/>
              <w:right w:val="single" w:sz="4" w:space="0" w:color="000000"/>
            </w:tcBorders>
            <w:shd w:val="clear" w:color="auto" w:fill="C7EDCC"/>
          </w:tcPr>
          <w:p>
            <w:pPr/>
          </w:p>
        </w:tc>
        <w:tc>
          <w:tcPr>
            <w:tcW w:w="1620" w:type="dxa"/>
            <w:vMerge/>
            <w:tcBorders>
              <w:left w:val="single" w:sz="10" w:space="0" w:color="C7EDCC"/>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376" w:type="dxa"/>
            <w:vMerge/>
            <w:tcBorders>
              <w:left w:val="single" w:sz="4" w:space="0" w:color="000000"/>
              <w:bottom w:val="single" w:sz="4" w:space="0" w:color="000000"/>
              <w:right w:val="single" w:sz="4" w:space="0" w:color="000000"/>
            </w:tcBorders>
          </w:tcPr>
          <w:p>
            <w:pPr/>
          </w:p>
        </w:tc>
      </w:tr>
      <w:tr>
        <w:trPr>
          <w:trHeight w:val="402" w:hRule="exact"/>
        </w:trPr>
        <w:tc>
          <w:tcPr>
            <w:tcW w:w="12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娄天峰</w:t>
            </w:r>
          </w:p>
        </w:tc>
        <w:tc>
          <w:tcPr>
            <w:tcW w:w="27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中交智能（北京）科技有限公司</w:t>
            </w:r>
          </w:p>
        </w:tc>
        <w:tc>
          <w:tcPr>
            <w:tcW w:w="10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right="6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205"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440" w:type="dxa"/>
            <w:gridSpan w:val="5"/>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92" w:hRule="exact"/>
        </w:trPr>
        <w:tc>
          <w:tcPr>
            <w:tcW w:w="1205" w:type="dxa"/>
            <w:vMerge/>
            <w:tcBorders>
              <w:left w:val="single" w:sz="4" w:space="0" w:color="000000"/>
              <w:right w:val="single" w:sz="9" w:space="0" w:color="C7EDCC"/>
            </w:tcBorders>
            <w:shd w:val="clear" w:color="auto" w:fill="D3D3D3"/>
          </w:tcPr>
          <w:p>
            <w:pPr/>
          </w:p>
        </w:tc>
        <w:tc>
          <w:tcPr>
            <w:tcW w:w="8440" w:type="dxa"/>
            <w:gridSpan w:val="5"/>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05" w:type="dxa"/>
            <w:vMerge/>
            <w:tcBorders>
              <w:left w:val="single" w:sz="4" w:space="0" w:color="000000"/>
              <w:bottom w:val="single" w:sz="4" w:space="0" w:color="000000"/>
              <w:right w:val="single" w:sz="9" w:space="0" w:color="C7EDCC"/>
            </w:tcBorders>
            <w:shd w:val="clear" w:color="auto" w:fill="D3D3D3"/>
          </w:tcPr>
          <w:p>
            <w:pPr/>
          </w:p>
        </w:tc>
        <w:tc>
          <w:tcPr>
            <w:tcW w:w="8440" w:type="dxa"/>
            <w:gridSpan w:val="5"/>
            <w:tcBorders>
              <w:top w:val="nil" w:sz="6" w:space="0" w:color="auto"/>
              <w:left w:val="single" w:sz="4" w:space="0" w:color="000000"/>
              <w:bottom w:val="single" w:sz="4" w:space="0" w:color="000000"/>
              <w:right w:val="single" w:sz="4" w:space="0" w:color="000000"/>
            </w:tcBorders>
            <w:shd w:val="clear" w:color="auto" w:fill="C7EDCC"/>
          </w:tcPr>
          <w:p>
            <w:pPr/>
          </w:p>
        </w:tc>
      </w:tr>
    </w:tbl>
    <w:p>
      <w:pPr>
        <w:pStyle w:val="BodyText"/>
        <w:spacing w:line="240" w:lineRule="auto" w:before="51"/>
        <w:ind w:left="154" w:right="141"/>
        <w:jc w:val="left"/>
      </w:pPr>
      <w:r>
        <w:rPr/>
        <w:t>公司现任及报告期内离任董事、监事和高级管理人员近三年证券监管机构处罚的情况</w:t>
      </w:r>
    </w:p>
    <w:p>
      <w:pPr>
        <w:pStyle w:val="BodyText"/>
        <w:spacing w:line="240" w:lineRule="auto" w:before="117"/>
        <w:ind w:right="141"/>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41"/>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41"/>
        <w:jc w:val="left"/>
      </w:pPr>
      <w:r>
        <w:rPr/>
        <w:t>董事、监事、高级管理人员报酬的决策程序、确定依据、实际支付情况 </w:t>
      </w:r>
      <w:r>
        <w:rPr>
          <w:spacing w:val="-2"/>
        </w:rPr>
        <w:t>公司独立董事的津贴由董事会审议后，经股东大会批准执行；公司非独立董事、监事、高级管理人员报酬按《岗位绩效工资</w:t>
      </w:r>
      <w:r>
        <w:rPr>
          <w:spacing w:val="-66"/>
        </w:rPr>
        <w:t> </w:t>
      </w:r>
      <w:r>
        <w:rPr>
          <w:spacing w:val="-66"/>
        </w:rPr>
      </w:r>
      <w:r>
        <w:rPr/>
        <w:t>制度实施细则》执行，按月发放，经年度考核后发放年度薪酬。</w:t>
      </w:r>
    </w:p>
    <w:p>
      <w:pPr>
        <w:pStyle w:val="BodyText"/>
        <w:spacing w:line="240" w:lineRule="auto" w:before="43"/>
        <w:ind w:right="141"/>
        <w:jc w:val="left"/>
      </w:pPr>
      <w:r>
        <w:rPr/>
        <w:t>公司报告期内董事、监事和高级管理人员报酬情况</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60"/>
        <w:gridCol w:w="2688"/>
        <w:gridCol w:w="912"/>
        <w:gridCol w:w="1007"/>
        <w:gridCol w:w="1080"/>
        <w:gridCol w:w="1260"/>
        <w:gridCol w:w="1367"/>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9"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李量</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王哲</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常务副总经理、总会计师</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娄天峰</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汤彰明</w:t>
            </w:r>
          </w:p>
        </w:tc>
        <w:tc>
          <w:tcPr>
            <w:tcW w:w="26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1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646.44</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54" w:right="141"/>
        <w:jc w:val="left"/>
      </w:pPr>
      <w:r>
        <w:rPr/>
        <w:t>公司董事、高级管理人员报告期内被授予的股权激励情况</w:t>
      </w:r>
    </w:p>
    <w:p>
      <w:pPr>
        <w:pStyle w:val="BodyText"/>
        <w:spacing w:line="240" w:lineRule="auto" w:before="116"/>
        <w:ind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2"/>
        <w:spacing w:line="240" w:lineRule="auto" w:before="133"/>
        <w:ind w:right="141"/>
        <w:jc w:val="left"/>
        <w:rPr>
          <w:b w:val="0"/>
          <w:bCs w:val="0"/>
        </w:rPr>
      </w:pPr>
      <w:r>
        <w:rPr/>
        <w:t>五、公司员工情况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2"/>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7"/>
        <w:gridCol w:w="4789"/>
      </w:tblGrid>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5,054</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1,534</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中专、中技及高中</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1,558</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初中及以下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0" w:firstLine="290"/>
        <w:jc w:val="both"/>
      </w:pPr>
      <w:r>
        <w:rPr/>
        <w:t>公司采用结构薪酬制，严格薪酬的计划预算管理，执行统一的薪酬结构。人力资源部根据各职位职员的职位评估结果， </w:t>
      </w:r>
      <w:r>
        <w:rPr>
          <w:spacing w:val="-2"/>
        </w:rPr>
        <w:t>评定相应职级，确定相应的薪酬等级，并依据职位者能力，由直接上级提出申请，按职位等级确定相应的薪酬档，经人力资</w:t>
      </w:r>
      <w:r>
        <w:rPr>
          <w:spacing w:val="-66"/>
        </w:rPr>
        <w:t> </w:t>
      </w:r>
      <w:r>
        <w:rPr>
          <w:spacing w:val="-66"/>
        </w:rPr>
      </w:r>
      <w:r>
        <w:rPr>
          <w:spacing w:val="-2"/>
        </w:rPr>
        <w:t>源部门审核，认定相应的薪酬等级和薪酬档之后报总经理审批后执行。公司根据经营情况，进行薪酬改革，通过绩效管理的</w:t>
      </w:r>
      <w:r>
        <w:rPr>
          <w:spacing w:val="-66"/>
        </w:rPr>
        <w:t> </w:t>
      </w:r>
      <w:r>
        <w:rPr>
          <w:spacing w:val="-66"/>
        </w:rPr>
      </w:r>
      <w:r>
        <w:rPr/>
        <w:t>提升和持续改进，不断提高员工收入，</w:t>
      </w:r>
      <w:r>
        <w:rPr>
          <w:spacing w:val="-19"/>
        </w:rPr>
        <w:t> </w:t>
      </w:r>
      <w:r>
        <w:rPr/>
        <w:t>实现员工专业能力、职业素养与工作业绩的提升，实现公司整体运营管理水平的提</w:t>
      </w:r>
      <w:r>
        <w:rPr/>
        <w:t> 升，实现公司价值与员工价值的同步成长，</w:t>
      </w:r>
      <w:r>
        <w:rPr>
          <w:spacing w:val="-19"/>
        </w:rPr>
        <w:t> </w:t>
      </w:r>
      <w:r>
        <w:rPr/>
        <w:t>逐步构建起符合公司特点与实际的短、中、长期激励与约束机制。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290"/>
        <w:jc w:val="left"/>
      </w:pPr>
      <w:r>
        <w:rPr/>
        <w:t>依据公司战略规划和发展目标，公司坚持完善中高层管理团队能力修炼计划、关键岗位继任者计划、管理培训生培养及 </w:t>
      </w:r>
      <w:r>
        <w:rPr>
          <w:spacing w:val="-2"/>
        </w:rPr>
        <w:t>员工日常技能培训四个模块的人员培训体系，形成由低到高的人才培养衔接机制，完善能力素质培养与专业技能培养结合机</w:t>
      </w:r>
      <w:r>
        <w:rPr>
          <w:spacing w:val="-64"/>
        </w:rPr>
        <w:t> </w:t>
      </w:r>
      <w:r>
        <w:rPr>
          <w:spacing w:val="-64"/>
        </w:rPr>
      </w:r>
      <w:r>
        <w:rPr>
          <w:spacing w:val="-4"/>
        </w:rPr>
        <w:t>制。其中，中高层管理团队能力修炼计划，通过先进的管理理念培训和指导，提升核心管理团队素质。关键岗位继任者计划，</w:t>
      </w:r>
      <w:r>
        <w:rPr>
          <w:spacing w:val="-44"/>
        </w:rPr>
        <w:t> </w:t>
      </w:r>
      <w:r>
        <w:rPr>
          <w:spacing w:val="-44"/>
        </w:rPr>
      </w:r>
      <w:r>
        <w:rPr>
          <w:spacing w:val="-2"/>
        </w:rPr>
        <w:t>主要是针对经理以上级岗位选拔和培养后备梯队，以保证公司快速发展中中层管理干部的人员供给。同时，继续完善管理培</w:t>
      </w:r>
      <w:r>
        <w:rPr>
          <w:spacing w:val="-66"/>
        </w:rPr>
        <w:t> </w:t>
      </w:r>
      <w:r>
        <w:rPr>
          <w:spacing w:val="-66"/>
        </w:rPr>
      </w:r>
      <w:r>
        <w:rPr>
          <w:spacing w:val="-2"/>
        </w:rPr>
        <w:t>训生招聘和培养体系，每年向企业各个岗位输送优秀的新鲜血液。在日常培训方面，把外部培训课程内化，丰富和完善公司</w:t>
      </w:r>
      <w:r>
        <w:rPr>
          <w:spacing w:val="-66"/>
        </w:rPr>
        <w:t> </w:t>
      </w:r>
      <w:r>
        <w:rPr>
          <w:spacing w:val="-66"/>
        </w:rPr>
      </w:r>
      <w:r>
        <w:rPr/>
        <w:t>内部网络培训资源，定期组织开展内部专业理理论和技能培训，使员工在企业始终得到能力的提升和锻炼。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4" w:right="189" w:firstLine="270"/>
        <w:jc w:val="both"/>
      </w:pPr>
      <w:r>
        <w:rPr/>
        <w:t>报告期内，公司严格按照《公司法》、《证券法》、《上市公司治理准则》、《深交所股票上市规则》等法律法规及有 </w:t>
      </w:r>
      <w:r>
        <w:rPr>
          <w:spacing w:val="-2"/>
        </w:rPr>
        <w:t>关上市公司治理规范性文件的要求，建立了完善的法人治理结构，公司运作规范。报告期内，根据公司实际运行情况修订了</w:t>
      </w:r>
      <w:r>
        <w:rPr>
          <w:spacing w:val="-66"/>
        </w:rPr>
        <w:t> </w:t>
      </w:r>
      <w:r>
        <w:rPr>
          <w:spacing w:val="-66"/>
        </w:rPr>
      </w:r>
      <w:r>
        <w:rPr/>
        <w:t>公司各项基本管理制度，同时对涉及公司治理的有关事项进行了调整和完善，具体如下：</w:t>
      </w:r>
    </w:p>
    <w:p>
      <w:pPr>
        <w:pStyle w:val="BodyText"/>
        <w:spacing w:line="300" w:lineRule="auto" w:before="56"/>
        <w:ind w:left="154" w:right="260" w:firstLine="300"/>
        <w:jc w:val="left"/>
      </w:pPr>
      <w:r>
        <w:rPr>
          <w:rFonts w:ascii="Times New Roman" w:hAnsi="Times New Roman" w:cs="Times New Roman" w:eastAsia="Times New Roman" w:hint="default"/>
        </w:rPr>
        <w:t>1</w:t>
      </w:r>
      <w:r>
        <w:rPr/>
        <w:t>、经公司六届十五次董事会和</w:t>
      </w:r>
      <w:r>
        <w:rPr>
          <w:rFonts w:ascii="Times New Roman" w:hAnsi="Times New Roman" w:cs="Times New Roman" w:eastAsia="Times New Roman" w:hint="default"/>
        </w:rPr>
        <w:t>2016</w:t>
      </w:r>
      <w:r>
        <w:rPr/>
        <w:t>年度股东大会审议，同意公司名称改为</w:t>
      </w:r>
      <w:r>
        <w:rPr>
          <w:rFonts w:ascii="Times New Roman" w:hAnsi="Times New Roman" w:cs="Times New Roman" w:eastAsia="Times New Roman" w:hint="default"/>
        </w:rPr>
        <w:t>“</w:t>
      </w:r>
      <w:r>
        <w:rPr/>
        <w:t>石家庄常山北明科技股份有限公司</w:t>
      </w:r>
      <w:r>
        <w:rPr>
          <w:rFonts w:ascii="Times New Roman" w:hAnsi="Times New Roman" w:cs="Times New Roman" w:eastAsia="Times New Roman" w:hint="default"/>
        </w:rPr>
        <w:t>”</w:t>
      </w:r>
      <w:r>
        <w:rPr/>
        <w:t>，对公 司经营范围进行了变更，对《公司章程》公司中英文名称、经营范围相关条款进行了修订；</w:t>
      </w:r>
    </w:p>
    <w:p>
      <w:pPr>
        <w:pStyle w:val="BodyText"/>
        <w:spacing w:line="300" w:lineRule="auto" w:before="31"/>
        <w:ind w:left="154" w:right="240" w:firstLine="300"/>
        <w:jc w:val="left"/>
      </w:pPr>
      <w:r>
        <w:rPr>
          <w:rFonts w:ascii="Times New Roman" w:hAnsi="Times New Roman" w:cs="Times New Roman" w:eastAsia="Times New Roman" w:hint="default"/>
        </w:rPr>
        <w:t>2</w:t>
      </w:r>
      <w:r>
        <w:rPr/>
        <w:t>、经公司六届十八次董事会和</w:t>
      </w:r>
      <w:r>
        <w:rPr>
          <w:rFonts w:ascii="Times New Roman" w:hAnsi="Times New Roman" w:cs="Times New Roman" w:eastAsia="Times New Roman" w:hint="default"/>
        </w:rPr>
        <w:t>2017</w:t>
      </w:r>
      <w:r>
        <w:rPr/>
        <w:t>年第二次临时股东大会审议通过，根据公司副董事长和经理层的职位设置等情况， 对《公司章程》进行了相关修订；</w:t>
      </w:r>
    </w:p>
    <w:p>
      <w:pPr>
        <w:pStyle w:val="BodyText"/>
        <w:spacing w:line="300" w:lineRule="auto" w:before="31"/>
        <w:ind w:left="154" w:right="240" w:firstLine="300"/>
        <w:jc w:val="left"/>
      </w:pPr>
      <w:r>
        <w:rPr>
          <w:rFonts w:ascii="Times New Roman" w:hAnsi="Times New Roman" w:cs="Times New Roman" w:eastAsia="Times New Roman" w:hint="default"/>
        </w:rPr>
        <w:t>3</w:t>
      </w:r>
      <w:r>
        <w:rPr/>
        <w:t>、经六届十八次董事会审议通过，对公司董事长、副董事长、总经理和副总经理等任职进行了调整，修订了《董事会 战略委员会实施细则》的部分条款；</w:t>
      </w:r>
    </w:p>
    <w:p>
      <w:pPr>
        <w:pStyle w:val="BodyText"/>
        <w:spacing w:line="300" w:lineRule="auto" w:before="31"/>
        <w:ind w:left="154" w:right="0" w:firstLine="300"/>
        <w:jc w:val="left"/>
      </w:pPr>
      <w:r>
        <w:rPr>
          <w:rFonts w:ascii="Times New Roman" w:hAnsi="Times New Roman" w:cs="Times New Roman" w:eastAsia="Times New Roman" w:hint="default"/>
          <w:spacing w:val="-1"/>
        </w:rPr>
        <w:t>4</w:t>
      </w:r>
      <w:r>
        <w:rPr>
          <w:spacing w:val="-1"/>
        </w:rPr>
        <w:t>、经六届二十二次董事会审议通过，调整了董事会各专门委员会成员组成，对公司《关联交易管理制度》进行了修改，</w:t>
      </w:r>
      <w:r>
        <w:rPr/>
        <w:t> 制订了《董事、监事、高级管理人员薪酬管理制度》，对公司内部管理机构设置进行了调整，公司证券简称变更为</w:t>
      </w:r>
      <w:r>
        <w:rPr>
          <w:rFonts w:ascii="Times New Roman" w:hAnsi="Times New Roman" w:cs="Times New Roman" w:eastAsia="Times New Roman" w:hint="default"/>
        </w:rPr>
        <w:t>“</w:t>
      </w:r>
      <w:r>
        <w:rPr/>
        <w:t>常山北 明</w:t>
      </w:r>
      <w:r>
        <w:rPr>
          <w:rFonts w:ascii="Times New Roman" w:hAnsi="Times New Roman" w:cs="Times New Roman" w:eastAsia="Times New Roman" w:hint="default"/>
        </w:rPr>
        <w:t>”</w:t>
      </w:r>
      <w:r>
        <w:rPr/>
        <w:t>，英文简称变更为</w:t>
      </w:r>
      <w:r>
        <w:rPr>
          <w:rFonts w:ascii="Times New Roman" w:hAnsi="Times New Roman" w:cs="Times New Roman" w:eastAsia="Times New Roman" w:hint="default"/>
        </w:rPr>
        <w:t>“CSBM”</w:t>
      </w:r>
      <w:r>
        <w:rPr/>
        <w:t>；</w:t>
      </w:r>
    </w:p>
    <w:p>
      <w:pPr>
        <w:pStyle w:val="BodyText"/>
        <w:spacing w:line="300" w:lineRule="auto" w:before="13"/>
        <w:ind w:left="154" w:right="0" w:firstLine="300"/>
        <w:jc w:val="left"/>
      </w:pPr>
      <w:r>
        <w:rPr>
          <w:rFonts w:ascii="Times New Roman" w:hAnsi="Times New Roman" w:cs="Times New Roman" w:eastAsia="Times New Roman" w:hint="default"/>
          <w:spacing w:val="-1"/>
        </w:rPr>
        <w:t>5</w:t>
      </w:r>
      <w:r>
        <w:rPr>
          <w:spacing w:val="-1"/>
        </w:rPr>
        <w:t>、经六届二十三次董事会和</w:t>
      </w:r>
      <w:r>
        <w:rPr>
          <w:rFonts w:ascii="Times New Roman" w:hAnsi="Times New Roman" w:cs="Times New Roman" w:eastAsia="Times New Roman" w:hint="default"/>
          <w:spacing w:val="-1"/>
        </w:rPr>
        <w:t>2017</w:t>
      </w:r>
      <w:r>
        <w:rPr>
          <w:spacing w:val="-1"/>
        </w:rPr>
        <w:t>年第</w:t>
      </w:r>
      <w:r>
        <w:rPr>
          <w:rFonts w:ascii="Times New Roman" w:hAnsi="Times New Roman" w:cs="Times New Roman" w:eastAsia="Times New Roman" w:hint="default"/>
          <w:spacing w:val="-1"/>
        </w:rPr>
        <w:t>3</w:t>
      </w:r>
      <w:r>
        <w:rPr>
          <w:spacing w:val="-1"/>
        </w:rPr>
        <w:t>次临时股东大会审议通过，根据公司公积金转增股本后的公司总股本，对《公司</w:t>
      </w:r>
      <w:r>
        <w:rPr/>
        <w:t> 章程》部分条款进行了修改。</w:t>
      </w:r>
    </w:p>
    <w:p>
      <w:pPr>
        <w:pStyle w:val="BodyText"/>
        <w:spacing w:line="240" w:lineRule="auto" w:before="72"/>
        <w:ind w:left="154" w:right="0"/>
        <w:jc w:val="left"/>
      </w:pPr>
      <w:r>
        <w:rPr/>
        <w:t>公司治理的实际状况与中国证监会发布的有关上市公司治理的规范性文件是否存在重大差异</w:t>
      </w:r>
    </w:p>
    <w:p>
      <w:pPr>
        <w:pStyle w:val="BodyText"/>
        <w:spacing w:line="340" w:lineRule="auto" w:before="116"/>
        <w:ind w:left="154" w:right="26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0" w:firstLine="360"/>
        <w:jc w:val="left"/>
      </w:pPr>
      <w:r>
        <w:rPr>
          <w:spacing w:val="-2"/>
        </w:rPr>
        <w:t>公司与控股股东在业务、人员、资产、机构、财务等方面做到了</w:t>
      </w:r>
      <w:r>
        <w:rPr>
          <w:rFonts w:ascii="Times New Roman" w:hAnsi="Times New Roman" w:cs="Times New Roman" w:eastAsia="Times New Roman" w:hint="default"/>
          <w:spacing w:val="-2"/>
        </w:rPr>
        <w:t>“</w:t>
      </w:r>
      <w:r>
        <w:rPr>
          <w:spacing w:val="-2"/>
        </w:rPr>
        <w:t>五分开</w:t>
      </w:r>
      <w:r>
        <w:rPr>
          <w:rFonts w:ascii="Times New Roman" w:hAnsi="Times New Roman" w:cs="Times New Roman" w:eastAsia="Times New Roman" w:hint="default"/>
          <w:spacing w:val="-2"/>
        </w:rPr>
        <w:t>”</w:t>
      </w:r>
      <w:r>
        <w:rPr>
          <w:spacing w:val="-2"/>
        </w:rPr>
        <w:t>，公司独立核算、独立纳税、独立承担责任和</w:t>
      </w:r>
      <w:r>
        <w:rPr/>
        <w:t> 风险，具有独立完整的业务与自主经营能力。</w:t>
      </w:r>
    </w:p>
    <w:p>
      <w:pPr>
        <w:pStyle w:val="BodyText"/>
        <w:spacing w:line="240" w:lineRule="auto" w:before="69"/>
        <w:ind w:left="514" w:right="0"/>
        <w:jc w:val="left"/>
      </w:pPr>
      <w:r>
        <w:rPr>
          <w:rFonts w:ascii="Times New Roman" w:hAnsi="Times New Roman" w:cs="Times New Roman" w:eastAsia="Times New Roman" w:hint="default"/>
        </w:rPr>
        <w:t>1</w:t>
      </w:r>
      <w:r>
        <w:rPr/>
        <w:t>、业务方面：公司在业务上与控股股东完全分开，具有完全独立的产、供、销系统和自主独立的经营能力。</w:t>
      </w:r>
    </w:p>
    <w:p>
      <w:pPr>
        <w:pStyle w:val="BodyText"/>
        <w:spacing w:line="240" w:lineRule="auto" w:before="102"/>
        <w:ind w:left="514" w:right="0"/>
        <w:jc w:val="left"/>
      </w:pPr>
      <w:r>
        <w:rPr>
          <w:rFonts w:ascii="Times New Roman" w:hAnsi="Times New Roman" w:cs="Times New Roman" w:eastAsia="Times New Roman" w:hint="default"/>
        </w:rPr>
        <w:t>2</w:t>
      </w:r>
      <w:r>
        <w:rPr/>
        <w:t>、人员方面：公司在劳动、人事、工资等人力资源方面完全独立，具有独立完整的自主能力。</w:t>
      </w:r>
    </w:p>
    <w:p>
      <w:pPr>
        <w:pStyle w:val="BodyText"/>
        <w:spacing w:line="302" w:lineRule="auto" w:before="102"/>
        <w:ind w:left="154" w:right="180" w:firstLine="360"/>
        <w:jc w:val="left"/>
      </w:pPr>
      <w:r>
        <w:rPr>
          <w:rFonts w:ascii="Times New Roman" w:hAnsi="Times New Roman" w:cs="Times New Roman" w:eastAsia="Times New Roman" w:hint="default"/>
        </w:rPr>
        <w:t>3</w:t>
      </w:r>
      <w:r>
        <w:rPr/>
        <w:t>、资产方面：公司具有完整的、独立的法人财产权，拥有独立、完善的生产、辅助生产和配套设施；对商标、专利技 术等无形资产具有独立所有权。</w:t>
      </w:r>
    </w:p>
    <w:p>
      <w:pPr>
        <w:pStyle w:val="BodyText"/>
        <w:spacing w:line="240" w:lineRule="auto" w:before="69"/>
        <w:ind w:left="514" w:right="0"/>
        <w:jc w:val="left"/>
      </w:pPr>
      <w:r>
        <w:rPr>
          <w:rFonts w:ascii="Times New Roman" w:hAnsi="Times New Roman" w:cs="Times New Roman" w:eastAsia="Times New Roman" w:hint="default"/>
        </w:rPr>
        <w:t>4</w:t>
      </w:r>
      <w:r>
        <w:rPr/>
        <w:t>、机构方面：公司组织机构独立、完善，不存在与控股股东合署办公的情况。</w:t>
      </w:r>
    </w:p>
    <w:p>
      <w:pPr>
        <w:pStyle w:val="BodyText"/>
        <w:spacing w:line="240" w:lineRule="auto" w:before="102"/>
        <w:ind w:left="444" w:right="0"/>
        <w:jc w:val="left"/>
      </w:pPr>
      <w:r>
        <w:rPr>
          <w:rFonts w:ascii="Times New Roman" w:hAnsi="Times New Roman" w:cs="Times New Roman" w:eastAsia="Times New Roman" w:hint="default"/>
        </w:rPr>
        <w:t>5</w:t>
      </w:r>
      <w:r>
        <w:rPr/>
        <w:t>、财务方面：公司具有独立的财务部门，有规范的财务核算体系和财务管理制度、内控制度，有独立的银行账户。</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after="0" w:line="240" w:lineRule="auto"/>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1"/>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60"/>
        <w:gridCol w:w="900"/>
        <w:gridCol w:w="876"/>
        <w:gridCol w:w="1594"/>
        <w:gridCol w:w="1595"/>
        <w:gridCol w:w="3304"/>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1" w:right="72"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1"/>
              <w:ind w:left="22"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次临时股东大会决议公告》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2017-017</w:t>
            </w:r>
            <w:r>
              <w:rPr>
                <w:rFonts w:ascii="宋体" w:hAnsi="宋体" w:cs="宋体" w:eastAsia="宋体" w:hint="default"/>
                <w:sz w:val="18"/>
                <w:szCs w:val="18"/>
              </w:rPr>
              <w:t>）</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年度股东 大会</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2017-038</w:t>
            </w:r>
            <w:r>
              <w:rPr>
                <w:rFonts w:ascii="宋体" w:hAnsi="宋体" w:cs="宋体" w:eastAsia="宋体" w:hint="default"/>
                <w:sz w:val="18"/>
                <w:szCs w:val="18"/>
              </w:rPr>
              <w:t>）</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1"/>
              <w:ind w:left="22"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次临时股东大会决议公告》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2017-054</w:t>
            </w:r>
            <w:r>
              <w:rPr>
                <w:rFonts w:ascii="宋体" w:hAnsi="宋体" w:cs="宋体" w:eastAsia="宋体" w:hint="default"/>
                <w:sz w:val="18"/>
                <w:szCs w:val="18"/>
              </w:rPr>
              <w:t>）</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 临时股东大会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pStyle w:val="TableParagraph"/>
              <w:spacing w:line="240" w:lineRule="auto" w:before="61"/>
              <w:ind w:left="22"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次临时股东大会决议公告》</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2017-085</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41"/>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7"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7"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54" w:right="141"/>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41"/>
        <w:jc w:val="left"/>
      </w:pPr>
      <w:r>
        <w:rPr/>
        <w:t>独立董事对公司有关事项是否提出异议</w:t>
      </w:r>
    </w:p>
    <w:p>
      <w:pPr>
        <w:pStyle w:val="BodyText"/>
        <w:spacing w:line="240" w:lineRule="auto" w:before="117"/>
        <w:ind w:right="141"/>
        <w:jc w:val="left"/>
      </w:pPr>
      <w:r>
        <w:rPr/>
        <w:t>□ 是 √ 否</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报告期内独立董事对公司有关事项未提出异议。</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独立董事对公司有关建议是否被采纳</w:t>
      </w:r>
    </w:p>
    <w:p>
      <w:pPr>
        <w:pStyle w:val="BodyText"/>
        <w:spacing w:line="360" w:lineRule="auto" w:before="116"/>
        <w:ind w:right="5851"/>
        <w:jc w:val="left"/>
      </w:pPr>
      <w:r>
        <w:rPr/>
        <w:t>√ 是 □ 否 独立董事对公司有关建议被采纳或未被采纳的说明</w:t>
      </w:r>
    </w:p>
    <w:p>
      <w:pPr>
        <w:pStyle w:val="BodyText"/>
        <w:spacing w:line="319" w:lineRule="auto" w:before="25"/>
        <w:ind w:right="189" w:firstLine="360"/>
        <w:jc w:val="both"/>
      </w:pPr>
      <w:r>
        <w:rPr>
          <w:spacing w:val="-2"/>
        </w:rPr>
        <w:t>公司独立董事经常通过询问或实地考察的方式了解公司日常生产经营情况。同时，关注报纸、网络等媒体有关公司的宣</w:t>
      </w:r>
      <w:r>
        <w:rPr/>
        <w:t> </w:t>
      </w:r>
      <w:r>
        <w:rPr>
          <w:spacing w:val="-2"/>
        </w:rPr>
        <w:t>传和报道，及时获悉公司的运行动态。报告期内，公司独立董事对公司的重大决策提供了专业性意见，对公司财务及日常经</w:t>
      </w:r>
      <w:r>
        <w:rPr>
          <w:spacing w:val="-66"/>
        </w:rPr>
        <w:t> </w:t>
      </w:r>
      <w:r>
        <w:rPr>
          <w:spacing w:val="-66"/>
        </w:rPr>
      </w:r>
      <w:r>
        <w:rPr>
          <w:spacing w:val="-2"/>
        </w:rPr>
        <w:t>营活动进行了有效监督，对报告期内公司发生的各项需要独立董事发表意见的事项出具了独立、公正的独立董事意见，提高</w:t>
      </w:r>
      <w:r>
        <w:rPr>
          <w:spacing w:val="-66"/>
        </w:rPr>
        <w:t> </w:t>
      </w:r>
      <w:r>
        <w:rPr>
          <w:spacing w:val="-66"/>
        </w:rPr>
      </w:r>
      <w:r>
        <w:rPr/>
        <w:t>了公司决策的能力，对完善公司管理和监督机制发挥应有的作用。</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1" w:firstLine="360"/>
        <w:jc w:val="left"/>
      </w:pPr>
      <w:r>
        <w:rPr/>
        <w:t>报告期内，董事会专门委员会共召开</w:t>
      </w:r>
      <w:r>
        <w:rPr>
          <w:rFonts w:ascii="Times New Roman" w:hAnsi="Times New Roman" w:cs="Times New Roman" w:eastAsia="Times New Roman" w:hint="default"/>
        </w:rPr>
        <w:t>8</w:t>
      </w:r>
      <w:r>
        <w:rPr/>
        <w:t>次会议。其中，董事会战略委员会召开两次会议，分别审议通过了由李锋先生代 </w:t>
      </w:r>
      <w:r>
        <w:rPr>
          <w:spacing w:val="-2"/>
        </w:rPr>
        <w:t>行董事会战略委员会主任职责和选举李锋先生担任董事会战略委员会主任的议案；薪酬与考核委员会召开一次会议，审议通</w:t>
      </w:r>
      <w:r>
        <w:rPr>
          <w:spacing w:val="-64"/>
        </w:rPr>
        <w:t> </w:t>
      </w:r>
      <w:r>
        <w:rPr>
          <w:spacing w:val="-64"/>
        </w:rPr>
      </w:r>
      <w:r>
        <w:rPr>
          <w:spacing w:val="-2"/>
        </w:rPr>
        <w:t>过了公司《董事、监事、高级管理人员薪酬管理制度》；提名委员会召开一次会议，推荐了公司董事、董事长、副董事长及</w:t>
      </w:r>
      <w:r>
        <w:rPr>
          <w:spacing w:val="-67"/>
        </w:rPr>
        <w:t> </w:t>
      </w:r>
      <w:r>
        <w:rPr>
          <w:spacing w:val="-67"/>
        </w:rPr>
      </w:r>
      <w:r>
        <w:rPr/>
        <w:t>经理人选。审计委员会召开四次会议，审议了包括计提资产减值准备、定期报告、内部控制评价报告、年度审计工作报告、 </w:t>
      </w:r>
      <w:r>
        <w:rPr>
          <w:spacing w:val="-2"/>
        </w:rPr>
        <w:t>关联交易、对外担保、聘任会计师事务所、募集资金存放与使用情况、业绩承诺完成情况、会计政策变更等事项，出具了审</w:t>
      </w:r>
      <w:r>
        <w:rPr>
          <w:spacing w:val="-68"/>
        </w:rPr>
        <w:t> </w:t>
      </w:r>
      <w:r>
        <w:rPr>
          <w:spacing w:val="-68"/>
        </w:rPr>
      </w:r>
      <w:r>
        <w:rPr>
          <w:spacing w:val="-2"/>
        </w:rPr>
        <w:t>计委员会意见。在年度审计过程中，审计委员会能够认真履行督导职责，采用电话和书面方式通知年审会计师事务所项目负</w:t>
      </w:r>
      <w:r>
        <w:rPr>
          <w:spacing w:val="-66"/>
        </w:rPr>
        <w:t> </w:t>
      </w:r>
      <w:r>
        <w:rPr>
          <w:spacing w:val="-66"/>
        </w:rPr>
      </w:r>
      <w:r>
        <w:rPr>
          <w:spacing w:val="-2"/>
        </w:rPr>
        <w:t>责人，督促其提交初步审计意见和审计报告，确保了公司审计报告的按时完成。充分发挥了审计委员会在定期报告编制、财</w:t>
      </w:r>
      <w:r>
        <w:rPr>
          <w:spacing w:val="-66"/>
        </w:rPr>
        <w:t> </w:t>
      </w:r>
      <w:r>
        <w:rPr>
          <w:spacing w:val="-66"/>
        </w:rPr>
      </w:r>
      <w:r>
        <w:rPr/>
        <w:t>务风险和信息披露方面的监督作用。</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57" w:lineRule="auto" w:before="117"/>
        <w:ind w:right="6751"/>
        <w:jc w:val="left"/>
      </w:pPr>
      <w:r>
        <w:rPr/>
        <w:t>□ 是 √ 否 监事会对报告期内的监督事项无异议。</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1" w:firstLine="290"/>
        <w:jc w:val="both"/>
      </w:pPr>
      <w:r>
        <w:rPr>
          <w:spacing w:val="-1"/>
        </w:rPr>
        <w:t>公司高度重视对高级管理人员的绩效考评工作，制定了《董事、监事和高级管理人员薪酬管理制度》逐步完善高级管理</w:t>
      </w:r>
      <w:r>
        <w:rPr/>
        <w:t> </w:t>
      </w:r>
      <w:r>
        <w:rPr>
          <w:spacing w:val="-2"/>
        </w:rPr>
        <w:t>人员的考评与激励机制。公司董事会根据下达的年度经营业绩指标，对高级管理人员实行收入与公司利润指标和销售收入双</w:t>
      </w:r>
      <w:r>
        <w:rPr>
          <w:spacing w:val="-64"/>
        </w:rPr>
        <w:t> </w:t>
      </w:r>
      <w:r>
        <w:rPr>
          <w:spacing w:val="-64"/>
        </w:rPr>
      </w:r>
      <w:r>
        <w:rPr/>
        <w:t>挂钩的考核激励办法，并按一定比例交纳风险抵押金，按年度进行考核。</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九、内部控制情况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 是 √ 否</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4"/>
          <w:szCs w:val="24"/>
        </w:rPr>
      </w:pPr>
      <w:r>
        <w:rPr/>
        <w:pict>
          <v:shape style="position:absolute;margin-left:56.459999pt;margin-top:102.659958pt;width:486.3pt;height:658.95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3966"/>
                    <w:gridCol w:w="305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701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7018" w:type="dxa"/>
                        <w:gridSpan w:val="2"/>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年度内部控制自我评价报告》详见</w:t>
                        </w:r>
                        <w:r>
                          <w:rPr>
                            <w:rFonts w:ascii="宋体" w:hAnsi="宋体" w:cs="宋体" w:eastAsia="宋体" w:hint="default"/>
                            <w:spacing w:val="-14"/>
                            <w:sz w:val="18"/>
                            <w:szCs w:val="18"/>
                          </w:rPr>
                          <w:t> </w:t>
                        </w: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701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701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71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6"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966" w:type="dxa"/>
                        <w:vMerge w:val="restart"/>
                        <w:tcBorders>
                          <w:top w:val="single" w:sz="4" w:space="0" w:color="000000"/>
                          <w:left w:val="single" w:sz="10" w:space="0" w:color="D3D3D3"/>
                          <w:right w:val="single" w:sz="4" w:space="0" w:color="000000"/>
                        </w:tcBorders>
                        <w:shd w:val="clear" w:color="auto" w:fill="C7EDCC"/>
                      </w:tcPr>
                      <w:p>
                        <w:pPr>
                          <w:pStyle w:val="TableParagraph"/>
                          <w:spacing w:line="240" w:lineRule="auto" w:before="51"/>
                          <w:ind w:left="21" w:right="-33"/>
                          <w:jc w:val="lef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）董事、监事和高级管理人员舞弊；</w:t>
                        </w:r>
                      </w:p>
                      <w:p>
                        <w:pPr>
                          <w:pStyle w:val="TableParagraph"/>
                          <w:spacing w:line="309" w:lineRule="auto" w:before="61"/>
                          <w:ind w:left="21" w:right="-3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）企业更正已公布的财务报告；（</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w:t>
                        </w:r>
                        <w:r>
                          <w:rPr>
                            <w:rFonts w:ascii="宋体" w:hAnsi="宋体" w:cs="宋体" w:eastAsia="宋体" w:hint="default"/>
                            <w:sz w:val="18"/>
                            <w:szCs w:val="18"/>
                          </w:rPr>
                          <w:t> 师发现当期财务报告存在重大错报而内部控制在 </w:t>
                        </w:r>
                        <w:r>
                          <w:rPr>
                            <w:rFonts w:ascii="宋体" w:hAnsi="宋体" w:cs="宋体" w:eastAsia="宋体" w:hint="default"/>
                            <w:spacing w:val="-7"/>
                            <w:sz w:val="18"/>
                            <w:szCs w:val="18"/>
                          </w:rPr>
                          <w:t>运行过程中未能发现该错报；（</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）企业审计委员会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和内部审计机构对内部控制的监督无效。重要缺 </w:t>
                        </w:r>
                        <w:r>
                          <w:rPr>
                            <w:rFonts w:ascii="宋体" w:hAnsi="宋体" w:cs="宋体" w:eastAsia="宋体" w:hint="default"/>
                            <w:spacing w:val="-12"/>
                            <w:sz w:val="18"/>
                            <w:szCs w:val="18"/>
                          </w:rPr>
                          <w:t>陷：（</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）未依照公认会计准则选择和应用会计政策；</w:t>
                        </w:r>
                        <w:r>
                          <w:rPr>
                            <w:rFonts w:ascii="宋体" w:hAnsi="宋体" w:cs="宋体" w:eastAsia="宋体" w:hint="default"/>
                            <w:sz w:val="18"/>
                            <w:szCs w:val="18"/>
                          </w:rPr>
                        </w:r>
                      </w:p>
                      <w:p>
                        <w:pPr>
                          <w:pStyle w:val="TableParagraph"/>
                          <w:spacing w:line="312" w:lineRule="auto" w:before="5"/>
                          <w:ind w:left="21" w:right="23"/>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）未建立反舞弊程序和控制措施；（</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w:t>
                        </w:r>
                        <w:r>
                          <w:rPr>
                            <w:rFonts w:ascii="宋体" w:hAnsi="宋体" w:cs="宋体" w:eastAsia="宋体" w:hint="default"/>
                            <w:sz w:val="18"/>
                            <w:szCs w:val="18"/>
                          </w:rPr>
                          <w:t> 常规或特殊交易的账务处理没有建立相应的控制 </w:t>
                        </w:r>
                        <w:r>
                          <w:rPr>
                            <w:rFonts w:ascii="宋体" w:hAnsi="宋体" w:cs="宋体" w:eastAsia="宋体" w:hint="default"/>
                            <w:spacing w:val="-8"/>
                            <w:sz w:val="18"/>
                            <w:szCs w:val="18"/>
                          </w:rPr>
                          <w:t>机制或没有实施且没有相应的补偿性控制；（</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）对</w:t>
                        </w:r>
                        <w:r>
                          <w:rPr>
                            <w:rFonts w:ascii="宋体" w:hAnsi="宋体" w:cs="宋体" w:eastAsia="宋体" w:hint="default"/>
                            <w:spacing w:val="-80"/>
                            <w:sz w:val="18"/>
                            <w:szCs w:val="18"/>
                          </w:rPr>
                          <w:t> </w:t>
                        </w:r>
                        <w:r>
                          <w:rPr>
                            <w:rFonts w:ascii="宋体" w:hAnsi="宋体" w:cs="宋体" w:eastAsia="宋体" w:hint="default"/>
                            <w:sz w:val="18"/>
                            <w:szCs w:val="18"/>
                          </w:rPr>
                          <w:t>于期末财务报告过程的控制存在一项或多项缺陷</w:t>
                        </w:r>
                        <w:r>
                          <w:rPr>
                            <w:rFonts w:ascii="宋体" w:hAnsi="宋体" w:cs="宋体" w:eastAsia="宋体" w:hint="default"/>
                            <w:sz w:val="18"/>
                            <w:szCs w:val="18"/>
                          </w:rPr>
                          <w:t> </w:t>
                        </w:r>
                        <w:r>
                          <w:rPr>
                            <w:rFonts w:ascii="宋体" w:hAnsi="宋体" w:cs="宋体" w:eastAsia="宋体" w:hint="default"/>
                            <w:spacing w:val="-3"/>
                            <w:sz w:val="18"/>
                            <w:szCs w:val="18"/>
                          </w:rPr>
                          <w:t>且不能合理保证编制的财务报表达到真实、准确的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目标。 一般缺陷：未构成重大缺陷、重要缺陷标 准的其他内部控制缺陷。</w:t>
                        </w:r>
                      </w:p>
                    </w:tc>
                    <w:tc>
                      <w:tcPr>
                        <w:tcW w:w="3052"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17"/>
                          <w:jc w:val="both"/>
                          <w:rPr>
                            <w:rFonts w:ascii="宋体" w:hAnsi="宋体" w:cs="宋体" w:eastAsia="宋体" w:hint="default"/>
                            <w:sz w:val="18"/>
                            <w:szCs w:val="18"/>
                          </w:rPr>
                        </w:pPr>
                        <w:r>
                          <w:rPr>
                            <w:rFonts w:ascii="宋体" w:hAnsi="宋体" w:cs="宋体" w:eastAsia="宋体" w:hint="default"/>
                            <w:spacing w:val="-4"/>
                            <w:sz w:val="18"/>
                            <w:szCs w:val="18"/>
                          </w:rPr>
                          <w:t>重大缺陷：违犯国家法律法规或规范性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文件、重大决策程序不科学、制度缺失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可能导致系统性失效、关键岗位人员流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失严重、被媒体频频曝光负面新闻、重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大缺陷不能得到整改。重要缺陷：违反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企业内部规章、重要业务缺乏制度控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制、被媒体曝光负面新闻、较重要业务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缺乏制度控制或制度系统性失效、重要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缺陷的事项未得到整改。一般缺陷：未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构成重大缺陷、重要缺陷标准的其他内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部控制缺陷。</w:t>
                        </w:r>
                      </w:p>
                    </w:tc>
                  </w:tr>
                  <w:tr>
                    <w:trPr>
                      <w:trHeight w:val="393"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966" w:type="dxa"/>
                        <w:vMerge/>
                        <w:tcBorders>
                          <w:left w:val="single" w:sz="10" w:space="0" w:color="D3D3D3"/>
                          <w:right w:val="single" w:sz="4" w:space="0" w:color="000000"/>
                        </w:tcBorders>
                        <w:shd w:val="clear" w:color="auto" w:fill="C7EDCC"/>
                      </w:tcPr>
                      <w:p>
                        <w:pPr/>
                      </w:p>
                    </w:tc>
                    <w:tc>
                      <w:tcPr>
                        <w:tcW w:w="3052" w:type="dxa"/>
                        <w:vMerge/>
                        <w:tcBorders>
                          <w:left w:val="single" w:sz="4" w:space="0" w:color="000000"/>
                          <w:right w:val="single" w:sz="4" w:space="0" w:color="000000"/>
                        </w:tcBorders>
                        <w:shd w:val="clear" w:color="auto" w:fill="C7EDCC"/>
                      </w:tcPr>
                      <w:p>
                        <w:pPr/>
                      </w:p>
                    </w:tc>
                  </w:tr>
                  <w:tr>
                    <w:trPr>
                      <w:trHeight w:val="1876"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966" w:type="dxa"/>
                        <w:vMerge/>
                        <w:tcBorders>
                          <w:left w:val="single" w:sz="10" w:space="0" w:color="D3D3D3"/>
                          <w:bottom w:val="single" w:sz="4" w:space="0" w:color="000000"/>
                          <w:right w:val="single" w:sz="4" w:space="0" w:color="000000"/>
                        </w:tcBorders>
                        <w:shd w:val="clear" w:color="auto" w:fill="C7EDCC"/>
                      </w:tcPr>
                      <w:p>
                        <w:pPr/>
                      </w:p>
                    </w:tc>
                    <w:tc>
                      <w:tcPr>
                        <w:tcW w:w="3052" w:type="dxa"/>
                        <w:vMerge/>
                        <w:tcBorders>
                          <w:left w:val="single" w:sz="4" w:space="0" w:color="000000"/>
                          <w:bottom w:val="single" w:sz="4" w:space="0" w:color="000000"/>
                          <w:right w:val="single" w:sz="4" w:space="0" w:color="000000"/>
                        </w:tcBorders>
                        <w:shd w:val="clear" w:color="auto" w:fill="C7EDCC"/>
                      </w:tcPr>
                      <w:p>
                        <w:pPr/>
                      </w:p>
                    </w:tc>
                  </w:tr>
                  <w:tr>
                    <w:trPr>
                      <w:trHeight w:val="1992"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966" w:type="dxa"/>
                        <w:vMerge w:val="restart"/>
                        <w:tcBorders>
                          <w:top w:val="single" w:sz="4" w:space="0" w:color="000000"/>
                          <w:left w:val="single" w:sz="10" w:space="0" w:color="D3D3D3"/>
                          <w:right w:val="single" w:sz="4" w:space="0" w:color="000000"/>
                        </w:tcBorders>
                        <w:shd w:val="clear" w:color="auto" w:fill="C7EDCC"/>
                      </w:tcPr>
                      <w:p>
                        <w:pPr>
                          <w:pStyle w:val="TableParagraph"/>
                          <w:spacing w:line="309" w:lineRule="auto" w:before="10"/>
                          <w:ind w:left="21" w:right="20"/>
                          <w:jc w:val="left"/>
                          <w:rPr>
                            <w:rFonts w:ascii="宋体" w:hAnsi="宋体" w:cs="宋体" w:eastAsia="宋体" w:hint="default"/>
                            <w:sz w:val="18"/>
                            <w:szCs w:val="18"/>
                          </w:rPr>
                        </w:pPr>
                        <w:r>
                          <w:rPr>
                            <w:rFonts w:ascii="宋体" w:hAnsi="宋体" w:cs="宋体" w:eastAsia="宋体" w:hint="default"/>
                            <w:spacing w:val="-3"/>
                            <w:sz w:val="18"/>
                            <w:szCs w:val="18"/>
                          </w:rPr>
                          <w:t>定量标准以税前利润、所有者权益总额作为衡量指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标。内部控制缺陷可能导致或导致的损失与利润表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相关的，以税前利润指标衡量。如果该缺陷单独或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连同其他缺陷可能导致的财务报告错报金额小于 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，则认定为一般缺陷；如果超过税 前利润的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，则为重要缺陷；如果超过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，则认定为重大缺陷。内部控制缺 </w:t>
                        </w:r>
                        <w:r>
                          <w:rPr>
                            <w:rFonts w:ascii="宋体" w:hAnsi="宋体" w:cs="宋体" w:eastAsia="宋体" w:hint="default"/>
                            <w:spacing w:val="-3"/>
                            <w:sz w:val="18"/>
                            <w:szCs w:val="18"/>
                          </w:rPr>
                          <w:t>陷可能导致或导致的损失与资产管理相关的，以所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有者权益总额指标衡量。如果该缺陷单独或连同其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他缺陷可能导致的财务报告错报金额小于所有者 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，则认定为一般缺陷；如果超过 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认定为重要缺 陷；如果超过所有者权益总额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，则认定为重 大缺陷。</w:t>
                        </w:r>
                      </w:p>
                    </w:tc>
                    <w:tc>
                      <w:tcPr>
                        <w:tcW w:w="3052" w:type="dxa"/>
                        <w:vMerge w:val="restart"/>
                        <w:tcBorders>
                          <w:top w:val="single" w:sz="4" w:space="0" w:color="000000"/>
                          <w:left w:val="single" w:sz="4" w:space="0" w:color="000000"/>
                          <w:right w:val="single" w:sz="4" w:space="0" w:color="000000"/>
                        </w:tcBorders>
                        <w:shd w:val="clear" w:color="auto" w:fill="C7EDCC"/>
                      </w:tcPr>
                      <w:p>
                        <w:pPr>
                          <w:pStyle w:val="TableParagraph"/>
                          <w:spacing w:line="312"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重大缺陷：≥所有者权益总额</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或 </w:t>
                        </w:r>
                        <w:r>
                          <w:rPr>
                            <w:rFonts w:ascii="宋体" w:hAnsi="宋体" w:cs="宋体" w:eastAsia="宋体" w:hint="default"/>
                            <w:spacing w:val="7"/>
                            <w:sz w:val="18"/>
                            <w:szCs w:val="18"/>
                          </w:rPr>
                          <w:t>已经对外正式披露并对公司定期报告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披露造成负面影响；企业关键岗位人员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流失严重；被媒体频频曝光负面新闻 重要缺陷：所有者权益总额</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≤直</w:t>
                        </w:r>
                        <w:r>
                          <w:rPr>
                            <w:rFonts w:ascii="宋体" w:hAnsi="宋体" w:cs="宋体" w:eastAsia="宋体" w:hint="default"/>
                            <w:spacing w:val="1"/>
                            <w:sz w:val="18"/>
                            <w:szCs w:val="18"/>
                          </w:rPr>
                          <w:t> </w:t>
                        </w:r>
                        <w:r>
                          <w:rPr>
                            <w:rFonts w:ascii="宋体" w:hAnsi="宋体" w:cs="宋体" w:eastAsia="宋体" w:hint="default"/>
                            <w:sz w:val="18"/>
                            <w:szCs w:val="18"/>
                          </w:rPr>
                          <w:t>接损失＜所有者权益总额</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或受到</w:t>
                        </w:r>
                        <w:r>
                          <w:rPr>
                            <w:rFonts w:ascii="宋体" w:hAnsi="宋体" w:cs="宋体" w:eastAsia="宋体" w:hint="default"/>
                            <w:spacing w:val="1"/>
                            <w:sz w:val="18"/>
                            <w:szCs w:val="18"/>
                          </w:rPr>
                          <w:t> </w:t>
                        </w:r>
                        <w:r>
                          <w:rPr>
                            <w:rFonts w:ascii="宋体" w:hAnsi="宋体" w:cs="宋体" w:eastAsia="宋体" w:hint="default"/>
                            <w:spacing w:val="-4"/>
                            <w:sz w:val="18"/>
                            <w:szCs w:val="18"/>
                          </w:rPr>
                          <w:t>国家政府部门处罚，但未对公司定期报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告披露造成负面影响；被媒体曝光且产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生负面影响。一般缺陷：＜所有者权益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或受到省级（含省级）以下</w:t>
                        </w:r>
                        <w:r>
                          <w:rPr>
                            <w:rFonts w:ascii="宋体" w:hAnsi="宋体" w:cs="宋体" w:eastAsia="宋体" w:hint="default"/>
                            <w:spacing w:val="1"/>
                            <w:sz w:val="18"/>
                            <w:szCs w:val="18"/>
                          </w:rPr>
                          <w:t> </w:t>
                        </w:r>
                        <w:r>
                          <w:rPr>
                            <w:rFonts w:ascii="宋体" w:hAnsi="宋体" w:cs="宋体" w:eastAsia="宋体" w:hint="default"/>
                            <w:spacing w:val="7"/>
                            <w:sz w:val="18"/>
                            <w:szCs w:val="18"/>
                          </w:rPr>
                          <w:t>政府部门处罚但未对公司定期报告披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露造成负面影响。</w:t>
                        </w:r>
                      </w:p>
                    </w:tc>
                  </w:tr>
                  <w:tr>
                    <w:trPr>
                      <w:trHeight w:val="39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966" w:type="dxa"/>
                        <w:vMerge/>
                        <w:tcBorders>
                          <w:left w:val="single" w:sz="10" w:space="0" w:color="D3D3D3"/>
                          <w:right w:val="single" w:sz="4" w:space="0" w:color="000000"/>
                        </w:tcBorders>
                        <w:shd w:val="clear" w:color="auto" w:fill="C7EDCC"/>
                      </w:tcPr>
                      <w:p>
                        <w:pPr/>
                      </w:p>
                    </w:tc>
                    <w:tc>
                      <w:tcPr>
                        <w:tcW w:w="3052" w:type="dxa"/>
                        <w:vMerge/>
                        <w:tcBorders>
                          <w:left w:val="single" w:sz="4" w:space="0" w:color="000000"/>
                          <w:right w:val="single" w:sz="4" w:space="0" w:color="000000"/>
                        </w:tcBorders>
                        <w:shd w:val="clear" w:color="auto" w:fill="C7EDCC"/>
                      </w:tcPr>
                      <w:p>
                        <w:pPr/>
                      </w:p>
                    </w:tc>
                  </w:tr>
                  <w:tr>
                    <w:trPr>
                      <w:trHeight w:val="1993"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966" w:type="dxa"/>
                        <w:vMerge/>
                        <w:tcBorders>
                          <w:left w:val="single" w:sz="10" w:space="0" w:color="D3D3D3"/>
                          <w:bottom w:val="single" w:sz="4" w:space="0" w:color="000000"/>
                          <w:right w:val="single" w:sz="4" w:space="0" w:color="000000"/>
                        </w:tcBorders>
                        <w:shd w:val="clear" w:color="auto" w:fill="C7EDCC"/>
                      </w:tcPr>
                      <w:p>
                        <w:pPr/>
                      </w:p>
                    </w:tc>
                    <w:tc>
                      <w:tcPr>
                        <w:tcW w:w="3052"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1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1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1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18"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pStyle w:val="Heading3"/>
        <w:spacing w:line="240" w:lineRule="auto" w:before="35"/>
        <w:ind w:right="211"/>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before="84"/>
        <w:ind w:left="0" w:right="100"/>
        <w:jc w:val="right"/>
      </w:pPr>
      <w:r>
        <w:rPr/>
        <w:t>。</w:t>
      </w:r>
    </w:p>
    <w:p>
      <w:pPr>
        <w:spacing w:after="0" w:line="240" w:lineRule="auto"/>
        <w:jc w:val="right"/>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2"/>
        <w:spacing w:line="240" w:lineRule="auto" w:before="26"/>
        <w:ind w:right="141"/>
        <w:jc w:val="left"/>
        <w:rPr>
          <w:b w:val="0"/>
          <w:bCs w:val="0"/>
        </w:rPr>
      </w:pP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41"/>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我们认为，常山北明于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34"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年度内部控制审计报告》详见</w:t>
            </w:r>
            <w:r>
              <w:rPr>
                <w:rFonts w:ascii="宋体" w:hAnsi="宋体" w:cs="宋体" w:eastAsia="宋体" w:hint="default"/>
                <w:spacing w:val="-14"/>
                <w:sz w:val="18"/>
                <w:szCs w:val="18"/>
              </w:rPr>
              <w:t> </w:t>
            </w: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41"/>
        <w:jc w:val="left"/>
      </w:pPr>
      <w:r>
        <w:rPr/>
        <w:t>会计师事务所是否出具非标准意见的内部控制审计报告</w:t>
      </w:r>
    </w:p>
    <w:p>
      <w:pPr>
        <w:pStyle w:val="BodyText"/>
        <w:spacing w:line="360" w:lineRule="auto" w:before="116"/>
        <w:ind w:right="3651"/>
        <w:jc w:val="left"/>
      </w:pPr>
      <w:r>
        <w:rPr/>
        <w:t>□ 是 √ 否 会计师事务所出具的内部控制审计报告与董事会的自我评价报告意见是否一致</w:t>
      </w:r>
    </w:p>
    <w:p>
      <w:pPr>
        <w:pStyle w:val="BodyText"/>
        <w:spacing w:line="240" w:lineRule="auto" w:before="26"/>
        <w:ind w:right="141"/>
        <w:jc w:val="left"/>
      </w:pPr>
      <w:r>
        <w:rPr/>
        <w:t>√ 是 □ 否</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5" w:right="141"/>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113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64"/>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王飞  王凤岐</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spacing w:line="316" w:lineRule="auto" w:before="0"/>
        <w:ind w:left="515" w:right="-19" w:hanging="362"/>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51"/>
        <w:ind w:left="154" w:right="0"/>
        <w:jc w:val="left"/>
      </w:pPr>
      <w:r>
        <w:rPr/>
        <w:br w:type="column"/>
      </w:r>
      <w:r>
        <w:rPr/>
        <w:t>审计报告正文</w:t>
      </w:r>
    </w:p>
    <w:p>
      <w:pPr>
        <w:spacing w:after="0" w:line="240" w:lineRule="auto"/>
        <w:jc w:val="left"/>
        <w:sectPr>
          <w:type w:val="continuous"/>
          <w:pgSz w:w="11910" w:h="16840"/>
          <w:pgMar w:top="1060" w:bottom="1180" w:left="980" w:right="940"/>
          <w:cols w:num="2" w:equalWidth="0">
            <w:col w:w="3755" w:space="525"/>
            <w:col w:w="5710"/>
          </w:cols>
        </w:sectPr>
      </w:pPr>
    </w:p>
    <w:p>
      <w:pPr>
        <w:pStyle w:val="BodyText"/>
        <w:spacing w:line="316" w:lineRule="auto" w:before="19"/>
        <w:ind w:left="154" w:right="0" w:firstLine="360"/>
        <w:jc w:val="left"/>
      </w:pPr>
      <w:r>
        <w:rPr>
          <w:spacing w:val="-2"/>
        </w:rPr>
        <w:t>我们审计了石家庄常山北明科技股份有限公司（以下简称“常山北明”）财务报表，包括2017年12月31日的合并及公司</w:t>
      </w:r>
      <w:r>
        <w:rPr/>
        <w:t> 资产负债表，2017年度的合并及公司利润表、合并及公司现金流量表、合并及公司股东权益变动表以及财务报表附注。</w:t>
      </w:r>
    </w:p>
    <w:p>
      <w:pPr>
        <w:pStyle w:val="BodyText"/>
        <w:spacing w:line="316" w:lineRule="auto" w:before="19"/>
        <w:ind w:left="154" w:right="0" w:firstLine="360"/>
        <w:jc w:val="left"/>
      </w:pPr>
      <w:r>
        <w:rPr>
          <w:spacing w:val="-2"/>
        </w:rPr>
        <w:t>我们认为，后附的财务报表在所有重大方面按照企业会计准则的规定编制，公允反映了常山北明2017年12月31日的合并</w:t>
      </w:r>
      <w:r>
        <w:rPr/>
        <w:t> 及公司财务状况以及2017年度的合并及公司经营成果和现金流量。</w:t>
      </w:r>
    </w:p>
    <w:p>
      <w:pPr>
        <w:pStyle w:val="BodyText"/>
        <w:spacing w:line="316" w:lineRule="auto" w:before="19"/>
        <w:ind w:left="514" w:right="0" w:firstLine="1"/>
        <w:jc w:val="left"/>
      </w:pPr>
      <w:r>
        <w:rPr>
          <w:rFonts w:ascii="宋体" w:hAnsi="宋体" w:cs="宋体" w:eastAsia="宋体" w:hint="default"/>
          <w:b/>
          <w:bCs/>
        </w:rPr>
        <w:t>二、形成审计意见的基础</w:t>
      </w:r>
      <w:r>
        <w:rPr>
          <w:rFonts w:ascii="宋体" w:hAnsi="宋体" w:cs="宋体" w:eastAsia="宋体" w:hint="default"/>
          <w:b/>
          <w:bCs/>
          <w:spacing w:val="1"/>
          <w:w w:val="99"/>
        </w:rPr>
        <w:t> </w:t>
      </w:r>
      <w:r>
        <w:rPr>
          <w:spacing w:val="-2"/>
        </w:rPr>
        <w:t>我们按照中国注册会计师审计准则的规定执行了审计工作。审计报告的“注册会计师对财务报表审计的责任”部分进一</w:t>
      </w:r>
    </w:p>
    <w:p>
      <w:pPr>
        <w:pStyle w:val="BodyText"/>
        <w:spacing w:line="316" w:lineRule="auto" w:before="19"/>
        <w:ind w:left="154" w:right="0"/>
        <w:jc w:val="left"/>
      </w:pPr>
      <w:r>
        <w:rPr>
          <w:spacing w:val="-2"/>
        </w:rPr>
        <w:t>步阐述了我们在这些准则下的责任。按照中国注册会计师职业道德守则，我们独立于常山北明，并履行了职业道德方面的其</w:t>
      </w:r>
      <w:r>
        <w:rPr>
          <w:spacing w:val="-66"/>
        </w:rPr>
        <w:t> </w:t>
      </w:r>
      <w:r>
        <w:rPr>
          <w:spacing w:val="-66"/>
        </w:rPr>
      </w:r>
      <w:r>
        <w:rPr/>
        <w:t>他责任。我们相信，我们获取的审计证据是充分、适当的，为发表审计意见提供了基础。</w:t>
      </w:r>
    </w:p>
    <w:p>
      <w:pPr>
        <w:pStyle w:val="BodyText"/>
        <w:spacing w:line="316" w:lineRule="auto" w:before="19"/>
        <w:ind w:left="514" w:right="0" w:firstLine="1"/>
        <w:jc w:val="left"/>
      </w:pPr>
      <w:r>
        <w:rPr>
          <w:rFonts w:ascii="宋体" w:hAnsi="宋体" w:cs="宋体" w:eastAsia="宋体" w:hint="default"/>
          <w:b/>
          <w:bCs/>
        </w:rPr>
        <w:t>三、关键审计事项</w:t>
      </w:r>
      <w:r>
        <w:rPr>
          <w:rFonts w:ascii="宋体" w:hAnsi="宋体" w:cs="宋体" w:eastAsia="宋体" w:hint="default"/>
          <w:b/>
          <w:bCs/>
          <w:spacing w:val="1"/>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left="154"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pStyle w:val="BodyText"/>
        <w:spacing w:line="316" w:lineRule="auto" w:before="76"/>
        <w:ind w:left="514" w:right="7650"/>
        <w:jc w:val="left"/>
      </w:pPr>
      <w:r>
        <w:rPr/>
        <w:t>（一）商誉的减值测试 1、事项描述</w:t>
      </w:r>
    </w:p>
    <w:p>
      <w:pPr>
        <w:pStyle w:val="BodyText"/>
        <w:spacing w:line="316" w:lineRule="auto" w:before="19"/>
        <w:ind w:left="154" w:right="90" w:firstLine="360"/>
        <w:jc w:val="left"/>
      </w:pPr>
      <w:r>
        <w:rPr/>
        <w:t>截至2017年12月31日，常山北明合并财务报表中商誉的账面余额为217,224.13万元，商誉减值准备余额2,208.20万元， </w:t>
      </w:r>
      <w:r>
        <w:rPr>
          <w:spacing w:val="-2"/>
        </w:rPr>
        <w:t>相关信息披露详见财务报表附注五19、附注七17描述。管理层确定资产组的可回收金额时对其中涉及的关键假设做出了重大</w:t>
      </w:r>
      <w:r>
        <w:rPr>
          <w:spacing w:val="-60"/>
        </w:rPr>
        <w:t> </w:t>
      </w:r>
      <w:r>
        <w:rPr>
          <w:spacing w:val="-60"/>
        </w:rPr>
      </w:r>
      <w:r>
        <w:rPr>
          <w:spacing w:val="-2"/>
        </w:rPr>
        <w:t>判断，包括：五年期预算、永续年收入增长率、毛利率及折现率等。由于商誉金额重大，且管理层需要做出重大判断，因此</w:t>
      </w:r>
      <w:r>
        <w:rPr>
          <w:spacing w:val="-65"/>
        </w:rPr>
        <w:t> </w:t>
      </w:r>
      <w:r>
        <w:rPr>
          <w:spacing w:val="-65"/>
        </w:rPr>
      </w:r>
      <w:r>
        <w:rPr/>
        <w:t>我们将商誉减值测试确定为关键审计事项。</w:t>
      </w:r>
    </w:p>
    <w:p>
      <w:pPr>
        <w:pStyle w:val="BodyText"/>
        <w:spacing w:line="316" w:lineRule="auto" w:before="19"/>
        <w:ind w:left="514" w:right="3870"/>
        <w:jc w:val="left"/>
      </w:pPr>
      <w:r>
        <w:rPr/>
        <w:t>2、审计应对 我们针对商誉减值相关的上述关键审计事项执行的主要审计程序如下：</w:t>
      </w:r>
    </w:p>
    <w:p>
      <w:pPr>
        <w:pStyle w:val="BodyText"/>
        <w:spacing w:line="240" w:lineRule="auto" w:before="19"/>
        <w:ind w:left="514" w:right="0"/>
        <w:jc w:val="left"/>
      </w:pPr>
      <w:r>
        <w:rPr/>
        <w:t>（1）对常山北明商誉减值测试相关内部控制的设计和执行进行了评估。</w:t>
      </w:r>
    </w:p>
    <w:p>
      <w:pPr>
        <w:pStyle w:val="BodyText"/>
        <w:spacing w:line="316" w:lineRule="auto" w:before="76"/>
        <w:ind w:left="154" w:right="180" w:firstLine="360"/>
        <w:jc w:val="left"/>
      </w:pPr>
      <w:r>
        <w:rPr/>
        <w:t>（2）我们对管理层对商誉减值测试中的关键假设进行了评估，包括五年期预算、永续年收入增长率、毛利率及折现率 等。我们也利用了内部估值专家的工作，评估了管理层的减值测试方法的合理性。</w:t>
      </w:r>
    </w:p>
    <w:p>
      <w:pPr>
        <w:pStyle w:val="BodyText"/>
        <w:spacing w:line="240" w:lineRule="auto" w:before="19"/>
        <w:ind w:left="514" w:right="0"/>
        <w:jc w:val="left"/>
      </w:pPr>
      <w:r>
        <w:rPr/>
        <w:t>（3）我们通过参考行业惯例，评估了管理层进行现金流量预测时使用的估值方法的适当性；</w:t>
      </w:r>
    </w:p>
    <w:p>
      <w:pPr>
        <w:pStyle w:val="BodyText"/>
        <w:spacing w:line="240" w:lineRule="auto" w:before="76"/>
        <w:ind w:left="514" w:right="0"/>
        <w:jc w:val="left"/>
      </w:pPr>
      <w:r>
        <w:rPr/>
        <w:t>（4）我们取得了管理层聘请的外部评估机构对商誉涉及的资产组的可收回金额出具的咨询报告；</w:t>
      </w:r>
    </w:p>
    <w:p>
      <w:pPr>
        <w:pStyle w:val="BodyText"/>
        <w:spacing w:line="240" w:lineRule="auto" w:before="76"/>
        <w:ind w:left="514" w:right="0"/>
        <w:jc w:val="left"/>
      </w:pPr>
      <w:r>
        <w:rPr/>
        <w:t>（5）我们检查了未来现金流量净现值的计算是否准确。</w:t>
      </w:r>
    </w:p>
    <w:p>
      <w:pPr>
        <w:pStyle w:val="BodyText"/>
        <w:spacing w:line="316" w:lineRule="auto" w:before="76"/>
        <w:ind w:left="514" w:right="7830"/>
        <w:jc w:val="left"/>
      </w:pPr>
      <w:r>
        <w:rPr/>
        <w:t>（二）存货跌价准备 1、事项描述</w:t>
      </w:r>
    </w:p>
    <w:p>
      <w:pPr>
        <w:pStyle w:val="BodyText"/>
        <w:spacing w:line="240" w:lineRule="auto" w:before="19"/>
        <w:ind w:left="514" w:right="0"/>
        <w:jc w:val="left"/>
      </w:pPr>
      <w:r>
        <w:rPr/>
        <w:t>截至2017年12月31日</w:t>
      </w:r>
      <w:r>
        <w:rPr>
          <w:spacing w:val="-87"/>
        </w:rPr>
        <w:t>，</w:t>
      </w:r>
      <w:r>
        <w:rPr/>
        <w:t>常山北明合并财务报表中存货的账面余额为221,338.85万元</w:t>
      </w:r>
      <w:r>
        <w:rPr>
          <w:spacing w:val="-87"/>
        </w:rPr>
        <w:t>，</w:t>
      </w:r>
      <w:r>
        <w:rPr/>
        <w:t>存货跌价准备账面余额为31,079.21</w:t>
      </w:r>
    </w:p>
    <w:p>
      <w:pPr>
        <w:spacing w:after="0" w:line="240" w:lineRule="auto"/>
        <w:jc w:val="left"/>
        <w:sectPr>
          <w:type w:val="continuous"/>
          <w:pgSz w:w="11910" w:h="16840"/>
          <w:pgMar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51"/>
        <w:jc w:val="both"/>
      </w:pPr>
      <w:r>
        <w:rPr/>
        <w:t>万元，相关信息披露详见财务报表附注五11、附注七6描述。管理层在预测中需要做出重大判断和假设，特别是对于未来售 </w:t>
      </w:r>
      <w:r>
        <w:rPr>
          <w:spacing w:val="-2"/>
        </w:rPr>
        <w:t>价、销售费用以及相关税费等方面。由于存货账面价值较高，存货跌价准备的增加对财务报表影响较为重大，且管理层需要</w:t>
      </w:r>
      <w:r>
        <w:rPr>
          <w:spacing w:val="-66"/>
        </w:rPr>
        <w:t> </w:t>
      </w:r>
      <w:r>
        <w:rPr>
          <w:spacing w:val="-66"/>
        </w:rPr>
      </w:r>
      <w:r>
        <w:rPr/>
        <w:t>做出重大判断，因此我们将存货跌价准备确定为关键审计事项。</w:t>
      </w:r>
    </w:p>
    <w:p>
      <w:pPr>
        <w:pStyle w:val="BodyText"/>
        <w:spacing w:line="316" w:lineRule="auto" w:before="19"/>
        <w:ind w:left="513" w:right="3471"/>
        <w:jc w:val="left"/>
      </w:pPr>
      <w:r>
        <w:rPr/>
        <w:t>2、审计应对 我们针对存货跌价准备相关的上述关键审计事项执行的主要审计程序如下：</w:t>
      </w:r>
    </w:p>
    <w:p>
      <w:pPr>
        <w:pStyle w:val="BodyText"/>
        <w:spacing w:line="240" w:lineRule="auto" w:before="19"/>
        <w:ind w:left="513" w:right="141"/>
        <w:jc w:val="left"/>
      </w:pPr>
      <w:r>
        <w:rPr/>
        <w:t>（1）对常山北明存货跌价准备相关的内部控制的设计与执行进行了评估；</w:t>
      </w:r>
    </w:p>
    <w:p>
      <w:pPr>
        <w:pStyle w:val="BodyText"/>
        <w:spacing w:line="240" w:lineRule="auto" w:before="76"/>
        <w:ind w:left="513" w:right="141"/>
        <w:jc w:val="left"/>
      </w:pPr>
      <w:r>
        <w:rPr/>
        <w:t>（2）对常山北明存货实施监盘，检查存货的数量、品质状况等；</w:t>
      </w:r>
    </w:p>
    <w:p>
      <w:pPr>
        <w:pStyle w:val="BodyText"/>
        <w:spacing w:line="316" w:lineRule="auto" w:before="76"/>
        <w:ind w:right="151" w:firstLine="360"/>
        <w:jc w:val="both"/>
      </w:pPr>
      <w:r>
        <w:rPr/>
        <w:t>（3）获取常山北明存货跌价准备明细表，执行存货减值测试。检查是否按常山北明相关会计政策执行；通过与市场售 </w:t>
      </w:r>
      <w:r>
        <w:rPr>
          <w:spacing w:val="-2"/>
        </w:rPr>
        <w:t>价及企业审计年度售价比较，检查减值测试中的预计售价是否合理；通过与审计年度销售收入、销售费用、税金及附加的比</w:t>
      </w:r>
      <w:r>
        <w:rPr>
          <w:spacing w:val="-66"/>
        </w:rPr>
        <w:t> </w:t>
      </w:r>
      <w:r>
        <w:rPr>
          <w:spacing w:val="-66"/>
        </w:rPr>
      </w:r>
      <w:r>
        <w:rPr>
          <w:spacing w:val="-2"/>
        </w:rPr>
        <w:t>较，检查减值测试中的预计销售费用、税金及附加是否合理；检查以前年度计提的存货跌价本期的变化情况等，分析存货跌</w:t>
      </w:r>
      <w:r>
        <w:rPr>
          <w:spacing w:val="-66"/>
        </w:rPr>
        <w:t> </w:t>
      </w:r>
      <w:r>
        <w:rPr>
          <w:spacing w:val="-66"/>
        </w:rPr>
      </w:r>
      <w:r>
        <w:rPr/>
        <w:t>价准备计提是否充分。</w:t>
      </w:r>
    </w:p>
    <w:p>
      <w:pPr>
        <w:pStyle w:val="BodyText"/>
        <w:spacing w:line="316" w:lineRule="auto" w:before="19"/>
        <w:ind w:left="513" w:right="8151"/>
        <w:jc w:val="left"/>
      </w:pPr>
      <w:r>
        <w:rPr/>
        <w:t>（三）政府补助 1、事项描述</w:t>
      </w:r>
    </w:p>
    <w:p>
      <w:pPr>
        <w:pStyle w:val="BodyText"/>
        <w:spacing w:line="316" w:lineRule="auto" w:before="19"/>
        <w:ind w:right="158" w:firstLine="360"/>
        <w:jc w:val="both"/>
      </w:pPr>
      <w:r>
        <w:rPr/>
        <w:t>根据政府补助准则的规定，常山北明2017年度计入其他收益、营业外收入、冲减成本费用的政府补助分别为61,374.27 万元、161.04万元、6.00万元，合计影响2017年度损益61,541.31万元，相关信息披露详见财务报表附注五25、附注七33、 附注七47、附注七48描述。常山北明当年净利润为35,503.79万元，通过政府补助计入当期损益金额对2017年度净利润影响 重大，因此我们将政府补助列为关键审计事项。</w:t>
      </w:r>
    </w:p>
    <w:p>
      <w:pPr>
        <w:pStyle w:val="BodyText"/>
        <w:spacing w:line="316" w:lineRule="auto" w:before="19"/>
        <w:ind w:left="513" w:right="3831"/>
        <w:jc w:val="left"/>
      </w:pPr>
      <w:r>
        <w:rPr/>
        <w:t>2、审计应对 我们针对政府补助相关的上述关键审计事项执行的主要审计程序如下：</w:t>
      </w:r>
    </w:p>
    <w:p>
      <w:pPr>
        <w:pStyle w:val="BodyText"/>
        <w:spacing w:line="240" w:lineRule="auto" w:before="19"/>
        <w:ind w:left="513" w:right="141"/>
        <w:jc w:val="left"/>
      </w:pPr>
      <w:r>
        <w:rPr/>
        <w:t>（1）对常山北明政府补助相关内部控制的设计和执行进行了评估；</w:t>
      </w:r>
    </w:p>
    <w:p>
      <w:pPr>
        <w:pStyle w:val="BodyText"/>
        <w:spacing w:line="240" w:lineRule="auto" w:before="76"/>
        <w:ind w:left="513" w:right="141"/>
        <w:jc w:val="left"/>
      </w:pPr>
      <w:r>
        <w:rPr/>
        <w:t>（2）检查政府拨款文件、收款凭证、银行回单等支持性文件；</w:t>
      </w:r>
    </w:p>
    <w:p>
      <w:pPr>
        <w:pStyle w:val="BodyText"/>
        <w:spacing w:line="240" w:lineRule="auto" w:before="76"/>
        <w:ind w:left="513" w:right="141"/>
        <w:jc w:val="left"/>
      </w:pPr>
      <w:r>
        <w:rPr/>
        <w:t>（3）分析补助款项的用途，判断政府补助与资产相关还是与收益相关；</w:t>
      </w:r>
    </w:p>
    <w:p>
      <w:pPr>
        <w:pStyle w:val="BodyText"/>
        <w:spacing w:line="316" w:lineRule="auto" w:before="76"/>
        <w:ind w:right="158" w:firstLine="360"/>
        <w:jc w:val="both"/>
      </w:pPr>
      <w:r>
        <w:rPr/>
        <w:t>（4）复核了常山北明对政府补助计入其他收益、营业外收入、递延收益及冲减成本费用明细表及分摊计算表，以评价 本期计入当期损益的金额是否正确。</w:t>
      </w:r>
    </w:p>
    <w:p>
      <w:pPr>
        <w:spacing w:before="19"/>
        <w:ind w:left="515" w:right="141" w:firstLine="0"/>
        <w:jc w:val="left"/>
        <w:rPr>
          <w:rFonts w:ascii="宋体" w:hAnsi="宋体" w:cs="宋体" w:eastAsia="宋体" w:hint="default"/>
          <w:sz w:val="18"/>
          <w:szCs w:val="18"/>
        </w:rPr>
      </w:pPr>
      <w:r>
        <w:rPr>
          <w:rFonts w:ascii="宋体" w:hAnsi="宋体" w:cs="宋体" w:eastAsia="宋体" w:hint="default"/>
          <w:b/>
          <w:bCs/>
          <w:sz w:val="18"/>
          <w:szCs w:val="18"/>
        </w:rPr>
        <w:t>四、其他信息</w:t>
      </w:r>
      <w:r>
        <w:rPr>
          <w:rFonts w:ascii="宋体" w:hAnsi="宋体" w:cs="宋体" w:eastAsia="宋体" w:hint="default"/>
          <w:sz w:val="18"/>
          <w:szCs w:val="18"/>
        </w:rPr>
      </w:r>
    </w:p>
    <w:p>
      <w:pPr>
        <w:pStyle w:val="BodyText"/>
        <w:spacing w:line="316" w:lineRule="auto" w:before="76"/>
        <w:ind w:right="158" w:firstLine="360"/>
        <w:jc w:val="both"/>
      </w:pPr>
      <w:r>
        <w:rPr/>
        <w:t>常山北明管理层（以下简称管理层）对其他信息负责。其他信息包括常山北明 2017年年度报告中涵盖的信息，但不包 括财务报表和我们的审计报告。</w:t>
      </w:r>
    </w:p>
    <w:p>
      <w:pPr>
        <w:pStyle w:val="BodyText"/>
        <w:spacing w:line="316" w:lineRule="auto" w:before="19"/>
        <w:ind w:left="513" w:right="141"/>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141"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41"/>
        <w:jc w:val="left"/>
      </w:pPr>
      <w:r>
        <w:rPr/>
        <w:t>报告。</w:t>
      </w:r>
    </w:p>
    <w:p>
      <w:pPr>
        <w:spacing w:line="316" w:lineRule="auto" w:before="76"/>
        <w:ind w:left="513" w:right="141"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9"/>
        <w:ind w:left="513" w:right="141" w:hanging="360"/>
        <w:jc w:val="left"/>
      </w:pPr>
      <w:r>
        <w:rPr/>
        <w:t>务报表不存在由于舞弊或错误导致的重大错报。 </w:t>
      </w:r>
      <w:r>
        <w:rPr>
          <w:spacing w:val="-2"/>
        </w:rPr>
        <w:t>在编制财务报表时，管理层负责评估常山北明的持续经营能力，披露与持续经营相关的事项（如适用），并运用持续经</w:t>
      </w:r>
    </w:p>
    <w:p>
      <w:pPr>
        <w:spacing w:line="316" w:lineRule="auto" w:before="19"/>
        <w:ind w:left="513" w:right="3831" w:hanging="360"/>
        <w:jc w:val="left"/>
        <w:rPr>
          <w:rFonts w:ascii="宋体" w:hAnsi="宋体" w:cs="宋体" w:eastAsia="宋体" w:hint="default"/>
          <w:sz w:val="18"/>
          <w:szCs w:val="18"/>
        </w:rPr>
      </w:pPr>
      <w:r>
        <w:rPr>
          <w:rFonts w:ascii="宋体" w:hAnsi="宋体" w:cs="宋体" w:eastAsia="宋体" w:hint="default"/>
          <w:sz w:val="18"/>
          <w:szCs w:val="18"/>
        </w:rPr>
        <w:t>营假设，除非管理层计划清算常山北明、终止运营或别无其他现实的选择。 治理层负责监督常山北明的财务报告过程。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5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141"/>
        <w:jc w:val="left"/>
      </w:pPr>
      <w:r>
        <w:rPr/>
        <w:t>在按照审计准则执行审计工作的过程中，我们运用职业判断，并保持职业怀疑。 同时，我们也执行以下工作：</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91" w:firstLine="360"/>
        <w:jc w:val="left"/>
      </w:pPr>
      <w:r>
        <w:rPr/>
        <w:t>（1）识别和评估由于舞弊或错误导致的财务报表重大错报风险，设计和实施审计程序以应对这些风险，并获取充分、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3" w:right="0"/>
        <w:jc w:val="left"/>
      </w:pPr>
      <w:r>
        <w:rPr/>
        <w:t>（2）了解与审计相关的内部控制，以设计恰当的审计程序。</w:t>
      </w:r>
    </w:p>
    <w:p>
      <w:pPr>
        <w:pStyle w:val="BodyText"/>
        <w:spacing w:line="240" w:lineRule="auto" w:before="76"/>
        <w:ind w:left="513" w:right="0"/>
        <w:jc w:val="left"/>
      </w:pPr>
      <w:r>
        <w:rPr/>
        <w:t>（3）评价管理层选用会计政策的恰当性和作出会计估计及相关披露的合理性。</w:t>
      </w:r>
    </w:p>
    <w:p>
      <w:pPr>
        <w:pStyle w:val="BodyText"/>
        <w:spacing w:line="316" w:lineRule="auto" w:before="76"/>
        <w:ind w:right="190" w:firstLine="360"/>
        <w:jc w:val="both"/>
      </w:pPr>
      <w:r>
        <w:rPr/>
        <w:t>（4）对管理层使用持续经营假设的恰当性得出结论。同时，根据获取的审计证据，就可能导致对常山北明持续经营能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于截至审计报告日可获得的信息。然而，未来的事项或情况可能导致常山北明不能持续经营。</w:t>
      </w:r>
    </w:p>
    <w:p>
      <w:pPr>
        <w:pStyle w:val="BodyText"/>
        <w:spacing w:line="240" w:lineRule="auto" w:before="19"/>
        <w:ind w:left="513" w:right="0"/>
        <w:jc w:val="left"/>
      </w:pPr>
      <w:r>
        <w:rPr/>
        <w:t>（5）评价财务报表的总体列报、结构和内容（包括披露），并评价财务报表是否公允反映相关交易和事项。</w:t>
      </w:r>
    </w:p>
    <w:p>
      <w:pPr>
        <w:pStyle w:val="BodyText"/>
        <w:spacing w:line="316" w:lineRule="auto" w:before="76"/>
        <w:ind w:left="513" w:right="0"/>
        <w:jc w:val="left"/>
      </w:pPr>
      <w:r>
        <w:rPr/>
        <w:t>（6）就常山北明中实体或业务活动的财务信息获取充分、适当的审计证据，以对财 务报表发表审计意见。 </w:t>
      </w:r>
      <w:r>
        <w:rPr>
          <w:spacing w:val="-2"/>
        </w:rPr>
        <w:t>我们与治理层就计划的审计范围、时间安排和重大审计发现等事项进行沟通，包括沟通我们在审计中识别出的值得关注</w:t>
      </w:r>
    </w:p>
    <w:p>
      <w:pPr>
        <w:pStyle w:val="BodyText"/>
        <w:spacing w:line="316" w:lineRule="auto" w:before="19"/>
        <w:ind w:left="513" w:right="0" w:hanging="360"/>
        <w:jc w:val="left"/>
      </w:pPr>
      <w:r>
        <w:rPr/>
        <w:t>的内部控制缺陷。 </w:t>
      </w:r>
      <w:r>
        <w:rPr>
          <w:spacing w:val="-2"/>
        </w:rPr>
        <w:t>我们还就遵守与独立性相关的职业道德要求向治理层提供声明，并与治理层沟通可能被合理认为影响我们独立性的所有</w:t>
      </w:r>
    </w:p>
    <w:p>
      <w:pPr>
        <w:pStyle w:val="BodyText"/>
        <w:spacing w:line="316" w:lineRule="auto" w:before="19"/>
        <w:ind w:left="513" w:right="0" w:hanging="360"/>
        <w:jc w:val="left"/>
      </w:pPr>
      <w:r>
        <w:rPr/>
        <w:t>关系和其他事项，以及相关的防范措施（如适用）。 </w:t>
      </w:r>
      <w:r>
        <w:rPr>
          <w:spacing w:val="-2"/>
        </w:rPr>
        <w:t>从与治理层沟通过的事项中，我们确定哪些事项对本期财务报表审计最为重要，因而构成关键审计事项。我们在审计报</w:t>
      </w:r>
    </w:p>
    <w:p>
      <w:pPr>
        <w:pStyle w:val="BodyText"/>
        <w:spacing w:line="316" w:lineRule="auto" w:before="19"/>
        <w:ind w:right="0"/>
        <w:jc w:val="left"/>
      </w:pP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5583" w:val="left" w:leader="none"/>
        </w:tabs>
        <w:spacing w:line="240" w:lineRule="auto"/>
        <w:ind w:left="1413" w:right="0"/>
        <w:jc w:val="left"/>
      </w:pPr>
      <w:r>
        <w:rPr/>
        <w:t>中兴财光华会计师事务所</w:t>
        <w:tab/>
        <w:t>中国注册会计师：王飞</w:t>
      </w:r>
    </w:p>
    <w:p>
      <w:pPr>
        <w:pStyle w:val="BodyText"/>
        <w:tabs>
          <w:tab w:pos="5913" w:val="left" w:leader="none"/>
        </w:tabs>
        <w:spacing w:line="240" w:lineRule="auto" w:before="76"/>
        <w:ind w:left="1413" w:right="0"/>
        <w:jc w:val="left"/>
      </w:pPr>
      <w:r>
        <w:rPr/>
        <w:t>（特殊普通合伙）</w:t>
        <w:tab/>
        <w:t>（项目合伙人）</w:t>
      </w:r>
    </w:p>
    <w:p>
      <w:pPr>
        <w:pStyle w:val="BodyText"/>
        <w:spacing w:line="240" w:lineRule="auto" w:before="76"/>
        <w:ind w:left="5613" w:right="0"/>
        <w:jc w:val="left"/>
      </w:pPr>
      <w:r>
        <w:rPr/>
        <w:t>中国注册会计师：王凤岐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tabs>
          <w:tab w:pos="6003" w:val="left" w:leader="none"/>
        </w:tabs>
        <w:spacing w:line="240" w:lineRule="auto"/>
        <w:ind w:left="1503" w:right="0"/>
        <w:jc w:val="left"/>
      </w:pPr>
      <w:r>
        <w:rPr>
          <w:spacing w:val="-1"/>
        </w:rPr>
        <w:t>中国</w:t>
      </w:r>
      <w:r>
        <w:rPr>
          <w:rFonts w:ascii="Times New Roman" w:hAnsi="Times New Roman" w:cs="Times New Roman" w:eastAsia="Times New Roman" w:hint="default"/>
          <w:spacing w:val="-1"/>
        </w:rPr>
        <w:t>•</w:t>
      </w:r>
      <w:r>
        <w:rPr>
          <w:spacing w:val="-1"/>
        </w:rPr>
        <w:t>北京</w:t>
        <w:tab/>
      </w:r>
      <w:r>
        <w:rPr/>
        <w:t>2018年4月9日</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141"/>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41"/>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left="154" w:right="-20"/>
        <w:jc w:val="left"/>
      </w:pPr>
      <w:r>
        <w:rPr/>
        <w:t>编制单位：石家庄常山北明科技股份有限公司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3" w:equalWidth="0">
            <w:col w:w="3755" w:space="322"/>
            <w:col w:w="1639" w:space="3203"/>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1,522,019,165.99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2,020,179,225.99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339,593,872.54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191,574,821.61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2,323,068,424.34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1,871,240,111.14</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1,231,194,830.55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1,287,540,899.62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202,417,433.33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216,476,644.94</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1,902,596,426.33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1,934,806,768.33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43,017,117.56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48,867,998.47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7,563,907,270.64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7,570,686,470.10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30,392,173.20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49,406,794.47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18,505,505.64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15,952,929.77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161,885,841.69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166,756,984.77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1,608,883,127.99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1,359,656,189.37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750,119,869.85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958,919,736.19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864,688.02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11,150,294.95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95,490,710.85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245,242,365.63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256,720,099.51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109,653,285.10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68,938,757.10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2,150,159,339.72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2,172,241,342.13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19,356,911.77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9,179,922.26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119,824,420.08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79,242,825.71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134,101.21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134,101.21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5,225,307,236.83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5,233,505,081.36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12,789,214,507.47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12,804,191,551.46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2,421,139,085.99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3,249,329,039.63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717,797,920.64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551,847,459.00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1,016,322,693.15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915,035,061.37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310,370,614.89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277,458,179.56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14,073,753.49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15,185,087.97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144,083,808.39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120,438,299.03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2,766,145.70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2,522,810.17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351,160,129.62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424,899,913.12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2"/>
        <w:gridCol w:w="2177"/>
        <w:gridCol w:w="2160"/>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793,655,218.58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150,312,625.98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5,801,337,792.58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5,736,996,897.96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668,002,727.00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809,241,818.00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38,433,048.09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154,928,774.59</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262,934,708.45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348,034,676.48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5,915,299.33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11,165,214.31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975,285,782.87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1,323,370,483.38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6,776,623,575.45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7,060,367,381.34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1,271,442,278.00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2,897,090,367.86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3,278,523,050.86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9,984,579.86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235,290,682.29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224,963,810.91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1,222,830,477.61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954,348,850.74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6,008,086,488.76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5,739,262,570.37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220"/>
        <w:gridCol w:w="2160"/>
        <w:gridCol w:w="2160"/>
      </w:tblGrid>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4,504,443.26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4,561,599.75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6,012,590,932.02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5,743,824,170.12</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12,789,214,507.47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12,804,191,551.46</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248"/>
        <w:jc w:val="right"/>
      </w:pPr>
      <w:r>
        <w:rPr/>
        <w:t>法定代表人：肖荣智</w:t>
        <w:tab/>
        <w:t>主管会计工作负责人：赵英涛</w:t>
        <w:tab/>
        <w:t>会计机构负责人：曹金霞</w:t>
      </w:r>
    </w:p>
    <w:p>
      <w:pPr>
        <w:spacing w:line="240" w:lineRule="auto" w:before="11"/>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192"/>
        <w:gridCol w:w="2177"/>
        <w:gridCol w:w="2160"/>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795,546,194.79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1,216,045,171.10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6,199,000.00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36,341,847.35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303,037,046.03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388,185,576.48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1,143,208,307.77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1,027,570,959.07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842,996.72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842,996.72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423,677,777.76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36,069,553.50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682,809,220.57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908,452,226.13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22,354,095.89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10,917,914.67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3,377,674,639.53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3,624,426,245.02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28,852,173.20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47,566,794.47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3,158,137,788.00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3,158,543,009.03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161,885,841.69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166,756,984.77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1,017,141,666.84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785,542,673.87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718,381,294.28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917,296,177.36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864,688.02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10,692,275.71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94,930,335.77</w:t>
            </w:r>
          </w:p>
        </w:tc>
      </w:tr>
      <w:tr>
        <w:trPr>
          <w:trHeight w:val="401"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2"/>
        <w:gridCol w:w="2177"/>
        <w:gridCol w:w="2160"/>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141,549,668.11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144,962,555.22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95,241,068.02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60,184,611.11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5,331,881,775.85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5,376,647,829.62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8,709,556,415.38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9,001,074,074.64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1,361,700,000.00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2,207,700,000.00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180,638,661.43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114,700,015.10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90,668,581.98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65,072,540.68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72,988,404.70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5,587,479.28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7,060,420.57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8,321,024.09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5,031,799.53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181,250.00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94,250.00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107,137.82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107,137.82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209,688,643.77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28,037,882.35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673,830,889.42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98,830,889.56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2,619,827,641.59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2,678,519,366.51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7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568,002,727.00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579,241,818.00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97,435,897.34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77"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219,854,390.48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323,251,835.85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3,328,193.29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787,857,117.48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1,003,257,744.48</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3,407,684,759.07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3,681,777,110.99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1,271,442,278.00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2,884,526,399.32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3,265,959,082.32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9,984,579.86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229,047,729.03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218,720,857.65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535,422,566.96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553,190,165.82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5,301,871,656.31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5,319,296,963.65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8,709,556,415.38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9,001,074,074.64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41"/>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11,254,467,684.79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10,974,323,090.74</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11,254,467,684.79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10,974,323,090.74</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11,535,997,696.30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11,063,836,506.71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10,437,891,538.37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10,140,324,848.55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220"/>
        <w:gridCol w:w="2160"/>
        <w:gridCol w:w="2160"/>
      </w:tblGrid>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51,520,071.84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40,567,558.09</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212,029,475.95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190,966,434.84</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338,311,118.91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293,110,839.50</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221,506,407.02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201,356,391.38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274,739,084.21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197,510,434.35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16,811,307.58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3,954,192.59</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-801,983.95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-1,719,028.47</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-24,159,652.59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348,984.72</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613,742,690.82</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324,864,334.30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-85,210,238.66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23,984,615.01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421,875,399.62</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1,375,068.91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1,005,205.95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347,473,880.40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335,659,955.01</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-7,563,998.04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-11,334,954.25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355,037,878.44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346,994,909.26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355,037,878.44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346,994,909.26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355,095,034.93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349,914,511.72</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-57,156.49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-2,919,602.46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-9,984,579.86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-1,606,967.36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-9,984,579.86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-1,606,967.36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9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-9,984,579.86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-1,606,967.36</w:t>
            </w:r>
          </w:p>
        </w:tc>
      </w:tr>
      <w:tr>
        <w:trPr>
          <w:trHeight w:val="714"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9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-9,984,579.86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-1,606,967.36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345,053,298.58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345,387,941.90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345,110,455.07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348,307,544.36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-57,156.49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-2,919,602.46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r>
    </w:tbl>
    <w:p>
      <w:pPr>
        <w:pStyle w:val="BodyText"/>
        <w:tabs>
          <w:tab w:pos="3573" w:val="left" w:leader="none"/>
          <w:tab w:pos="7713" w:val="left" w:leader="none"/>
        </w:tabs>
        <w:spacing w:line="624" w:lineRule="auto" w:before="51"/>
        <w:ind w:right="248"/>
        <w:jc w:val="left"/>
      </w:pPr>
      <w:r>
        <w:rPr/>
        <w:t>本期发生同一控制下企业合并的，被合并方在合并前实现的净利润为：元，上期被合并方实现的净利润为：元。 法定代表人：肖荣智</w:t>
        <w:tab/>
        <w:t>主管会计工作负责人：赵英涛</w:t>
        <w:tab/>
        <w:t>会计机构负责人：曹金霞</w:t>
      </w:r>
    </w:p>
    <w:p>
      <w:pPr>
        <w:pStyle w:val="Heading3"/>
        <w:spacing w:line="240" w:lineRule="auto" w:before="63"/>
        <w:ind w:right="141"/>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5,920,565,468.80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6,421,581,338.86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5,963,035,668.82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6,329,367,877.65</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33,571,720.34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25,190,379.26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9,998,284.48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8,843,827.02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132,507,075.09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114,839,051.18</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131,029,124.53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134,664,614.01</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213,644,968.51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162,348,979.98</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17,363,510.68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1,626,244.92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-637,300.58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-1,272,269.03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-23,983,353.15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347,882.00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603,512,445.37</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33,671,229.93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-351,699,263.32</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238,122.36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406,951,631.17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462,756.36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33,789,352.29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54,789,611.49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-35,056,456.91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-39,445,523.60</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68,845,809.20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94,235,135.09</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68,845,809.20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94,235,135.09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197"/>
        <w:gridCol w:w="2172"/>
        <w:gridCol w:w="2160"/>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-9,984,579.86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-1,606,967.36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7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-9,984,579.86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-1,606,967.36</w:t>
            </w:r>
          </w:p>
        </w:tc>
      </w:tr>
      <w:tr>
        <w:trPr>
          <w:trHeight w:val="714"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7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-9,984,579.86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-1,606,967.36</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58,861,229.34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92,628,167.73</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72" w:type="dxa"/>
            <w:tcBorders>
              <w:top w:val="single" w:sz="4" w:space="0" w:color="000000"/>
              <w:left w:val="single" w:sz="10" w:space="0" w:color="D3D3D3"/>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57"/>
        <w:gridCol w:w="2086"/>
        <w:gridCol w:w="1886"/>
      </w:tblGrid>
      <w:tr>
        <w:trPr>
          <w:trHeight w:val="401"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left="709" w:right="0"/>
              <w:jc w:val="left"/>
              <w:rPr>
                <w:rFonts w:ascii="Times New Roman" w:hAnsi="Times New Roman" w:cs="Times New Roman" w:eastAsia="Times New Roman" w:hint="default"/>
                <w:sz w:val="18"/>
                <w:szCs w:val="18"/>
              </w:rPr>
            </w:pPr>
            <w:r>
              <w:rPr>
                <w:rFonts w:ascii="Times New Roman"/>
                <w:sz w:val="18"/>
              </w:rPr>
              <w:t>11,797,603,112.88</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8" w:right="0"/>
              <w:jc w:val="left"/>
              <w:rPr>
                <w:rFonts w:ascii="Times New Roman" w:hAnsi="Times New Roman" w:cs="Times New Roman" w:eastAsia="Times New Roman" w:hint="default"/>
                <w:sz w:val="18"/>
                <w:szCs w:val="18"/>
              </w:rPr>
            </w:pPr>
            <w:r>
              <w:rPr>
                <w:rFonts w:ascii="Times New Roman"/>
                <w:sz w:val="18"/>
              </w:rPr>
              <w:t>11,375,173,740.11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557"/>
        <w:gridCol w:w="2086"/>
        <w:gridCol w:w="1886"/>
      </w:tblGrid>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16,125,653.15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24,809,878.20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564,551,993.68</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749,751,707.08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12,378,280,759.71</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12,149,735,325.39</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11,086,916,627.09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10,926,559,454.04</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480,618,318.05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431,513,965.45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192,934,171.49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155,175,500.96</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235,023,449.16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199,909,366.33</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11,995,492,565.79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11,713,158,286.78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382,788,193.92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436,577,038.61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23,143,236.94</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3,147,019.45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4,124,352.15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2,905,964.48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16,852,038.00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2,818,245.15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44,119,627.09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8,871,229.08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245,591,389.36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189,048,618.05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65,062,000.00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117,909,776.40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314,653,389.36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310,668,394.45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-270,533,762.27</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-301,797,165.37</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3,493,651,085.99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4,689,597,985.66</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8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580"/>
        <w:gridCol w:w="2074"/>
        <w:gridCol w:w="1886"/>
      </w:tblGrid>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3,497,651,085.99</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4,693,597,985.66</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3,788,080,130.63</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3,532,899,628.03</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262,451,692.98</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220,561,851.48</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074"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150,929,305.50</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173,353,472.26</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4,201,461,129.11</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3,926,814,951.77</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-703,810,043.12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766,783,033.89</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-103,797.86</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207,644.66</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-591,659,409.33</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901,770,551.79</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1,850,213,938.35</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948,443,386.56</w:t>
            </w:r>
          </w:p>
        </w:tc>
      </w:tr>
      <w:tr>
        <w:trPr>
          <w:trHeight w:val="402" w:hRule="exact"/>
        </w:trPr>
        <w:tc>
          <w:tcPr>
            <w:tcW w:w="5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1,258,554,529.02</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1,850,213,938.35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41"/>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52"/>
        <w:gridCol w:w="1997"/>
        <w:gridCol w:w="1980"/>
      </w:tblGrid>
      <w:tr>
        <w:trPr>
          <w:trHeight w:val="401"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6,739,543,376.38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7,013,252,733.94</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504,560,404.42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690,182,896.17</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7,244,103,780.80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7,703,435,630.11</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6,538,941,005.03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6,872,575,108.11</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210,734,565.04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170,147,492.59</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52,304,954.57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55,987,475.77</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50,418,103.18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38,381,900.98</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6,852,398,627.82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7,137,091,977.45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391,705,152.98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566,343,652.66</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19,901,560.04</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4,124,352.15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12,898,513.95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16,768,188.00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2,478,465.15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97"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40,794,100.19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15,376,979.10</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99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127,018,691.15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123,194,931.01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557"/>
        <w:gridCol w:w="1992"/>
        <w:gridCol w:w="1980"/>
      </w:tblGrid>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195,511,680.28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322,530,371.43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134,904,931.01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-281,736,271.24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-119,527,951.91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2,043,200,000.00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3,132,700,000.00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2,043,200,000.00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3,132,700,000.00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2,325,439,091.00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2,596,105,182.00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189,901,107.82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170,230,460.76</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108,312,500.00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113,062,500.00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2,623,652,698.82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2,879,398,142.76</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-580,452,698.82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253,301,857.24</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99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-470,483,817.08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700,117,557.99</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1,172,750,412.97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472,632,854.98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702,266,595.89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1,172,750,412.97</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41"/>
        <w:jc w:val="left"/>
      </w:pPr>
      <w:r>
        <w:rPr/>
        <w:t>本期金额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6"/>
        <w:gridCol w:w="563"/>
        <w:gridCol w:w="530"/>
        <w:gridCol w:w="532"/>
        <w:gridCol w:w="530"/>
        <w:gridCol w:w="665"/>
        <w:gridCol w:w="665"/>
        <w:gridCol w:w="665"/>
        <w:gridCol w:w="665"/>
        <w:gridCol w:w="664"/>
        <w:gridCol w:w="666"/>
        <w:gridCol w:w="665"/>
        <w:gridCol w:w="665"/>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6" w:hRule="exact"/>
        </w:trPr>
        <w:tc>
          <w:tcPr>
            <w:tcW w:w="1426" w:type="dxa"/>
            <w:vMerge/>
            <w:tcBorders>
              <w:left w:val="single" w:sz="4" w:space="0" w:color="000000"/>
              <w:right w:val="single" w:sz="4" w:space="0" w:color="000000"/>
            </w:tcBorders>
            <w:shd w:val="clear" w:color="auto" w:fill="D3D3D3"/>
          </w:tcPr>
          <w:p>
            <w:pPr/>
          </w:p>
        </w:tc>
        <w:tc>
          <w:tcPr>
            <w:tcW w:w="6809"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09" w:type="dxa"/>
            <w:gridSpan w:val="11"/>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0"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6"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6"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6"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7"/>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7"/>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4" w:hRule="exact"/>
        </w:trPr>
        <w:tc>
          <w:tcPr>
            <w:tcW w:w="1426" w:type="dxa"/>
            <w:vMerge/>
            <w:tcBorders>
              <w:left w:val="single" w:sz="4" w:space="0" w:color="000000"/>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4" w:type="dxa"/>
            <w:vMerge/>
            <w:tcBorders>
              <w:left w:val="single" w:sz="4" w:space="0" w:color="000000"/>
              <w:bottom w:val="nil" w:sz="6" w:space="0" w:color="auto"/>
              <w:right w:val="single" w:sz="4" w:space="0" w:color="000000"/>
            </w:tcBorders>
            <w:shd w:val="clear" w:color="auto" w:fill="D3D3D3"/>
          </w:tcPr>
          <w:p>
            <w:pPr/>
          </w:p>
        </w:tc>
        <w:tc>
          <w:tcPr>
            <w:tcW w:w="666"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34"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6"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6"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1,271,</w:t>
            </w:r>
          </w:p>
          <w:p>
            <w:pPr>
              <w:pStyle w:val="TableParagraph"/>
              <w:spacing w:line="240" w:lineRule="auto" w:before="104"/>
              <w:ind w:left="7" w:right="0"/>
              <w:jc w:val="center"/>
              <w:rPr>
                <w:rFonts w:ascii="Times New Roman" w:hAnsi="Times New Roman" w:cs="Times New Roman" w:eastAsia="Times New Roman" w:hint="default"/>
                <w:sz w:val="18"/>
                <w:szCs w:val="18"/>
              </w:rPr>
            </w:pPr>
            <w:r>
              <w:rPr>
                <w:rFonts w:ascii="Times New Roman"/>
                <w:sz w:val="18"/>
              </w:rPr>
              <w:t>442,27</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8.00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3,278,5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23,050.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79.86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224,963</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,810.91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954,348</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,850.74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4,561,5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99.75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24,170.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12</w:t>
            </w:r>
          </w:p>
        </w:tc>
      </w:tr>
      <w:tr>
        <w:trPr>
          <w:trHeight w:val="393"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6"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1,271,</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442,27</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3,278,5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23,050.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79.86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224,963</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,810.91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954,348</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,850.74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4,561,5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99.75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24,170.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2,683.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2,683.0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79.86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871.38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268,481</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,626.87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268,766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,761.90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79.86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355,095</w:t>
            </w:r>
          </w:p>
          <w:p>
            <w:pPr>
              <w:pStyle w:val="TableParagraph"/>
              <w:spacing w:line="240" w:lineRule="auto" w:before="105"/>
              <w:ind w:left="89" w:right="0"/>
              <w:jc w:val="left"/>
              <w:rPr>
                <w:rFonts w:ascii="Times New Roman" w:hAnsi="Times New Roman" w:cs="Times New Roman" w:eastAsia="Times New Roman" w:hint="default"/>
                <w:sz w:val="18"/>
                <w:szCs w:val="18"/>
              </w:rPr>
            </w:pPr>
            <w:r>
              <w:rPr>
                <w:rFonts w:ascii="Times New Roman"/>
                <w:sz w:val="18"/>
              </w:rPr>
              <w:t>,034.93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345,053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,298.58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871.38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-86,613,</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408.06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-76,286,</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536.68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871.38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871.38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-76,286,</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536.68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-76,286,</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536.68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2,683.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2,683.0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2,683.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-381,43</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2,683.0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1,652,</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874,96</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90,367.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235,290</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,682.29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30,477.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4,504,4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43.26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90,932.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02</w:t>
            </w:r>
          </w:p>
        </w:tc>
      </w:tr>
    </w:tbl>
    <w:p>
      <w:pPr>
        <w:pStyle w:val="BodyText"/>
        <w:spacing w:line="240" w:lineRule="auto" w:before="51"/>
        <w:ind w:left="154" w:right="141"/>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4"/>
        <w:gridCol w:w="574"/>
        <w:gridCol w:w="530"/>
        <w:gridCol w:w="532"/>
        <w:gridCol w:w="530"/>
        <w:gridCol w:w="665"/>
        <w:gridCol w:w="665"/>
        <w:gridCol w:w="665"/>
        <w:gridCol w:w="665"/>
        <w:gridCol w:w="665"/>
        <w:gridCol w:w="665"/>
        <w:gridCol w:w="678"/>
        <w:gridCol w:w="652"/>
        <w:gridCol w:w="659"/>
      </w:tblGrid>
      <w:tr>
        <w:trPr>
          <w:trHeight w:val="402" w:hRule="exact"/>
        </w:trPr>
        <w:tc>
          <w:tcPr>
            <w:tcW w:w="1414" w:type="dxa"/>
            <w:vMerge w:val="restart"/>
            <w:tcBorders>
              <w:top w:val="single" w:sz="4" w:space="0" w:color="000000"/>
              <w:left w:val="single" w:sz="4" w:space="0" w:color="000000"/>
              <w:right w:val="single" w:sz="4" w:space="0" w:color="000000"/>
            </w:tcBorders>
            <w:shd w:val="clear" w:color="auto" w:fill="D3D3D3"/>
          </w:tcPr>
          <w:p>
            <w:pPr/>
          </w:p>
        </w:tc>
        <w:tc>
          <w:tcPr>
            <w:tcW w:w="814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6" w:hRule="exact"/>
        </w:trPr>
        <w:tc>
          <w:tcPr>
            <w:tcW w:w="1414" w:type="dxa"/>
            <w:vMerge/>
            <w:tcBorders>
              <w:left w:val="single" w:sz="4" w:space="0" w:color="000000"/>
              <w:right w:val="single" w:sz="4" w:space="0" w:color="000000"/>
            </w:tcBorders>
            <w:shd w:val="clear" w:color="auto" w:fill="D3D3D3"/>
          </w:tcPr>
          <w:p>
            <w:pPr/>
          </w:p>
        </w:tc>
        <w:tc>
          <w:tcPr>
            <w:tcW w:w="6833"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7" w:hRule="exact"/>
        </w:trPr>
        <w:tc>
          <w:tcPr>
            <w:tcW w:w="1414" w:type="dxa"/>
            <w:vMerge/>
            <w:tcBorders>
              <w:left w:val="single" w:sz="4" w:space="0" w:color="000000"/>
              <w:bottom w:val="nil" w:sz="6" w:space="0" w:color="auto"/>
              <w:right w:val="single" w:sz="4" w:space="0" w:color="000000"/>
            </w:tcBorders>
            <w:shd w:val="clear" w:color="auto" w:fill="D3D3D3"/>
          </w:tcPr>
          <w:p>
            <w:pPr/>
          </w:p>
        </w:tc>
        <w:tc>
          <w:tcPr>
            <w:tcW w:w="6833" w:type="dxa"/>
            <w:gridSpan w:val="11"/>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99" w:hRule="exact"/>
        </w:trPr>
        <w:tc>
          <w:tcPr>
            <w:tcW w:w="14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8" w:hRule="exact"/>
        </w:trPr>
        <w:tc>
          <w:tcPr>
            <w:tcW w:w="1414" w:type="dxa"/>
            <w:vMerge/>
            <w:tcBorders>
              <w:left w:val="single" w:sz="4" w:space="0" w:color="000000"/>
              <w:bottom w:val="nil" w:sz="6" w:space="0" w:color="auto"/>
              <w:right w:val="single" w:sz="4" w:space="0" w:color="000000"/>
            </w:tcBorders>
            <w:shd w:val="clear" w:color="auto" w:fill="D3D3D3"/>
          </w:tcPr>
          <w:p>
            <w:pPr/>
          </w:p>
        </w:tc>
        <w:tc>
          <w:tcPr>
            <w:tcW w:w="574"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6" w:hRule="exact"/>
        </w:trPr>
        <w:tc>
          <w:tcPr>
            <w:tcW w:w="1414" w:type="dxa"/>
            <w:vMerge w:val="restart"/>
            <w:tcBorders>
              <w:top w:val="nil" w:sz="6" w:space="0" w:color="auto"/>
              <w:left w:val="single" w:sz="4" w:space="0" w:color="000000"/>
              <w:right w:val="single" w:sz="4" w:space="0" w:color="000000"/>
            </w:tcBorders>
            <w:shd w:val="clear" w:color="auto" w:fill="D3D3D3"/>
          </w:tcPr>
          <w:p>
            <w:pPr/>
          </w:p>
        </w:tc>
        <w:tc>
          <w:tcPr>
            <w:tcW w:w="5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0"/>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6"/>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3" w:hRule="exact"/>
        </w:trPr>
        <w:tc>
          <w:tcPr>
            <w:tcW w:w="1414" w:type="dxa"/>
            <w:vMerge/>
            <w:tcBorders>
              <w:left w:val="single" w:sz="4" w:space="0" w:color="000000"/>
              <w:right w:val="single" w:sz="4" w:space="0" w:color="000000"/>
            </w:tcBorders>
            <w:shd w:val="clear" w:color="auto" w:fill="D3D3D3"/>
          </w:tcPr>
          <w:p>
            <w:pPr/>
          </w:p>
        </w:tc>
        <w:tc>
          <w:tcPr>
            <w:tcW w:w="574"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14" w:type="dxa"/>
            <w:vMerge/>
            <w:tcBorders>
              <w:left w:val="single" w:sz="4" w:space="0" w:color="000000"/>
              <w:right w:val="single" w:sz="4" w:space="0" w:color="000000"/>
            </w:tcBorders>
            <w:shd w:val="clear" w:color="auto" w:fill="D3D3D3"/>
          </w:tcPr>
          <w:p>
            <w:pPr/>
          </w:p>
        </w:tc>
        <w:tc>
          <w:tcPr>
            <w:tcW w:w="574"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33" w:hRule="exact"/>
        </w:trPr>
        <w:tc>
          <w:tcPr>
            <w:tcW w:w="1414" w:type="dxa"/>
            <w:vMerge/>
            <w:tcBorders>
              <w:left w:val="single" w:sz="4" w:space="0" w:color="000000"/>
              <w:bottom w:val="single" w:sz="4" w:space="0" w:color="000000"/>
              <w:right w:val="single" w:sz="4" w:space="0" w:color="000000"/>
            </w:tcBorders>
            <w:shd w:val="clear" w:color="auto" w:fill="D3D3D3"/>
          </w:tcPr>
          <w:p>
            <w:pPr/>
          </w:p>
        </w:tc>
        <w:tc>
          <w:tcPr>
            <w:tcW w:w="574"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14"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 w:type="dxa"/>
            <w:vMerge w:val="restart"/>
            <w:tcBorders>
              <w:top w:val="single" w:sz="4" w:space="0" w:color="000000"/>
              <w:left w:val="single" w:sz="10" w:space="0" w:color="D3D3D3"/>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1,271,</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442,27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8.00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20,223.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547.22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210,828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,540.65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669,427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,300.38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3,481,2</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02.21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91,092.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392" w:hRule="exact"/>
        </w:trPr>
        <w:tc>
          <w:tcPr>
            <w:tcW w:w="14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10"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4"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 w:type="dxa"/>
            <w:vMerge/>
            <w:tcBorders>
              <w:left w:val="single" w:sz="10"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4"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 w:type="dxa"/>
            <w:vMerge w:val="restart"/>
            <w:tcBorders>
              <w:top w:val="single" w:sz="4" w:space="0" w:color="000000"/>
              <w:left w:val="single" w:sz="10" w:space="0" w:color="D3D3D3"/>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1,271,</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442,27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8.00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20,223.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547.22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210,828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,540.65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669,427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,300.38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3,481,2</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02.21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91,092.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392" w:hRule="exact"/>
        </w:trPr>
        <w:tc>
          <w:tcPr>
            <w:tcW w:w="14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10"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4"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 w:type="dxa"/>
            <w:vMerge/>
            <w:tcBorders>
              <w:left w:val="single" w:sz="10"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12,602,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-1,606,9</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67.36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14,135,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270.26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284,921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,550.36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1,080,3</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97.54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311,133</w:t>
            </w:r>
          </w:p>
          <w:p>
            <w:pPr>
              <w:pStyle w:val="TableParagraph"/>
              <w:spacing w:line="240" w:lineRule="auto" w:before="106"/>
              <w:ind w:left="84" w:right="0"/>
              <w:jc w:val="left"/>
              <w:rPr>
                <w:rFonts w:ascii="Times New Roman" w:hAnsi="Times New Roman" w:cs="Times New Roman" w:eastAsia="Times New Roman" w:hint="default"/>
                <w:sz w:val="18"/>
                <w:szCs w:val="18"/>
              </w:rPr>
            </w:pPr>
            <w:r>
              <w:rPr>
                <w:rFonts w:ascii="Times New Roman"/>
                <w:sz w:val="18"/>
              </w:rPr>
              <w:t>,077.80</w:t>
            </w:r>
          </w:p>
        </w:tc>
      </w:tr>
      <w:tr>
        <w:trPr>
          <w:trHeight w:val="714" w:hRule="exact"/>
        </w:trPr>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-1,606,9</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67.36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349,914</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,511.72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-2,919,</w:t>
            </w:r>
          </w:p>
          <w:p>
            <w:pPr>
              <w:pStyle w:val="TableParagraph"/>
              <w:spacing w:line="240" w:lineRule="auto" w:before="106"/>
              <w:ind w:left="123" w:right="0"/>
              <w:jc w:val="left"/>
              <w:rPr>
                <w:rFonts w:ascii="Times New Roman" w:hAnsi="Times New Roman" w:cs="Times New Roman" w:eastAsia="Times New Roman" w:hint="default"/>
                <w:sz w:val="18"/>
                <w:szCs w:val="18"/>
              </w:rPr>
            </w:pPr>
            <w:r>
              <w:rPr>
                <w:rFonts w:ascii="Times New Roman"/>
                <w:sz w:val="18"/>
              </w:rPr>
              <w:t>602.46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345,387</w:t>
            </w:r>
          </w:p>
          <w:p>
            <w:pPr>
              <w:pStyle w:val="TableParagraph"/>
              <w:spacing w:line="240" w:lineRule="auto" w:before="106"/>
              <w:ind w:left="84" w:right="0"/>
              <w:jc w:val="left"/>
              <w:rPr>
                <w:rFonts w:ascii="Times New Roman" w:hAnsi="Times New Roman" w:cs="Times New Roman" w:eastAsia="Times New Roman" w:hint="default"/>
                <w:sz w:val="18"/>
                <w:szCs w:val="18"/>
              </w:rPr>
            </w:pPr>
            <w:r>
              <w:rPr>
                <w:rFonts w:ascii="Times New Roman"/>
                <w:sz w:val="18"/>
              </w:rPr>
              <w:t>,941.90</w:t>
            </w:r>
          </w:p>
        </w:tc>
      </w:tr>
      <w:tr>
        <w:trPr>
          <w:trHeight w:val="714" w:hRule="exact"/>
        </w:trPr>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4,000,0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4,000,0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9"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14,135,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270.26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-64,992,</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961.36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-50,857,</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691.10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14,135,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270.26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-14,135,</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270.26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-50,857,</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691.10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-50,857,</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691.10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12,602,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12,602,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827.00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1,271,</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442,27</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3,278,5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23,050.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9,984,5</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79.86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224,963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,810.91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954,348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,850.74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4,561,5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99.75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5,743,8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24,170.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41"/>
        <w:jc w:val="left"/>
      </w:pPr>
      <w:r>
        <w:rPr/>
        <w:t>本期金额</w:t>
      </w:r>
    </w:p>
    <w:p>
      <w:pPr>
        <w:pStyle w:val="BodyText"/>
        <w:spacing w:line="240" w:lineRule="auto" w:before="116"/>
        <w:ind w:left="0" w:right="151"/>
        <w:jc w:val="right"/>
      </w:pPr>
      <w:r>
        <w:rPr/>
        <w:t>单位：元</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402"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1" w:hRule="exact"/>
        </w:trPr>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1430" w:type="dxa"/>
            <w:vMerge/>
            <w:tcBorders>
              <w:left w:val="single" w:sz="4" w:space="0" w:color="000000"/>
              <w:bottom w:val="nil" w:sz="6" w:space="0" w:color="auto"/>
              <w:right w:val="single" w:sz="4" w:space="0" w:color="000000"/>
            </w:tcBorders>
            <w:shd w:val="clear" w:color="auto" w:fill="D3D3D3"/>
          </w:tcPr>
          <w:p>
            <w:pPr/>
          </w:p>
        </w:tc>
        <w:tc>
          <w:tcPr>
            <w:tcW w:w="6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6" w:hRule="exact"/>
        </w:trPr>
        <w:tc>
          <w:tcPr>
            <w:tcW w:w="1430" w:type="dxa"/>
            <w:vMerge w:val="restart"/>
            <w:tcBorders>
              <w:top w:val="nil" w:sz="6" w:space="0" w:color="auto"/>
              <w:left w:val="single" w:sz="4" w:space="0" w:color="000000"/>
              <w:right w:val="single" w:sz="4" w:space="0" w:color="000000"/>
            </w:tcBorders>
            <w:shd w:val="clear" w:color="auto" w:fill="D3D3D3"/>
          </w:tcPr>
          <w:p>
            <w:pPr/>
          </w:p>
        </w:tc>
        <w:tc>
          <w:tcPr>
            <w:tcW w:w="69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11" w:hRule="exact"/>
        </w:trPr>
        <w:tc>
          <w:tcPr>
            <w:tcW w:w="1430"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1,271,44</w:t>
            </w:r>
          </w:p>
          <w:p>
            <w:pPr>
              <w:pStyle w:val="TableParagraph"/>
              <w:spacing w:line="240" w:lineRule="auto" w:before="105"/>
              <w:ind w:left="19" w:right="0"/>
              <w:jc w:val="left"/>
              <w:rPr>
                <w:rFonts w:ascii="Times New Roman" w:hAnsi="Times New Roman" w:cs="Times New Roman" w:eastAsia="Times New Roman" w:hint="default"/>
                <w:sz w:val="18"/>
                <w:szCs w:val="18"/>
              </w:rPr>
            </w:pPr>
            <w:r>
              <w:rPr>
                <w:rFonts w:ascii="Times New Roman"/>
                <w:sz w:val="18"/>
              </w:rPr>
              <w:t>2,278.00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3,265,959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,082.32</w:t>
            </w:r>
          </w:p>
        </w:tc>
        <w:tc>
          <w:tcPr>
            <w:tcW w:w="798" w:type="dxa"/>
            <w:vMerge w:val="restart"/>
            <w:tcBorders>
              <w:top w:val="single" w:sz="24" w:space="0" w:color="D3D3D3"/>
              <w:left w:val="single" w:sz="4" w:space="0" w:color="000000"/>
              <w:right w:val="single" w:sz="4" w:space="0" w:color="000000"/>
            </w:tcBorders>
          </w:tcPr>
          <w:p>
            <w:pPr/>
          </w:p>
        </w:tc>
        <w:tc>
          <w:tcPr>
            <w:tcW w:w="798" w:type="dxa"/>
            <w:vMerge w:val="restart"/>
            <w:tcBorders>
              <w:top w:val="single" w:sz="24" w:space="0" w:color="D3D3D3"/>
              <w:left w:val="single" w:sz="4" w:space="0" w:color="000000"/>
              <w:right w:val="single" w:sz="4" w:space="0" w:color="000000"/>
            </w:tcBorders>
          </w:tcPr>
          <w:p>
            <w:pPr>
              <w:pStyle w:val="TableParagraph"/>
              <w:spacing w:line="240" w:lineRule="auto" w:before="66"/>
              <w:ind w:right="19"/>
              <w:jc w:val="right"/>
              <w:rPr>
                <w:rFonts w:ascii="Times New Roman" w:hAnsi="Times New Roman" w:cs="Times New Roman" w:eastAsia="Times New Roman" w:hint="default"/>
                <w:sz w:val="18"/>
                <w:szCs w:val="18"/>
              </w:rPr>
            </w:pPr>
            <w:r>
              <w:rPr>
                <w:rFonts w:ascii="Times New Roman"/>
                <w:sz w:val="18"/>
              </w:rPr>
              <w:t>9,984,579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218,720,8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57.65</w:t>
            </w:r>
          </w:p>
        </w:tc>
        <w:tc>
          <w:tcPr>
            <w:tcW w:w="676" w:type="dxa"/>
            <w:vMerge w:val="restart"/>
            <w:tcBorders>
              <w:top w:val="single" w:sz="24" w:space="0" w:color="D3D3D3"/>
              <w:left w:val="single" w:sz="4" w:space="0" w:color="000000"/>
              <w:right w:val="single" w:sz="4" w:space="0" w:color="000000"/>
            </w:tcBorders>
          </w:tcPr>
          <w:p>
            <w:pPr>
              <w:pStyle w:val="TableParagraph"/>
              <w:spacing w:line="240" w:lineRule="auto" w:before="66"/>
              <w:ind w:left="58" w:right="0"/>
              <w:jc w:val="left"/>
              <w:rPr>
                <w:rFonts w:ascii="Times New Roman" w:hAnsi="Times New Roman" w:cs="Times New Roman" w:eastAsia="Times New Roman" w:hint="default"/>
                <w:sz w:val="18"/>
                <w:szCs w:val="18"/>
              </w:rPr>
            </w:pPr>
            <w:r>
              <w:rPr>
                <w:rFonts w:ascii="Times New Roman"/>
                <w:sz w:val="18"/>
              </w:rPr>
              <w:t>553,190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,165.82</w:t>
            </w:r>
          </w:p>
        </w:tc>
        <w:tc>
          <w:tcPr>
            <w:tcW w:w="781" w:type="dxa"/>
            <w:vMerge w:val="restart"/>
            <w:tcBorders>
              <w:top w:val="single" w:sz="24" w:space="0" w:color="D3D3D3"/>
              <w:left w:val="single" w:sz="4" w:space="0" w:color="000000"/>
              <w:right w:val="single" w:sz="4" w:space="0" w:color="000000"/>
            </w:tcBorders>
          </w:tcPr>
          <w:p>
            <w:pPr>
              <w:pStyle w:val="TableParagraph"/>
              <w:spacing w:line="240" w:lineRule="auto" w:before="66"/>
              <w:ind w:left="4" w:right="0"/>
              <w:jc w:val="center"/>
              <w:rPr>
                <w:rFonts w:ascii="Times New Roman" w:hAnsi="Times New Roman" w:cs="Times New Roman" w:eastAsia="Times New Roman" w:hint="default"/>
                <w:sz w:val="18"/>
                <w:szCs w:val="18"/>
              </w:rPr>
            </w:pPr>
            <w:r>
              <w:rPr>
                <w:rFonts w:ascii="Times New Roman"/>
                <w:sz w:val="18"/>
              </w:rPr>
              <w:t>5,319,296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,963.65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1,271,44</w:t>
            </w:r>
          </w:p>
          <w:p>
            <w:pPr>
              <w:pStyle w:val="TableParagraph"/>
              <w:spacing w:line="240" w:lineRule="auto" w:before="105"/>
              <w:ind w:left="19" w:right="0"/>
              <w:jc w:val="left"/>
              <w:rPr>
                <w:rFonts w:ascii="Times New Roman" w:hAnsi="Times New Roman" w:cs="Times New Roman" w:eastAsia="Times New Roman" w:hint="default"/>
                <w:sz w:val="18"/>
                <w:szCs w:val="18"/>
              </w:rPr>
            </w:pPr>
            <w:r>
              <w:rPr>
                <w:rFonts w:ascii="Times New Roman"/>
                <w:sz w:val="18"/>
              </w:rPr>
              <w:t>2,278.00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3,265,959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,082.32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9,984,579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218,720,8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57.65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553,190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,165.82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5,319,296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,963.65</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5"/>
              <w:ind w:left="130" w:right="0"/>
              <w:jc w:val="center"/>
              <w:rPr>
                <w:rFonts w:ascii="Times New Roman" w:hAnsi="Times New Roman" w:cs="Times New Roman" w:eastAsia="Times New Roman" w:hint="default"/>
                <w:sz w:val="18"/>
                <w:szCs w:val="18"/>
              </w:rPr>
            </w:pPr>
            <w:r>
              <w:rPr>
                <w:rFonts w:ascii="Times New Roman"/>
                <w:sz w:val="18"/>
              </w:rPr>
              <w:t>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683.00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-9,984,57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10,326,87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-17,767,</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598.86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-17,425,3</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07.34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-9,984,57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68,845,</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809.20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58,861,22</w:t>
            </w:r>
          </w:p>
          <w:p>
            <w:pPr>
              <w:pStyle w:val="TableParagraph"/>
              <w:spacing w:line="240" w:lineRule="auto" w:before="105"/>
              <w:ind w:left="432" w:right="0"/>
              <w:jc w:val="left"/>
              <w:rPr>
                <w:rFonts w:ascii="Times New Roman" w:hAnsi="Times New Roman" w:cs="Times New Roman" w:eastAsia="Times New Roman" w:hint="default"/>
                <w:sz w:val="18"/>
                <w:szCs w:val="18"/>
              </w:rPr>
            </w:pPr>
            <w:r>
              <w:rPr>
                <w:rFonts w:ascii="Times New Roman"/>
                <w:sz w:val="18"/>
              </w:rPr>
              <w:t>9.34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10,326,87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1.38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-86,613,</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408.06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-76,286,5</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36.68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10,326,87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1.38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-10,326,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871.38</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-76,286,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536.68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-76,286,5</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36.68</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5"/>
              <w:ind w:left="130" w:right="0"/>
              <w:jc w:val="center"/>
              <w:rPr>
                <w:rFonts w:ascii="Times New Roman" w:hAnsi="Times New Roman" w:cs="Times New Roman" w:eastAsia="Times New Roman" w:hint="default"/>
                <w:sz w:val="18"/>
                <w:szCs w:val="18"/>
              </w:rPr>
            </w:pPr>
            <w:r>
              <w:rPr>
                <w:rFonts w:ascii="Times New Roman"/>
                <w:sz w:val="18"/>
              </w:rPr>
              <w:t>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683.00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5"/>
              <w:ind w:left="130" w:right="0"/>
              <w:jc w:val="center"/>
              <w:rPr>
                <w:rFonts w:ascii="Times New Roman" w:hAnsi="Times New Roman" w:cs="Times New Roman" w:eastAsia="Times New Roman" w:hint="default"/>
                <w:sz w:val="18"/>
                <w:szCs w:val="18"/>
              </w:rPr>
            </w:pPr>
            <w:r>
              <w:rPr>
                <w:rFonts w:ascii="Times New Roman"/>
                <w:sz w:val="18"/>
              </w:rPr>
              <w:t>683.00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-381,432,</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683.00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4,961.00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2,884,526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,399.32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229,047,7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29.03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535,422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,566.96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5,301,871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,656.31</w:t>
            </w:r>
          </w:p>
        </w:tc>
      </w:tr>
    </w:tbl>
    <w:p>
      <w:pPr>
        <w:pStyle w:val="BodyText"/>
        <w:spacing w:line="240" w:lineRule="auto" w:before="51"/>
        <w:ind w:left="154" w:right="141"/>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402"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7" w:hRule="exact"/>
        </w:trPr>
        <w:tc>
          <w:tcPr>
            <w:tcW w:w="1430" w:type="dxa"/>
            <w:vMerge/>
            <w:tcBorders>
              <w:left w:val="single" w:sz="4" w:space="0" w:color="000000"/>
              <w:bottom w:val="nil" w:sz="6" w:space="0" w:color="auto"/>
              <w:right w:val="single" w:sz="4" w:space="0" w:color="000000"/>
            </w:tcBorders>
            <w:shd w:val="clear" w:color="auto" w:fill="D3D3D3"/>
          </w:tcPr>
          <w:p>
            <w:pPr/>
          </w:p>
        </w:tc>
        <w:tc>
          <w:tcPr>
            <w:tcW w:w="6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6" w:hRule="exact"/>
        </w:trPr>
        <w:tc>
          <w:tcPr>
            <w:tcW w:w="1430" w:type="dxa"/>
            <w:vMerge w:val="restart"/>
            <w:tcBorders>
              <w:top w:val="nil" w:sz="6" w:space="0" w:color="auto"/>
              <w:left w:val="single" w:sz="4" w:space="0" w:color="000000"/>
              <w:right w:val="single" w:sz="4" w:space="0" w:color="000000"/>
            </w:tcBorders>
            <w:shd w:val="clear" w:color="auto" w:fill="D3D3D3"/>
          </w:tcPr>
          <w:p>
            <w:pPr/>
          </w:p>
        </w:tc>
        <w:tc>
          <w:tcPr>
            <w:tcW w:w="69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11" w:hRule="exact"/>
        </w:trPr>
        <w:tc>
          <w:tcPr>
            <w:tcW w:w="1430"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1,271,44</w:t>
            </w:r>
          </w:p>
          <w:p>
            <w:pPr>
              <w:pStyle w:val="TableParagraph"/>
              <w:spacing w:line="240" w:lineRule="auto" w:before="106"/>
              <w:ind w:left="19" w:right="0"/>
              <w:jc w:val="left"/>
              <w:rPr>
                <w:rFonts w:ascii="Times New Roman" w:hAnsi="Times New Roman" w:cs="Times New Roman" w:eastAsia="Times New Roman" w:hint="default"/>
                <w:sz w:val="18"/>
                <w:szCs w:val="18"/>
              </w:rPr>
            </w:pPr>
            <w:r>
              <w:rPr>
                <w:rFonts w:ascii="Times New Roman"/>
                <w:sz w:val="18"/>
              </w:rPr>
              <w:t>2,278.00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3,265,959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,082.32</w:t>
            </w:r>
          </w:p>
        </w:tc>
        <w:tc>
          <w:tcPr>
            <w:tcW w:w="798" w:type="dxa"/>
            <w:vMerge w:val="restart"/>
            <w:tcBorders>
              <w:top w:val="single" w:sz="20" w:space="0" w:color="D3D3D3"/>
              <w:left w:val="single" w:sz="4" w:space="0" w:color="000000"/>
              <w:right w:val="single" w:sz="4" w:space="0" w:color="000000"/>
            </w:tcBorders>
          </w:tcPr>
          <w:p>
            <w:pPr/>
          </w:p>
        </w:tc>
        <w:tc>
          <w:tcPr>
            <w:tcW w:w="798" w:type="dxa"/>
            <w:vMerge w:val="restart"/>
            <w:tcBorders>
              <w:top w:val="single" w:sz="20" w:space="0" w:color="D3D3D3"/>
              <w:left w:val="single" w:sz="4" w:space="0" w:color="000000"/>
              <w:right w:val="single" w:sz="4" w:space="0" w:color="000000"/>
            </w:tcBorders>
          </w:tcPr>
          <w:p>
            <w:pPr>
              <w:pStyle w:val="TableParagraph"/>
              <w:spacing w:line="240" w:lineRule="auto" w:before="71"/>
              <w:ind w:left="52" w:right="0"/>
              <w:jc w:val="left"/>
              <w:rPr>
                <w:rFonts w:ascii="Times New Roman" w:hAnsi="Times New Roman" w:cs="Times New Roman" w:eastAsia="Times New Roman" w:hint="default"/>
                <w:sz w:val="18"/>
                <w:szCs w:val="18"/>
              </w:rPr>
            </w:pPr>
            <w:r>
              <w:rPr>
                <w:rFonts w:ascii="Times New Roman"/>
                <w:sz w:val="18"/>
              </w:rPr>
              <w:t>11,591,54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7.22</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204,585,5</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87.39</w:t>
            </w:r>
          </w:p>
        </w:tc>
        <w:tc>
          <w:tcPr>
            <w:tcW w:w="676" w:type="dxa"/>
            <w:vMerge w:val="restart"/>
            <w:tcBorders>
              <w:top w:val="single" w:sz="20" w:space="0" w:color="D3D3D3"/>
              <w:left w:val="single" w:sz="4" w:space="0" w:color="000000"/>
              <w:right w:val="single" w:sz="4" w:space="0" w:color="000000"/>
            </w:tcBorders>
          </w:tcPr>
          <w:p>
            <w:pPr>
              <w:pStyle w:val="TableParagraph"/>
              <w:spacing w:line="240" w:lineRule="auto" w:before="71"/>
              <w:ind w:left="58" w:right="0"/>
              <w:jc w:val="left"/>
              <w:rPr>
                <w:rFonts w:ascii="Times New Roman" w:hAnsi="Times New Roman" w:cs="Times New Roman" w:eastAsia="Times New Roman" w:hint="default"/>
                <w:sz w:val="18"/>
                <w:szCs w:val="18"/>
              </w:rPr>
            </w:pPr>
            <w:r>
              <w:rPr>
                <w:rFonts w:ascii="Times New Roman"/>
                <w:sz w:val="18"/>
              </w:rPr>
              <w:t>523,947</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,992.09</w:t>
            </w:r>
          </w:p>
        </w:tc>
        <w:tc>
          <w:tcPr>
            <w:tcW w:w="781" w:type="dxa"/>
            <w:vMerge w:val="restart"/>
            <w:tcBorders>
              <w:top w:val="single" w:sz="20" w:space="0" w:color="D3D3D3"/>
              <w:left w:val="single" w:sz="4" w:space="0" w:color="000000"/>
              <w:right w:val="single" w:sz="4" w:space="0" w:color="000000"/>
            </w:tcBorders>
          </w:tcPr>
          <w:p>
            <w:pPr>
              <w:pStyle w:val="TableParagraph"/>
              <w:spacing w:line="240" w:lineRule="auto" w:before="71"/>
              <w:ind w:left="4" w:right="0"/>
              <w:jc w:val="center"/>
              <w:rPr>
                <w:rFonts w:ascii="Times New Roman" w:hAnsi="Times New Roman" w:cs="Times New Roman" w:eastAsia="Times New Roman" w:hint="default"/>
                <w:sz w:val="18"/>
                <w:szCs w:val="18"/>
              </w:rPr>
            </w:pPr>
            <w:r>
              <w:rPr>
                <w:rFonts w:ascii="Times New Roman"/>
                <w:sz w:val="18"/>
              </w:rPr>
              <w:t>5,277,526</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,487.02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1,271,44</w:t>
            </w:r>
          </w:p>
          <w:p>
            <w:pPr>
              <w:pStyle w:val="TableParagraph"/>
              <w:spacing w:line="240" w:lineRule="auto" w:before="106"/>
              <w:ind w:left="19" w:right="0"/>
              <w:jc w:val="left"/>
              <w:rPr>
                <w:rFonts w:ascii="Times New Roman" w:hAnsi="Times New Roman" w:cs="Times New Roman" w:eastAsia="Times New Roman" w:hint="default"/>
                <w:sz w:val="18"/>
                <w:szCs w:val="18"/>
              </w:rPr>
            </w:pPr>
            <w:r>
              <w:rPr>
                <w:rFonts w:ascii="Times New Roman"/>
                <w:sz w:val="18"/>
              </w:rPr>
              <w:t>2,278.00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3,265,959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,082.32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11,591,54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7.22</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204,585,5</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87.39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523,947</w:t>
            </w:r>
          </w:p>
          <w:p>
            <w:pPr>
              <w:pStyle w:val="TableParagraph"/>
              <w:spacing w:line="240" w:lineRule="auto" w:before="106"/>
              <w:ind w:left="102" w:right="0"/>
              <w:jc w:val="left"/>
              <w:rPr>
                <w:rFonts w:ascii="Times New Roman" w:hAnsi="Times New Roman" w:cs="Times New Roman" w:eastAsia="Times New Roman" w:hint="default"/>
                <w:sz w:val="18"/>
                <w:szCs w:val="18"/>
              </w:rPr>
            </w:pPr>
            <w:r>
              <w:rPr>
                <w:rFonts w:ascii="Times New Roman"/>
                <w:sz w:val="18"/>
              </w:rPr>
              <w:t>,992.09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5,277,526</w:t>
            </w:r>
          </w:p>
          <w:p>
            <w:pPr>
              <w:pStyle w:val="TableParagraph"/>
              <w:spacing w:line="240" w:lineRule="auto" w:before="106"/>
              <w:ind w:left="182" w:right="0"/>
              <w:jc w:val="center"/>
              <w:rPr>
                <w:rFonts w:ascii="Times New Roman" w:hAnsi="Times New Roman" w:cs="Times New Roman" w:eastAsia="Times New Roman" w:hint="default"/>
                <w:sz w:val="18"/>
                <w:szCs w:val="18"/>
              </w:rPr>
            </w:pPr>
            <w:r>
              <w:rPr>
                <w:rFonts w:ascii="Times New Roman"/>
                <w:sz w:val="18"/>
              </w:rPr>
              <w:t>,487.02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-1,606,96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14,135,27</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29,242,</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173.73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41,770,47</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6.63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-1,606,96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94,235,</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135.09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92,628,16</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7.73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14,135,27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-64,992,</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961.36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-50,857,6</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91.10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14,135,27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0.26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-14,135,</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270.26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-50,857,</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691.10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-50,857,6</w:t>
            </w:r>
          </w:p>
          <w:p>
            <w:pPr>
              <w:pStyle w:val="TableParagraph"/>
              <w:spacing w:line="240" w:lineRule="auto" w:before="105"/>
              <w:ind w:left="342" w:right="0"/>
              <w:jc w:val="left"/>
              <w:rPr>
                <w:rFonts w:ascii="Times New Roman" w:hAnsi="Times New Roman" w:cs="Times New Roman" w:eastAsia="Times New Roman" w:hint="default"/>
                <w:sz w:val="18"/>
                <w:szCs w:val="18"/>
              </w:rPr>
            </w:pPr>
            <w:r>
              <w:rPr>
                <w:rFonts w:ascii="Times New Roman"/>
                <w:sz w:val="18"/>
              </w:rPr>
              <w:t>91.10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1,271,44</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2,278.00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3,265,959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,082.32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9,984,579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218,720,8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57.65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553,190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,165.82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5,319,296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,963.65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8" w:firstLine="290"/>
        <w:jc w:val="both"/>
      </w:pPr>
      <w:r>
        <w:rPr/>
        <w:t>石家庄常山北明科技股份有限公司（以下简称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）系经河北省人民政府股份制领导小组办公室</w:t>
      </w:r>
      <w:r>
        <w:rPr>
          <w:rFonts w:ascii="Times New Roman" w:hAnsi="Times New Roman" w:cs="Times New Roman" w:eastAsia="Times New Roman" w:hint="default"/>
        </w:rPr>
        <w:t>“</w:t>
      </w:r>
      <w:r>
        <w:rPr/>
        <w:t>冀股办 </w:t>
      </w:r>
      <w:r>
        <w:rPr>
          <w:rFonts w:ascii="Times New Roman" w:hAnsi="Times New Roman" w:cs="Times New Roman" w:eastAsia="Times New Roman" w:hint="default"/>
        </w:rPr>
        <w:t>[1998]64</w:t>
      </w:r>
      <w:r>
        <w:rPr/>
        <w:t>号</w:t>
      </w:r>
      <w:r>
        <w:rPr>
          <w:rFonts w:ascii="Times New Roman" w:hAnsi="Times New Roman" w:cs="Times New Roman" w:eastAsia="Times New Roman" w:hint="default"/>
        </w:rPr>
        <w:t>”</w:t>
      </w:r>
      <w:r>
        <w:rPr/>
        <w:t>文件批准，由石家庄常山纺织集团有限责任公司作为主发起人，联合河北省宏远国际经贸集团公司、河北华鑫</w:t>
      </w:r>
      <w:r>
        <w:rPr>
          <w:spacing w:val="-26"/>
        </w:rPr>
        <w:t> </w:t>
      </w:r>
      <w:r>
        <w:rPr>
          <w:spacing w:val="-26"/>
        </w:rPr>
      </w:r>
      <w:r>
        <w:rPr>
          <w:spacing w:val="-5"/>
        </w:rPr>
        <w:t>集团公司、河北宁纺集团有限责任公司和石家庄市星球服装鞋帽联合（集团）公司共同发起设立的股份有限公司。公司于</w:t>
      </w:r>
      <w:r>
        <w:rPr>
          <w:rFonts w:ascii="Times New Roman" w:hAnsi="Times New Roman" w:cs="Times New Roman" w:eastAsia="Times New Roman" w:hint="default"/>
          <w:spacing w:val="-5"/>
        </w:rPr>
        <w:t>1998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日在河北省工商行政管理局注册登记正式成立，注册资本</w:t>
      </w:r>
      <w:r>
        <w:rPr>
          <w:rFonts w:ascii="Times New Roman" w:hAnsi="Times New Roman" w:cs="Times New Roman" w:eastAsia="Times New Roman" w:hint="default"/>
        </w:rPr>
        <w:t>3</w:t>
      </w:r>
      <w:r>
        <w:rPr/>
        <w:t>亿元。</w:t>
      </w:r>
    </w:p>
    <w:p>
      <w:pPr>
        <w:spacing w:line="240" w:lineRule="auto" w:before="7"/>
        <w:rPr>
          <w:rFonts w:ascii="宋体" w:hAnsi="宋体" w:cs="宋体" w:eastAsia="宋体" w:hint="default"/>
          <w:sz w:val="17"/>
          <w:szCs w:val="17"/>
        </w:rPr>
      </w:pPr>
    </w:p>
    <w:p>
      <w:pPr>
        <w:pStyle w:val="BodyText"/>
        <w:spacing w:line="300" w:lineRule="auto"/>
        <w:ind w:left="154" w:right="101" w:firstLine="290"/>
        <w:jc w:val="both"/>
      </w:pPr>
      <w:r>
        <w:rPr/>
        <w:t>经中国证监会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[2000]91</w:t>
      </w:r>
      <w:r>
        <w:rPr/>
        <w:t>号</w:t>
      </w:r>
      <w:r>
        <w:rPr>
          <w:rFonts w:ascii="Times New Roman" w:hAnsi="Times New Roman" w:cs="Times New Roman" w:eastAsia="Times New Roman" w:hint="default"/>
        </w:rPr>
        <w:t>”</w:t>
      </w:r>
      <w:r>
        <w:rPr/>
        <w:t>文件批准，公司于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日通过深圳证券交易所交易系统，采用上网定价的</w:t>
      </w:r>
      <w:r>
        <w:rPr>
          <w:spacing w:val="1"/>
        </w:rPr>
        <w:t> </w:t>
      </w:r>
      <w:r>
        <w:rPr/>
        <w:t>发行方式向社会公开发行人民币普通股（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w:t>
      </w:r>
      <w:r>
        <w:rPr/>
        <w:t>亿股，发行价为每股</w:t>
      </w:r>
      <w:r>
        <w:rPr>
          <w:rFonts w:ascii="Times New Roman" w:hAnsi="Times New Roman" w:cs="Times New Roman" w:eastAsia="Times New Roman" w:hint="default"/>
        </w:rPr>
        <w:t>6.18</w:t>
      </w:r>
      <w:r>
        <w:rPr/>
        <w:t>元。经深圳证券交易所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106</w:t>
      </w:r>
      <w:r>
        <w:rPr/>
        <w:t>］号</w:t>
      </w:r>
      <w:r>
        <w:rPr>
          <w:rFonts w:ascii="Times New Roman" w:hAnsi="Times New Roman" w:cs="Times New Roman" w:eastAsia="Times New Roman" w:hint="default"/>
        </w:rPr>
        <w:t>”</w:t>
      </w:r>
      <w:r>
        <w:rPr/>
        <w:t>文</w:t>
      </w:r>
      <w:r>
        <w:rPr>
          <w:spacing w:val="-66"/>
        </w:rPr>
        <w:t> </w:t>
      </w:r>
      <w:r>
        <w:rPr>
          <w:spacing w:val="-5"/>
        </w:rPr>
        <w:t>批准，本公司的</w:t>
      </w:r>
      <w:r>
        <w:rPr>
          <w:rFonts w:ascii="Times New Roman" w:hAnsi="Times New Roman" w:cs="Times New Roman" w:eastAsia="Times New Roman" w:hint="default"/>
          <w:spacing w:val="-5"/>
        </w:rPr>
        <w:t>1</w:t>
      </w:r>
      <w:r>
        <w:rPr>
          <w:spacing w:val="-5"/>
        </w:rPr>
        <w:t>亿股</w:t>
      </w:r>
      <w:r>
        <w:rPr>
          <w:rFonts w:ascii="Times New Roman" w:hAnsi="Times New Roman" w:cs="Times New Roman" w:eastAsia="Times New Roman" w:hint="default"/>
          <w:spacing w:val="-5"/>
        </w:rPr>
        <w:t>A</w:t>
      </w:r>
      <w:r>
        <w:rPr>
          <w:spacing w:val="-5"/>
        </w:rPr>
        <w:t>股股票已于</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24</w:t>
      </w:r>
      <w:r>
        <w:rPr>
          <w:spacing w:val="-5"/>
        </w:rPr>
        <w:t>日在深圳证券交易所上市挂牌交易。股票简称</w:t>
      </w:r>
      <w:r>
        <w:rPr>
          <w:rFonts w:ascii="Times New Roman" w:hAnsi="Times New Roman" w:cs="Times New Roman" w:eastAsia="Times New Roman" w:hint="default"/>
          <w:spacing w:val="-5"/>
        </w:rPr>
        <w:t>“</w:t>
      </w:r>
      <w:r>
        <w:rPr>
          <w:spacing w:val="-5"/>
        </w:rPr>
        <w:t>常山北明</w:t>
      </w:r>
      <w:r>
        <w:rPr>
          <w:rFonts w:ascii="Times New Roman" w:hAnsi="Times New Roman" w:cs="Times New Roman" w:eastAsia="Times New Roman" w:hint="default"/>
          <w:spacing w:val="-5"/>
        </w:rPr>
        <w:t>”</w:t>
      </w:r>
      <w:r>
        <w:rPr>
          <w:spacing w:val="-5"/>
        </w:rPr>
        <w:t>，股票代码</w:t>
      </w:r>
      <w:r>
        <w:rPr>
          <w:rFonts w:ascii="Times New Roman" w:hAnsi="Times New Roman" w:cs="Times New Roman" w:eastAsia="Times New Roman" w:hint="default"/>
          <w:spacing w:val="-5"/>
        </w:rPr>
        <w:t>“000158”</w:t>
      </w:r>
      <w:r>
        <w:rPr>
          <w:spacing w:val="-5"/>
        </w:rPr>
        <w:t>。</w:t>
      </w:r>
    </w:p>
    <w:p>
      <w:pPr>
        <w:spacing w:line="240" w:lineRule="auto" w:before="7"/>
        <w:rPr>
          <w:rFonts w:ascii="宋体" w:hAnsi="宋体" w:cs="宋体" w:eastAsia="宋体" w:hint="default"/>
          <w:sz w:val="17"/>
          <w:szCs w:val="17"/>
        </w:rPr>
      </w:pPr>
    </w:p>
    <w:p>
      <w:pPr>
        <w:pStyle w:val="BodyText"/>
        <w:spacing w:line="300" w:lineRule="auto"/>
        <w:ind w:left="154" w:right="189" w:firstLine="290"/>
        <w:jc w:val="both"/>
      </w:pPr>
      <w:r>
        <w:rPr>
          <w:spacing w:val="-1"/>
        </w:rPr>
        <w:t>根据公司股东大会决议通过的配股方案，并经中国证监会</w:t>
      </w:r>
      <w:r>
        <w:rPr>
          <w:rFonts w:ascii="Times New Roman" w:hAnsi="Times New Roman" w:cs="Times New Roman" w:eastAsia="Times New Roman" w:hint="default"/>
          <w:spacing w:val="-1"/>
        </w:rPr>
        <w:t>“</w:t>
      </w:r>
      <w:r>
        <w:rPr>
          <w:spacing w:val="-1"/>
        </w:rPr>
        <w:t>证监发行字</w:t>
      </w:r>
      <w:r>
        <w:rPr>
          <w:rFonts w:ascii="Times New Roman" w:hAnsi="Times New Roman" w:cs="Times New Roman" w:eastAsia="Times New Roman" w:hint="default"/>
          <w:spacing w:val="-1"/>
        </w:rPr>
        <w:t>[2003]91</w:t>
      </w:r>
      <w:r>
        <w:rPr>
          <w:spacing w:val="-1"/>
        </w:rPr>
        <w:t>号</w:t>
      </w:r>
      <w:r>
        <w:rPr>
          <w:rFonts w:ascii="Times New Roman" w:hAnsi="Times New Roman" w:cs="Times New Roman" w:eastAsia="Times New Roman" w:hint="default"/>
          <w:spacing w:val="-1"/>
        </w:rPr>
        <w:t>”</w:t>
      </w:r>
      <w:r>
        <w:rPr>
          <w:spacing w:val="-1"/>
        </w:rPr>
        <w:t>文核准，本公司于</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8</w:t>
      </w:r>
      <w:r>
        <w:rPr>
          <w:spacing w:val="-1"/>
        </w:rPr>
        <w:t>月向社会公</w:t>
      </w:r>
      <w:r>
        <w:rPr/>
        <w:t> 众股股东配售普通股</w:t>
      </w:r>
      <w:r>
        <w:rPr>
          <w:rFonts w:ascii="Times New Roman" w:hAnsi="Times New Roman" w:cs="Times New Roman" w:eastAsia="Times New Roman" w:hint="default"/>
        </w:rPr>
        <w:t>30,000,000</w:t>
      </w:r>
      <w:r>
        <w:rPr/>
        <w:t>股，每股发行价格为</w:t>
      </w:r>
      <w:r>
        <w:rPr>
          <w:rFonts w:ascii="Times New Roman" w:hAnsi="Times New Roman" w:cs="Times New Roman" w:eastAsia="Times New Roman" w:hint="default"/>
        </w:rPr>
        <w:t>5.07</w:t>
      </w:r>
      <w:r>
        <w:rPr/>
        <w:t>元人民币</w:t>
      </w:r>
      <w:r>
        <w:rPr>
          <w:rFonts w:ascii="Times New Roman" w:hAnsi="Times New Roman" w:cs="Times New Roman" w:eastAsia="Times New Roman" w:hint="default"/>
        </w:rPr>
        <w:t>, </w:t>
      </w:r>
      <w:r>
        <w:rPr/>
        <w:t>募集资金净额为</w:t>
      </w:r>
      <w:r>
        <w:rPr>
          <w:rFonts w:ascii="Times New Roman" w:hAnsi="Times New Roman" w:cs="Times New Roman" w:eastAsia="Times New Roman" w:hint="default"/>
        </w:rPr>
        <w:t>140,968,464.08</w:t>
      </w:r>
      <w:r>
        <w:rPr/>
        <w:t>元。此次配售社会公众股</w:t>
      </w:r>
      <w:r>
        <w:rPr>
          <w:spacing w:val="-53"/>
        </w:rPr>
        <w:t> </w:t>
      </w:r>
      <w:r>
        <w:rPr>
          <w:spacing w:val="-53"/>
        </w:rPr>
      </w:r>
      <w:r>
        <w:rPr/>
        <w:t>后，公司股本总额为</w:t>
      </w:r>
      <w:r>
        <w:rPr>
          <w:rFonts w:ascii="Times New Roman" w:hAnsi="Times New Roman" w:cs="Times New Roman" w:eastAsia="Times New Roman" w:hint="default"/>
        </w:rPr>
        <w:t>43,000</w:t>
      </w:r>
      <w:r>
        <w:rPr/>
        <w:t>万元人民币，已经河北华安会计师事务所有限公司</w:t>
      </w:r>
      <w:r>
        <w:rPr>
          <w:rFonts w:ascii="Times New Roman" w:hAnsi="Times New Roman" w:cs="Times New Roman" w:eastAsia="Times New Roman" w:hint="default"/>
        </w:rPr>
        <w:t>“</w:t>
      </w:r>
      <w:r>
        <w:rPr/>
        <w:t>冀华会验字</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rFonts w:ascii="Times New Roman" w:hAnsi="Times New Roman" w:cs="Times New Roman" w:eastAsia="Times New Roman" w:hint="default"/>
        </w:rPr>
        <w:t>3004</w:t>
      </w:r>
      <w:r>
        <w:rPr/>
        <w:t>号</w:t>
      </w:r>
      <w:r>
        <w:rPr>
          <w:rFonts w:ascii="Times New Roman" w:hAnsi="Times New Roman" w:cs="Times New Roman" w:eastAsia="Times New Roman" w:hint="default"/>
        </w:rPr>
        <w:t>”</w:t>
      </w:r>
      <w:r>
        <w:rPr/>
        <w:t>验资报告验证。</w:t>
      </w:r>
    </w:p>
    <w:p>
      <w:pPr>
        <w:spacing w:line="240" w:lineRule="auto" w:before="7"/>
        <w:rPr>
          <w:rFonts w:ascii="宋体" w:hAnsi="宋体" w:cs="宋体" w:eastAsia="宋体" w:hint="default"/>
          <w:sz w:val="17"/>
          <w:szCs w:val="17"/>
        </w:rPr>
      </w:pPr>
    </w:p>
    <w:p>
      <w:pPr>
        <w:pStyle w:val="BodyText"/>
        <w:spacing w:line="240" w:lineRule="auto"/>
        <w:ind w:left="444" w:right="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日召开的股权分置改革相关股东会议表决通过了公司对价方案即以股权登记日（</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日）登记在</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册的全体流通股股东每持有</w:t>
      </w:r>
      <w:r>
        <w:rPr>
          <w:rFonts w:ascii="Times New Roman" w:hAnsi="Times New Roman" w:cs="Times New Roman" w:eastAsia="Times New Roman" w:hint="default"/>
        </w:rPr>
        <w:t>10</w:t>
      </w:r>
      <w:r>
        <w:rPr/>
        <w:t>股流通股获得非流通股股东支付</w:t>
      </w:r>
      <w:r>
        <w:rPr>
          <w:rFonts w:ascii="Times New Roman" w:hAnsi="Times New Roman" w:cs="Times New Roman" w:eastAsia="Times New Roman" w:hint="default"/>
        </w:rPr>
        <w:t>3.5</w:t>
      </w:r>
      <w:r>
        <w:rPr/>
        <w:t>股对价股股份，该方案于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日正式实施完毕。</w:t>
      </w:r>
    </w:p>
    <w:p>
      <w:pPr>
        <w:spacing w:line="240" w:lineRule="auto" w:before="4"/>
        <w:rPr>
          <w:rFonts w:ascii="宋体" w:hAnsi="宋体" w:cs="宋体" w:eastAsia="宋体" w:hint="default"/>
          <w:sz w:val="21"/>
          <w:szCs w:val="21"/>
        </w:rPr>
      </w:pPr>
    </w:p>
    <w:p>
      <w:pPr>
        <w:pStyle w:val="BodyText"/>
        <w:spacing w:line="304" w:lineRule="auto"/>
        <w:ind w:right="91" w:firstLine="290"/>
        <w:jc w:val="left"/>
      </w:pPr>
      <w:r>
        <w:rPr/>
        <w:t>公司根据</w:t>
      </w:r>
      <w:r>
        <w:rPr>
          <w:rFonts w:ascii="Times New Roman" w:hAnsi="Times New Roman" w:cs="Times New Roman" w:eastAsia="Times New Roman" w:hint="default"/>
        </w:rPr>
        <w:t>2007</w:t>
      </w:r>
      <w:r>
        <w:rPr/>
        <w:t>年第一次临时股东大会决议和修改后章程的规定，申请新增注册资本人民币</w:t>
      </w:r>
      <w:r>
        <w:rPr>
          <w:rFonts w:ascii="Times New Roman" w:hAnsi="Times New Roman" w:cs="Times New Roman" w:eastAsia="Times New Roman" w:hint="default"/>
        </w:rPr>
        <w:t>72,700,000</w:t>
      </w:r>
      <w:r>
        <w:rPr/>
        <w:t>元。经中国证券监</w:t>
      </w:r>
      <w:r>
        <w:rPr>
          <w:spacing w:val="1"/>
        </w:rPr>
        <w:t> </w:t>
      </w:r>
      <w:r>
        <w:rPr/>
        <w:t>督管理委员会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384</w:t>
      </w:r>
      <w:r>
        <w:rPr/>
        <w:t>号</w:t>
      </w:r>
      <w:r>
        <w:rPr>
          <w:rFonts w:ascii="Times New Roman" w:hAnsi="Times New Roman" w:cs="Times New Roman" w:eastAsia="Times New Roman" w:hint="default"/>
        </w:rPr>
        <w:t>”</w:t>
      </w:r>
      <w:r>
        <w:rPr/>
        <w:t>文核准，公司向江苏开元国际集团轻工业品进出口股份有限公司、中原证券股份</w:t>
      </w:r>
      <w:r>
        <w:rPr>
          <w:spacing w:val="-68"/>
        </w:rPr>
        <w:t> </w:t>
      </w:r>
      <w:r>
        <w:rPr>
          <w:spacing w:val="-68"/>
        </w:rPr>
      </w:r>
      <w:r>
        <w:rPr/>
        <w:t>有限公司、长江证券有限责任公司、尹太阳、上海合邦投资有限公司、上海景贤投资有限公司、珠海市华粤投资有限公司、 邱梅芳、东吴证券有限责任公司和安徽安粮国际发展股份有限公司非公开发行人民币普通股（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72,700,000</w:t>
      </w:r>
      <w:r>
        <w:rPr/>
        <w:t>股，每股面</w:t>
      </w:r>
      <w:r>
        <w:rPr>
          <w:spacing w:val="-44"/>
        </w:rPr>
        <w:t> </w:t>
      </w:r>
      <w:r>
        <w:rPr>
          <w:spacing w:val="-44"/>
        </w:rPr>
      </w:r>
      <w:r>
        <w:rPr/>
        <w:t>值</w:t>
      </w:r>
      <w:r>
        <w:rPr>
          <w:rFonts w:ascii="Times New Roman" w:hAnsi="Times New Roman" w:cs="Times New Roman" w:eastAsia="Times New Roman" w:hint="default"/>
        </w:rPr>
        <w:t>1.00</w:t>
      </w:r>
      <w:r>
        <w:rPr/>
        <w:t>元，每股定向增发价</w:t>
      </w:r>
      <w:r>
        <w:rPr>
          <w:rFonts w:ascii="Times New Roman" w:hAnsi="Times New Roman" w:cs="Times New Roman" w:eastAsia="Times New Roman" w:hint="default"/>
        </w:rPr>
        <w:t>8.35</w:t>
      </w:r>
      <w:r>
        <w:rPr/>
        <w:t>元，变更后的注册资本为人民币</w:t>
      </w:r>
      <w:r>
        <w:rPr>
          <w:rFonts w:ascii="Times New Roman" w:hAnsi="Times New Roman" w:cs="Times New Roman" w:eastAsia="Times New Roman" w:hint="default"/>
        </w:rPr>
        <w:t>502,700,000</w:t>
      </w:r>
      <w:r>
        <w:rPr/>
        <w:t>元。</w:t>
      </w:r>
    </w:p>
    <w:p>
      <w:pPr>
        <w:spacing w:line="240" w:lineRule="auto" w:before="3"/>
        <w:rPr>
          <w:rFonts w:ascii="宋体" w:hAnsi="宋体" w:cs="宋体" w:eastAsia="宋体" w:hint="default"/>
          <w:sz w:val="17"/>
          <w:szCs w:val="17"/>
        </w:rPr>
      </w:pPr>
    </w:p>
    <w:p>
      <w:pPr>
        <w:pStyle w:val="BodyText"/>
        <w:spacing w:line="300" w:lineRule="auto"/>
        <w:ind w:right="91" w:firstLine="319"/>
        <w:jc w:val="left"/>
      </w:pPr>
      <w:r>
        <w:rPr/>
        <w:t>公司根据</w:t>
      </w:r>
      <w:r>
        <w:rPr>
          <w:rFonts w:ascii="Times New Roman" w:hAnsi="Times New Roman" w:cs="Times New Roman" w:eastAsia="Times New Roman" w:hint="default"/>
        </w:rPr>
        <w:t>2007</w:t>
      </w:r>
      <w:r>
        <w:rPr/>
        <w:t>年度股东大会决议和修改后章程的规定，申请新增的注册资本为人民币</w:t>
      </w:r>
      <w:r>
        <w:rPr>
          <w:rFonts w:ascii="Times New Roman" w:hAnsi="Times New Roman" w:cs="Times New Roman" w:eastAsia="Times New Roman" w:hint="default"/>
        </w:rPr>
        <w:t>216,161,000</w:t>
      </w:r>
      <w:r>
        <w:rPr/>
        <w:t>元，公司以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 </w:t>
      </w:r>
      <w:r>
        <w:rPr/>
        <w:t>日非公开发行后的总股本</w:t>
      </w:r>
      <w:r>
        <w:rPr>
          <w:rFonts w:ascii="Times New Roman" w:hAnsi="Times New Roman" w:cs="Times New Roman" w:eastAsia="Times New Roman" w:hint="default"/>
        </w:rPr>
        <w:t>50,270</w:t>
      </w:r>
      <w:r>
        <w:rPr/>
        <w:t>万股计算，按每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4.3</w:t>
      </w:r>
      <w:r>
        <w:rPr/>
        <w:t>股的比例，以资本公积向全体股东转增股份总额</w:t>
      </w:r>
      <w:r>
        <w:rPr>
          <w:rFonts w:ascii="Times New Roman" w:hAnsi="Times New Roman" w:cs="Times New Roman" w:eastAsia="Times New Roman" w:hint="default"/>
        </w:rPr>
        <w:t>216,161,000</w:t>
      </w:r>
      <w:r>
        <w:rPr/>
        <w:t>股， 每股面值</w:t>
      </w:r>
      <w:r>
        <w:rPr>
          <w:rFonts w:ascii="Times New Roman" w:hAnsi="Times New Roman" w:cs="Times New Roman" w:eastAsia="Times New Roman" w:hint="default"/>
        </w:rPr>
        <w:t>1</w:t>
      </w:r>
      <w:r>
        <w:rPr/>
        <w:t>元，共计增加股本</w:t>
      </w:r>
      <w:r>
        <w:rPr>
          <w:rFonts w:ascii="Times New Roman" w:hAnsi="Times New Roman" w:cs="Times New Roman" w:eastAsia="Times New Roman" w:hint="default"/>
        </w:rPr>
        <w:t>216,161,000</w:t>
      </w:r>
      <w:r>
        <w:rPr/>
        <w:t>元。变更后注册资本为人民币</w:t>
      </w:r>
      <w:r>
        <w:rPr>
          <w:rFonts w:ascii="Times New Roman" w:hAnsi="Times New Roman" w:cs="Times New Roman" w:eastAsia="Times New Roman" w:hint="default"/>
        </w:rPr>
        <w:t>718,861,000</w:t>
      </w:r>
      <w:r>
        <w:rPr/>
        <w:t>元。</w:t>
      </w:r>
    </w:p>
    <w:p>
      <w:pPr>
        <w:spacing w:line="240" w:lineRule="auto" w:before="7"/>
        <w:rPr>
          <w:rFonts w:ascii="宋体" w:hAnsi="宋体" w:cs="宋体" w:eastAsia="宋体" w:hint="default"/>
          <w:sz w:val="17"/>
          <w:szCs w:val="17"/>
        </w:rPr>
      </w:pPr>
    </w:p>
    <w:p>
      <w:pPr>
        <w:pStyle w:val="BodyText"/>
        <w:spacing w:line="300" w:lineRule="auto"/>
        <w:ind w:right="188" w:firstLine="319"/>
        <w:jc w:val="both"/>
      </w:pPr>
      <w:r>
        <w:rPr/>
        <w:t>公司根据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日召开的第五届董事会第十八次会议决议，</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2014</w:t>
      </w:r>
      <w:r>
        <w:rPr/>
        <w:t>年第二次临时股东大会</w:t>
      </w:r>
      <w:r>
        <w:rPr>
          <w:spacing w:val="1"/>
        </w:rPr>
        <w:t> </w:t>
      </w:r>
      <w:r>
        <w:rPr/>
        <w:t>决议和修改后的章程规定，经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日中国证券监督管理委员会《关于核准石家庄常山纺织股份有限公司向北京北明</w:t>
      </w:r>
      <w:r>
        <w:rPr>
          <w:spacing w:val="-83"/>
        </w:rPr>
        <w:t> </w:t>
      </w:r>
      <w:r>
        <w:rPr>
          <w:spacing w:val="-83"/>
        </w:rPr>
      </w:r>
      <w:r>
        <w:rPr>
          <w:spacing w:val="-1"/>
        </w:rPr>
        <w:t>伟业控股有限公司等发行股份购买资产并募集配套资金的批复》（证监许可</w:t>
      </w:r>
      <w:r>
        <w:rPr>
          <w:rFonts w:ascii="Times New Roman" w:hAnsi="Times New Roman" w:cs="Times New Roman" w:eastAsia="Times New Roman" w:hint="default"/>
          <w:spacing w:val="-1"/>
        </w:rPr>
        <w:t>[2015]469</w:t>
      </w:r>
      <w:r>
        <w:rPr>
          <w:spacing w:val="-1"/>
        </w:rPr>
        <w:t>号）文件核准，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日公司向</w:t>
      </w:r>
      <w:r>
        <w:rPr>
          <w:spacing w:val="-52"/>
        </w:rPr>
        <w:t> </w:t>
      </w:r>
      <w:r>
        <w:rPr>
          <w:spacing w:val="-1"/>
        </w:rPr>
        <w:t>北京北明伟业控股有限公司等</w:t>
      </w:r>
      <w:r>
        <w:rPr>
          <w:rFonts w:ascii="Times New Roman" w:hAnsi="Times New Roman" w:cs="Times New Roman" w:eastAsia="Times New Roman" w:hint="default"/>
          <w:spacing w:val="-1"/>
        </w:rPr>
        <w:t>47</w:t>
      </w:r>
      <w:r>
        <w:rPr>
          <w:spacing w:val="-1"/>
        </w:rPr>
        <w:t>名交易对方发行</w:t>
      </w:r>
      <w:r>
        <w:rPr>
          <w:rFonts w:ascii="Times New Roman" w:hAnsi="Times New Roman" w:cs="Times New Roman" w:eastAsia="Times New Roman" w:hint="default"/>
          <w:spacing w:val="-1"/>
        </w:rPr>
        <w:t>441,056,890</w:t>
      </w:r>
      <w:r>
        <w:rPr>
          <w:spacing w:val="-1"/>
        </w:rPr>
        <w:t>股人民币普通股，每股面值为人民币</w:t>
      </w:r>
      <w:r>
        <w:rPr>
          <w:rFonts w:ascii="Times New Roman" w:hAnsi="Times New Roman" w:cs="Times New Roman" w:eastAsia="Times New Roman" w:hint="default"/>
          <w:spacing w:val="-1"/>
        </w:rPr>
        <w:t>1.00</w:t>
      </w:r>
      <w:r>
        <w:rPr>
          <w:spacing w:val="-1"/>
        </w:rPr>
        <w:t>元，用于购买其持有的</w:t>
      </w:r>
      <w:r>
        <w:rPr>
          <w:spacing w:val="-66"/>
        </w:rPr>
        <w:t> </w:t>
      </w:r>
      <w:r>
        <w:rPr>
          <w:spacing w:val="-66"/>
        </w:rPr>
      </w:r>
      <w:r>
        <w:rPr/>
        <w:t>北明软件有限公司</w:t>
      </w:r>
      <w:r>
        <w:rPr>
          <w:rFonts w:ascii="Times New Roman" w:hAnsi="Times New Roman" w:cs="Times New Roman" w:eastAsia="Times New Roman" w:hint="default"/>
        </w:rPr>
        <w:t>100%</w:t>
      </w:r>
      <w:r>
        <w:rPr/>
        <w:t>的股权，发行后的注册资本为人民币</w:t>
      </w:r>
      <w:r>
        <w:rPr>
          <w:rFonts w:ascii="Times New Roman" w:hAnsi="Times New Roman" w:cs="Times New Roman" w:eastAsia="Times New Roman" w:hint="default"/>
        </w:rPr>
        <w:t>1,159,917,890</w:t>
      </w:r>
      <w:r>
        <w:rPr/>
        <w:t>元，已经中兴财光华会计师事务所（特殊普通合</w:t>
      </w:r>
      <w:r>
        <w:rPr>
          <w:spacing w:val="-27"/>
        </w:rPr>
        <w:t> </w:t>
      </w:r>
      <w:r>
        <w:rPr>
          <w:spacing w:val="-27"/>
        </w:rPr>
      </w:r>
      <w:r>
        <w:rPr/>
        <w:t>伙）</w:t>
      </w:r>
      <w:r>
        <w:rPr>
          <w:rFonts w:ascii="Times New Roman" w:hAnsi="Times New Roman" w:cs="Times New Roman" w:eastAsia="Times New Roman" w:hint="default"/>
        </w:rPr>
        <w:t>“</w:t>
      </w:r>
      <w:r>
        <w:rPr/>
        <w:t>中兴财光华审验字（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03002</w:t>
      </w:r>
      <w:r>
        <w:rPr/>
        <w:t>号</w:t>
      </w:r>
      <w:r>
        <w:rPr>
          <w:rFonts w:ascii="Times New Roman" w:hAnsi="Times New Roman" w:cs="Times New Roman" w:eastAsia="Times New Roman" w:hint="default"/>
        </w:rPr>
        <w:t>”</w:t>
      </w:r>
      <w:r>
        <w:rPr/>
        <w:t>验资报告验证。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日公司募集配套资金非公开发行 </w:t>
      </w:r>
      <w:r>
        <w:rPr>
          <w:rFonts w:ascii="Times New Roman" w:hAnsi="Times New Roman" w:cs="Times New Roman" w:eastAsia="Times New Roman" w:hint="default"/>
        </w:rPr>
        <w:t>111,524,388</w:t>
      </w:r>
      <w:r>
        <w:rPr/>
        <w:t>股人</w:t>
      </w:r>
      <w:r>
        <w:rPr>
          <w:spacing w:val="-73"/>
        </w:rPr>
        <w:t> </w:t>
      </w:r>
      <w:r>
        <w:rPr/>
        <w:t>民币普通股，每股面值为人民币</w:t>
      </w:r>
      <w:r>
        <w:rPr>
          <w:rFonts w:ascii="Times New Roman" w:hAnsi="Times New Roman" w:cs="Times New Roman" w:eastAsia="Times New Roman" w:hint="default"/>
        </w:rPr>
        <w:t>1.00</w:t>
      </w:r>
      <w:r>
        <w:rPr/>
        <w:t>元，发行后的注册资本为人民币</w:t>
      </w:r>
      <w:r>
        <w:rPr>
          <w:rFonts w:ascii="Times New Roman" w:hAnsi="Times New Roman" w:cs="Times New Roman" w:eastAsia="Times New Roman" w:hint="default"/>
        </w:rPr>
        <w:t>1,271,442,278</w:t>
      </w:r>
      <w:r>
        <w:rPr/>
        <w:t>元，已经中兴财光华会计师事务所（特殊</w:t>
      </w:r>
      <w:r>
        <w:rPr>
          <w:spacing w:val="-87"/>
        </w:rPr>
        <w:t> </w:t>
      </w:r>
      <w:r>
        <w:rPr>
          <w:spacing w:val="-87"/>
        </w:rPr>
      </w:r>
      <w:r>
        <w:rPr/>
        <w:t>普通合伙）</w:t>
      </w:r>
      <w:r>
        <w:rPr>
          <w:rFonts w:ascii="Times New Roman" w:hAnsi="Times New Roman" w:cs="Times New Roman" w:eastAsia="Times New Roman" w:hint="default"/>
        </w:rPr>
        <w:t>“</w:t>
      </w:r>
      <w:r>
        <w:rPr/>
        <w:t>中兴财光华审验字（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03003</w:t>
      </w:r>
      <w:r>
        <w:rPr/>
        <w:t>号</w:t>
      </w:r>
      <w:r>
        <w:rPr>
          <w:rFonts w:ascii="Times New Roman" w:hAnsi="Times New Roman" w:cs="Times New Roman" w:eastAsia="Times New Roman" w:hint="default"/>
        </w:rPr>
        <w:t>”</w:t>
      </w:r>
      <w:r>
        <w:rPr/>
        <w:t>验资报告验证。</w:t>
      </w:r>
    </w:p>
    <w:p>
      <w:pPr>
        <w:spacing w:line="240" w:lineRule="auto" w:before="7"/>
        <w:rPr>
          <w:rFonts w:ascii="宋体" w:hAnsi="宋体" w:cs="宋体" w:eastAsia="宋体" w:hint="default"/>
          <w:sz w:val="17"/>
          <w:szCs w:val="17"/>
        </w:rPr>
      </w:pPr>
    </w:p>
    <w:p>
      <w:pPr>
        <w:pStyle w:val="BodyText"/>
        <w:spacing w:line="300" w:lineRule="auto"/>
        <w:ind w:left="154" w:right="98" w:firstLine="319"/>
        <w:jc w:val="left"/>
      </w:pPr>
      <w:r>
        <w:rPr/>
        <w:t>公司根据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日召开的第六届董事会第十五次会议决议、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2016</w:t>
      </w:r>
      <w:r>
        <w:rPr/>
        <w:t>年度股东大会决议和修改后 的公司章程规定，公司增加注册资本人民币</w:t>
      </w:r>
      <w:r>
        <w:rPr>
          <w:rFonts w:ascii="Times New Roman" w:hAnsi="Times New Roman" w:cs="Times New Roman" w:eastAsia="Times New Roman" w:hint="default"/>
        </w:rPr>
        <w:t>381,432,683.00</w:t>
      </w:r>
      <w:r>
        <w:rPr/>
        <w:t>元，由资本公积转增股本，转增基准日期为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日，变更 </w:t>
      </w:r>
      <w:r>
        <w:rPr>
          <w:spacing w:val="-4"/>
        </w:rPr>
        <w:t>后注册资本为人民币</w:t>
      </w:r>
      <w:r>
        <w:rPr>
          <w:rFonts w:ascii="Times New Roman" w:hAnsi="Times New Roman" w:cs="Times New Roman" w:eastAsia="Times New Roman" w:hint="default"/>
          <w:spacing w:val="-4"/>
        </w:rPr>
        <w:t>1,652,874,961.00</w:t>
      </w:r>
      <w:r>
        <w:rPr>
          <w:spacing w:val="-4"/>
        </w:rPr>
        <w:t>元。本次增资已经中兴财光华会计师事务所（特殊普通合伙）</w:t>
      </w:r>
      <w:r>
        <w:rPr>
          <w:rFonts w:ascii="Times New Roman" w:hAnsi="Times New Roman" w:cs="Times New Roman" w:eastAsia="Times New Roman" w:hint="default"/>
          <w:spacing w:val="-4"/>
        </w:rPr>
        <w:t>“</w:t>
      </w:r>
      <w:r>
        <w:rPr>
          <w:spacing w:val="-4"/>
        </w:rPr>
        <w:t>中兴财光华审验字（</w:t>
      </w:r>
      <w:r>
        <w:rPr>
          <w:rFonts w:ascii="Times New Roman" w:hAnsi="Times New Roman" w:cs="Times New Roman" w:eastAsia="Times New Roman" w:hint="default"/>
          <w:spacing w:val="-4"/>
        </w:rPr>
        <w:t>2017</w:t>
      </w:r>
      <w:r>
        <w:rPr>
          <w:spacing w:val="-4"/>
        </w:rPr>
        <w:t>）</w:t>
      </w:r>
      <w:r>
        <w:rPr>
          <w:spacing w:val="-82"/>
        </w:rPr>
        <w:t> </w:t>
      </w:r>
      <w:r>
        <w:rPr/>
        <w:t>第</w:t>
      </w:r>
      <w:r>
        <w:rPr>
          <w:rFonts w:ascii="Times New Roman" w:hAnsi="Times New Roman" w:cs="Times New Roman" w:eastAsia="Times New Roman" w:hint="default"/>
        </w:rPr>
        <w:t>103008</w:t>
      </w:r>
      <w:r>
        <w:rPr/>
        <w:t>号</w:t>
      </w:r>
      <w:r>
        <w:rPr>
          <w:rFonts w:ascii="Times New Roman" w:hAnsi="Times New Roman" w:cs="Times New Roman" w:eastAsia="Times New Roman" w:hint="default"/>
        </w:rPr>
        <w:t>”</w:t>
      </w:r>
      <w:r>
        <w:rPr/>
        <w:t>验资报告验证。</w:t>
      </w:r>
    </w:p>
    <w:p>
      <w:pPr>
        <w:spacing w:line="240" w:lineRule="auto" w:before="7"/>
        <w:rPr>
          <w:rFonts w:ascii="宋体" w:hAnsi="宋体" w:cs="宋体" w:eastAsia="宋体" w:hint="default"/>
          <w:sz w:val="17"/>
          <w:szCs w:val="17"/>
        </w:rPr>
      </w:pPr>
    </w:p>
    <w:p>
      <w:pPr>
        <w:pStyle w:val="BodyText"/>
        <w:spacing w:line="300" w:lineRule="auto"/>
        <w:ind w:right="188" w:firstLine="319"/>
        <w:jc w:val="both"/>
      </w:pPr>
      <w:r>
        <w:rPr>
          <w:spacing w:val="-1"/>
        </w:rPr>
        <w:t>石家庄常山北明科技股份有限公司因公司发展需要，经第六届董事会第十五次会议和</w:t>
      </w:r>
      <w:r>
        <w:rPr>
          <w:rFonts w:ascii="Times New Roman" w:hAnsi="Times New Roman" w:cs="Times New Roman" w:eastAsia="Times New Roman" w:hint="default"/>
          <w:spacing w:val="-1"/>
        </w:rPr>
        <w:t>2016</w:t>
      </w:r>
      <w:r>
        <w:rPr>
          <w:spacing w:val="-1"/>
        </w:rPr>
        <w:t>年度股东大会审议通过《关于</w:t>
      </w:r>
      <w:r>
        <w:rPr/>
        <w:t> </w:t>
      </w:r>
      <w:r>
        <w:rPr>
          <w:spacing w:val="-4"/>
        </w:rPr>
        <w:t>变更公司全称的议案》，公司名称由</w:t>
      </w:r>
      <w:r>
        <w:rPr>
          <w:rFonts w:ascii="Times New Roman" w:hAnsi="Times New Roman" w:cs="Times New Roman" w:eastAsia="Times New Roman" w:hint="default"/>
          <w:spacing w:val="-4"/>
        </w:rPr>
        <w:t>“</w:t>
      </w:r>
      <w:r>
        <w:rPr>
          <w:spacing w:val="-4"/>
        </w:rPr>
        <w:t>石家庄常山纺织股份有限公司</w:t>
      </w:r>
      <w:r>
        <w:rPr>
          <w:rFonts w:ascii="Times New Roman" w:hAnsi="Times New Roman" w:cs="Times New Roman" w:eastAsia="Times New Roman" w:hint="default"/>
          <w:spacing w:val="-4"/>
        </w:rPr>
        <w:t>”</w:t>
      </w:r>
      <w:r>
        <w:rPr>
          <w:spacing w:val="-4"/>
        </w:rPr>
        <w:t>变更为</w:t>
      </w:r>
      <w:r>
        <w:rPr>
          <w:rFonts w:ascii="Times New Roman" w:hAnsi="Times New Roman" w:cs="Times New Roman" w:eastAsia="Times New Roman" w:hint="default"/>
          <w:spacing w:val="-4"/>
        </w:rPr>
        <w:t>“</w:t>
      </w:r>
      <w:r>
        <w:rPr>
          <w:spacing w:val="-4"/>
        </w:rPr>
        <w:t>石家庄常山北明科技股份有限公司</w:t>
      </w:r>
      <w:r>
        <w:rPr>
          <w:rFonts w:ascii="Times New Roman" w:hAnsi="Times New Roman" w:cs="Times New Roman" w:eastAsia="Times New Roman" w:hint="default"/>
          <w:spacing w:val="-4"/>
        </w:rPr>
        <w:t>”</w:t>
      </w:r>
      <w:r>
        <w:rPr>
          <w:spacing w:val="-4"/>
        </w:rPr>
        <w:t>。公司于</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日完成了工商变更登记手续，公司名称由</w:t>
      </w:r>
      <w:r>
        <w:rPr>
          <w:rFonts w:ascii="Times New Roman" w:hAnsi="Times New Roman" w:cs="Times New Roman" w:eastAsia="Times New Roman" w:hint="default"/>
        </w:rPr>
        <w:t>“</w:t>
      </w:r>
      <w:r>
        <w:rPr/>
        <w:t>石家庄常山纺织股份有限公司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石家庄常山北明科技股份有限公</w:t>
      </w:r>
      <w:r>
        <w:rPr>
          <w:spacing w:val="16"/>
        </w:rPr>
        <w:t> </w:t>
      </w:r>
      <w:r>
        <w:rPr/>
        <w:t>司</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7"/>
          <w:szCs w:val="17"/>
        </w:rPr>
      </w:pPr>
    </w:p>
    <w:p>
      <w:pPr>
        <w:pStyle w:val="BodyText"/>
        <w:spacing w:line="518" w:lineRule="auto"/>
        <w:ind w:left="444" w:right="297" w:firstLine="28"/>
        <w:jc w:val="left"/>
      </w:pPr>
      <w:r>
        <w:rPr/>
        <w:t>本公司第一大股东为石家庄常山纺织集团有限责任公司，截止报告期末持有本公司</w:t>
      </w:r>
      <w:r>
        <w:rPr>
          <w:rFonts w:ascii="Times New Roman" w:hAnsi="Times New Roman" w:cs="Times New Roman" w:eastAsia="Times New Roman" w:hint="default"/>
        </w:rPr>
        <w:t>451,567,884</w:t>
      </w:r>
      <w:r>
        <w:rPr/>
        <w:t>股，持股比例</w:t>
      </w:r>
      <w:r>
        <w:rPr>
          <w:rFonts w:ascii="Times New Roman" w:hAnsi="Times New Roman" w:cs="Times New Roman" w:eastAsia="Times New Roman" w:hint="default"/>
        </w:rPr>
        <w:t>27.32%</w:t>
      </w:r>
      <w:r>
        <w:rPr/>
        <w:t>。 本公司最终控制方为石家庄市国有资产监督管理委员会。 公司在石家庄市工商行政管理局领取统一社会信用代码</w:t>
      </w:r>
      <w:r>
        <w:rPr>
          <w:rFonts w:ascii="Times New Roman" w:hAnsi="Times New Roman" w:cs="Times New Roman" w:eastAsia="Times New Roman" w:hint="default"/>
        </w:rPr>
        <w:t>91130100700715920E</w:t>
      </w:r>
      <w:r>
        <w:rPr/>
        <w:t>的企业法人营业执照。 公司注册地：石家庄市长安区和平东路</w:t>
      </w:r>
      <w:r>
        <w:rPr>
          <w:rFonts w:ascii="Times New Roman" w:hAnsi="Times New Roman" w:cs="Times New Roman" w:eastAsia="Times New Roman" w:hint="default"/>
        </w:rPr>
        <w:t>183</w:t>
      </w:r>
      <w:r>
        <w:rPr/>
        <w:t>号。</w:t>
      </w:r>
    </w:p>
    <w:p>
      <w:pPr>
        <w:pStyle w:val="BodyText"/>
        <w:spacing w:line="508" w:lineRule="auto" w:before="47"/>
        <w:ind w:left="444" w:right="5650"/>
        <w:jc w:val="left"/>
      </w:pPr>
      <w:r>
        <w:rPr/>
        <w:t>公司总部地址：石家庄市长安区和平东路</w:t>
      </w:r>
      <w:r>
        <w:rPr>
          <w:rFonts w:ascii="Times New Roman" w:hAnsi="Times New Roman" w:cs="Times New Roman" w:eastAsia="Times New Roman" w:hint="default"/>
        </w:rPr>
        <w:t>183</w:t>
      </w:r>
      <w:r>
        <w:rPr/>
        <w:t>号。 法定代表人：肖荣智。</w:t>
      </w:r>
    </w:p>
    <w:p>
      <w:pPr>
        <w:pStyle w:val="BodyText"/>
        <w:spacing w:line="240" w:lineRule="auto" w:before="91"/>
        <w:ind w:left="446" w:right="0"/>
        <w:jc w:val="left"/>
      </w:pPr>
      <w:r>
        <w:rPr/>
        <w:t>注册资本：（人民币）壹拾陆亿伍仟贰佰捌拾柒万肆仟玖佰陆拾壹元整。</w:t>
      </w:r>
    </w:p>
    <w:p>
      <w:pPr>
        <w:spacing w:line="240" w:lineRule="auto" w:before="5"/>
        <w:rPr>
          <w:rFonts w:ascii="宋体" w:hAnsi="宋体" w:cs="宋体" w:eastAsia="宋体" w:hint="default"/>
          <w:sz w:val="22"/>
          <w:szCs w:val="22"/>
        </w:rPr>
      </w:pPr>
    </w:p>
    <w:p>
      <w:pPr>
        <w:pStyle w:val="BodyText"/>
        <w:spacing w:line="316" w:lineRule="auto"/>
        <w:ind w:right="190" w:firstLine="290"/>
        <w:jc w:val="both"/>
      </w:pPr>
      <w:r>
        <w:rPr>
          <w:spacing w:val="-1"/>
        </w:rPr>
        <w:t>公司经营范围：计算机软件技术开发、技术服务、技术咨询，棉花、办公设备、电子元器件、通信设备、计算机及零配</w:t>
      </w:r>
      <w:r>
        <w:rPr/>
        <w:t> </w:t>
      </w:r>
      <w:r>
        <w:rPr>
          <w:spacing w:val="-2"/>
        </w:rPr>
        <w:t>件、计算机软件、仪器仪表、光伏设备的批发零售；通信设备、计算机零配件的租赁，计算机系统集成；自营和代理各类商</w:t>
      </w:r>
      <w:r>
        <w:rPr>
          <w:spacing w:val="-65"/>
        </w:rPr>
        <w:t> </w:t>
      </w:r>
      <w:r>
        <w:rPr>
          <w:spacing w:val="-65"/>
        </w:rPr>
      </w:r>
      <w:r>
        <w:rPr>
          <w:spacing w:val="-2"/>
        </w:rPr>
        <w:t>品及技术的进出口业务；天然纤维和人造纤维的纺织品、针织品、服装加工；家用服饰、纺织品、产业用纺织品的设计、开</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1"/>
        <w:jc w:val="both"/>
      </w:pPr>
      <w:r>
        <w:rPr>
          <w:spacing w:val="-2"/>
        </w:rPr>
        <w:t>发、制造（限分支机构经营）、销售；本企业和本企业成员企业生产、科研所需的原辅料、机械设备、仪器仪表、零配件及</w:t>
      </w:r>
      <w:r>
        <w:rPr>
          <w:spacing w:val="-69"/>
        </w:rPr>
        <w:t> </w:t>
      </w:r>
      <w:r>
        <w:rPr>
          <w:spacing w:val="-69"/>
        </w:rPr>
      </w:r>
      <w:r>
        <w:rPr>
          <w:spacing w:val="-2"/>
        </w:rPr>
        <w:t>相关技术的进出口业务（国家限定公司经营或禁止出口的商品除外）；机电设备（特种设备除外）、新风净化器及配件的生</w:t>
      </w:r>
      <w:r>
        <w:rPr>
          <w:spacing w:val="-70"/>
        </w:rPr>
        <w:t> </w:t>
      </w:r>
      <w:r>
        <w:rPr>
          <w:spacing w:val="-70"/>
        </w:rPr>
      </w:r>
      <w:r>
        <w:rPr>
          <w:spacing w:val="-2"/>
        </w:rPr>
        <w:t>产（限分支机构经营）、销售；经营本企业的进料加工；房屋租赁。（依法须经批准的项目，经相关部门批准后方可开展经</w:t>
      </w:r>
      <w:r>
        <w:rPr>
          <w:spacing w:val="-67"/>
        </w:rPr>
        <w:t> </w:t>
      </w:r>
      <w:r>
        <w:rPr>
          <w:spacing w:val="-67"/>
        </w:rPr>
      </w:r>
      <w:r>
        <w:rPr/>
        <w:t>营活动）</w:t>
      </w:r>
    </w:p>
    <w:p>
      <w:pPr>
        <w:spacing w:line="240" w:lineRule="auto" w:before="12"/>
        <w:rPr>
          <w:rFonts w:ascii="宋体" w:hAnsi="宋体" w:cs="宋体" w:eastAsia="宋体" w:hint="default"/>
          <w:sz w:val="17"/>
          <w:szCs w:val="17"/>
        </w:rPr>
      </w:pPr>
    </w:p>
    <w:p>
      <w:pPr>
        <w:pStyle w:val="BodyText"/>
        <w:spacing w:line="240" w:lineRule="auto"/>
        <w:ind w:left="473" w:right="0"/>
        <w:jc w:val="left"/>
      </w:pPr>
      <w:r>
        <w:rPr/>
        <w:t>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26</w:t>
      </w:r>
      <w:r>
        <w:rPr/>
        <w:t>户，本年度比上年度增加</w:t>
      </w:r>
      <w:r>
        <w:rPr>
          <w:rFonts w:ascii="Times New Roman" w:hAnsi="Times New Roman" w:cs="Times New Roman" w:eastAsia="Times New Roman" w:hint="default"/>
        </w:rPr>
        <w:t>2</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和本附注九</w:t>
      </w:r>
    </w:p>
    <w:p>
      <w:pPr>
        <w:pStyle w:val="BodyText"/>
        <w:spacing w:line="508" w:lineRule="auto" w:before="63"/>
        <w:ind w:left="444" w:right="2140" w:hanging="291"/>
        <w:jc w:val="left"/>
      </w:pP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 本财务报表及财务报表附注业经本公司第六届二十六次董事会会议于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日批准报出。</w:t>
      </w:r>
    </w:p>
    <w:p>
      <w:pPr>
        <w:pStyle w:val="Heading2"/>
        <w:spacing w:line="240" w:lineRule="auto" w:before="92"/>
        <w:ind w:right="0"/>
        <w:jc w:val="both"/>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9" w:firstLine="290"/>
        <w:jc w:val="both"/>
      </w:pPr>
      <w:r>
        <w:rPr/>
        <w:t>本公司财务报表以持续经营假设为基础，根据实际发生的交易和事项，按照财政部于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日及以后颁布的《企</w:t>
      </w:r>
      <w:r>
        <w:rPr>
          <w:spacing w:val="1"/>
        </w:rPr>
        <w:t> </w:t>
      </w:r>
      <w:r>
        <w:rPr>
          <w:spacing w:val="-3"/>
        </w:rPr>
        <w:t>业会计准则</w:t>
      </w:r>
      <w:r>
        <w:rPr>
          <w:rFonts w:ascii="Times New Roman" w:hAnsi="Times New Roman" w:cs="Times New Roman" w:eastAsia="Times New Roman" w:hint="default"/>
          <w:spacing w:val="-3"/>
        </w:rPr>
        <w:t>——</w:t>
      </w:r>
      <w:r>
        <w:rPr>
          <w:spacing w:val="-3"/>
        </w:rPr>
        <w:t>基本准则》和各项具体会计准则、企业会计准则应用指南、企业会计准则解释及其他相关规定（以下合称</w:t>
      </w:r>
      <w:r>
        <w:rPr>
          <w:rFonts w:ascii="Times New Roman" w:hAnsi="Times New Roman" w:cs="Times New Roman" w:eastAsia="Times New Roman" w:hint="default"/>
          <w:spacing w:val="-3"/>
        </w:rPr>
        <w:t>“</w:t>
      </w:r>
      <w:r>
        <w:rPr>
          <w:spacing w:val="-3"/>
        </w:rPr>
        <w:t>企</w:t>
      </w:r>
      <w:r>
        <w:rPr/>
        <w:t> 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p>
    <w:p>
      <w:pPr>
        <w:pStyle w:val="BodyText"/>
        <w:spacing w:line="240" w:lineRule="auto" w:before="13"/>
        <w:ind w:left="154" w:right="0"/>
        <w:jc w:val="both"/>
      </w:pPr>
      <w:r>
        <w:rPr/>
        <w:t>（</w:t>
      </w:r>
      <w:r>
        <w:rPr>
          <w:rFonts w:ascii="Times New Roman" w:hAnsi="Times New Roman" w:cs="Times New Roman" w:eastAsia="Times New Roman" w:hint="default"/>
        </w:rPr>
        <w:t>2014</w:t>
      </w:r>
      <w:r>
        <w:rPr/>
        <w:t>年修订）的披露规定编制。</w:t>
      </w:r>
    </w:p>
    <w:p>
      <w:pPr>
        <w:spacing w:line="240" w:lineRule="auto" w:before="4"/>
        <w:rPr>
          <w:rFonts w:ascii="宋体" w:hAnsi="宋体" w:cs="宋体" w:eastAsia="宋体" w:hint="default"/>
          <w:sz w:val="21"/>
          <w:szCs w:val="21"/>
        </w:rPr>
      </w:pPr>
    </w:p>
    <w:p>
      <w:pPr>
        <w:pStyle w:val="BodyText"/>
        <w:spacing w:line="319" w:lineRule="auto"/>
        <w:ind w:left="154" w:right="0" w:firstLine="434"/>
        <w:jc w:val="left"/>
      </w:pPr>
      <w:r>
        <w:rPr/>
        <w:t>根据企业会计准则的相关规定，本公司会计核算以权责发生制为基础。除某些金融工具外，本财务报表均以历史成本 为计量基础。资产如果发生减值，则按照相关规定计提相应的减值准备。</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1"/>
        <w:jc w:val="left"/>
      </w:pPr>
      <w:r>
        <w:rPr/>
        <w:t>公司是否需要遵守特殊行业的披露要求 否</w:t>
      </w:r>
    </w:p>
    <w:p>
      <w:pPr>
        <w:pStyle w:val="BodyText"/>
        <w:spacing w:line="357" w:lineRule="auto" w:before="26"/>
        <w:ind w:right="7200"/>
        <w:jc w:val="left"/>
      </w:pPr>
      <w:r>
        <w:rPr/>
        <w:t>具体会计政策和会计估计提示： 不适用</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91" w:firstLine="360"/>
        <w:jc w:val="both"/>
      </w:pPr>
      <w:r>
        <w:rPr>
          <w:spacing w:val="-2"/>
        </w:rPr>
        <w:t>本财务报表符合企业会计准则的要求，真实、完整地反映了本公司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2017</w:t>
      </w:r>
      <w:r>
        <w:rPr>
          <w:spacing w:val="-2"/>
        </w:rPr>
        <w:t>年度</w:t>
      </w:r>
      <w:r>
        <w:rPr/>
        <w:t> 合并及公司的经营成果和现金流量。</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8"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316"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90" w:firstLine="352"/>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78" w:firstLine="145"/>
        <w:jc w:val="left"/>
      </w:pPr>
      <w:r>
        <w:rPr>
          <w:spacing w:val="-1"/>
        </w:rPr>
        <w:t>企业合并，是指将两个或两个以上单独的企业合并形成一个报告主体的交易或事项。企业合并分为同一控制下企业合并和</w:t>
      </w:r>
      <w:r>
        <w:rPr/>
        <w:t> 非同一控制下企业合并。</w:t>
      </w:r>
    </w:p>
    <w:p>
      <w:pPr>
        <w:pStyle w:val="BodyText"/>
        <w:spacing w:line="612" w:lineRule="exact" w:before="39"/>
        <w:ind w:left="513" w:right="0" w:hanging="18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215" w:lineRule="exact"/>
        <w:ind w:right="0"/>
        <w:jc w:val="left"/>
      </w:pPr>
      <w:r>
        <w:rPr>
          <w:spacing w:val="-4"/>
        </w:rPr>
        <w:t>一控制下的企业合并，在合并日取得对其他参与合并企业控制权的一方为合并方，参与合并的其他企业为被合并方。合并日，</w:t>
      </w:r>
    </w:p>
    <w:p>
      <w:pPr>
        <w:pStyle w:val="BodyText"/>
        <w:spacing w:line="240" w:lineRule="auto" w:before="76"/>
        <w:ind w:right="0"/>
        <w:jc w:val="left"/>
      </w:pPr>
      <w:r>
        <w:rPr/>
        <w:t>是指合并方实际取得对被合并方控制权的日期。</w:t>
      </w:r>
    </w:p>
    <w:p>
      <w:pPr>
        <w:spacing w:line="240" w:lineRule="auto" w:before="0"/>
        <w:rPr>
          <w:rFonts w:ascii="宋体" w:hAnsi="宋体" w:cs="宋体" w:eastAsia="宋体" w:hint="default"/>
          <w:sz w:val="18"/>
          <w:szCs w:val="18"/>
        </w:rPr>
      </w:pPr>
    </w:p>
    <w:p>
      <w:pPr>
        <w:pStyle w:val="BodyText"/>
        <w:spacing w:line="316" w:lineRule="auto" w:before="141"/>
        <w:ind w:right="108"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spacing w:line="240" w:lineRule="auto" w:before="5"/>
        <w:rPr>
          <w:rFonts w:ascii="宋体" w:hAnsi="宋体" w:cs="宋体" w:eastAsia="宋体" w:hint="default"/>
          <w:sz w:val="24"/>
          <w:szCs w:val="24"/>
        </w:rPr>
      </w:pPr>
    </w:p>
    <w:p>
      <w:pPr>
        <w:pStyle w:val="BodyText"/>
        <w:spacing w:line="240" w:lineRule="auto"/>
        <w:ind w:left="514" w:right="0"/>
        <w:jc w:val="left"/>
      </w:pPr>
      <w:r>
        <w:rPr/>
        <w:t>合并方为进行企业合并发生的各项直接费用，于发生时计入当期损益。</w:t>
      </w:r>
    </w:p>
    <w:p>
      <w:pPr>
        <w:pStyle w:val="BodyText"/>
        <w:spacing w:line="600" w:lineRule="atLeast" w:before="25"/>
        <w:ind w:left="514" w:right="0" w:hanging="18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76"/>
        <w:ind w:left="154"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spacing w:line="240" w:lineRule="auto" w:before="5"/>
        <w:rPr>
          <w:rFonts w:ascii="宋体" w:hAnsi="宋体" w:cs="宋体" w:eastAsia="宋体" w:hint="default"/>
          <w:sz w:val="24"/>
          <w:szCs w:val="24"/>
        </w:rPr>
      </w:pPr>
    </w:p>
    <w:p>
      <w:pPr>
        <w:pStyle w:val="BodyText"/>
        <w:spacing w:line="316" w:lineRule="auto"/>
        <w:ind w:left="154" w:right="19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spacing w:line="240" w:lineRule="auto" w:before="5"/>
        <w:rPr>
          <w:rFonts w:ascii="宋体" w:hAnsi="宋体" w:cs="宋体" w:eastAsia="宋体" w:hint="default"/>
          <w:sz w:val="24"/>
          <w:szCs w:val="24"/>
        </w:rPr>
      </w:pPr>
    </w:p>
    <w:p>
      <w:pPr>
        <w:pStyle w:val="BodyText"/>
        <w:spacing w:line="312" w:lineRule="auto"/>
        <w:ind w:right="187"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spacing w:after="0" w:line="312"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154" w:right="10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60"/>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w:t>
      </w:r>
      <w:r>
        <w:rPr>
          <w:spacing w:val="-17"/>
        </w:rPr>
        <w:t> </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 </w:t>
      </w:r>
      <w:r>
        <w:rPr/>
        <w:t>的，区分个别财务报表和合并财务报表进行相关会计处理：</w:t>
      </w:r>
    </w:p>
    <w:p>
      <w:pPr>
        <w:spacing w:line="240" w:lineRule="auto" w:before="4"/>
        <w:rPr>
          <w:rFonts w:ascii="宋体" w:hAnsi="宋体" w:cs="宋体" w:eastAsia="宋体" w:hint="default"/>
          <w:sz w:val="25"/>
          <w:szCs w:val="25"/>
        </w:rPr>
      </w:pPr>
    </w:p>
    <w:p>
      <w:pPr>
        <w:pStyle w:val="BodyText"/>
        <w:spacing w:line="316" w:lineRule="auto"/>
        <w:ind w:left="154" w:right="189" w:firstLine="343"/>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spacing w:line="240" w:lineRule="auto" w:before="5"/>
        <w:rPr>
          <w:rFonts w:ascii="宋体" w:hAnsi="宋体" w:cs="宋体" w:eastAsia="宋体" w:hint="default"/>
          <w:sz w:val="24"/>
          <w:szCs w:val="24"/>
        </w:rPr>
      </w:pPr>
    </w:p>
    <w:p>
      <w:pPr>
        <w:pStyle w:val="BodyText"/>
        <w:spacing w:line="316" w:lineRule="auto"/>
        <w:ind w:left="154" w:right="189"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612" w:lineRule="exact" w:before="67"/>
        <w:ind w:left="444" w:right="0" w:hanging="74"/>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合并财务报表的合并范围以控制为基础予以确定。控制是指本公司拥有对被投资方的权力，通过参与被投资方的相关活</w:t>
      </w:r>
    </w:p>
    <w:p>
      <w:pPr>
        <w:pStyle w:val="BodyText"/>
        <w:spacing w:line="215" w:lineRule="exact"/>
        <w:ind w:left="154" w:right="0"/>
        <w:jc w:val="left"/>
      </w:pPr>
      <w:r>
        <w:rPr/>
        <w:t>动而享有可变回报，并且有能力运用对被投资方的权力影响该回报金额。合并范围包括本公司及全部子公司。子公司，是指</w:t>
      </w:r>
    </w:p>
    <w:p>
      <w:pPr>
        <w:pStyle w:val="BodyText"/>
        <w:spacing w:line="624" w:lineRule="auto" w:before="76"/>
        <w:ind w:left="444" w:right="1600" w:hanging="291"/>
        <w:jc w:val="left"/>
      </w:pPr>
      <w:r>
        <w:rPr/>
        <w:t>被本公司控制的主体。 一旦相关事实和情况的变化导致上述控制定义涉及的相关要素发生了变化，本公司将进行重新评估。</w:t>
      </w:r>
    </w:p>
    <w:p>
      <w:pPr>
        <w:pStyle w:val="BodyText"/>
        <w:spacing w:line="240" w:lineRule="auto" w:before="88"/>
        <w:ind w:left="371" w:right="0"/>
        <w:jc w:val="left"/>
      </w:pPr>
      <w:r>
        <w:rPr/>
        <w:t>（</w:t>
      </w:r>
      <w:r>
        <w:rPr>
          <w:rFonts w:ascii="Times New Roman" w:hAnsi="Times New Roman" w:cs="Times New Roman" w:eastAsia="Times New Roman" w:hint="default"/>
        </w:rPr>
        <w:t>2</w:t>
      </w:r>
      <w:r>
        <w:rPr/>
        <w:t>）合并财务报表编制的方法</w:t>
      </w:r>
    </w:p>
    <w:p>
      <w:pPr>
        <w:spacing w:line="240" w:lineRule="auto" w:before="0"/>
        <w:rPr>
          <w:rFonts w:ascii="宋体" w:hAnsi="宋体" w:cs="宋体" w:eastAsia="宋体" w:hint="default"/>
          <w:sz w:val="18"/>
          <w:szCs w:val="18"/>
        </w:rPr>
      </w:pPr>
    </w:p>
    <w:p>
      <w:pPr>
        <w:pStyle w:val="BodyText"/>
        <w:spacing w:line="316" w:lineRule="auto" w:before="127"/>
        <w:ind w:left="154" w:right="0" w:firstLine="290"/>
        <w:jc w:val="left"/>
      </w:pPr>
      <w:r>
        <w:rPr/>
        <w:t>从取得子公司的净资产和生产经营决策的实际控制权之日起，本公司开始将其纳入合并范围；从丧失实际控制权之日起 </w:t>
      </w: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spacing w:line="240" w:lineRule="auto" w:before="5"/>
        <w:rPr>
          <w:rFonts w:ascii="宋体" w:hAnsi="宋体" w:cs="宋体" w:eastAsia="宋体" w:hint="default"/>
          <w:sz w:val="24"/>
          <w:szCs w:val="24"/>
        </w:rPr>
      </w:pPr>
    </w:p>
    <w:p>
      <w:pPr>
        <w:pStyle w:val="BodyText"/>
        <w:spacing w:line="316" w:lineRule="auto"/>
        <w:ind w:left="154" w:right="190" w:firstLine="290"/>
        <w:jc w:val="both"/>
      </w:pPr>
      <w:r>
        <w:rPr>
          <w:spacing w:val="-1"/>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612" w:lineRule="exact" w:before="39"/>
        <w:ind w:left="443" w:right="0" w:firstLine="1"/>
        <w:jc w:val="left"/>
      </w:pPr>
      <w:r>
        <w:rPr/>
        <w:t>公司内所有重大往来余额、交易及未实现利润在合并财务报表编制时予以抵销。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子公司的股东权益及当期净损益中不属于本公司所拥有的部分分别作为少数股东权益及少数股东损益在合并财务报表</w:t>
      </w:r>
      <w:r>
        <w:rPr/>
      </w:r>
    </w:p>
    <w:p>
      <w:pPr>
        <w:pStyle w:val="BodyText"/>
        <w:spacing w:line="229" w:lineRule="exact"/>
        <w:ind w:left="154" w:right="0"/>
        <w:jc w:val="left"/>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p>
    <w:p>
      <w:pPr>
        <w:pStyle w:val="BodyText"/>
        <w:spacing w:line="300" w:lineRule="auto" w:before="63"/>
        <w:ind w:left="154" w:right="0"/>
        <w:jc w:val="left"/>
      </w:pP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spacing w:after="0" w:line="30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2" w:lineRule="auto" w:before="44"/>
        <w:ind w:right="188" w:firstLine="290"/>
        <w:jc w:val="both"/>
      </w:pPr>
      <w:r>
        <w:rPr>
          <w:spacing w:val="-1"/>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13“</w:t>
      </w:r>
      <w:r>
        <w:rPr/>
        <w:t>长期股</w:t>
      </w:r>
      <w:r>
        <w:rPr>
          <w:spacing w:val="-77"/>
        </w:rPr>
        <w:t> </w:t>
      </w:r>
      <w:r>
        <w:rPr>
          <w:spacing w:val="-77"/>
        </w:rPr>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3"/>
          <w:szCs w:val="23"/>
        </w:rPr>
      </w:pPr>
    </w:p>
    <w:p>
      <w:pPr>
        <w:pStyle w:val="BodyText"/>
        <w:spacing w:line="312" w:lineRule="auto"/>
        <w:ind w:left="154" w:right="90"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8"/>
        </w:rPr>
        <w:t> </w:t>
      </w:r>
      <w:r>
        <w:rPr>
          <w:spacing w:val="-78"/>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70"/>
        </w:rPr>
        <w:t> </w:t>
      </w:r>
      <w:r>
        <w:rPr>
          <w:spacing w:val="-70"/>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314"/>
        <w:jc w:val="both"/>
      </w:pPr>
      <w:r>
        <w:rPr>
          <w:spacing w:val="-1"/>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pStyle w:val="BodyText"/>
        <w:spacing w:line="612" w:lineRule="exact" w:before="67"/>
        <w:ind w:left="513" w:right="0" w:hanging="9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215" w:lineRule="exact"/>
        <w:ind w:right="0"/>
        <w:jc w:val="left"/>
      </w:pPr>
      <w:r>
        <w:rPr/>
        <w:t>折算为记账本位币金额，但公司发生的外币兑换业务或涉及外币兑换的交易事项，按照实际采用的汇率折算为记账本位币金</w:t>
      </w:r>
    </w:p>
    <w:p>
      <w:pPr>
        <w:pStyle w:val="BodyText"/>
        <w:spacing w:line="240" w:lineRule="auto" w:before="76"/>
        <w:ind w:right="0"/>
        <w:jc w:val="left"/>
      </w:pPr>
      <w:r>
        <w:rPr/>
        <w:t>额。</w:t>
      </w:r>
    </w:p>
    <w:p>
      <w:pPr>
        <w:pStyle w:val="BodyText"/>
        <w:spacing w:line="600" w:lineRule="atLeast" w:before="25"/>
        <w:ind w:left="513" w:right="0" w:hanging="9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76"/>
        <w:ind w:right="0"/>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spacing w:line="240" w:lineRule="auto" w:before="5"/>
        <w:rPr>
          <w:rFonts w:ascii="宋体" w:hAnsi="宋体" w:cs="宋体" w:eastAsia="宋体" w:hint="default"/>
          <w:sz w:val="24"/>
          <w:szCs w:val="24"/>
        </w:rPr>
      </w:pPr>
    </w:p>
    <w:p>
      <w:pPr>
        <w:pStyle w:val="BodyText"/>
        <w:spacing w:line="316" w:lineRule="auto"/>
        <w:ind w:right="19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spacing w:line="240" w:lineRule="auto" w:before="5"/>
        <w:rPr>
          <w:rFonts w:ascii="宋体" w:hAnsi="宋体" w:cs="宋体" w:eastAsia="宋体" w:hint="default"/>
          <w:sz w:val="24"/>
          <w:szCs w:val="24"/>
        </w:rPr>
      </w:pPr>
    </w:p>
    <w:p>
      <w:pPr>
        <w:pStyle w:val="BodyText"/>
        <w:spacing w:line="590" w:lineRule="auto"/>
        <w:ind w:left="513" w:right="0" w:hanging="9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spacing w:after="0" w:line="59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w:t>
      </w:r>
    </w:p>
    <w:p>
      <w:pPr>
        <w:spacing w:line="240" w:lineRule="auto" w:before="0"/>
        <w:rPr>
          <w:rFonts w:ascii="宋体" w:hAnsi="宋体" w:cs="宋体" w:eastAsia="宋体" w:hint="default"/>
          <w:sz w:val="18"/>
          <w:szCs w:val="18"/>
        </w:rPr>
      </w:pPr>
    </w:p>
    <w:p>
      <w:pPr>
        <w:pStyle w:val="BodyText"/>
        <w:spacing w:line="314" w:lineRule="auto" w:before="127"/>
        <w:ind w:left="154" w:right="189" w:firstLine="360"/>
        <w:jc w:val="both"/>
      </w:pPr>
      <w:r>
        <w:rPr>
          <w:spacing w:val="-2"/>
        </w:rPr>
        <w:t>境外经营的外币财务报表按以下方法折算为人民币报表：资产负债表中的资产和负债项目，采用资产负债表日的即期汇</w:t>
      </w:r>
      <w:r>
        <w:rPr/>
        <w:t> </w:t>
      </w: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spacing w:line="240" w:lineRule="auto" w:before="7"/>
        <w:rPr>
          <w:rFonts w:ascii="宋体" w:hAnsi="宋体" w:cs="宋体" w:eastAsia="宋体" w:hint="default"/>
          <w:sz w:val="24"/>
          <w:szCs w:val="24"/>
        </w:rPr>
      </w:pPr>
    </w:p>
    <w:p>
      <w:pPr>
        <w:pStyle w:val="BodyText"/>
        <w:spacing w:line="316" w:lineRule="auto"/>
        <w:ind w:left="154" w:right="190"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612" w:lineRule="exact" w:before="39"/>
        <w:ind w:left="514"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215" w:lineRule="exact"/>
        <w:ind w:left="154" w:right="0"/>
        <w:jc w:val="left"/>
      </w:pPr>
      <w:r>
        <w:rPr/>
        <w:t>表中股东权益项目下列示的、与该境外经营相关的归属于母公司所有者权益的外币报表折算差额，全部转入处置当期损益。</w:t>
      </w:r>
    </w:p>
    <w:p>
      <w:pPr>
        <w:spacing w:line="240" w:lineRule="auto" w:before="0"/>
        <w:rPr>
          <w:rFonts w:ascii="宋体" w:hAnsi="宋体" w:cs="宋体" w:eastAsia="宋体" w:hint="default"/>
          <w:sz w:val="18"/>
          <w:szCs w:val="18"/>
        </w:rPr>
      </w:pPr>
    </w:p>
    <w:p>
      <w:pPr>
        <w:pStyle w:val="BodyText"/>
        <w:spacing w:line="316" w:lineRule="auto" w:before="141"/>
        <w:ind w:left="154" w:right="90" w:firstLine="290"/>
        <w:jc w:val="left"/>
      </w:pPr>
      <w:r>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85" w:firstLine="360"/>
        <w:jc w:val="both"/>
      </w:pPr>
      <w:r>
        <w:rPr/>
        <w:t>在本公司成为金融工具合同的一方时确认一项金融资产或金融负债。金融资产和金融负债在初始确认时以公允价值计</w:t>
      </w:r>
      <w:r>
        <w:rPr>
          <w:spacing w:val="2"/>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612" w:lineRule="exact" w:before="39"/>
        <w:ind w:left="513"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215" w:lineRule="exact"/>
        <w:ind w:right="0"/>
        <w:jc w:val="left"/>
      </w:pPr>
      <w:r>
        <w:rPr>
          <w:spacing w:val="-4"/>
        </w:rPr>
        <w:t>融工具存在活跃市场的，本公司采用活跃市场中的报价确定其公允价值。活跃市场中的报价是指易于定期从交易所、经纪商、</w:t>
      </w:r>
    </w:p>
    <w:p>
      <w:pPr>
        <w:pStyle w:val="BodyText"/>
        <w:spacing w:line="316" w:lineRule="auto" w:before="76"/>
        <w:ind w:right="91"/>
        <w:jc w:val="left"/>
      </w:pP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612" w:lineRule="exact" w:before="39"/>
        <w:ind w:left="513"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15" w:lineRule="exact"/>
        <w:ind w:right="0"/>
        <w:jc w:val="left"/>
      </w:pPr>
      <w:r>
        <w:rPr/>
        <w:t>计入当期损益的金融资产、持有至到期投资、贷款和应收款项以及可供出售金融资产。</w:t>
      </w:r>
    </w:p>
    <w:p>
      <w:pPr>
        <w:spacing w:line="240" w:lineRule="auto" w:before="0"/>
        <w:rPr>
          <w:rFonts w:ascii="宋体" w:hAnsi="宋体" w:cs="宋体" w:eastAsia="宋体" w:hint="default"/>
          <w:sz w:val="18"/>
          <w:szCs w:val="18"/>
        </w:rPr>
      </w:pPr>
    </w:p>
    <w:p>
      <w:pPr>
        <w:pStyle w:val="BodyText"/>
        <w:spacing w:line="624" w:lineRule="auto" w:before="141"/>
        <w:ind w:left="513"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spacing w:after="0" w:line="624"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right="191"/>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spacing w:line="240" w:lineRule="auto" w:before="10"/>
        <w:rPr>
          <w:rFonts w:ascii="宋体" w:hAnsi="宋体" w:cs="宋体" w:eastAsia="宋体" w:hint="default"/>
          <w:sz w:val="24"/>
          <w:szCs w:val="24"/>
        </w:rPr>
      </w:pPr>
    </w:p>
    <w:p>
      <w:pPr>
        <w:pStyle w:val="BodyText"/>
        <w:spacing w:line="307" w:lineRule="auto"/>
        <w:ind w:right="19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9"/>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spacing w:line="240" w:lineRule="auto" w:before="12"/>
        <w:rPr>
          <w:rFonts w:ascii="宋体" w:hAnsi="宋体" w:cs="宋体" w:eastAsia="宋体" w:hint="default"/>
          <w:sz w:val="24"/>
          <w:szCs w:val="24"/>
        </w:rPr>
      </w:pPr>
    </w:p>
    <w:p>
      <w:pPr>
        <w:pStyle w:val="BodyText"/>
        <w:spacing w:line="316" w:lineRule="auto"/>
        <w:ind w:right="190"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612" w:lineRule="exact" w:before="39"/>
        <w:ind w:left="513" w:right="0"/>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15" w:lineRule="exact"/>
        <w:ind w:right="0"/>
        <w:jc w:val="both"/>
      </w:pPr>
      <w:r>
        <w:rPr/>
        <w:t>当期损益。</w:t>
      </w:r>
    </w:p>
    <w:p>
      <w:pPr>
        <w:spacing w:line="240" w:lineRule="auto" w:before="0"/>
        <w:rPr>
          <w:rFonts w:ascii="宋体" w:hAnsi="宋体" w:cs="宋体" w:eastAsia="宋体" w:hint="default"/>
          <w:sz w:val="18"/>
          <w:szCs w:val="18"/>
        </w:rPr>
      </w:pPr>
    </w:p>
    <w:p>
      <w:pPr>
        <w:pStyle w:val="BodyText"/>
        <w:spacing w:line="316" w:lineRule="auto" w:before="141"/>
        <w:ind w:right="190"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spacing w:line="240" w:lineRule="auto" w:before="5"/>
        <w:rPr>
          <w:rFonts w:ascii="宋体" w:hAnsi="宋体" w:cs="宋体" w:eastAsia="宋体" w:hint="default"/>
          <w:sz w:val="24"/>
          <w:szCs w:val="24"/>
        </w:rPr>
      </w:pPr>
    </w:p>
    <w:p>
      <w:pPr>
        <w:pStyle w:val="BodyText"/>
        <w:spacing w:line="316" w:lineRule="auto"/>
        <w:ind w:right="190"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612" w:lineRule="exact" w:before="39"/>
        <w:ind w:left="513"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215" w:lineRule="exact"/>
        <w:ind w:right="0"/>
        <w:jc w:val="both"/>
      </w:pPr>
      <w:r>
        <w:rPr/>
        <w:t>收票据、应收账款、应收利息、应收股利及其他应收款等。</w:t>
      </w:r>
    </w:p>
    <w:p>
      <w:pPr>
        <w:spacing w:line="240" w:lineRule="auto" w:before="0"/>
        <w:rPr>
          <w:rFonts w:ascii="宋体" w:hAnsi="宋体" w:cs="宋体" w:eastAsia="宋体" w:hint="default"/>
          <w:sz w:val="18"/>
          <w:szCs w:val="18"/>
        </w:rPr>
      </w:pPr>
    </w:p>
    <w:p>
      <w:pPr>
        <w:pStyle w:val="BodyText"/>
        <w:spacing w:line="316" w:lineRule="auto" w:before="141"/>
        <w:ind w:right="190" w:firstLine="360"/>
        <w:jc w:val="both"/>
      </w:pPr>
      <w:r>
        <w:rPr>
          <w:spacing w:val="-2"/>
        </w:rPr>
        <w:t>贷款和应收款项采用实际利率法，按摊余成本进行后续计量，在终止确认、发生减值或摊销时产生的利得或损失，计入</w:t>
      </w:r>
      <w:r>
        <w:rPr/>
        <w:t> 当期损益。</w:t>
      </w:r>
    </w:p>
    <w:p>
      <w:pPr>
        <w:pStyle w:val="BodyText"/>
        <w:spacing w:line="612" w:lineRule="exact" w:before="39"/>
        <w:ind w:left="513" w:right="91"/>
        <w:jc w:val="left"/>
      </w:pPr>
      <w:r>
        <w:rPr/>
        <w:t>④可供出售金融资产 包括初始确认时即被指定为可供出售的非衍生金融资产，以及除了以公允价值计量且其变动计入当期损益的金融资产、</w:t>
      </w:r>
    </w:p>
    <w:p>
      <w:pPr>
        <w:pStyle w:val="BodyText"/>
        <w:spacing w:line="215" w:lineRule="exact"/>
        <w:ind w:right="0"/>
        <w:jc w:val="both"/>
      </w:pPr>
      <w:r>
        <w:rPr/>
        <w:t>贷款和应收款项、持有至到期投资以外的金融资产。</w:t>
      </w:r>
    </w:p>
    <w:p>
      <w:pPr>
        <w:spacing w:line="240" w:lineRule="auto" w:before="0"/>
        <w:rPr>
          <w:rFonts w:ascii="宋体" w:hAnsi="宋体" w:cs="宋体" w:eastAsia="宋体" w:hint="default"/>
          <w:sz w:val="18"/>
          <w:szCs w:val="18"/>
        </w:rPr>
      </w:pPr>
    </w:p>
    <w:p>
      <w:pPr>
        <w:pStyle w:val="BodyText"/>
        <w:spacing w:line="316" w:lineRule="auto" w:before="141"/>
        <w:ind w:right="190" w:firstLine="360"/>
        <w:jc w:val="both"/>
      </w:pPr>
      <w:r>
        <w:rPr>
          <w:spacing w:val="-2"/>
        </w:rPr>
        <w:t>可供出售债务工具投资的期末成本按照其摊余成本法确定，即初始确认金额扣除已偿还的本金，加上或减去采用实际利</w:t>
      </w:r>
      <w:r>
        <w:rPr/>
        <w:t> </w:t>
      </w: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spacing w:line="240" w:lineRule="auto" w:before="5"/>
        <w:rPr>
          <w:rFonts w:ascii="宋体" w:hAnsi="宋体" w:cs="宋体" w:eastAsia="宋体" w:hint="default"/>
          <w:sz w:val="24"/>
          <w:szCs w:val="24"/>
        </w:rPr>
      </w:pPr>
    </w:p>
    <w:p>
      <w:pPr>
        <w:pStyle w:val="BodyText"/>
        <w:spacing w:line="240" w:lineRule="auto"/>
        <w:ind w:left="513" w:right="0"/>
        <w:jc w:val="left"/>
      </w:pPr>
      <w:r>
        <w:rPr/>
        <w:t>可供出售金融资产采用公允价值进行后续计量，公允价值变动形成的利得或损失，除减值损失和外币货币性金融资产与</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0"/>
        <w:jc w:val="both"/>
      </w:pP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spacing w:line="240" w:lineRule="auto" w:before="5"/>
        <w:rPr>
          <w:rFonts w:ascii="宋体" w:hAnsi="宋体" w:cs="宋体" w:eastAsia="宋体" w:hint="default"/>
          <w:sz w:val="24"/>
          <w:szCs w:val="24"/>
        </w:rPr>
      </w:pPr>
    </w:p>
    <w:p>
      <w:pPr>
        <w:pStyle w:val="BodyText"/>
        <w:spacing w:line="240" w:lineRule="auto"/>
        <w:ind w:left="513" w:right="0"/>
        <w:jc w:val="left"/>
      </w:pPr>
      <w:r>
        <w:rPr/>
        <w:t>可供出售金融资产持有期间取得的利息及被投资单位宣告发放的现金股利，计入投资收益。</w:t>
      </w:r>
    </w:p>
    <w:p>
      <w:pPr>
        <w:pStyle w:val="BodyText"/>
        <w:spacing w:line="600" w:lineRule="atLeast" w:before="25"/>
        <w:ind w:left="513" w:right="0" w:hanging="9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240" w:lineRule="auto" w:before="76"/>
        <w:ind w:right="0"/>
        <w:jc w:val="both"/>
      </w:pPr>
      <w:r>
        <w:rPr/>
        <w:t>检查，有客观证据表明金融资产发生减值的，计提减值准备。</w:t>
      </w:r>
    </w:p>
    <w:p>
      <w:pPr>
        <w:spacing w:line="240" w:lineRule="auto" w:before="0"/>
        <w:rPr>
          <w:rFonts w:ascii="宋体" w:hAnsi="宋体" w:cs="宋体" w:eastAsia="宋体" w:hint="default"/>
          <w:sz w:val="18"/>
          <w:szCs w:val="18"/>
        </w:rPr>
      </w:pPr>
    </w:p>
    <w:p>
      <w:pPr>
        <w:pStyle w:val="BodyText"/>
        <w:spacing w:line="316" w:lineRule="auto" w:before="141"/>
        <w:ind w:right="191" w:firstLine="360"/>
        <w:jc w:val="both"/>
      </w:pPr>
      <w:r>
        <w:rPr>
          <w:spacing w:val="-2"/>
        </w:rPr>
        <w:t>本公司对单项金额重大的金融资产单独进行减值测试；对单项金额不重大的金融资产，单独进行减值测试或包括在具有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612" w:lineRule="exact" w:before="39"/>
        <w:ind w:left="513"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215" w:lineRule="exact"/>
        <w:ind w:right="0"/>
        <w:jc w:val="both"/>
      </w:pPr>
      <w:r>
        <w:rPr/>
        <w:t>益。金融资产在确认减值损失后，如有客观证据表明该金融资产价值已恢复，且客观上与确认该损失后发生的事项有关，原</w:t>
      </w:r>
    </w:p>
    <w:p>
      <w:pPr>
        <w:pStyle w:val="BodyText"/>
        <w:spacing w:line="316" w:lineRule="auto" w:before="76"/>
        <w:ind w:right="190"/>
        <w:jc w:val="both"/>
      </w:pP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612" w:lineRule="exact" w:before="39"/>
        <w:ind w:left="513"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229" w:lineRule="exact"/>
        <w:ind w:right="0"/>
        <w:jc w:val="both"/>
      </w:pPr>
      <w:r>
        <w:rPr/>
        <w:t>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pStyle w:val="BodyText"/>
        <w:spacing w:line="316" w:lineRule="auto" w:before="127"/>
        <w:ind w:left="154" w:right="108"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spacing w:line="240" w:lineRule="auto" w:before="5"/>
        <w:rPr>
          <w:rFonts w:ascii="宋体" w:hAnsi="宋体" w:cs="宋体" w:eastAsia="宋体" w:hint="default"/>
          <w:sz w:val="24"/>
          <w:szCs w:val="24"/>
        </w:rPr>
      </w:pPr>
    </w:p>
    <w:p>
      <w:pPr>
        <w:pStyle w:val="BodyText"/>
        <w:spacing w:line="316" w:lineRule="auto"/>
        <w:ind w:left="154" w:right="190"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spacing w:line="240" w:lineRule="auto" w:before="5"/>
        <w:rPr>
          <w:rFonts w:ascii="宋体" w:hAnsi="宋体" w:cs="宋体" w:eastAsia="宋体" w:hint="default"/>
          <w:sz w:val="24"/>
          <w:szCs w:val="24"/>
        </w:rPr>
      </w:pPr>
    </w:p>
    <w:p>
      <w:pPr>
        <w:pStyle w:val="BodyText"/>
        <w:spacing w:line="316" w:lineRule="auto"/>
        <w:ind w:left="154" w:right="19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612" w:lineRule="exact" w:before="39"/>
        <w:ind w:left="514" w:right="0" w:hanging="9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215" w:lineRule="exact"/>
        <w:ind w:left="154" w:right="0"/>
        <w:jc w:val="both"/>
      </w:pPr>
      <w:r>
        <w:rPr/>
        <w:t>将金融资产所有权上几乎所有的风险和报酬转移给转入方；③该金融资产已转移，虽然企业既没有转移也没有保留金融资产</w:t>
      </w:r>
    </w:p>
    <w:p>
      <w:pPr>
        <w:pStyle w:val="BodyText"/>
        <w:spacing w:line="624" w:lineRule="auto" w:before="76"/>
        <w:ind w:left="514" w:right="0" w:hanging="360"/>
        <w:jc w:val="left"/>
      </w:pPr>
      <w:r>
        <w:rPr/>
        <w:t>所有权上几乎所有的风险和报酬，但是放弃了对该金融资产控制。 </w:t>
      </w:r>
      <w:r>
        <w:rPr>
          <w:spacing w:val="-2"/>
        </w:rPr>
        <w:t>若企业既没有转移也没有保留金融资产所有权上几乎所有的风险和报酬，且未放弃对该金融资产的控制的，则按照继续</w:t>
      </w:r>
    </w:p>
    <w:p>
      <w:pPr>
        <w:spacing w:after="0" w:line="624"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spacing w:line="240" w:lineRule="auto" w:before="5"/>
        <w:rPr>
          <w:rFonts w:ascii="宋体" w:hAnsi="宋体" w:cs="宋体" w:eastAsia="宋体" w:hint="default"/>
          <w:sz w:val="24"/>
          <w:szCs w:val="24"/>
        </w:rPr>
      </w:pPr>
    </w:p>
    <w:p>
      <w:pPr>
        <w:pStyle w:val="BodyText"/>
        <w:spacing w:line="316" w:lineRule="auto"/>
        <w:ind w:right="190"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spacing w:line="240" w:lineRule="auto" w:before="5"/>
        <w:rPr>
          <w:rFonts w:ascii="宋体" w:hAnsi="宋体" w:cs="宋体" w:eastAsia="宋体" w:hint="default"/>
          <w:sz w:val="24"/>
          <w:szCs w:val="24"/>
        </w:rPr>
      </w:pPr>
    </w:p>
    <w:p>
      <w:pPr>
        <w:pStyle w:val="BodyText"/>
        <w:spacing w:line="316" w:lineRule="auto"/>
        <w:ind w:right="190"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spacing w:line="240" w:lineRule="auto" w:before="5"/>
        <w:rPr>
          <w:rFonts w:ascii="宋体" w:hAnsi="宋体" w:cs="宋体" w:eastAsia="宋体" w:hint="default"/>
          <w:sz w:val="24"/>
          <w:szCs w:val="24"/>
        </w:rPr>
      </w:pPr>
    </w:p>
    <w:p>
      <w:pPr>
        <w:pStyle w:val="BodyText"/>
        <w:spacing w:line="316" w:lineRule="auto"/>
        <w:ind w:right="190"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612" w:lineRule="exact" w:before="39"/>
        <w:ind w:left="513" w:right="91" w:hanging="90"/>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215" w:lineRule="exact"/>
        <w:ind w:right="0"/>
        <w:jc w:val="left"/>
      </w:pPr>
      <w:r>
        <w:rPr/>
        <w:t>以公允价值计量。对于以公允价值计量且其变动计入当期损益的金融负债，相关的交易费用直接计入当期损益，对于其他金</w:t>
      </w:r>
    </w:p>
    <w:p>
      <w:pPr>
        <w:pStyle w:val="BodyText"/>
        <w:spacing w:line="240" w:lineRule="auto" w:before="76"/>
        <w:ind w:right="0"/>
        <w:jc w:val="left"/>
      </w:pPr>
      <w:r>
        <w:rPr/>
        <w:t>融负债，相关交易费用计入初始确认金额。</w:t>
      </w:r>
    </w:p>
    <w:p>
      <w:pPr>
        <w:pStyle w:val="BodyText"/>
        <w:spacing w:line="610" w:lineRule="atLeast" w:before="2"/>
        <w:ind w:left="513" w:right="0"/>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240" w:lineRule="auto" w:before="76"/>
        <w:ind w:right="0"/>
        <w:jc w:val="left"/>
      </w:pPr>
      <w:r>
        <w:rPr/>
        <w:t>性金融资产和在初始确认时指定为以公允价值计量且其变动计入当期损益的金融资产的条件一致。</w:t>
      </w:r>
    </w:p>
    <w:p>
      <w:pPr>
        <w:spacing w:line="240" w:lineRule="auto" w:before="0"/>
        <w:rPr>
          <w:rFonts w:ascii="宋体" w:hAnsi="宋体" w:cs="宋体" w:eastAsia="宋体" w:hint="default"/>
          <w:sz w:val="18"/>
          <w:szCs w:val="18"/>
        </w:rPr>
      </w:pPr>
    </w:p>
    <w:p>
      <w:pPr>
        <w:pStyle w:val="BodyText"/>
        <w:spacing w:line="316" w:lineRule="auto" w:before="141"/>
        <w:ind w:right="190" w:firstLine="360"/>
        <w:jc w:val="both"/>
      </w:pPr>
      <w:r>
        <w:rPr>
          <w:spacing w:val="-2"/>
        </w:rPr>
        <w:t>以公允价值计量且其变动计入当期损益的金融负债采用公允价值进行后续计量，公允价值的变动形成的利得或损失以及</w:t>
      </w:r>
      <w:r>
        <w:rPr/>
        <w:t> 与该等金融负债相关的股利和利息支出计入当期损益。</w:t>
      </w:r>
    </w:p>
    <w:p>
      <w:pPr>
        <w:pStyle w:val="BodyText"/>
        <w:spacing w:line="612" w:lineRule="exact" w:before="39"/>
        <w:ind w:left="513" w:right="0"/>
        <w:jc w:val="left"/>
      </w:pPr>
      <w:r>
        <w:rPr/>
        <w:t>②其他金融负债 </w:t>
      </w:r>
      <w:r>
        <w:rPr>
          <w:spacing w:val="-2"/>
        </w:rPr>
        <w:t>与在活跃市场中没有报价、公允价值不能可靠计量的权益工具挂钩并须通过交付该权益工具结算的衍生金融负债，按照</w:t>
      </w:r>
    </w:p>
    <w:p>
      <w:pPr>
        <w:pStyle w:val="BodyText"/>
        <w:spacing w:line="215" w:lineRule="exact"/>
        <w:ind w:right="0"/>
        <w:jc w:val="left"/>
      </w:pPr>
      <w:r>
        <w:rPr/>
        <w:t>成本进行后续计量。其他金融负债采用实际利率法，按摊余成本进行后续计量，终止确认或摊销产生的利得或损失计入当期</w:t>
      </w:r>
    </w:p>
    <w:p>
      <w:pPr>
        <w:pStyle w:val="BodyText"/>
        <w:spacing w:line="240" w:lineRule="auto" w:before="76"/>
        <w:ind w:right="0"/>
        <w:jc w:val="left"/>
      </w:pPr>
      <w:r>
        <w:rPr/>
        <w:t>损益。</w:t>
      </w:r>
    </w:p>
    <w:p>
      <w:pPr>
        <w:pStyle w:val="BodyText"/>
        <w:spacing w:line="600" w:lineRule="atLeast" w:before="25"/>
        <w:ind w:left="513" w:right="0" w:hanging="9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76"/>
        <w:ind w:right="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spacing w:line="240" w:lineRule="auto" w:before="5"/>
        <w:rPr>
          <w:rFonts w:ascii="宋体" w:hAnsi="宋体" w:cs="宋体" w:eastAsia="宋体" w:hint="default"/>
          <w:sz w:val="24"/>
          <w:szCs w:val="24"/>
        </w:rPr>
      </w:pPr>
    </w:p>
    <w:p>
      <w:pPr>
        <w:pStyle w:val="BodyText"/>
        <w:spacing w:line="316" w:lineRule="auto"/>
        <w:ind w:right="190"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spacing w:line="240" w:lineRule="auto" w:before="5"/>
        <w:rPr>
          <w:rFonts w:ascii="宋体" w:hAnsi="宋体" w:cs="宋体" w:eastAsia="宋体" w:hint="default"/>
          <w:sz w:val="24"/>
          <w:szCs w:val="24"/>
        </w:rPr>
      </w:pPr>
    </w:p>
    <w:p>
      <w:pPr>
        <w:pStyle w:val="BodyText"/>
        <w:spacing w:line="240" w:lineRule="auto"/>
        <w:ind w:left="423" w:right="0"/>
        <w:jc w:val="left"/>
      </w:pPr>
      <w:r>
        <w:rPr/>
        <w:t>（</w:t>
      </w:r>
      <w:r>
        <w:rPr>
          <w:rFonts w:ascii="Times New Roman" w:hAnsi="Times New Roman" w:cs="Times New Roman" w:eastAsia="Times New Roman" w:hint="default"/>
        </w:rPr>
        <w:t>7</w:t>
      </w:r>
      <w:r>
        <w:rPr/>
        <w:t>）金融资产和金融负债的抵销</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0" w:firstLine="360"/>
        <w:jc w:val="both"/>
      </w:pPr>
      <w:r>
        <w:rPr>
          <w:spacing w:val="-2"/>
        </w:rPr>
        <w:t>当本公司具有抵销已确认金融资产和金融负债的法定权利，且目前可执行该种法定权利，同时本公司计划以净额结算或</w:t>
      </w:r>
      <w:r>
        <w:rPr/>
        <w:t> </w:t>
      </w: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612" w:lineRule="exact" w:before="39"/>
        <w:ind w:left="513" w:right="0" w:hanging="90"/>
        <w:jc w:val="left"/>
      </w:pPr>
      <w:r>
        <w:rPr/>
        <w:t>（</w:t>
      </w:r>
      <w:r>
        <w:rPr>
          <w:rFonts w:ascii="Times New Roman" w:hAnsi="Times New Roman" w:cs="Times New Roman" w:eastAsia="Times New Roman" w:hint="default"/>
        </w:rPr>
        <w:t>8</w:t>
      </w:r>
      <w:r>
        <w:rPr/>
        <w:t>）权益工具 </w:t>
      </w:r>
      <w:r>
        <w:rPr>
          <w:spacing w:val="-2"/>
        </w:rPr>
        <w:t>权益工具是指能证明拥有本公司在扣除所有负债后的资产中的剩余权益的合同。本公司发行（含再融资）、回购、出售</w:t>
      </w:r>
    </w:p>
    <w:p>
      <w:pPr>
        <w:pStyle w:val="BodyText"/>
        <w:spacing w:line="215" w:lineRule="exact"/>
        <w:ind w:right="0"/>
        <w:jc w:val="left"/>
      </w:pPr>
      <w:r>
        <w:rPr/>
        <w:t>或注销权益工具作为权益的变动处理</w:t>
      </w:r>
      <w:r>
        <w:rPr>
          <w:spacing w:val="-87"/>
        </w:rPr>
        <w:t>。</w:t>
      </w:r>
      <w:r>
        <w:rPr/>
        <w:t>本公司不确认权益工具的公允价值变动</w:t>
      </w:r>
      <w:r>
        <w:rPr>
          <w:spacing w:val="-87"/>
        </w:rPr>
        <w:t>。</w:t>
      </w:r>
      <w:r>
        <w:rPr/>
        <w:t>与权益性交易相关的交易费用从权益中扣减。</w:t>
      </w:r>
    </w:p>
    <w:p>
      <w:pPr>
        <w:spacing w:line="240" w:lineRule="auto" w:before="0"/>
        <w:rPr>
          <w:rFonts w:ascii="宋体" w:hAnsi="宋体" w:cs="宋体" w:eastAsia="宋体" w:hint="default"/>
          <w:sz w:val="18"/>
          <w:szCs w:val="18"/>
        </w:rPr>
      </w:pPr>
    </w:p>
    <w:p>
      <w:pPr>
        <w:pStyle w:val="BodyText"/>
        <w:spacing w:line="240" w:lineRule="auto" w:before="141"/>
        <w:ind w:left="444" w:right="0"/>
        <w:jc w:val="left"/>
      </w:pPr>
      <w:r>
        <w:rPr/>
        <w:t>本公司对权益工具持有方的各种分配（不包括股票股利），减少股东权益。本公司不确认权益工具的公允价值变动额。</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万元）以上的应收账款、余额</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万元）以上的其他应收款。</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w:t>
            </w:r>
          </w:p>
        </w:tc>
      </w:tr>
      <w:tr>
        <w:trPr>
          <w:trHeight w:val="311"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单独测试未发生减值的金融资产，包括在具有类似信用风险</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特征的金融资产组合中进行减值测试。单项测试已确认减值</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损失的应收款项，不再包括在具有类似信用风险特征的应收</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款项组合中进行减值测试。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73"/>
        <w:gridCol w:w="4783"/>
      </w:tblGrid>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7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41"/>
        <w:jc w:val="left"/>
      </w:pPr>
      <w:r>
        <w:rPr/>
        <w:t>组合中，采用余额百分比法计提坏账准备的：</w:t>
      </w:r>
    </w:p>
    <w:p>
      <w:pPr>
        <w:pStyle w:val="BodyText"/>
        <w:spacing w:line="338" w:lineRule="auto" w:before="117"/>
        <w:ind w:left="154" w:right="6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left="154" w:right="14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41"/>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240" w:lineRule="auto"/>
        <w:ind w:left="0" w:right="159"/>
        <w:jc w:val="right"/>
      </w:pPr>
      <w:r>
        <w:rPr/>
        <w:pict>
          <v:shape style="position:absolute;margin-left:56.459999pt;margin-top:-18.587973pt;width:479.1pt;height:149.8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3"/>
                  </w:tblGrid>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本公司对于单项金额虽不重大但具备以下特征如：应收</w:t>
                        </w:r>
                      </w:p>
                    </w:tc>
                  </w:tr>
                  <w:tr>
                    <w:trPr>
                      <w:trHeight w:val="311"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关联方款项；与对方存在争议或涉及诉讼、仲裁的应收款项</w:t>
                        </w:r>
                      </w:p>
                    </w:tc>
                  </w:tr>
                  <w:tr>
                    <w:trPr>
                      <w:trHeight w:val="624"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68"/>
                          <w:jc w:val="left"/>
                          <w:rPr>
                            <w:rFonts w:ascii="宋体" w:hAnsi="宋体" w:cs="宋体" w:eastAsia="宋体" w:hint="default"/>
                            <w:sz w:val="18"/>
                            <w:szCs w:val="18"/>
                          </w:rPr>
                        </w:pPr>
                        <w:r>
                          <w:rPr>
                            <w:rFonts w:ascii="宋体" w:hAnsi="宋体" w:cs="宋体" w:eastAsia="宋体" w:hint="default"/>
                            <w:sz w:val="18"/>
                            <w:szCs w:val="18"/>
                          </w:rPr>
                          <w:t>已有明显迹象表明债务人很可能无法履行还款义务的应收款 项，单独进行减值测试，有客观证据表明其发生了减值的，</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损失，计提坏账准备。</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单独进行减值测试，有客观证据表明其发生了减值的，</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w:t>
                        </w:r>
                      </w:p>
                    </w:tc>
                  </w:tr>
                  <w:tr>
                    <w:trPr>
                      <w:trHeight w:val="355"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3"/>
        <w:spacing w:line="240" w:lineRule="auto" w:before="35"/>
        <w:ind w:right="141"/>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11"/>
        <w:jc w:val="left"/>
      </w:pPr>
      <w:r>
        <w:rPr/>
        <w:t>公司是否需要遵守特殊行业的披露要求 否</w:t>
      </w:r>
    </w:p>
    <w:p>
      <w:pPr>
        <w:pStyle w:val="BodyText"/>
        <w:spacing w:line="508" w:lineRule="auto" w:before="28"/>
        <w:ind w:left="444" w:right="3000" w:firstLine="34"/>
        <w:jc w:val="left"/>
      </w:pPr>
      <w:r>
        <w:rPr/>
        <w:t>（</w:t>
      </w:r>
      <w:r>
        <w:rPr>
          <w:rFonts w:ascii="Times New Roman" w:hAnsi="Times New Roman" w:cs="Times New Roman" w:eastAsia="Times New Roman" w:hint="default"/>
        </w:rPr>
        <w:t>1</w:t>
      </w:r>
      <w:r>
        <w:rPr/>
        <w:t>）存货的分类 本公司存货分原材料、在产品、包装物、库存商品、委托加工材料、物资采购等。</w:t>
      </w:r>
    </w:p>
    <w:p>
      <w:pPr>
        <w:pStyle w:val="BodyText"/>
        <w:spacing w:line="240" w:lineRule="auto" w:before="91"/>
        <w:ind w:left="423" w:right="141"/>
        <w:jc w:val="left"/>
      </w:pPr>
      <w:r>
        <w:rPr/>
        <w:t>（</w:t>
      </w:r>
      <w:r>
        <w:rPr>
          <w:rFonts w:ascii="Times New Roman" w:hAnsi="Times New Roman" w:cs="Times New Roman" w:eastAsia="Times New Roman" w:hint="default"/>
        </w:rPr>
        <w:t>2</w:t>
      </w:r>
      <w:r>
        <w:rPr/>
        <w:t>）存货取得和发出的计价方法</w:t>
      </w:r>
    </w:p>
    <w:p>
      <w:pPr>
        <w:spacing w:line="240" w:lineRule="auto" w:before="4"/>
        <w:rPr>
          <w:rFonts w:ascii="宋体" w:hAnsi="宋体" w:cs="宋体" w:eastAsia="宋体" w:hint="default"/>
          <w:sz w:val="21"/>
          <w:szCs w:val="21"/>
        </w:rPr>
      </w:pPr>
    </w:p>
    <w:p>
      <w:pPr>
        <w:pStyle w:val="BodyText"/>
        <w:spacing w:line="316" w:lineRule="auto"/>
        <w:ind w:right="141" w:firstLine="360"/>
        <w:jc w:val="left"/>
      </w:pPr>
      <w:r>
        <w:rPr>
          <w:spacing w:val="-2"/>
        </w:rPr>
        <w:t>本公司存货取得时按实际成本计价。原料、在产品、库存商品、发出商品等发出时采用加权平均法计价，材料按计划成</w:t>
      </w:r>
      <w:r>
        <w:rPr/>
        <w:t> 本计价，材料成本差异按上月余额法计算结转。</w:t>
      </w:r>
    </w:p>
    <w:p>
      <w:pPr>
        <w:spacing w:line="240" w:lineRule="auto" w:before="12"/>
        <w:rPr>
          <w:rFonts w:ascii="宋体" w:hAnsi="宋体" w:cs="宋体" w:eastAsia="宋体" w:hint="default"/>
          <w:sz w:val="17"/>
          <w:szCs w:val="17"/>
        </w:rPr>
      </w:pPr>
    </w:p>
    <w:p>
      <w:pPr>
        <w:pStyle w:val="BodyText"/>
        <w:spacing w:line="240" w:lineRule="auto"/>
        <w:ind w:left="513" w:right="141"/>
        <w:jc w:val="left"/>
      </w:pPr>
      <w:r>
        <w:rPr/>
        <w:t>北明软件存货发出时，采取先进先出法确定其发生的实际成本。</w:t>
      </w:r>
    </w:p>
    <w:p>
      <w:pPr>
        <w:pStyle w:val="BodyText"/>
        <w:spacing w:line="510" w:lineRule="atLeast" w:before="31"/>
        <w:ind w:left="444" w:right="141" w:hanging="74"/>
        <w:jc w:val="left"/>
      </w:pPr>
      <w:r>
        <w:rPr/>
        <w:t>（</w:t>
      </w:r>
      <w:r>
        <w:rPr>
          <w:rFonts w:ascii="Times New Roman" w:hAnsi="Times New Roman" w:cs="Times New Roman" w:eastAsia="Times New Roman" w:hint="default"/>
        </w:rPr>
        <w:t>3</w:t>
      </w:r>
      <w:r>
        <w:rPr/>
        <w:t>）存货跌价准备计提方法 </w:t>
      </w:r>
      <w:r>
        <w:rPr>
          <w:spacing w:val="-1"/>
        </w:rPr>
        <w:t>在资产负债表日，存货按照成本与可变现净值孰低计量。当其可变现净值低于成本时，提取存货跌价准备。存货跌价准</w:t>
      </w:r>
    </w:p>
    <w:p>
      <w:pPr>
        <w:pStyle w:val="BodyText"/>
        <w:spacing w:line="316" w:lineRule="auto" w:before="76"/>
        <w:ind w:right="149"/>
        <w:jc w:val="both"/>
      </w:pPr>
      <w:r>
        <w:rPr>
          <w:spacing w:val="-2"/>
        </w:rPr>
        <w:t>备通常按单个存货项目的成本高于其可变现净值的差额提取。对于数量繁多、单价较低的存货，按存货类别计提存货跌价准</w:t>
      </w:r>
      <w:r>
        <w:rPr>
          <w:spacing w:val="-66"/>
        </w:rPr>
        <w:t> </w:t>
      </w:r>
      <w:r>
        <w:rPr>
          <w:spacing w:val="-66"/>
        </w:rPr>
      </w:r>
      <w:r>
        <w:rPr>
          <w:spacing w:val="-2"/>
        </w:rPr>
        <w:t>备；对在同一地区生产和销售的产品系列相关、具有相同或类似最终用途或目的，且难以与其他项目分开计量的存货，可合</w:t>
      </w:r>
      <w:r>
        <w:rPr>
          <w:spacing w:val="-66"/>
        </w:rPr>
        <w:t> </w:t>
      </w:r>
      <w:r>
        <w:rPr>
          <w:spacing w:val="-66"/>
        </w:rPr>
      </w:r>
      <w:r>
        <w:rPr/>
        <w:t>并计提存货跌价准备。</w:t>
      </w:r>
    </w:p>
    <w:p>
      <w:pPr>
        <w:spacing w:line="240" w:lineRule="auto" w:before="12"/>
        <w:rPr>
          <w:rFonts w:ascii="宋体" w:hAnsi="宋体" w:cs="宋体" w:eastAsia="宋体" w:hint="default"/>
          <w:sz w:val="17"/>
          <w:szCs w:val="17"/>
        </w:rPr>
      </w:pPr>
    </w:p>
    <w:p>
      <w:pPr>
        <w:pStyle w:val="BodyText"/>
        <w:spacing w:line="240" w:lineRule="auto"/>
        <w:ind w:left="444" w:right="0"/>
        <w:jc w:val="left"/>
      </w:pPr>
      <w:r>
        <w:rPr/>
        <w:t>计提存货跌价准备后，如果以前减记存货价值的影响因素已经消失，导致存货的可变现净值高于其账面价值的，在原已</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计提的存货跌价准备金额内予以转回，转回的金额计入当期损益。</w:t>
      </w:r>
    </w:p>
    <w:p>
      <w:pPr>
        <w:spacing w:line="240" w:lineRule="auto" w:before="5"/>
        <w:rPr>
          <w:rFonts w:ascii="宋体" w:hAnsi="宋体" w:cs="宋体" w:eastAsia="宋体" w:hint="default"/>
          <w:sz w:val="22"/>
          <w:szCs w:val="22"/>
        </w:rPr>
      </w:pPr>
    </w:p>
    <w:p>
      <w:pPr>
        <w:pStyle w:val="BodyText"/>
        <w:spacing w:line="240" w:lineRule="auto"/>
        <w:ind w:left="371" w:right="0"/>
        <w:jc w:val="left"/>
      </w:pPr>
      <w:r>
        <w:rPr/>
        <w:t>（</w:t>
      </w:r>
      <w:r>
        <w:rPr>
          <w:rFonts w:ascii="Times New Roman" w:hAnsi="Times New Roman" w:cs="Times New Roman" w:eastAsia="Times New Roman" w:hint="default"/>
        </w:rPr>
        <w:t>4</w:t>
      </w:r>
      <w:r>
        <w:rPr/>
        <w:t>）存货可变现净值的确认方法</w:t>
      </w:r>
    </w:p>
    <w:p>
      <w:pPr>
        <w:spacing w:line="240" w:lineRule="auto" w:before="4"/>
        <w:rPr>
          <w:rFonts w:ascii="宋体" w:hAnsi="宋体" w:cs="宋体" w:eastAsia="宋体" w:hint="default"/>
          <w:sz w:val="21"/>
          <w:szCs w:val="21"/>
        </w:rPr>
      </w:pPr>
    </w:p>
    <w:p>
      <w:pPr>
        <w:pStyle w:val="BodyText"/>
        <w:spacing w:line="316" w:lineRule="auto"/>
        <w:ind w:right="108" w:firstLine="290"/>
        <w:jc w:val="both"/>
      </w:pPr>
      <w:r>
        <w:rPr/>
        <w:t>可变现净值是指在日常活动中，存货的估计售价减去至完工时估计将要发生的成本、</w:t>
      </w:r>
      <w:r>
        <w:rPr>
          <w:spacing w:val="-71"/>
        </w:rPr>
        <w:t> </w:t>
      </w:r>
      <w:r>
        <w:rPr/>
        <w:t>估计的销售费用以及相关税费后的</w:t>
      </w:r>
      <w:r>
        <w:rPr/>
        <w:t> 金额。在确定存货的可变现净值时，以取得的确凿证据为基础，同时考虑持有存货的目的以及资产负债表日后事项的影响。</w:t>
      </w:r>
    </w:p>
    <w:p>
      <w:pPr>
        <w:spacing w:line="240" w:lineRule="auto" w:before="12"/>
        <w:rPr>
          <w:rFonts w:ascii="宋体" w:hAnsi="宋体" w:cs="宋体" w:eastAsia="宋体" w:hint="default"/>
          <w:sz w:val="17"/>
          <w:szCs w:val="17"/>
        </w:rPr>
      </w:pPr>
    </w:p>
    <w:p>
      <w:pPr>
        <w:pStyle w:val="BodyText"/>
        <w:spacing w:line="240" w:lineRule="auto"/>
        <w:ind w:left="423" w:right="0"/>
        <w:jc w:val="left"/>
      </w:pPr>
      <w:r>
        <w:rPr/>
        <w:t>（</w:t>
      </w:r>
      <w:r>
        <w:rPr>
          <w:rFonts w:ascii="Times New Roman" w:hAnsi="Times New Roman" w:cs="Times New Roman" w:eastAsia="Times New Roman" w:hint="default"/>
        </w:rPr>
        <w:t>5</w:t>
      </w:r>
      <w:r>
        <w:rPr/>
        <w:t>）本公司存货盘存制度采用永续盘存制</w:t>
      </w:r>
    </w:p>
    <w:p>
      <w:pPr>
        <w:spacing w:line="240" w:lineRule="auto" w:before="4"/>
        <w:rPr>
          <w:rFonts w:ascii="宋体" w:hAnsi="宋体" w:cs="宋体" w:eastAsia="宋体" w:hint="default"/>
          <w:sz w:val="21"/>
          <w:szCs w:val="21"/>
        </w:rPr>
      </w:pPr>
    </w:p>
    <w:p>
      <w:pPr>
        <w:pStyle w:val="BodyText"/>
        <w:spacing w:line="240" w:lineRule="auto"/>
        <w:ind w:left="423" w:right="0"/>
        <w:jc w:val="left"/>
      </w:pPr>
      <w:r>
        <w:rPr/>
        <w:t>（</w:t>
      </w:r>
      <w:r>
        <w:rPr>
          <w:rFonts w:ascii="Times New Roman" w:hAnsi="Times New Roman" w:cs="Times New Roman" w:eastAsia="Times New Roman" w:hint="default"/>
        </w:rPr>
        <w:t>6</w:t>
      </w:r>
      <w:r>
        <w:rPr/>
        <w:t>）低值易耗品和包装物的摊销方法</w:t>
      </w:r>
    </w:p>
    <w:p>
      <w:pPr>
        <w:spacing w:line="240" w:lineRule="auto" w:before="4"/>
        <w:rPr>
          <w:rFonts w:ascii="宋体" w:hAnsi="宋体" w:cs="宋体" w:eastAsia="宋体" w:hint="default"/>
          <w:sz w:val="21"/>
          <w:szCs w:val="21"/>
        </w:rPr>
      </w:pPr>
    </w:p>
    <w:p>
      <w:pPr>
        <w:pStyle w:val="BodyText"/>
        <w:spacing w:line="240" w:lineRule="auto"/>
        <w:ind w:left="444" w:right="0"/>
        <w:jc w:val="left"/>
      </w:pPr>
      <w:r>
        <w:rPr/>
        <w:t>低值易耗品在领用时采用一次摊销法摊销；</w:t>
      </w:r>
      <w:r>
        <w:rPr>
          <w:spacing w:val="-23"/>
        </w:rPr>
        <w:t> </w:t>
      </w:r>
      <w:r>
        <w:rPr/>
        <w:t>包装物在领用时采用一次摊销法摊销。</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54" w:right="188" w:firstLine="360"/>
        <w:jc w:val="both"/>
      </w:pPr>
      <w:r>
        <w:rPr>
          <w:spacing w:val="-2"/>
        </w:rPr>
        <w:t>本公司将通过出售（包括具有商业实质的非货币性资产交换，下同）而非持续使用一项非流动资产或处置组收回其账面</w:t>
      </w:r>
      <w:r>
        <w:rPr/>
        <w:t> 价值，并同时满足以下两个条件的，划分为持有待售类别：</w:t>
      </w:r>
      <w:r>
        <w:rPr>
          <w:rFonts w:ascii="Times New Roman" w:hAnsi="Times New Roman" w:cs="Times New Roman" w:eastAsia="Times New Roman" w:hint="default"/>
        </w:rPr>
        <w:t>(1)</w:t>
      </w:r>
      <w:r>
        <w:rPr/>
        <w:t>某项非流动资产或处置组根据类似交易中出售此类资产或处</w:t>
      </w:r>
      <w:r>
        <w:rPr>
          <w:spacing w:val="-33"/>
        </w:rPr>
        <w:t> </w:t>
      </w:r>
      <w:r>
        <w:rPr>
          <w:spacing w:val="-33"/>
        </w:rPr>
      </w:r>
      <w:r>
        <w:rPr/>
        <w:t>置组的惯例，在当前状况下即可立即出售；</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本公司已经就出售计划作出决议且获得确定的购买承诺，预计出售将在一年 内完成。（有关规定要求相关权力机构或者监管部门批准后方可出售的，已经获得批准。）</w:t>
      </w:r>
    </w:p>
    <w:p>
      <w:pPr>
        <w:spacing w:line="240" w:lineRule="auto" w:before="7"/>
        <w:rPr>
          <w:rFonts w:ascii="宋体" w:hAnsi="宋体" w:cs="宋体" w:eastAsia="宋体" w:hint="default"/>
          <w:sz w:val="18"/>
          <w:szCs w:val="18"/>
        </w:rPr>
      </w:pPr>
    </w:p>
    <w:p>
      <w:pPr>
        <w:pStyle w:val="BodyText"/>
        <w:spacing w:line="300" w:lineRule="auto"/>
        <w:ind w:left="154" w:right="188" w:firstLine="360"/>
        <w:jc w:val="both"/>
      </w:pPr>
      <w:r>
        <w:rPr>
          <w:spacing w:val="-2"/>
        </w:rPr>
        <w:t>本公司将专为转售而取得的非流动资产或处置组，在取得日满足</w:t>
      </w:r>
      <w:r>
        <w:rPr>
          <w:rFonts w:ascii="Times New Roman" w:hAnsi="Times New Roman" w:cs="Times New Roman" w:eastAsia="Times New Roman" w:hint="default"/>
          <w:spacing w:val="-2"/>
        </w:rPr>
        <w:t>“</w:t>
      </w:r>
      <w:r>
        <w:rPr>
          <w:spacing w:val="-2"/>
        </w:rPr>
        <w:t>预计出售将在一年内完成</w:t>
      </w:r>
      <w:r>
        <w:rPr>
          <w:rFonts w:ascii="Times New Roman" w:hAnsi="Times New Roman" w:cs="Times New Roman" w:eastAsia="Times New Roman" w:hint="default"/>
          <w:spacing w:val="-2"/>
        </w:rPr>
        <w:t>”</w:t>
      </w:r>
      <w:r>
        <w:rPr>
          <w:spacing w:val="-2"/>
        </w:rPr>
        <w:t>的规定条件，且短期（通常</w:t>
      </w:r>
      <w:r>
        <w:rPr/>
        <w:t> 为</w:t>
      </w:r>
      <w:r>
        <w:rPr>
          <w:rFonts w:ascii="Times New Roman" w:hAnsi="Times New Roman" w:cs="Times New Roman" w:eastAsia="Times New Roman" w:hint="default"/>
        </w:rPr>
        <w:t>3</w:t>
      </w:r>
      <w:r>
        <w:rPr/>
        <w:t>个月）内很可能满足持有待售类别的其他划分条件的，在取得日划分为持有待售类别。</w:t>
      </w:r>
    </w:p>
    <w:p>
      <w:pPr>
        <w:spacing w:line="240" w:lineRule="auto" w:before="7"/>
        <w:rPr>
          <w:rFonts w:ascii="宋体" w:hAnsi="宋体" w:cs="宋体" w:eastAsia="宋体" w:hint="default"/>
          <w:sz w:val="17"/>
          <w:szCs w:val="17"/>
        </w:rPr>
      </w:pPr>
    </w:p>
    <w:p>
      <w:pPr>
        <w:pStyle w:val="BodyText"/>
        <w:spacing w:line="314" w:lineRule="auto"/>
        <w:ind w:left="154" w:right="90"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同时计提持有待售资产减值准备。对于持有待售的处置组确认的资产减值损失金额，先抵减处置组中商誉的账面价值，再根</w:t>
      </w:r>
      <w:r>
        <w:rPr>
          <w:spacing w:val="-66"/>
        </w:rPr>
        <w:t> </w:t>
      </w:r>
      <w:r>
        <w:rPr>
          <w:spacing w:val="-66"/>
        </w:rPr>
      </w:r>
      <w:r>
        <w:rPr>
          <w:spacing w:val="-2"/>
        </w:rPr>
        <w:t>据处置组中适用《企业会计准则第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持有待售的非流动资产、处置组和终止经营》计量规定的各项非流动资产账面价</w:t>
      </w:r>
      <w:r>
        <w:rPr>
          <w:spacing w:val="-64"/>
        </w:rPr>
        <w:t> </w:t>
      </w:r>
      <w:r>
        <w:rPr>
          <w:spacing w:val="-64"/>
        </w:rPr>
      </w:r>
      <w:r>
        <w:rPr/>
        <w:t>值所占比重，按比例抵减其账面价值。</w:t>
      </w:r>
    </w:p>
    <w:p>
      <w:pPr>
        <w:spacing w:line="240" w:lineRule="auto" w:before="1"/>
        <w:rPr>
          <w:rFonts w:ascii="宋体" w:hAnsi="宋体" w:cs="宋体" w:eastAsia="宋体" w:hint="default"/>
          <w:sz w:val="18"/>
          <w:szCs w:val="18"/>
        </w:rPr>
      </w:pPr>
    </w:p>
    <w:p>
      <w:pPr>
        <w:pStyle w:val="BodyText"/>
        <w:spacing w:line="314" w:lineRule="auto"/>
        <w:ind w:left="154" w:right="189" w:firstLine="360"/>
        <w:jc w:val="both"/>
      </w:pPr>
      <w:r>
        <w:rPr>
          <w:spacing w:val="-2"/>
        </w:rPr>
        <w:t>后续资产负债表日持有待售的非流动资产公允价值减去出售费用后的净额增加的，以前减记的金额予以恢复，并在划分</w:t>
      </w:r>
      <w:r>
        <w:rPr/>
        <w:t> </w:t>
      </w:r>
      <w:r>
        <w:rPr>
          <w:spacing w:val="-2"/>
        </w:rPr>
        <w:t>为持有待售类别后确认的资产减值损失金额内转回，转回金额计入当期损益。划分为持有待售类别前确认的资产减值损失不</w:t>
      </w:r>
      <w:r>
        <w:rPr>
          <w:spacing w:val="-64"/>
        </w:rPr>
        <w:t> </w:t>
      </w:r>
      <w:r>
        <w:rPr>
          <w:spacing w:val="-64"/>
        </w:rPr>
      </w:r>
      <w:r>
        <w:rPr>
          <w:spacing w:val="-2"/>
        </w:rPr>
        <w:t>转回。持有待售的处置组以前减记的金额应当予以恢复，并在划分为持有待售类别后适用《企业会计准则第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w:t>
      </w:r>
      <w:r>
        <w:rPr>
          <w:spacing w:val="-64"/>
        </w:rPr>
        <w:t> </w:t>
      </w:r>
      <w:r>
        <w:rPr>
          <w:spacing w:val="-2"/>
        </w:rPr>
        <w:t>售的非流动资产、处置组和终止经营》计量规定的非流动资产确认的资产减值损失金额内转回，转回金额计入当期损益。已</w:t>
      </w:r>
      <w:r>
        <w:rPr>
          <w:spacing w:val="-66"/>
        </w:rPr>
        <w:t> </w:t>
      </w:r>
      <w:r>
        <w:rPr>
          <w:spacing w:val="-66"/>
        </w:rPr>
      </w:r>
      <w:r>
        <w:rPr/>
        <w:t>抵减的商誉账面价值，以及适用本准则计量规定的非流动资产在划分为持有待售类别前确认的资产减值损失不得转回。</w:t>
      </w:r>
    </w:p>
    <w:p>
      <w:pPr>
        <w:spacing w:line="240" w:lineRule="auto" w:before="1"/>
        <w:rPr>
          <w:rFonts w:ascii="宋体" w:hAnsi="宋体" w:cs="宋体" w:eastAsia="宋体" w:hint="default"/>
          <w:sz w:val="18"/>
          <w:szCs w:val="18"/>
        </w:rPr>
      </w:pPr>
    </w:p>
    <w:p>
      <w:pPr>
        <w:pStyle w:val="BodyText"/>
        <w:spacing w:line="316" w:lineRule="auto"/>
        <w:ind w:left="154" w:right="189" w:firstLine="360"/>
        <w:jc w:val="both"/>
      </w:pPr>
      <w:r>
        <w:rPr>
          <w:spacing w:val="-2"/>
        </w:rPr>
        <w:t>持有待售的非流动资产或处置组中的非流动资产不计提折旧或摊销，持有待售的处置组中负债的利息和其他费用继续予</w:t>
      </w:r>
      <w:r>
        <w:rPr/>
        <w:t> 以确认。</w:t>
      </w:r>
    </w:p>
    <w:p>
      <w:pPr>
        <w:spacing w:line="240" w:lineRule="auto" w:before="12"/>
        <w:rPr>
          <w:rFonts w:ascii="宋体" w:hAnsi="宋体" w:cs="宋体" w:eastAsia="宋体" w:hint="default"/>
          <w:sz w:val="17"/>
          <w:szCs w:val="17"/>
        </w:rPr>
      </w:pPr>
    </w:p>
    <w:p>
      <w:pPr>
        <w:pStyle w:val="BodyText"/>
        <w:spacing w:line="309" w:lineRule="auto"/>
        <w:ind w:left="154" w:right="188" w:firstLine="360"/>
        <w:jc w:val="both"/>
      </w:pPr>
      <w:r>
        <w:rPr>
          <w:spacing w:val="-2"/>
        </w:rPr>
        <w:t>非流动资产或处置组因不再满足持有待售类别的划分条件时，本公司不再将其继续划分为持有待售类别或非流动资产从</w:t>
      </w:r>
      <w:r>
        <w:rPr/>
        <w:t> 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w:t>
      </w:r>
      <w:r>
        <w:rPr>
          <w:spacing w:val="-83"/>
        </w:rPr>
        <w:t> </w:t>
      </w:r>
      <w:r>
        <w:rPr>
          <w:spacing w:val="-83"/>
        </w:rPr>
      </w:r>
      <w:r>
        <w:rPr/>
        <w:t>售类别情况下本应确认的折旧、摊销或减值等进行调整后的金额；（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12"/>
        <w:rPr>
          <w:rFonts w:ascii="宋体" w:hAnsi="宋体" w:cs="宋体" w:eastAsia="宋体" w:hint="default"/>
          <w:sz w:val="16"/>
          <w:szCs w:val="16"/>
        </w:rPr>
      </w:pPr>
    </w:p>
    <w:p>
      <w:pPr>
        <w:pStyle w:val="BodyText"/>
        <w:spacing w:line="240" w:lineRule="auto"/>
        <w:ind w:left="514" w:right="0"/>
        <w:jc w:val="left"/>
      </w:pPr>
      <w:r>
        <w:rPr/>
        <w:t>终止确认持有待售的非流动资产或处置组时，本公司将尚未确认的利得或损失计入当期损益。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0"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金融资产核算，其会计政策详见附注五、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pStyle w:val="BodyText"/>
        <w:spacing w:line="316" w:lineRule="auto" w:before="127"/>
        <w:ind w:right="190"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612" w:lineRule="exact" w:before="39"/>
        <w:ind w:left="513" w:right="0" w:hanging="9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215" w:lineRule="exact"/>
        <w:ind w:right="0"/>
        <w:jc w:val="left"/>
      </w:pPr>
      <w:r>
        <w:rPr/>
        <w:t>价值的份额作为长期股权投资的初始投资成本。长期股权投资初始投资成本与支付的现金、转让的非现金资产以及所承担债</w:t>
      </w:r>
    </w:p>
    <w:p>
      <w:pPr>
        <w:pStyle w:val="BodyText"/>
        <w:spacing w:line="314" w:lineRule="auto" w:before="76"/>
        <w:ind w:right="91"/>
        <w:jc w:val="left"/>
      </w:pP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w:t>
      </w:r>
      <w:r>
        <w:rPr>
          <w:spacing w:val="-76"/>
        </w:rPr>
        <w:t>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w:t>
      </w:r>
      <w:r>
        <w:rPr>
          <w:spacing w:val="-9"/>
        </w:rPr>
        <w:t> </w:t>
      </w:r>
      <w:r>
        <w:rPr>
          <w:spacing w:val="-9"/>
        </w:rPr>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spacing w:line="240" w:lineRule="auto" w:before="7"/>
        <w:rPr>
          <w:rFonts w:ascii="宋体" w:hAnsi="宋体" w:cs="宋体" w:eastAsia="宋体" w:hint="default"/>
          <w:sz w:val="24"/>
          <w:szCs w:val="24"/>
        </w:rPr>
      </w:pPr>
    </w:p>
    <w:p>
      <w:pPr>
        <w:pStyle w:val="BodyText"/>
        <w:spacing w:line="312" w:lineRule="auto"/>
        <w:ind w:left="154" w:right="189"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spacing w:line="240" w:lineRule="auto" w:before="8"/>
        <w:rPr>
          <w:rFonts w:ascii="宋体" w:hAnsi="宋体" w:cs="宋体" w:eastAsia="宋体" w:hint="default"/>
          <w:sz w:val="24"/>
          <w:szCs w:val="24"/>
        </w:rPr>
      </w:pPr>
    </w:p>
    <w:p>
      <w:pPr>
        <w:pStyle w:val="BodyText"/>
        <w:spacing w:line="316" w:lineRule="auto"/>
        <w:ind w:left="154" w:right="191" w:firstLine="360"/>
        <w:jc w:val="both"/>
      </w:pPr>
      <w:r>
        <w:rPr>
          <w:spacing w:val="-2"/>
        </w:rPr>
        <w:t>合并方或购买方为企业合并发生的审计、法律服务、评估咨询等中介费用以及其他相关管理费用，于发生时计入当期损</w:t>
      </w:r>
      <w:r>
        <w:rPr/>
        <w:t> 益。</w:t>
      </w:r>
    </w:p>
    <w:p>
      <w:pPr>
        <w:spacing w:line="240" w:lineRule="auto" w:before="5"/>
        <w:rPr>
          <w:rFonts w:ascii="宋体" w:hAnsi="宋体" w:cs="宋体" w:eastAsia="宋体" w:hint="default"/>
          <w:sz w:val="24"/>
          <w:szCs w:val="24"/>
        </w:rPr>
      </w:pPr>
    </w:p>
    <w:p>
      <w:pPr>
        <w:pStyle w:val="BodyText"/>
        <w:spacing w:line="314" w:lineRule="auto"/>
        <w:ind w:left="154" w:right="189"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612" w:lineRule="exact" w:before="41"/>
        <w:ind w:left="51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15" w:lineRule="exact"/>
        <w:ind w:left="154" w:right="0"/>
        <w:jc w:val="left"/>
      </w:pPr>
      <w:r>
        <w:rPr/>
        <w:t>表采用成本法核算能够对被投资单位实施控制的长期股权投资。</w:t>
      </w:r>
    </w:p>
    <w:p>
      <w:pPr>
        <w:spacing w:line="240" w:lineRule="auto" w:before="0"/>
        <w:rPr>
          <w:rFonts w:ascii="宋体" w:hAnsi="宋体" w:cs="宋体" w:eastAsia="宋体" w:hint="default"/>
          <w:sz w:val="18"/>
          <w:szCs w:val="18"/>
        </w:rPr>
      </w:pPr>
    </w:p>
    <w:p>
      <w:pPr>
        <w:pStyle w:val="BodyText"/>
        <w:spacing w:line="240" w:lineRule="auto" w:before="141"/>
        <w:ind w:left="514" w:right="0"/>
        <w:jc w:val="left"/>
      </w:pPr>
      <w:r>
        <w:rPr/>
        <w:t>①成本法核算的长期股权投资</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0" w:firstLine="360"/>
        <w:jc w:val="both"/>
      </w:pPr>
      <w:r>
        <w:rPr>
          <w:spacing w:val="-2"/>
        </w:rPr>
        <w:t>采用成本法核算时，长期股权投资按初始投资成本计价，追加或收回投资调整长期股权投资的成本。除取得投资时实际</w:t>
      </w:r>
      <w:r>
        <w:rPr/>
        <w:t> </w:t>
      </w: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612" w:lineRule="exact" w:before="39"/>
        <w:ind w:left="513"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215" w:lineRule="exact"/>
        <w:ind w:right="0"/>
        <w:jc w:val="left"/>
      </w:pPr>
      <w:r>
        <w:rPr/>
        <w:t>长期股权投资的初始投资成本；初始投资成本小于投资时应享有被投资单位可辨认净资产公允价值份额的，其差额计入当期</w:t>
      </w:r>
    </w:p>
    <w:p>
      <w:pPr>
        <w:pStyle w:val="BodyText"/>
        <w:spacing w:line="240" w:lineRule="auto" w:before="76"/>
        <w:ind w:right="0"/>
        <w:jc w:val="left"/>
      </w:pPr>
      <w:r>
        <w:rPr/>
        <w:t>损益，同时调整长期股权投资的成本。</w:t>
      </w:r>
    </w:p>
    <w:p>
      <w:pPr>
        <w:spacing w:line="240" w:lineRule="auto" w:before="0"/>
        <w:rPr>
          <w:rFonts w:ascii="宋体" w:hAnsi="宋体" w:cs="宋体" w:eastAsia="宋体" w:hint="default"/>
          <w:sz w:val="18"/>
          <w:szCs w:val="18"/>
        </w:rPr>
      </w:pPr>
    </w:p>
    <w:p>
      <w:pPr>
        <w:pStyle w:val="BodyText"/>
        <w:spacing w:line="316" w:lineRule="auto" w:before="141"/>
        <w:ind w:right="91"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spacing w:line="240" w:lineRule="auto" w:before="5"/>
        <w:rPr>
          <w:rFonts w:ascii="宋体" w:hAnsi="宋体" w:cs="宋体" w:eastAsia="宋体" w:hint="default"/>
          <w:sz w:val="24"/>
          <w:szCs w:val="24"/>
        </w:rPr>
      </w:pPr>
    </w:p>
    <w:p>
      <w:pPr>
        <w:pStyle w:val="BodyText"/>
        <w:spacing w:line="316" w:lineRule="auto"/>
        <w:ind w:right="19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612" w:lineRule="exact" w:before="39"/>
        <w:ind w:left="513" w:right="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15" w:lineRule="exact"/>
        <w:ind w:right="0"/>
        <w:jc w:val="left"/>
      </w:pPr>
      <w:r>
        <w:rPr/>
        <w:t>日）开始持续计算的净资产份额之间的差额，调整资本公积，资本公积不足冲减的，调整留存收益。</w:t>
      </w:r>
    </w:p>
    <w:p>
      <w:pPr>
        <w:pStyle w:val="BodyText"/>
        <w:spacing w:line="610" w:lineRule="atLeast" w:before="2"/>
        <w:ind w:left="513"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76"/>
        <w:ind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612" w:lineRule="exact" w:before="19"/>
        <w:ind w:left="514"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215" w:lineRule="exact"/>
        <w:ind w:left="154" w:right="0"/>
        <w:jc w:val="left"/>
      </w:pPr>
      <w:r>
        <w:rPr/>
        <w:t>部分按相应的比例采用与被投资单位直接处置相关资产或负债相同的基础进行会计处理。因被投资方除净损益、其他综合收</w:t>
      </w:r>
    </w:p>
    <w:p>
      <w:pPr>
        <w:pStyle w:val="BodyText"/>
        <w:spacing w:line="240" w:lineRule="auto" w:before="76"/>
        <w:ind w:left="154" w:right="0"/>
        <w:jc w:val="left"/>
      </w:pPr>
      <w:r>
        <w:rPr/>
        <w:t>益和利润分配以外的其他所有者权益变动而确认的所有者权益，按比例结转入当期损益。</w:t>
      </w:r>
    </w:p>
    <w:p>
      <w:pPr>
        <w:spacing w:after="0" w:line="240" w:lineRule="auto"/>
        <w:jc w:val="left"/>
        <w:sectPr>
          <w:footerReference w:type="default" r:id="rId18"/>
          <w:pgSz w:w="11910" w:h="16840"/>
          <w:pgMar w:footer="982" w:header="747"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spacing w:line="240" w:lineRule="auto" w:before="5"/>
        <w:rPr>
          <w:rFonts w:ascii="宋体" w:hAnsi="宋体" w:cs="宋体" w:eastAsia="宋体" w:hint="default"/>
          <w:sz w:val="24"/>
          <w:szCs w:val="24"/>
        </w:rPr>
      </w:pPr>
    </w:p>
    <w:p>
      <w:pPr>
        <w:pStyle w:val="BodyText"/>
        <w:spacing w:line="316" w:lineRule="auto"/>
        <w:ind w:right="190"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spacing w:line="240" w:lineRule="auto" w:before="5"/>
        <w:rPr>
          <w:rFonts w:ascii="宋体" w:hAnsi="宋体" w:cs="宋体" w:eastAsia="宋体" w:hint="default"/>
          <w:sz w:val="24"/>
          <w:szCs w:val="24"/>
        </w:rPr>
      </w:pPr>
    </w:p>
    <w:p>
      <w:pPr>
        <w:pStyle w:val="BodyText"/>
        <w:spacing w:line="316" w:lineRule="auto"/>
        <w:ind w:right="91"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spacing w:line="240" w:lineRule="auto" w:before="5"/>
        <w:rPr>
          <w:rFonts w:ascii="宋体" w:hAnsi="宋体" w:cs="宋体" w:eastAsia="宋体" w:hint="default"/>
          <w:sz w:val="24"/>
          <w:szCs w:val="24"/>
        </w:rPr>
      </w:pPr>
    </w:p>
    <w:p>
      <w:pPr>
        <w:pStyle w:val="BodyText"/>
        <w:spacing w:line="316" w:lineRule="auto"/>
        <w:ind w:right="190" w:firstLine="290"/>
        <w:jc w:val="both"/>
      </w:pPr>
      <w:r>
        <w:rPr>
          <w:spacing w:val="-1"/>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11"/>
        <w:jc w:val="left"/>
      </w:pPr>
      <w:r>
        <w:rPr/>
        <w:t>投资性房地产计量模式 成本法计量 折旧或摊销方法</w:t>
      </w:r>
    </w:p>
    <w:p>
      <w:pPr>
        <w:spacing w:line="240" w:lineRule="auto" w:before="10"/>
        <w:rPr>
          <w:rFonts w:ascii="宋体" w:hAnsi="宋体" w:cs="宋体" w:eastAsia="宋体" w:hint="default"/>
          <w:sz w:val="21"/>
          <w:szCs w:val="21"/>
        </w:rPr>
      </w:pPr>
    </w:p>
    <w:p>
      <w:pPr>
        <w:pStyle w:val="BodyText"/>
        <w:spacing w:line="316" w:lineRule="auto"/>
        <w:ind w:right="101" w:firstLine="360"/>
        <w:jc w:val="both"/>
      </w:pPr>
      <w:r>
        <w:rPr>
          <w:spacing w:val="-4"/>
        </w:rPr>
        <w:t>投资性房地产是指为赚取租金或资本增值，或两者兼有而持有的房地产。本公司投资性房地产包括已出租的土地使用权、</w:t>
      </w:r>
      <w:r>
        <w:rPr/>
        <w:t> 持有并准备增值后转让的土地使用权、已出租的建筑物。</w:t>
      </w:r>
    </w:p>
    <w:p>
      <w:pPr>
        <w:spacing w:line="240" w:lineRule="auto" w:before="5"/>
        <w:rPr>
          <w:rFonts w:ascii="宋体" w:hAnsi="宋体" w:cs="宋体" w:eastAsia="宋体" w:hint="default"/>
          <w:sz w:val="24"/>
          <w:szCs w:val="24"/>
        </w:rPr>
      </w:pPr>
    </w:p>
    <w:p>
      <w:pPr>
        <w:pStyle w:val="BodyText"/>
        <w:spacing w:line="316" w:lineRule="auto"/>
        <w:ind w:right="189" w:firstLine="290"/>
        <w:jc w:val="both"/>
      </w:pPr>
      <w:r>
        <w:rPr>
          <w:spacing w:val="-1"/>
        </w:rPr>
        <w:t>本公司投资性房地产按照取得时的成本进行初始计量，与投资性房地产有关的后续支出，如果与该资产有关的经济利益</w:t>
      </w:r>
      <w:r>
        <w:rPr/>
        <w:t> </w:t>
      </w:r>
      <w:r>
        <w:rPr>
          <w:spacing w:val="-2"/>
        </w:rPr>
        <w:t>很可能流入且其成本能可靠地计量，则计入投资性房地产成本，其他后续支出，在发生时计入当期损益。并按照固定资产或</w:t>
      </w:r>
      <w:r>
        <w:rPr>
          <w:spacing w:val="-66"/>
        </w:rPr>
        <w:t> </w:t>
      </w:r>
      <w:r>
        <w:rPr>
          <w:spacing w:val="-66"/>
        </w:rPr>
      </w:r>
      <w:r>
        <w:rPr/>
        <w:t>无形资产的有关规定，按期计提折旧或摊销。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89" w:firstLine="360"/>
        <w:jc w:val="both"/>
      </w:pPr>
      <w:r>
        <w:rPr>
          <w:spacing w:val="-2"/>
        </w:rPr>
        <w:t>本公司固定资产是指为生产商品、提供劳务、出租或经营管理而持有的，使用寿命超过一个会计年度的有形资产。与该</w:t>
      </w:r>
      <w:r>
        <w:rPr/>
        <w:t> 固定资产有关的经济利益很可能流入企业，并且该固定资产的成本能够可靠地计量时，固定资产才能予以确认。</w:t>
      </w:r>
    </w:p>
    <w:p>
      <w:pPr>
        <w:spacing w:after="0" w:line="319" w:lineRule="auto"/>
        <w:jc w:val="both"/>
        <w:sectPr>
          <w:footerReference w:type="default" r:id="rId19"/>
          <w:pgSz w:w="11910" w:h="16840"/>
          <w:pgMar w:footer="982" w:header="747" w:top="1060" w:bottom="1180" w:left="980" w:right="940"/>
          <w:pgNumType w:start="101"/>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本公司固定资产按照取得时的实际成本进行初始计量。</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02"/>
        <w:gridCol w:w="1926"/>
        <w:gridCol w:w="1914"/>
        <w:gridCol w:w="1914"/>
        <w:gridCol w:w="1914"/>
      </w:tblGrid>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6.47-2.43</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11.88-3.39</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11.88-7.92</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0" w:firstLine="360"/>
        <w:jc w:val="left"/>
      </w:pPr>
      <w:r>
        <w:rPr/>
        <w:t>融资租入的固定资产，能够合理确定租赁期届满时将会取得租赁资产所有权的，在租赁资产尚可使用年限内计提折旧；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BodyText"/>
        <w:spacing w:line="319" w:lineRule="auto" w:before="56"/>
        <w:ind w:left="154" w:right="0" w:firstLine="360"/>
        <w:jc w:val="left"/>
      </w:pPr>
      <w:r>
        <w:rPr>
          <w:spacing w:val="-2"/>
        </w:rPr>
        <w:t>每年年度终了，本公司对固定资产的使用寿命、预计净残值和折旧方法进行复核。使用寿命预计数与原先估计数有差异</w:t>
      </w:r>
      <w:r>
        <w:rPr/>
        <w:t> 的，调整固定资产使用寿命；预计净残值预计数与原先估计数有差异的，调整预计净残值。</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751"/>
        <w:jc w:val="left"/>
      </w:pPr>
      <w:r>
        <w:rPr/>
        <w:t>公司是否需要遵守特殊行业的披露要求 否</w:t>
      </w:r>
    </w:p>
    <w:p>
      <w:pPr>
        <w:pStyle w:val="BodyText"/>
        <w:spacing w:line="316" w:lineRule="auto" w:before="28"/>
        <w:ind w:right="190" w:firstLine="362"/>
        <w:jc w:val="both"/>
      </w:pPr>
      <w:r>
        <w:rPr>
          <w:spacing w:val="-2"/>
        </w:rPr>
        <w:t>本公司在建工程成本按实际工程支出确定﹐包括在建期间发生的各项必要工程支出、工程达到预定可使用状态前的应予</w:t>
      </w:r>
      <w:r>
        <w:rPr/>
        <w:t> 资本化的借款费用以及其他相关费用等。</w:t>
      </w:r>
    </w:p>
    <w:p>
      <w:pPr>
        <w:spacing w:line="240" w:lineRule="auto" w:before="12"/>
        <w:rPr>
          <w:rFonts w:ascii="宋体" w:hAnsi="宋体" w:cs="宋体" w:eastAsia="宋体" w:hint="default"/>
          <w:sz w:val="17"/>
          <w:szCs w:val="17"/>
        </w:rPr>
      </w:pPr>
    </w:p>
    <w:p>
      <w:pPr>
        <w:pStyle w:val="BodyText"/>
        <w:spacing w:line="240" w:lineRule="auto"/>
        <w:ind w:left="516" w:right="0"/>
        <w:jc w:val="left"/>
      </w:pPr>
      <w:r>
        <w:rPr/>
        <w:t>在建工程在达到预定可使用状态时转入固定资产。</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0" w:firstLine="290"/>
        <w:jc w:val="both"/>
      </w:pPr>
      <w:r>
        <w:rPr>
          <w:spacing w:val="-1"/>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spacing w:line="240" w:lineRule="auto" w:before="5"/>
        <w:rPr>
          <w:rFonts w:ascii="宋体" w:hAnsi="宋体" w:cs="宋体" w:eastAsia="宋体" w:hint="default"/>
          <w:sz w:val="24"/>
          <w:szCs w:val="24"/>
        </w:rPr>
      </w:pPr>
    </w:p>
    <w:p>
      <w:pPr>
        <w:pStyle w:val="BodyText"/>
        <w:spacing w:line="316" w:lineRule="auto"/>
        <w:ind w:right="191" w:firstLine="290"/>
        <w:jc w:val="both"/>
      </w:pPr>
      <w:r>
        <w:rPr>
          <w:spacing w:val="-1"/>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612" w:lineRule="exact" w:before="39"/>
        <w:ind w:left="444" w:right="0"/>
        <w:jc w:val="left"/>
      </w:pPr>
      <w:r>
        <w:rPr/>
        <w:t>资本化期间内，外币专门借款的汇兑差额全部予以资本化；外币一般借款的汇兑差额计入当期损益。 </w:t>
      </w:r>
      <w:r>
        <w:rPr>
          <w:spacing w:val="-1"/>
        </w:rPr>
        <w:t>符合资本化条件的资产指需要经过相当长时间的购建或者生产活动才能达到预定可使用或可销售状态的固定资产、投资</w:t>
      </w:r>
    </w:p>
    <w:p>
      <w:pPr>
        <w:pStyle w:val="BodyText"/>
        <w:spacing w:line="215" w:lineRule="exact"/>
        <w:ind w:right="0"/>
        <w:jc w:val="left"/>
      </w:pPr>
      <w:r>
        <w:rPr/>
        <w:t>性房地产和存货等资产。</w:t>
      </w:r>
    </w:p>
    <w:p>
      <w:pPr>
        <w:spacing w:after="0" w:line="215" w:lineRule="exact"/>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88" w:firstLine="290"/>
        <w:jc w:val="both"/>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r>
        <w:rPr>
          <w:spacing w:val="1"/>
        </w:rPr>
        <w:t> </w:t>
      </w:r>
      <w:r>
        <w:rPr/>
        <w:t>本化，直至资产的购建或生产活动重新开始。</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1" w:firstLine="360"/>
        <w:jc w:val="both"/>
      </w:pPr>
      <w:r>
        <w:rPr>
          <w:spacing w:val="-2"/>
        </w:rPr>
        <w:t>本公司无形资产按照成本进行初始计量，并于取得无形资产时分析判断其使用寿命。使用寿命为有限的，自无形资产可</w:t>
      </w:r>
      <w:r>
        <w:rPr/>
        <w:t> </w:t>
      </w:r>
      <w:r>
        <w:rPr>
          <w:spacing w:val="-2"/>
        </w:rPr>
        <w:t>供使用时起，采用能反映与该资产有关的经济利益的预期实现方式的摊销方法，在预计使用年限内摊销；无法可靠确定预期</w:t>
      </w:r>
      <w:r>
        <w:rPr>
          <w:spacing w:val="-66"/>
        </w:rPr>
        <w:t> </w:t>
      </w:r>
      <w:r>
        <w:rPr>
          <w:spacing w:val="-66"/>
        </w:rPr>
      </w:r>
      <w:r>
        <w:rPr/>
        <w:t>实现方式的，采用直线法摊销；使用寿命不确定的无形资产，不作摊销。</w:t>
      </w:r>
    </w:p>
    <w:p>
      <w:pPr>
        <w:pStyle w:val="BodyText"/>
        <w:spacing w:line="612" w:lineRule="exact" w:before="39"/>
        <w:ind w:left="513" w:right="0"/>
        <w:jc w:val="left"/>
      </w:pPr>
      <w:r>
        <w:rPr/>
        <w:t>使用寿命不确定的判断依据： 本公司将无法预见该资产为公司带来经济利益的期限，或使用期限不确定等无形资产确定为使用寿命不确定的无形资</w:t>
      </w:r>
    </w:p>
    <w:p>
      <w:pPr>
        <w:pStyle w:val="BodyText"/>
        <w:spacing w:line="215" w:lineRule="exact"/>
        <w:ind w:right="0"/>
        <w:jc w:val="both"/>
      </w:pPr>
      <w:r>
        <w:rPr/>
        <w:t>产。使用寿命不确定的判断依据为：来源于合同性权利或其他法定权利，但合同规定或法律规定无明确使用年限；综合同行</w:t>
      </w:r>
    </w:p>
    <w:p>
      <w:pPr>
        <w:pStyle w:val="BodyText"/>
        <w:spacing w:line="240" w:lineRule="auto" w:before="76"/>
        <w:ind w:right="0"/>
        <w:jc w:val="both"/>
      </w:pPr>
      <w:r>
        <w:rPr/>
        <w:t>业情况或相关专家论证等，仍无法判断无形资产为公司带来经济利益的期限。</w:t>
      </w:r>
    </w:p>
    <w:p>
      <w:pPr>
        <w:spacing w:line="240" w:lineRule="auto" w:before="0"/>
        <w:rPr>
          <w:rFonts w:ascii="宋体" w:hAnsi="宋体" w:cs="宋体" w:eastAsia="宋体" w:hint="default"/>
          <w:sz w:val="18"/>
          <w:szCs w:val="18"/>
        </w:rPr>
      </w:pPr>
    </w:p>
    <w:p>
      <w:pPr>
        <w:pStyle w:val="BodyText"/>
        <w:spacing w:line="316" w:lineRule="auto" w:before="141"/>
        <w:ind w:right="191" w:firstLine="360"/>
        <w:jc w:val="both"/>
      </w:pPr>
      <w:r>
        <w:rPr>
          <w:spacing w:val="-2"/>
        </w:rPr>
        <w:t>每年年末，对使用寿命不确定无形资产使用寿命进行复核，主要采取自下而上的方式，由无形资产使用相关部门进行基</w:t>
      </w:r>
      <w:r>
        <w:rPr/>
        <w:t> 础复核，评价使用寿命不确定判断依据是否存在变化等。</w:t>
      </w:r>
    </w:p>
    <w:p>
      <w:pPr>
        <w:pStyle w:val="BodyText"/>
        <w:spacing w:line="612" w:lineRule="exact" w:before="39"/>
        <w:ind w:left="513" w:right="91"/>
        <w:jc w:val="left"/>
      </w:pPr>
      <w:r>
        <w:rPr/>
        <w:t>使用寿命有限的无形资产使用寿命估计： 本公司对使用寿命有限的无形资产，估计其使用寿命时通常考虑以下因素：①运用该资产生产的产品通常的寿命周期、</w:t>
      </w:r>
    </w:p>
    <w:p>
      <w:pPr>
        <w:pStyle w:val="BodyText"/>
        <w:spacing w:line="215" w:lineRule="exact"/>
        <w:ind w:right="0"/>
        <w:jc w:val="both"/>
      </w:pPr>
      <w:r>
        <w:rPr/>
        <w:t>可获得的类似资产使用寿命的信息；②技术、工艺等方面的现阶段情况及对未来发展趋势的估计；③以该资产生产的产品或</w:t>
      </w:r>
    </w:p>
    <w:p>
      <w:pPr>
        <w:pStyle w:val="BodyText"/>
        <w:spacing w:line="316" w:lineRule="auto" w:before="76"/>
        <w:ind w:right="189"/>
        <w:jc w:val="both"/>
      </w:pPr>
      <w:r>
        <w:rPr>
          <w:spacing w:val="-2"/>
        </w:rPr>
        <w:t>提供劳务的市场需求情况；④现在或潜在的竞争者预期采取的行动；⑤为维持该资产带来经济利益能力的预期维护支出，以</w:t>
      </w:r>
      <w:r>
        <w:rPr>
          <w:spacing w:val="-66"/>
        </w:rPr>
        <w:t> </w:t>
      </w:r>
      <w:r>
        <w:rPr>
          <w:spacing w:val="-66"/>
        </w:rPr>
      </w:r>
      <w:r>
        <w:rPr>
          <w:spacing w:val="-2"/>
        </w:rPr>
        <w:t>及公司预计支付有关支出的能力；⑥对该资产控制期限的相关法律规定或类似限制，如特许使用期、租赁期等；⑦与公司持</w:t>
      </w:r>
      <w:r>
        <w:rPr>
          <w:spacing w:val="-66"/>
        </w:rPr>
        <w:t> </w:t>
      </w:r>
      <w:r>
        <w:rPr>
          <w:spacing w:val="-66"/>
        </w:rPr>
      </w:r>
      <w:r>
        <w:rPr/>
        <w:t>有其他资产使用寿命的关联性等。</w:t>
      </w:r>
    </w:p>
    <w:p>
      <w:pPr>
        <w:spacing w:line="240" w:lineRule="auto" w:before="7"/>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1586"/>
        <w:gridCol w:w="2475"/>
        <w:gridCol w:w="5633"/>
      </w:tblGrid>
      <w:tr>
        <w:trPr>
          <w:trHeight w:val="294" w:hRule="exact"/>
        </w:trPr>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7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676"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6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18" w:right="0"/>
              <w:jc w:val="left"/>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294" w:hRule="exact"/>
        </w:trPr>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47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56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18"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294" w:hRule="exact"/>
        </w:trPr>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47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10-20</w:t>
            </w:r>
            <w:r>
              <w:rPr>
                <w:rFonts w:ascii="宋体" w:hAnsi="宋体" w:cs="宋体" w:eastAsia="宋体" w:hint="default"/>
                <w:sz w:val="18"/>
                <w:szCs w:val="18"/>
              </w:rPr>
              <w:t>年</w:t>
            </w:r>
          </w:p>
        </w:tc>
        <w:tc>
          <w:tcPr>
            <w:tcW w:w="56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18"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294" w:hRule="exact"/>
        </w:trPr>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47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56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18"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294" w:hRule="exact"/>
        </w:trPr>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47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56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18"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295" w:hRule="exact"/>
        </w:trPr>
        <w:tc>
          <w:tcPr>
            <w:tcW w:w="15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75" w:type="dxa"/>
            <w:tcBorders>
              <w:top w:val="single" w:sz="6" w:space="0" w:color="000000"/>
              <w:left w:val="nil" w:sz="6" w:space="0" w:color="auto"/>
              <w:bottom w:val="single" w:sz="6" w:space="0" w:color="000000"/>
              <w:right w:val="nil" w:sz="6" w:space="0" w:color="auto"/>
            </w:tcBorders>
          </w:tcPr>
          <w:p>
            <w:pPr>
              <w:pStyle w:val="TableParagraph"/>
              <w:spacing w:line="240" w:lineRule="auto" w:before="21"/>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宋体" w:hAnsi="宋体" w:cs="宋体" w:eastAsia="宋体" w:hint="default"/>
                <w:sz w:val="18"/>
                <w:szCs w:val="18"/>
              </w:rPr>
              <w:t>年</w:t>
            </w:r>
          </w:p>
        </w:tc>
        <w:tc>
          <w:tcPr>
            <w:tcW w:w="563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1"/>
              <w:ind w:left="718" w:right="0"/>
              <w:jc w:val="left"/>
              <w:rPr>
                <w:rFonts w:ascii="宋体" w:hAnsi="宋体" w:cs="宋体" w:eastAsia="宋体" w:hint="default"/>
                <w:sz w:val="18"/>
                <w:szCs w:val="18"/>
              </w:rPr>
            </w:pPr>
            <w:r>
              <w:rPr>
                <w:rFonts w:ascii="宋体" w:hAnsi="宋体" w:cs="宋体" w:eastAsia="宋体" w:hint="default"/>
                <w:sz w:val="18"/>
                <w:szCs w:val="18"/>
              </w:rPr>
              <w:t>受益年限</w:t>
            </w:r>
          </w:p>
        </w:tc>
      </w:tr>
    </w:tbl>
    <w:p>
      <w:pPr>
        <w:spacing w:line="240" w:lineRule="auto" w:before="4"/>
        <w:rPr>
          <w:rFonts w:ascii="宋体" w:hAnsi="宋体" w:cs="宋体" w:eastAsia="宋体" w:hint="default"/>
          <w:sz w:val="20"/>
          <w:szCs w:val="20"/>
        </w:rPr>
      </w:pPr>
    </w:p>
    <w:p>
      <w:pPr>
        <w:pStyle w:val="BodyText"/>
        <w:spacing w:line="316" w:lineRule="auto" w:before="44"/>
        <w:ind w:left="154" w:right="0" w:firstLine="360"/>
        <w:jc w:val="left"/>
      </w:pPr>
      <w:r>
        <w:rPr>
          <w:spacing w:val="-2"/>
        </w:rPr>
        <w:t>本公司于每年年度终了，对使用寿命有限的无形资产的使用寿命及摊销方法进行复核，与以前估计不同的，调整原先估</w:t>
      </w:r>
      <w:r>
        <w:rPr/>
        <w:t> 计数，并按会计估计变更处理。</w:t>
      </w:r>
    </w:p>
    <w:p>
      <w:pPr>
        <w:spacing w:line="240" w:lineRule="auto" w:before="5"/>
        <w:rPr>
          <w:rFonts w:ascii="宋体" w:hAnsi="宋体" w:cs="宋体" w:eastAsia="宋体" w:hint="default"/>
          <w:sz w:val="24"/>
          <w:szCs w:val="24"/>
        </w:rPr>
      </w:pPr>
    </w:p>
    <w:p>
      <w:pPr>
        <w:pStyle w:val="BodyText"/>
        <w:spacing w:line="240" w:lineRule="auto"/>
        <w:ind w:left="513" w:right="0"/>
        <w:jc w:val="left"/>
      </w:pPr>
      <w:r>
        <w:rPr/>
        <w:t>本公司期末预计某项无形资产已经不能给企业带来未来经济利益的，将该项无形资产的账面价值全部转入当期损益。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624" w:lineRule="auto"/>
        <w:ind w:left="732" w:right="1441" w:firstLine="51"/>
        <w:jc w:val="left"/>
      </w:pPr>
      <w:r>
        <w:rPr/>
        <w:t>内部研究开发项目的研究阶段和开发阶段具体标准，以及开发阶段支出符合资本化条件的具体标准 内部研究开发项目研究阶段的支出，于发生时计入当期损益。</w:t>
      </w:r>
    </w:p>
    <w:p>
      <w:pPr>
        <w:spacing w:after="0" w:line="624"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87" w:firstLine="578"/>
        <w:jc w:val="both"/>
      </w:pPr>
      <w:r>
        <w:rPr/>
        <w:t>开发阶段的支出，同时满足下列条件的，确认为无形资产：</w:t>
      </w:r>
      <w:r>
        <w:rPr>
          <w:rFonts w:ascii="Times New Roman" w:hAnsi="Times New Roman" w:cs="Times New Roman" w:eastAsia="Times New Roman" w:hint="default"/>
        </w:rPr>
        <w:t>(1)</w:t>
      </w:r>
      <w:r>
        <w:rPr/>
        <w:t>完成该无形资产以使其能够使用或出售在技术上具有</w:t>
      </w:r>
      <w:r>
        <w:rPr>
          <w:spacing w:val="1"/>
        </w:rPr>
        <w:t> </w:t>
      </w:r>
      <w:r>
        <w:rPr/>
        <w:t>可行性；</w:t>
      </w:r>
      <w:r>
        <w:rPr>
          <w:rFonts w:ascii="Times New Roman" w:hAnsi="Times New Roman" w:cs="Times New Roman" w:eastAsia="Times New Roman" w:hint="default"/>
        </w:rPr>
        <w:t>(2)</w:t>
      </w:r>
      <w:r>
        <w:rPr/>
        <w:t>具有完成该无形资产并使用或出售的意图；</w:t>
      </w:r>
      <w:r>
        <w:rPr>
          <w:rFonts w:ascii="Times New Roman" w:hAnsi="Times New Roman" w:cs="Times New Roman" w:eastAsia="Times New Roman" w:hint="default"/>
        </w:rPr>
        <w:t>(3)</w:t>
      </w:r>
      <w:r>
        <w:rPr/>
        <w:t>无形资产产生经济利益的方式，包括能够证明运用该无形资产生</w:t>
      </w:r>
      <w:r>
        <w:rPr>
          <w:spacing w:val="-58"/>
        </w:rPr>
        <w:t> </w:t>
      </w:r>
      <w:r>
        <w:rPr>
          <w:spacing w:val="-58"/>
        </w:rPr>
      </w:r>
      <w:r>
        <w:rPr/>
        <w:t>产的产品存在市场或无形资产自身存在市场，无形资产将在内部使用的，能证明其有用性；</w:t>
      </w:r>
      <w:r>
        <w:rPr>
          <w:rFonts w:ascii="Times New Roman" w:hAnsi="Times New Roman" w:cs="Times New Roman" w:eastAsia="Times New Roman" w:hint="default"/>
        </w:rPr>
        <w:t>(4)</w:t>
      </w:r>
      <w:r>
        <w:rPr/>
        <w:t>有足够的技术、财务资源和</w:t>
      </w:r>
      <w:r>
        <w:rPr>
          <w:spacing w:val="-33"/>
        </w:rPr>
        <w:t> </w:t>
      </w:r>
      <w:r>
        <w:rPr>
          <w:spacing w:val="-33"/>
        </w:rPr>
      </w:r>
      <w:r>
        <w:rPr/>
        <w:t>其他资源支持，以完成该无形资产的开发，并有能力使用或出售该无形资产；</w:t>
      </w:r>
      <w:r>
        <w:rPr>
          <w:rFonts w:ascii="Times New Roman" w:hAnsi="Times New Roman" w:cs="Times New Roman" w:eastAsia="Times New Roman" w:hint="default"/>
        </w:rPr>
        <w:t>(5)</w:t>
      </w:r>
      <w:r>
        <w:rPr/>
        <w:t>归属于该无形资产开发阶段的支出能够可</w:t>
      </w:r>
      <w:r>
        <w:rPr>
          <w:spacing w:val="-33"/>
        </w:rPr>
        <w:t> </w:t>
      </w:r>
      <w:r>
        <w:rPr>
          <w:spacing w:val="-33"/>
        </w:rPr>
      </w:r>
      <w:r>
        <w:rPr/>
        <w:t>靠地计量。</w:t>
      </w:r>
    </w:p>
    <w:p>
      <w:pPr>
        <w:spacing w:line="240" w:lineRule="auto" w:before="4"/>
        <w:rPr>
          <w:rFonts w:ascii="宋体" w:hAnsi="宋体" w:cs="宋体" w:eastAsia="宋体" w:hint="default"/>
          <w:sz w:val="25"/>
          <w:szCs w:val="25"/>
        </w:rPr>
      </w:pPr>
    </w:p>
    <w:p>
      <w:pPr>
        <w:pStyle w:val="BodyText"/>
        <w:spacing w:line="316" w:lineRule="auto"/>
        <w:ind w:right="191" w:firstLine="434"/>
        <w:jc w:val="both"/>
      </w:pPr>
      <w:r>
        <w:rPr/>
        <w:t>划分内部研究开发项目的研究阶段和开发阶段的具体标准：为获取新的技术和知识等进行的有计划的调查阶段，应确 </w:t>
      </w:r>
      <w:r>
        <w:rPr>
          <w:spacing w:val="-2"/>
        </w:rPr>
        <w:t>定为研究阶段，该阶段具有计划性和探索性等特点；在进行商业性生产或使用前，将研究成果或其他知识应用于某项计划或</w:t>
      </w:r>
      <w:r>
        <w:rPr>
          <w:spacing w:val="-66"/>
        </w:rPr>
        <w:t> </w:t>
      </w:r>
      <w:r>
        <w:rPr>
          <w:spacing w:val="-66"/>
        </w:rPr>
      </w:r>
      <w:r>
        <w:rPr>
          <w:spacing w:val="-2"/>
        </w:rPr>
        <w:t>设计，以生产出新的或具有实质性改进的材料、装置、产品等阶段，应确定为开发阶段，该阶段具有针对性和形成成果的可</w:t>
      </w:r>
      <w:r>
        <w:rPr>
          <w:spacing w:val="-66"/>
        </w:rPr>
        <w:t> </w:t>
      </w:r>
      <w:r>
        <w:rPr>
          <w:spacing w:val="-66"/>
        </w:rPr>
      </w:r>
      <w:r>
        <w:rPr/>
        <w:t>能性较大等特点。</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1" w:firstLine="290"/>
        <w:jc w:val="both"/>
      </w:pPr>
      <w:r>
        <w:rPr>
          <w:spacing w:val="-1"/>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spacing w:line="240" w:lineRule="auto" w:before="12"/>
        <w:rPr>
          <w:rFonts w:ascii="宋体" w:hAnsi="宋体" w:cs="宋体" w:eastAsia="宋体" w:hint="default"/>
          <w:sz w:val="17"/>
          <w:szCs w:val="17"/>
        </w:rPr>
      </w:pPr>
    </w:p>
    <w:p>
      <w:pPr>
        <w:pStyle w:val="BodyText"/>
        <w:spacing w:line="316" w:lineRule="auto"/>
        <w:ind w:right="0" w:firstLine="362"/>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spacing w:line="240" w:lineRule="auto" w:before="12"/>
        <w:rPr>
          <w:rFonts w:ascii="宋体" w:hAnsi="宋体" w:cs="宋体" w:eastAsia="宋体" w:hint="default"/>
          <w:sz w:val="17"/>
          <w:szCs w:val="17"/>
        </w:rPr>
      </w:pPr>
    </w:p>
    <w:p>
      <w:pPr>
        <w:pStyle w:val="BodyText"/>
        <w:spacing w:line="316" w:lineRule="auto"/>
        <w:ind w:right="190"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spacing w:line="240" w:lineRule="auto" w:before="12"/>
        <w:rPr>
          <w:rFonts w:ascii="宋体" w:hAnsi="宋体" w:cs="宋体" w:eastAsia="宋体" w:hint="default"/>
          <w:sz w:val="17"/>
          <w:szCs w:val="17"/>
        </w:rPr>
      </w:pPr>
    </w:p>
    <w:p>
      <w:pPr>
        <w:pStyle w:val="BodyText"/>
        <w:spacing w:line="240" w:lineRule="auto"/>
        <w:ind w:left="516"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0" w:firstLine="360"/>
        <w:jc w:val="both"/>
      </w:pPr>
      <w:r>
        <w:rPr>
          <w:spacing w:val="-2"/>
        </w:rPr>
        <w:t>本公司发生的长期待摊费用按实际成本计价，并按预计受益期限平均摊销。对不能使以后会计期间受益的长期待摊费用</w:t>
      </w:r>
      <w:r>
        <w:rPr/>
        <w:t> 项目，其摊余价值全部计入当期损益。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290"/>
        <w:jc w:val="left"/>
      </w:pPr>
      <w:r>
        <w:rPr/>
        <w:t>短期薪酬主要包括工资、奖金、津贴和补贴、职工福利费、医疗保险费、生育保险费、工伤保险费、住房公积金、工会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290"/>
        <w:jc w:val="left"/>
      </w:pPr>
      <w:r>
        <w:rPr>
          <w:spacing w:val="-1"/>
        </w:rPr>
        <w:t>离职后福利主要包括设定提存计划。其中设定提存计划主要包括基本养老保险、失业保险以及年金等，相应的应缴存金</w:t>
      </w:r>
      <w:r>
        <w:rPr/>
        <w:t> 额于发生时计入相关资产成本或当期损益。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2"/>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12"/>
        <w:rPr>
          <w:rFonts w:ascii="宋体" w:hAnsi="宋体" w:cs="宋体" w:eastAsia="宋体" w:hint="default"/>
          <w:sz w:val="17"/>
          <w:szCs w:val="17"/>
        </w:rPr>
      </w:pPr>
    </w:p>
    <w:p>
      <w:pPr>
        <w:pStyle w:val="BodyText"/>
        <w:spacing w:line="316" w:lineRule="auto"/>
        <w:ind w:left="154" w:right="0" w:firstLine="290"/>
        <w:jc w:val="left"/>
      </w:pPr>
      <w:r>
        <w:rPr>
          <w:spacing w:val="-1"/>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290"/>
        <w:jc w:val="left"/>
      </w:pPr>
      <w:r>
        <w:rPr>
          <w:spacing w:val="-1"/>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如果与或有事项相关的义务同时符合以下条件，本公司将其确认为预计负债：</w:t>
      </w:r>
    </w:p>
    <w:p>
      <w:pPr>
        <w:spacing w:line="240" w:lineRule="auto" w:before="5"/>
        <w:rPr>
          <w:rFonts w:ascii="宋体" w:hAnsi="宋体" w:cs="宋体" w:eastAsia="宋体" w:hint="default"/>
          <w:sz w:val="22"/>
          <w:szCs w:val="22"/>
        </w:rPr>
      </w:pPr>
    </w:p>
    <w:p>
      <w:pPr>
        <w:pStyle w:val="BodyText"/>
        <w:spacing w:line="240" w:lineRule="auto"/>
        <w:ind w:left="444" w:right="0"/>
        <w:jc w:val="left"/>
      </w:pPr>
      <w:r>
        <w:rPr/>
        <w:t>（</w:t>
      </w:r>
      <w:r>
        <w:rPr>
          <w:rFonts w:ascii="Times New Roman" w:hAnsi="Times New Roman" w:cs="Times New Roman" w:eastAsia="Times New Roman" w:hint="default"/>
        </w:rPr>
        <w:t>1</w:t>
      </w:r>
      <w:r>
        <w:rPr/>
        <w:t>）该义务是本公司承担的现时义务；</w:t>
      </w:r>
    </w:p>
    <w:p>
      <w:pPr>
        <w:spacing w:line="240" w:lineRule="auto" w:before="4"/>
        <w:rPr>
          <w:rFonts w:ascii="宋体" w:hAnsi="宋体" w:cs="宋体" w:eastAsia="宋体" w:hint="default"/>
          <w:sz w:val="21"/>
          <w:szCs w:val="21"/>
        </w:rPr>
      </w:pPr>
    </w:p>
    <w:p>
      <w:pPr>
        <w:pStyle w:val="BodyText"/>
        <w:spacing w:line="240" w:lineRule="auto"/>
        <w:ind w:left="444" w:right="0"/>
        <w:jc w:val="left"/>
      </w:pPr>
      <w:r>
        <w:rPr/>
        <w:t>（</w:t>
      </w:r>
      <w:r>
        <w:rPr>
          <w:rFonts w:ascii="Times New Roman" w:hAnsi="Times New Roman" w:cs="Times New Roman" w:eastAsia="Times New Roman" w:hint="default"/>
        </w:rPr>
        <w:t>2</w:t>
      </w:r>
      <w:r>
        <w:rPr/>
        <w:t>）该义务的履行很可能导致经济利益流出本公司；</w:t>
      </w:r>
    </w:p>
    <w:p>
      <w:pPr>
        <w:pStyle w:val="BodyText"/>
        <w:spacing w:line="510" w:lineRule="atLeast" w:before="18"/>
        <w:ind w:left="516" w:right="0" w:hanging="72"/>
        <w:jc w:val="left"/>
      </w:pPr>
      <w:r>
        <w:rPr/>
        <w:t>（</w:t>
      </w:r>
      <w:r>
        <w:rPr>
          <w:rFonts w:ascii="Times New Roman" w:hAnsi="Times New Roman" w:cs="Times New Roman" w:eastAsia="Times New Roman" w:hint="default"/>
        </w:rPr>
        <w:t>3</w:t>
      </w:r>
      <w:r>
        <w:rPr/>
        <w:t>）该义务的金额能够可靠地计量。 </w:t>
      </w:r>
      <w:r>
        <w:rPr>
          <w:spacing w:val="-2"/>
        </w:rPr>
        <w:t>如果清偿已确认预计负债所需支出全部或部分预期由第三方或其他方补偿，则补偿金额只能在基本确定能收到时，作为</w:t>
      </w:r>
    </w:p>
    <w:p>
      <w:pPr>
        <w:pStyle w:val="BodyText"/>
        <w:spacing w:line="240" w:lineRule="auto" w:before="76"/>
        <w:ind w:right="0"/>
        <w:jc w:val="left"/>
      </w:pPr>
      <w:r>
        <w:rPr/>
        <w:t>资产单独确认。确认的补偿金额不超过所确认负债的账面价值。</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508" w:lineRule="auto"/>
        <w:ind w:left="444" w:right="3940" w:hanging="146"/>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240" w:lineRule="auto" w:before="91"/>
        <w:ind w:left="333" w:right="0"/>
        <w:jc w:val="left"/>
      </w:pPr>
      <w:r>
        <w:rPr/>
        <w:t>（</w:t>
      </w:r>
      <w:r>
        <w:rPr>
          <w:rFonts w:ascii="Times New Roman" w:hAnsi="Times New Roman" w:cs="Times New Roman" w:eastAsia="Times New Roman" w:hint="default"/>
        </w:rPr>
        <w:t>2</w:t>
      </w:r>
      <w:r>
        <w:rPr/>
        <w:t>）权益工具公允价值的确定方法</w:t>
      </w:r>
    </w:p>
    <w:p>
      <w:pPr>
        <w:spacing w:line="240" w:lineRule="auto" w:before="4"/>
        <w:rPr>
          <w:rFonts w:ascii="宋体" w:hAnsi="宋体" w:cs="宋体" w:eastAsia="宋体" w:hint="default"/>
          <w:sz w:val="21"/>
          <w:szCs w:val="21"/>
        </w:rPr>
      </w:pPr>
    </w:p>
    <w:p>
      <w:pPr>
        <w:pStyle w:val="BodyText"/>
        <w:spacing w:line="316" w:lineRule="auto"/>
        <w:ind w:right="0" w:firstLine="290"/>
        <w:jc w:val="left"/>
      </w:pPr>
      <w:r>
        <w:rPr>
          <w:spacing w:val="-1"/>
        </w:rPr>
        <w:t>本公司对于授予的存在活跃市场的期权等权益工具，按照活跃市场中的报价确定其公允价值。对于授予的不存在活跃市</w:t>
      </w:r>
      <w:r>
        <w:rPr/>
        <w:t> 场的期权等权益工具，采用期权定价模型等确定其公允价值。</w:t>
      </w:r>
    </w:p>
    <w:p>
      <w:pPr>
        <w:pStyle w:val="BodyText"/>
        <w:spacing w:line="528" w:lineRule="exact" w:before="22"/>
        <w:ind w:left="516" w:right="0" w:hanging="93"/>
        <w:jc w:val="left"/>
      </w:pPr>
      <w:r>
        <w:rPr/>
        <w:t>（</w:t>
      </w:r>
      <w:r>
        <w:rPr>
          <w:rFonts w:ascii="Times New Roman" w:hAnsi="Times New Roman" w:cs="Times New Roman" w:eastAsia="Times New Roman" w:hint="default"/>
        </w:rPr>
        <w:t>3</w:t>
      </w:r>
      <w:r>
        <w:rPr/>
        <w:t>）确认可行权权益工具最佳估计的依据 </w:t>
      </w:r>
      <w:r>
        <w:rPr>
          <w:spacing w:val="-2"/>
        </w:rPr>
        <w:t>等待期内每个资产负债表日，本公司根据最新取得的可行权职工人数变动等后续信息作出最佳估计，修正预计可行权的</w:t>
      </w:r>
    </w:p>
    <w:p>
      <w:pPr>
        <w:pStyle w:val="BodyText"/>
        <w:spacing w:line="232" w:lineRule="exact"/>
        <w:ind w:right="0"/>
        <w:jc w:val="left"/>
      </w:pPr>
      <w:r>
        <w:rPr/>
        <w:t>权益工具数量。在可行权日，最终预计可行权权益工具的数量应当与实际可行权数量一致。</w:t>
      </w:r>
    </w:p>
    <w:p>
      <w:pPr>
        <w:spacing w:after="0" w:line="232" w:lineRule="exact"/>
        <w:jc w:val="left"/>
        <w:sectPr>
          <w:footerReference w:type="default" r:id="rId20"/>
          <w:pgSz w:w="11910" w:h="16840"/>
          <w:pgMar w:footer="982" w:header="747" w:top="1060" w:bottom="1180" w:left="980" w:right="940"/>
          <w:pgNumType w:start="105"/>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51"/>
        <w:jc w:val="left"/>
      </w:pPr>
      <w:r>
        <w:rPr/>
        <w:t>公司是否需要遵守特殊行业的披露要求 否</w:t>
      </w:r>
    </w:p>
    <w:p>
      <w:pPr>
        <w:pStyle w:val="BodyText"/>
        <w:spacing w:line="240" w:lineRule="auto" w:before="108"/>
        <w:ind w:left="371" w:right="0"/>
        <w:jc w:val="left"/>
      </w:pPr>
      <w:r>
        <w:rPr/>
        <w:t>（</w:t>
      </w:r>
      <w:r>
        <w:rPr>
          <w:rFonts w:ascii="Times New Roman" w:hAnsi="Times New Roman" w:cs="Times New Roman" w:eastAsia="Times New Roman" w:hint="default"/>
        </w:rPr>
        <w:t>1</w:t>
      </w:r>
      <w:r>
        <w:rPr/>
        <w:t>）销售商品</w:t>
      </w:r>
    </w:p>
    <w:p>
      <w:pPr>
        <w:spacing w:line="240" w:lineRule="auto" w:before="12"/>
        <w:rPr>
          <w:rFonts w:ascii="宋体" w:hAnsi="宋体" w:cs="宋体" w:eastAsia="宋体" w:hint="default"/>
          <w:sz w:val="13"/>
          <w:szCs w:val="13"/>
        </w:rPr>
      </w:pPr>
    </w:p>
    <w:p>
      <w:pPr>
        <w:pStyle w:val="BodyText"/>
        <w:spacing w:line="316" w:lineRule="auto"/>
        <w:ind w:right="190" w:firstLine="290"/>
        <w:jc w:val="both"/>
      </w:pPr>
      <w:r>
        <w:rPr>
          <w:spacing w:val="-1"/>
        </w:rPr>
        <w:t>对已将商品所有权上的主要风险或报酬转移给购货方，不再对该商品实施继续管理权和实际控制权，相关的收入已经取</w:t>
      </w:r>
      <w:r>
        <w:rPr/>
        <w:t> 得或取得了收款的凭据，且与销售该商品有关的成本能够可靠地计量时，本公司确认商品销售收入的实现。</w:t>
      </w:r>
    </w:p>
    <w:p>
      <w:pPr>
        <w:pStyle w:val="BodyText"/>
        <w:spacing w:line="316" w:lineRule="auto" w:before="139"/>
        <w:ind w:right="189" w:firstLine="290"/>
        <w:jc w:val="both"/>
      </w:pPr>
      <w:r>
        <w:rPr>
          <w:spacing w:val="-1"/>
        </w:rPr>
        <w:t>除北明软件外公司商品销售收入分为内销销售收入和外销销售收入，内销销售收入确认的具体原则为：商品已发出，并</w:t>
      </w:r>
      <w:r>
        <w:rPr/>
        <w:t> </w:t>
      </w:r>
      <w:r>
        <w:rPr>
          <w:spacing w:val="-2"/>
        </w:rPr>
        <w:t>取得货权转移的凭证，发票账单已交付，已收讫全部或部分货款或预计可收回货款，成本能够可靠计量；外销销售收入确认</w:t>
      </w:r>
      <w:r>
        <w:rPr>
          <w:spacing w:val="-66"/>
        </w:rPr>
        <w:t> </w:t>
      </w:r>
      <w:r>
        <w:rPr>
          <w:spacing w:val="-66"/>
        </w:rPr>
      </w:r>
      <w:r>
        <w:rPr/>
        <w:t>的具体原则为：取得商品出运运单，并向银行办理完毕交单手续。</w:t>
      </w:r>
    </w:p>
    <w:p>
      <w:pPr>
        <w:pStyle w:val="BodyText"/>
        <w:spacing w:line="415" w:lineRule="auto" w:before="139"/>
        <w:ind w:left="444" w:right="2320" w:hanging="111"/>
        <w:jc w:val="left"/>
      </w:pPr>
      <w:r>
        <w:rPr/>
        <w:t>（</w:t>
      </w:r>
      <w:r>
        <w:rPr>
          <w:rFonts w:ascii="Times New Roman" w:hAnsi="Times New Roman" w:cs="Times New Roman" w:eastAsia="Times New Roman" w:hint="default"/>
        </w:rPr>
        <w:t>2</w:t>
      </w:r>
      <w:r>
        <w:rPr/>
        <w:t>）提供劳务 对在提供劳务交易的结果能够可靠估计的情况下，本公司在期末按完工百分比法确认收入。</w:t>
      </w:r>
    </w:p>
    <w:p>
      <w:pPr>
        <w:pStyle w:val="BodyText"/>
        <w:spacing w:line="316" w:lineRule="auto" w:before="65"/>
        <w:ind w:right="190" w:firstLine="290"/>
        <w:jc w:val="both"/>
      </w:pPr>
      <w:r>
        <w:rPr>
          <w:spacing w:val="-1"/>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316" w:lineRule="auto" w:before="139"/>
        <w:ind w:right="191" w:firstLine="290"/>
        <w:jc w:val="both"/>
      </w:pPr>
      <w:r>
        <w:rPr>
          <w:spacing w:val="-1"/>
        </w:rPr>
        <w:t>除北明软件外公司与其他企业签订的合同或协议包括销售商品和提供劳务时，如销售商品部分和提供劳务部分能够区分</w:t>
      </w:r>
      <w:r>
        <w:rPr/>
        <w:t> </w:t>
      </w:r>
      <w:r>
        <w:rPr>
          <w:spacing w:val="-2"/>
        </w:rPr>
        <w:t>并单独计量的，将销售商品部分和提供劳务部分分别处理；如销售商品部分和提供劳务部分不能够区分，或虽能区分但不能</w:t>
      </w:r>
      <w:r>
        <w:rPr>
          <w:spacing w:val="-66"/>
        </w:rPr>
        <w:t> </w:t>
      </w:r>
      <w:r>
        <w:rPr>
          <w:spacing w:val="-66"/>
        </w:rPr>
      </w:r>
      <w:r>
        <w:rPr/>
        <w:t>够单独计量的，将该合同全部作为销售商品处理。</w:t>
      </w:r>
    </w:p>
    <w:p>
      <w:pPr>
        <w:pStyle w:val="BodyText"/>
        <w:spacing w:line="427" w:lineRule="auto" w:before="139"/>
        <w:ind w:left="513" w:right="1891" w:hanging="90"/>
        <w:jc w:val="left"/>
      </w:pPr>
      <w:r>
        <w:rPr/>
        <w:t>（</w:t>
      </w:r>
      <w:r>
        <w:rPr>
          <w:rFonts w:ascii="Times New Roman" w:hAnsi="Times New Roman" w:cs="Times New Roman" w:eastAsia="Times New Roman" w:hint="default"/>
        </w:rPr>
        <w:t>3</w:t>
      </w:r>
      <w:r>
        <w:rPr/>
        <w:t>）让渡资产使用权 与资产使用权让渡相关的经济利益能够流入及收入的金额能够可靠地计量时，本公司确认收入。 北明软件的软件收入会计政策如下：</w:t>
      </w:r>
    </w:p>
    <w:p>
      <w:pPr>
        <w:pStyle w:val="BodyText"/>
        <w:spacing w:line="415" w:lineRule="auto" w:before="56"/>
        <w:ind w:left="444" w:right="1960" w:hanging="146"/>
        <w:jc w:val="left"/>
      </w:pPr>
      <w:r>
        <w:rPr/>
        <w:t>（</w:t>
      </w:r>
      <w:r>
        <w:rPr>
          <w:rFonts w:ascii="Times New Roman" w:hAnsi="Times New Roman" w:cs="Times New Roman" w:eastAsia="Times New Roman" w:hint="default"/>
        </w:rPr>
        <w:t>1</w:t>
      </w:r>
      <w:r>
        <w:rPr/>
        <w:t>）主营业务收入的分类 公司收入主要由系统集成及行业解决方案、代理产品增值销售、定制软件及服务等三大类构成。</w:t>
      </w:r>
    </w:p>
    <w:p>
      <w:pPr>
        <w:pStyle w:val="BodyText"/>
        <w:spacing w:line="240" w:lineRule="auto" w:before="65"/>
        <w:ind w:left="444" w:right="0"/>
        <w:jc w:val="left"/>
      </w:pPr>
      <w:r>
        <w:rPr/>
        <w:t>①系统集成及行业解决方案</w:t>
      </w:r>
    </w:p>
    <w:p>
      <w:pPr>
        <w:spacing w:line="240" w:lineRule="auto" w:before="0"/>
        <w:rPr>
          <w:rFonts w:ascii="宋体" w:hAnsi="宋体" w:cs="宋体" w:eastAsia="宋体" w:hint="default"/>
          <w:sz w:val="15"/>
          <w:szCs w:val="15"/>
        </w:rPr>
      </w:pPr>
    </w:p>
    <w:p>
      <w:pPr>
        <w:pStyle w:val="BodyText"/>
        <w:spacing w:line="309" w:lineRule="auto"/>
        <w:ind w:right="191" w:firstLine="290"/>
        <w:jc w:val="both"/>
      </w:pPr>
      <w:r>
        <w:rPr>
          <w:spacing w:val="-1"/>
        </w:rPr>
        <w:t>是指根据客户业务需求，综合应用计算机、通信和网络技术，选择合适的软件及硬件产品，经过应用开发、集成设计和</w:t>
      </w:r>
      <w:r>
        <w:rPr/>
        <w:t> </w:t>
      </w:r>
      <w:r>
        <w:rPr>
          <w:spacing w:val="-1"/>
        </w:rPr>
        <w:t>安装调试，将各个分离的设备</w:t>
      </w:r>
      <w:r>
        <w:rPr>
          <w:rFonts w:ascii="Times New Roman" w:hAnsi="Times New Roman" w:cs="Times New Roman" w:eastAsia="Times New Roman" w:hint="default"/>
          <w:spacing w:val="-1"/>
        </w:rPr>
        <w:t>(</w:t>
      </w:r>
      <w:r>
        <w:rPr>
          <w:spacing w:val="-1"/>
        </w:rPr>
        <w:t>如个人电脑</w:t>
      </w:r>
      <w:r>
        <w:rPr>
          <w:rFonts w:ascii="Times New Roman" w:hAnsi="Times New Roman" w:cs="Times New Roman" w:eastAsia="Times New Roman" w:hint="default"/>
          <w:spacing w:val="-1"/>
        </w:rPr>
        <w:t>)</w:t>
      </w:r>
      <w:r>
        <w:rPr>
          <w:spacing w:val="-1"/>
        </w:rPr>
        <w:t>、功能和信息等集成到相互关联、统一和协调的系统之中，将整体解决方案提交</w:t>
      </w:r>
      <w:r>
        <w:rPr>
          <w:spacing w:val="-58"/>
        </w:rPr>
        <w:t> </w:t>
      </w:r>
      <w:r>
        <w:rPr>
          <w:spacing w:val="-58"/>
        </w:rPr>
      </w:r>
      <w:r>
        <w:rPr/>
        <w:t>给用户。</w:t>
      </w:r>
    </w:p>
    <w:p>
      <w:pPr>
        <w:pStyle w:val="BodyText"/>
        <w:spacing w:line="309" w:lineRule="auto" w:before="144"/>
        <w:ind w:right="191" w:firstLine="290"/>
        <w:jc w:val="both"/>
      </w:pPr>
      <w:r>
        <w:rPr>
          <w:spacing w:val="-1"/>
        </w:rPr>
        <w:t>对系统集成及行业解决方案收入划定的标准为：公司直接与行业用户客户签订的业务（项目）合同，在投标或项目实施</w:t>
      </w:r>
      <w:r>
        <w:rPr/>
        <w:t> </w:t>
      </w:r>
      <w:r>
        <w:rPr>
          <w:spacing w:val="-2"/>
        </w:rPr>
        <w:t>前期包含为该等客户提供集成设计服务或在为该等客户提供</w:t>
      </w:r>
      <w:r>
        <w:rPr>
          <w:rFonts w:ascii="Times New Roman" w:hAnsi="Times New Roman" w:cs="Times New Roman" w:eastAsia="Times New Roman" w:hint="default"/>
          <w:spacing w:val="-2"/>
        </w:rPr>
        <w:t>IT</w:t>
      </w:r>
      <w:r>
        <w:rPr>
          <w:spacing w:val="-2"/>
        </w:rPr>
        <w:t>产品（设备，以下同）、软件产品等的同时负责设备、软件等</w:t>
      </w:r>
      <w:r>
        <w:rPr>
          <w:spacing w:val="-55"/>
        </w:rPr>
        <w:t> </w:t>
      </w:r>
      <w:r>
        <w:rPr>
          <w:spacing w:val="-55"/>
        </w:rPr>
      </w:r>
      <w:r>
        <w:rPr/>
        <w:t>的安装、调试服务。</w:t>
      </w:r>
    </w:p>
    <w:p>
      <w:pPr>
        <w:pStyle w:val="BodyText"/>
        <w:spacing w:line="432" w:lineRule="exact" w:before="9"/>
        <w:ind w:left="444" w:right="180"/>
        <w:jc w:val="left"/>
      </w:pPr>
      <w:r>
        <w:rPr/>
        <w:t>②代理产品增值销售 是指向</w:t>
      </w:r>
      <w:r>
        <w:rPr>
          <w:rFonts w:ascii="Times New Roman" w:hAnsi="Times New Roman" w:cs="Times New Roman" w:eastAsia="Times New Roman" w:hint="default"/>
        </w:rPr>
        <w:t>IT</w:t>
      </w:r>
      <w:r>
        <w:rPr/>
        <w:t>代理商和其他系统集成商销售公司代理的软件产品、</w:t>
      </w:r>
      <w:r>
        <w:rPr>
          <w:rFonts w:ascii="Times New Roman" w:hAnsi="Times New Roman" w:cs="Times New Roman" w:eastAsia="Times New Roman" w:hint="default"/>
        </w:rPr>
        <w:t>IT</w:t>
      </w:r>
      <w:r>
        <w:rPr/>
        <w:t>产品（设备），并提供各类增值服务，包括安装调试、</w:t>
      </w:r>
    </w:p>
    <w:p>
      <w:pPr>
        <w:pStyle w:val="BodyText"/>
        <w:spacing w:line="240" w:lineRule="auto" w:before="15"/>
        <w:ind w:right="0"/>
        <w:jc w:val="left"/>
      </w:pPr>
      <w:r>
        <w:rPr/>
        <w:t>测试、培训等。</w:t>
      </w:r>
    </w:p>
    <w:p>
      <w:pPr>
        <w:pStyle w:val="BodyText"/>
        <w:spacing w:line="430" w:lineRule="atLeast" w:before="2"/>
        <w:ind w:left="444" w:right="0"/>
        <w:jc w:val="left"/>
      </w:pPr>
      <w:r>
        <w:rPr/>
        <w:t>③定制软件及服务 </w:t>
      </w:r>
      <w:r>
        <w:rPr>
          <w:spacing w:val="-3"/>
        </w:rPr>
        <w:t>是指通过各种定制化、个性化的软件开发、技术服务，促进客户企业信息技术系统效能的发挥，帮助客户实现自身目标，</w:t>
      </w:r>
    </w:p>
    <w:p>
      <w:pPr>
        <w:pStyle w:val="BodyText"/>
        <w:spacing w:line="240" w:lineRule="auto" w:before="76"/>
        <w:ind w:left="154" w:right="0"/>
        <w:jc w:val="left"/>
      </w:pPr>
      <w:r>
        <w:rPr/>
        <w:t>包括各种信息技术咨询、软件开发、测试服务、数据处理服务、技术服务、培训服务、运维服务、信息增值服务等。</w:t>
      </w:r>
    </w:p>
    <w:p>
      <w:pPr>
        <w:spacing w:line="240" w:lineRule="auto" w:before="0"/>
        <w:rPr>
          <w:rFonts w:ascii="宋体" w:hAnsi="宋体" w:cs="宋体" w:eastAsia="宋体" w:hint="default"/>
          <w:sz w:val="15"/>
          <w:szCs w:val="15"/>
        </w:rPr>
      </w:pPr>
    </w:p>
    <w:p>
      <w:pPr>
        <w:pStyle w:val="BodyText"/>
        <w:spacing w:line="240" w:lineRule="auto"/>
        <w:ind w:left="424" w:right="0"/>
        <w:jc w:val="left"/>
      </w:pPr>
      <w:r>
        <w:rPr/>
        <w:t>（</w:t>
      </w:r>
      <w:r>
        <w:rPr>
          <w:rFonts w:ascii="Times New Roman" w:hAnsi="Times New Roman" w:cs="Times New Roman" w:eastAsia="Times New Roman" w:hint="default"/>
        </w:rPr>
        <w:t>2</w:t>
      </w:r>
      <w:r>
        <w:rPr/>
        <w:t>）主营业务收入确认原则与方法</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444" w:right="0"/>
        <w:jc w:val="left"/>
      </w:pPr>
      <w:r>
        <w:rPr/>
        <w:t>①系统集成及行业解决方案</w:t>
      </w:r>
    </w:p>
    <w:p>
      <w:pPr>
        <w:spacing w:line="240" w:lineRule="auto" w:before="0"/>
        <w:rPr>
          <w:rFonts w:ascii="宋体" w:hAnsi="宋体" w:cs="宋体" w:eastAsia="宋体" w:hint="default"/>
          <w:sz w:val="15"/>
          <w:szCs w:val="15"/>
        </w:rPr>
      </w:pPr>
    </w:p>
    <w:p>
      <w:pPr>
        <w:pStyle w:val="BodyText"/>
        <w:spacing w:line="316" w:lineRule="auto"/>
        <w:ind w:right="191" w:firstLine="290"/>
        <w:jc w:val="both"/>
      </w:pPr>
      <w:r>
        <w:rPr>
          <w:spacing w:val="-1"/>
        </w:rPr>
        <w:t>按照产品销售收入确认原则进行收入的确认。即在同时满足以下条件时确认收入的实现：已将外购商品、软件产品所有</w:t>
      </w:r>
      <w:r>
        <w:rPr/>
        <w:t> </w:t>
      </w:r>
      <w:r>
        <w:rPr>
          <w:spacing w:val="-2"/>
        </w:rPr>
        <w:t>权上的主要风险和报酬转移给购货方；公司既没有保留通常与所有权相联系的继续管理权，也没有对已售出的商品实施有效</w:t>
      </w:r>
      <w:r>
        <w:rPr>
          <w:spacing w:val="-64"/>
        </w:rPr>
        <w:t> </w:t>
      </w:r>
      <w:r>
        <w:rPr>
          <w:spacing w:val="-64"/>
        </w:rPr>
      </w:r>
      <w:r>
        <w:rPr>
          <w:spacing w:val="-2"/>
        </w:rPr>
        <w:t>控制；安装调试完毕并取得购货方的验收报告；与交易相关的经济利益能够流入企业；相关的收入和成本能可靠计量时，一</w:t>
      </w:r>
      <w:r>
        <w:rPr>
          <w:spacing w:val="-66"/>
        </w:rPr>
        <w:t> </w:t>
      </w:r>
      <w:r>
        <w:rPr>
          <w:spacing w:val="-66"/>
        </w:rPr>
      </w:r>
      <w:r>
        <w:rPr/>
        <w:t>次性确认收入实现。</w:t>
      </w:r>
    </w:p>
    <w:p>
      <w:pPr>
        <w:pStyle w:val="BodyText"/>
        <w:spacing w:line="439" w:lineRule="auto" w:before="139"/>
        <w:ind w:left="444" w:right="5920" w:firstLine="72"/>
        <w:jc w:val="left"/>
      </w:pPr>
      <w:r>
        <w:rPr/>
        <w:t>②代理产品增值销售 按照产品销售收入确认原则进行收入的确认。</w:t>
      </w:r>
    </w:p>
    <w:p>
      <w:pPr>
        <w:pStyle w:val="BodyText"/>
        <w:spacing w:line="240" w:lineRule="auto" w:before="47"/>
        <w:ind w:left="444" w:right="0"/>
        <w:jc w:val="left"/>
      </w:pPr>
      <w:r>
        <w:rPr/>
        <w:t>根据该等合同是否包含安装调试等条款具体再分以下两种情况确认收入的实现：</w:t>
      </w:r>
    </w:p>
    <w:p>
      <w:pPr>
        <w:spacing w:line="240" w:lineRule="auto" w:before="0"/>
        <w:rPr>
          <w:rFonts w:ascii="宋体" w:hAnsi="宋体" w:cs="宋体" w:eastAsia="宋体" w:hint="default"/>
          <w:sz w:val="15"/>
          <w:szCs w:val="15"/>
        </w:rPr>
      </w:pPr>
    </w:p>
    <w:p>
      <w:pPr>
        <w:pStyle w:val="BodyText"/>
        <w:spacing w:line="300" w:lineRule="auto"/>
        <w:ind w:right="0" w:firstLine="289"/>
        <w:jc w:val="left"/>
      </w:pPr>
      <w:r>
        <w:rPr>
          <w:rFonts w:ascii="Times New Roman" w:hAnsi="Times New Roman" w:cs="Times New Roman" w:eastAsia="Times New Roman" w:hint="default"/>
        </w:rPr>
        <w:t>a.</w:t>
      </w:r>
      <w:r>
        <w:rPr/>
        <w:t>对于合同中规定了货物交付后需要安装调试条款的项目，公司于货物交付并取得安装调试验收报告时一次性确认收入 实现。</w:t>
      </w:r>
    </w:p>
    <w:p>
      <w:pPr>
        <w:pStyle w:val="BodyText"/>
        <w:spacing w:line="240" w:lineRule="auto" w:before="151"/>
        <w:ind w:left="444" w:right="0"/>
        <w:jc w:val="left"/>
      </w:pPr>
      <w:r>
        <w:rPr>
          <w:rFonts w:ascii="Times New Roman" w:hAnsi="Times New Roman" w:cs="Times New Roman" w:eastAsia="Times New Roman" w:hint="default"/>
        </w:rPr>
        <w:t>b.</w:t>
      </w:r>
      <w:r>
        <w:rPr/>
        <w:t>对于合同中只规定货物交付未规定安装调试条款的项目，公司在取得买方收货验收单时确认收入的实现。</w:t>
      </w:r>
    </w:p>
    <w:p>
      <w:pPr>
        <w:pStyle w:val="BodyText"/>
        <w:spacing w:line="432" w:lineRule="exact" w:before="47"/>
        <w:ind w:left="444" w:right="160"/>
        <w:jc w:val="left"/>
      </w:pPr>
      <w:r>
        <w:rPr/>
        <w:t>③定制软件及服务 定制软件开发及技术服务系公司根据用户的实际需求进行专门的软件设计与开发，由此开发出来的软件不具有通用性。</w:t>
      </w:r>
    </w:p>
    <w:p>
      <w:pPr>
        <w:pStyle w:val="BodyText"/>
        <w:spacing w:line="240" w:lineRule="auto" w:before="15"/>
        <w:ind w:right="0"/>
        <w:jc w:val="left"/>
      </w:pPr>
      <w:r>
        <w:rPr/>
        <w:t>定制软件业务实质上是提供劳务，公司按照劳务收入确认原则进行收入的确认。具体如下：</w:t>
      </w:r>
    </w:p>
    <w:p>
      <w:pPr>
        <w:pStyle w:val="BodyText"/>
        <w:spacing w:line="430" w:lineRule="atLeast" w:before="15"/>
        <w:ind w:left="444" w:right="0" w:hanging="2"/>
        <w:jc w:val="left"/>
      </w:pPr>
      <w:r>
        <w:rPr>
          <w:rFonts w:ascii="Times New Roman" w:hAnsi="Times New Roman" w:cs="Times New Roman" w:eastAsia="Times New Roman" w:hint="default"/>
        </w:rPr>
        <w:t>a.</w:t>
      </w:r>
      <w:r>
        <w:rPr/>
        <w:t>按合同约定已完成定制软件开发并经对方验收后确认收入。 </w:t>
      </w:r>
      <w:r>
        <w:rPr>
          <w:rFonts w:ascii="Times New Roman" w:hAnsi="Times New Roman" w:cs="Times New Roman" w:eastAsia="Times New Roman" w:hint="default"/>
        </w:rPr>
        <w:t>b.</w:t>
      </w:r>
      <w:r>
        <w:rPr/>
        <w:t>合同的执行期间跨不同的会计期间时，公司对合同成果能可靠估计的，在资产负债表日按完工百分比法确认收入的实</w:t>
      </w:r>
    </w:p>
    <w:p>
      <w:pPr>
        <w:pStyle w:val="BodyText"/>
        <w:spacing w:line="316" w:lineRule="auto" w:before="63"/>
        <w:ind w:right="0"/>
        <w:jc w:val="left"/>
      </w:pPr>
      <w:r>
        <w:rPr>
          <w:spacing w:val="-2"/>
        </w:rPr>
        <w:t>现。即在资产负债表日按照合同收入总额乘以完工进度扣除以前会计期间累计已确认劳务收入后的金额，确认当期收入；同</w:t>
      </w:r>
      <w:r>
        <w:rPr>
          <w:spacing w:val="-66"/>
        </w:rPr>
        <w:t> </w:t>
      </w:r>
      <w:r>
        <w:rPr>
          <w:spacing w:val="-66"/>
        </w:rPr>
      </w:r>
      <w:r>
        <w:rPr/>
        <w:t>时，按照合同估计总成本乘以完工进度扣除以前会计期间累计已确认劳务成本后的金额，结转当期成本。</w:t>
      </w:r>
    </w:p>
    <w:p>
      <w:pPr>
        <w:pStyle w:val="BodyText"/>
        <w:spacing w:line="312" w:lineRule="auto" w:before="139"/>
        <w:ind w:right="0" w:firstLine="289"/>
        <w:jc w:val="left"/>
      </w:pPr>
      <w:r>
        <w:rPr>
          <w:rFonts w:ascii="Times New Roman" w:hAnsi="Times New Roman" w:cs="Times New Roman" w:eastAsia="Times New Roman" w:hint="default"/>
        </w:rPr>
        <w:t>c.</w:t>
      </w:r>
      <w:r>
        <w:rPr/>
        <w:t>对在资产负债表日合同成果不能可靠估计的，如果已经发生的成本预计能够得到补偿，按能够得到补偿的收入金额确 </w:t>
      </w:r>
      <w:r>
        <w:rPr>
          <w:spacing w:val="-2"/>
        </w:rPr>
        <w:t>认收入，并按相同的金额结转成本；如果已经发生的成本预计不能全部得到补偿，按能够得到补偿的收入金额确认收入，并</w:t>
      </w:r>
      <w:r>
        <w:rPr>
          <w:spacing w:val="-66"/>
        </w:rPr>
        <w:t> </w:t>
      </w:r>
      <w:r>
        <w:rPr>
          <w:spacing w:val="-66"/>
        </w:rPr>
      </w:r>
      <w:r>
        <w:rPr>
          <w:spacing w:val="-4"/>
        </w:rPr>
        <w:t>按已发生的成本结转成本，确认的收入金额小于已经发生的成本的差额，确认为损失；如果已发生的成本全部不能得到补偿，</w:t>
      </w:r>
      <w:r>
        <w:rPr>
          <w:spacing w:val="-44"/>
        </w:rPr>
        <w:t> </w:t>
      </w:r>
      <w:r>
        <w:rPr>
          <w:spacing w:val="-44"/>
        </w:rPr>
      </w:r>
      <w:r>
        <w:rPr/>
        <w:t>则不确认收入，但应将已发生的成本确认为费用。</w:t>
      </w:r>
    </w:p>
    <w:p>
      <w:pPr>
        <w:pStyle w:val="BodyText"/>
        <w:spacing w:line="300" w:lineRule="auto" w:before="142"/>
        <w:ind w:right="0" w:firstLine="290"/>
        <w:jc w:val="left"/>
      </w:pPr>
      <w:r>
        <w:rPr>
          <w:rFonts w:ascii="Times New Roman" w:hAnsi="Times New Roman" w:cs="Times New Roman" w:eastAsia="Times New Roman" w:hint="default"/>
        </w:rPr>
        <w:t>d.</w:t>
      </w:r>
      <w:r>
        <w:rPr/>
        <w:t>对于单独与客户签订系统维护、性能优化、硬件维护与备件更新、技术与应用咨询、产品升级等技术服务合同的，公 司根据合同约定的服务期间按提供服务的进度分期确认收入的实现。</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360"/>
        <w:jc w:val="left"/>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spacing w:line="240" w:lineRule="auto" w:before="5"/>
        <w:rPr>
          <w:rFonts w:ascii="宋体" w:hAnsi="宋体" w:cs="宋体" w:eastAsia="宋体" w:hint="default"/>
          <w:sz w:val="24"/>
          <w:szCs w:val="24"/>
        </w:rPr>
      </w:pPr>
    </w:p>
    <w:p>
      <w:pPr>
        <w:pStyle w:val="BodyText"/>
        <w:spacing w:line="316" w:lineRule="auto"/>
        <w:ind w:right="189" w:firstLine="360"/>
        <w:jc w:val="both"/>
      </w:pPr>
      <w:r>
        <w:rPr>
          <w:spacing w:val="-2"/>
        </w:rPr>
        <w:t>与资产相关的政府补助，确认为递延收益，在相关资产使用寿命内按照合理、系统的方法分期计入损益，相关资产在使</w:t>
      </w:r>
      <w:r>
        <w:rPr/>
        <w:t> </w:t>
      </w:r>
      <w:r>
        <w:rPr>
          <w:spacing w:val="-2"/>
        </w:rPr>
        <w:t>用寿命结束前被出售、转让、报废或发生毁损的，将尚未分配的相关递延收益余额转入资产处置当期的损益，已确认的政府</w:t>
      </w:r>
      <w:r>
        <w:rPr>
          <w:spacing w:val="-66"/>
        </w:rPr>
        <w:t> </w:t>
      </w:r>
      <w:r>
        <w:rPr>
          <w:spacing w:val="-66"/>
        </w:rPr>
      </w:r>
      <w:r>
        <w:rPr/>
        <w:t>补助需要退回的，冲减相关递延收益账面余额，超出部分计入当期损益。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00"/>
        <w:jc w:val="left"/>
      </w:pPr>
      <w:r>
        <w:rPr>
          <w:spacing w:val="-1"/>
        </w:rPr>
        <w:t>与收益相关的政府补助，用于补偿企业以后期间的相关成本费用或损失的，确认为递延收益，并在确认相关成本费用或</w:t>
      </w:r>
      <w:r>
        <w:rPr/>
        <w:t> </w:t>
      </w:r>
      <w:r>
        <w:rPr>
          <w:spacing w:val="-2"/>
        </w:rPr>
        <w:t>损失的期间，计入当期损益或冲减相关成本；用于补偿企业已发生的相关成本费用或损失的，直接计入当期损益或冲减相关</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right="141"/>
        <w:jc w:val="left"/>
      </w:pPr>
      <w:r>
        <w:rPr/>
        <w:t>成本。</w:t>
      </w:r>
    </w:p>
    <w:p>
      <w:pPr>
        <w:pStyle w:val="BodyText"/>
        <w:spacing w:line="316" w:lineRule="auto" w:before="76"/>
        <w:ind w:right="150" w:firstLine="300"/>
        <w:jc w:val="both"/>
      </w:pPr>
      <w:r>
        <w:rPr>
          <w:spacing w:val="-1"/>
        </w:rPr>
        <w:t>对于同时包含与资产相关部分和与收益相关部分的政府补助，区分不同部分分别进行会计处理；难以区分的，整体归类</w:t>
      </w:r>
      <w:r>
        <w:rPr/>
        <w:t> 为与收益相关的政府补助。</w:t>
      </w:r>
    </w:p>
    <w:p>
      <w:pPr>
        <w:pStyle w:val="BodyText"/>
        <w:spacing w:line="316" w:lineRule="auto" w:before="19"/>
        <w:ind w:right="150" w:firstLine="300"/>
        <w:jc w:val="both"/>
      </w:pPr>
      <w:r>
        <w:rPr>
          <w:spacing w:val="-1"/>
        </w:rPr>
        <w:t>与公司日常活动相关的政府补助，按照经济业务实质，计入其他收益或冲减相关成本费用。与公司日常活动无关的政府</w:t>
      </w:r>
      <w:r>
        <w:rPr/>
        <w:t> 补助，计入营业外收支。</w:t>
      </w:r>
    </w:p>
    <w:p>
      <w:pPr>
        <w:pStyle w:val="BodyText"/>
        <w:spacing w:line="316" w:lineRule="auto" w:before="19"/>
        <w:ind w:right="151" w:firstLine="300"/>
        <w:jc w:val="both"/>
      </w:pPr>
      <w:r>
        <w:rPr>
          <w:spacing w:val="-1"/>
        </w:rPr>
        <w:t>已确认的政府补助需要返还时，存在相关递延收益余额的，冲减相关递延收益账面余额，超出部分计入当期损益；不存</w:t>
      </w:r>
      <w:r>
        <w:rPr/>
        <w:t> 在相关递延收益的，直接计入当期损益。</w:t>
      </w:r>
    </w:p>
    <w:p>
      <w:pPr>
        <w:spacing w:line="240" w:lineRule="auto" w:before="7"/>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51" w:firstLine="290"/>
        <w:jc w:val="both"/>
      </w:pPr>
      <w:r>
        <w:rPr>
          <w:spacing w:val="-1"/>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line="240" w:lineRule="auto" w:before="12"/>
        <w:rPr>
          <w:rFonts w:ascii="宋体" w:hAnsi="宋体" w:cs="宋体" w:eastAsia="宋体" w:hint="default"/>
          <w:sz w:val="17"/>
          <w:szCs w:val="17"/>
        </w:rPr>
      </w:pPr>
    </w:p>
    <w:p>
      <w:pPr>
        <w:pStyle w:val="BodyText"/>
        <w:spacing w:line="316" w:lineRule="auto"/>
        <w:ind w:right="149" w:firstLine="290"/>
        <w:jc w:val="both"/>
      </w:pPr>
      <w:r>
        <w:rPr>
          <w:spacing w:val="-1"/>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spacing w:line="240" w:lineRule="auto" w:before="12"/>
        <w:rPr>
          <w:rFonts w:ascii="宋体" w:hAnsi="宋体" w:cs="宋体" w:eastAsia="宋体" w:hint="default"/>
          <w:sz w:val="17"/>
          <w:szCs w:val="17"/>
        </w:rPr>
      </w:pPr>
    </w:p>
    <w:p>
      <w:pPr>
        <w:pStyle w:val="BodyText"/>
        <w:spacing w:line="316" w:lineRule="auto"/>
        <w:ind w:right="149" w:firstLine="290"/>
        <w:jc w:val="both"/>
      </w:pPr>
      <w:r>
        <w:rPr>
          <w:spacing w:val="-1"/>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spacing w:line="240" w:lineRule="auto" w:before="12"/>
        <w:rPr>
          <w:rFonts w:ascii="宋体" w:hAnsi="宋体" w:cs="宋体" w:eastAsia="宋体" w:hint="default"/>
          <w:sz w:val="17"/>
          <w:szCs w:val="17"/>
        </w:rPr>
      </w:pPr>
    </w:p>
    <w:p>
      <w:pPr>
        <w:pStyle w:val="BodyText"/>
        <w:spacing w:line="316" w:lineRule="auto"/>
        <w:ind w:right="151" w:firstLine="290"/>
        <w:jc w:val="both"/>
      </w:pPr>
      <w:r>
        <w:rPr>
          <w:spacing w:val="-1"/>
        </w:rPr>
        <w:t>对于能够结转以后年度的可抵扣亏损和税款抵减，以很可能获得用来抵扣可抵扣亏损和税款抵减的未来应纳税所得额为</w:t>
      </w:r>
      <w:r>
        <w:rPr/>
        <w:t> 限，确认相应的递延所得税资产。</w:t>
      </w:r>
    </w:p>
    <w:p>
      <w:pPr>
        <w:spacing w:line="240" w:lineRule="auto" w:before="12"/>
        <w:rPr>
          <w:rFonts w:ascii="宋体" w:hAnsi="宋体" w:cs="宋体" w:eastAsia="宋体" w:hint="default"/>
          <w:sz w:val="17"/>
          <w:szCs w:val="17"/>
        </w:rPr>
      </w:pPr>
    </w:p>
    <w:p>
      <w:pPr>
        <w:pStyle w:val="BodyText"/>
        <w:spacing w:line="316" w:lineRule="auto"/>
        <w:ind w:right="151" w:firstLine="290"/>
        <w:jc w:val="both"/>
      </w:pPr>
      <w:r>
        <w:rPr>
          <w:spacing w:val="-1"/>
        </w:rPr>
        <w:t>资产负债表日，对于递延所得税资产和递延所得税负债，根据税法规定，按照预期收回相关资产或清偿相关负债期间的</w:t>
      </w:r>
      <w:r>
        <w:rPr/>
        <w:t> 适用税率计量。</w:t>
      </w:r>
    </w:p>
    <w:p>
      <w:pPr>
        <w:spacing w:line="240" w:lineRule="auto" w:before="12"/>
        <w:rPr>
          <w:rFonts w:ascii="宋体" w:hAnsi="宋体" w:cs="宋体" w:eastAsia="宋体" w:hint="default"/>
          <w:sz w:val="17"/>
          <w:szCs w:val="17"/>
        </w:rPr>
      </w:pPr>
    </w:p>
    <w:p>
      <w:pPr>
        <w:pStyle w:val="BodyText"/>
        <w:spacing w:line="316" w:lineRule="auto"/>
        <w:ind w:right="150" w:firstLine="290"/>
        <w:jc w:val="both"/>
      </w:pPr>
      <w:r>
        <w:rPr>
          <w:spacing w:val="-1"/>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spacing w:line="240" w:lineRule="auto" w:before="7"/>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09" w:right="141"/>
        <w:jc w:val="left"/>
      </w:pPr>
      <w:r>
        <w:rPr/>
        <w:t>经营租赁的租金在租赁期内的各个期间按直线法计入相关资产成本或当期损益。</w:t>
      </w:r>
    </w:p>
    <w:p>
      <w:pPr>
        <w:spacing w:line="240" w:lineRule="auto" w:before="12"/>
        <w:rPr>
          <w:rFonts w:ascii="宋体" w:hAnsi="宋体" w:cs="宋体" w:eastAsia="宋体" w:hint="default"/>
          <w:sz w:val="26"/>
          <w:szCs w:val="26"/>
        </w:rPr>
      </w:pPr>
    </w:p>
    <w:p>
      <w:pPr>
        <w:pStyle w:val="Heading3"/>
        <w:spacing w:line="240" w:lineRule="auto"/>
        <w:ind w:right="141"/>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51" w:firstLine="290"/>
        <w:jc w:val="both"/>
      </w:pPr>
      <w:r>
        <w:rPr>
          <w:spacing w:val="-1"/>
        </w:rPr>
        <w:t>本公司将实质上转移了与资产所有权有关的全部风险和报酬的租赁确认为融资租赁，除融资租赁之外的其他租赁确认为</w:t>
      </w:r>
      <w:r>
        <w:rPr/>
        <w:t> 经营租赁。</w:t>
      </w:r>
    </w:p>
    <w:p>
      <w:pPr>
        <w:spacing w:after="0" w:line="316"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right="170" w:firstLine="290"/>
        <w:jc w:val="left"/>
      </w:pPr>
      <w:r>
        <w:rPr>
          <w:spacing w:val="-1"/>
        </w:rPr>
        <w:t>在租赁期开始日，本公司将租赁开始日租赁资产公允价值与最低租赁付款额现值中较低者作为租入资产的入账价值，将</w:t>
      </w:r>
      <w:r>
        <w:rPr/>
        <w:t> 最低租赁付款额作为长期应付款的入账价值，其差额作为未确认融资费用。</w:t>
      </w:r>
    </w:p>
    <w:p>
      <w:pPr>
        <w:spacing w:line="240" w:lineRule="auto" w:before="7"/>
        <w:rPr>
          <w:rFonts w:ascii="宋体" w:hAnsi="宋体" w:cs="宋体" w:eastAsia="宋体" w:hint="default"/>
          <w:sz w:val="22"/>
          <w:szCs w:val="22"/>
        </w:rPr>
      </w:pPr>
    </w:p>
    <w:p>
      <w:pPr>
        <w:pStyle w:val="Heading3"/>
        <w:spacing w:line="240" w:lineRule="auto"/>
        <w:ind w:right="170"/>
        <w:jc w:val="left"/>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70"/>
        <w:jc w:val="left"/>
      </w:pPr>
      <w:r>
        <w:rPr/>
        <w:t>无。</w:t>
      </w:r>
    </w:p>
    <w:p>
      <w:pPr>
        <w:spacing w:line="240" w:lineRule="auto" w:before="12"/>
        <w:rPr>
          <w:rFonts w:ascii="宋体" w:hAnsi="宋体" w:cs="宋体" w:eastAsia="宋体" w:hint="default"/>
          <w:sz w:val="26"/>
          <w:szCs w:val="26"/>
        </w:rPr>
      </w:pPr>
    </w:p>
    <w:p>
      <w:pPr>
        <w:pStyle w:val="Heading3"/>
        <w:spacing w:line="240" w:lineRule="auto"/>
        <w:ind w:right="170"/>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7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日，财政部发布了《企业</w:t>
            </w:r>
          </w:p>
          <w:p>
            <w:pPr>
              <w:pStyle w:val="TableParagraph"/>
              <w:spacing w:line="300"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 </w:t>
            </w:r>
            <w:r>
              <w:rPr>
                <w:rFonts w:ascii="宋体" w:hAnsi="宋体" w:cs="宋体" w:eastAsia="宋体" w:hint="default"/>
                <w:spacing w:val="-10"/>
                <w:sz w:val="18"/>
                <w:szCs w:val="18"/>
              </w:rPr>
              <w:t>资产、处置组和终止经营》（财会〔</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号），自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对于施行日存在的持有待售的非流动资 产、处置组和终止经营，要求采用未来 适用法处理。</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日发布了《关</w:t>
            </w:r>
          </w:p>
          <w:p>
            <w:pPr>
              <w:pStyle w:val="TableParagraph"/>
              <w:spacing w:line="300"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 </w:t>
            </w:r>
            <w:r>
              <w:rPr>
                <w:rFonts w:ascii="宋体" w:hAnsi="宋体" w:cs="宋体" w:eastAsia="宋体" w:hint="default"/>
                <w:spacing w:val="-9"/>
                <w:sz w:val="18"/>
                <w:szCs w:val="18"/>
              </w:rPr>
              <w:t>补助</w:t>
            </w:r>
            <w:r>
              <w:rPr>
                <w:rFonts w:ascii="Times New Roman" w:hAnsi="Times New Roman" w:cs="Times New Roman" w:eastAsia="Times New Roman" w:hint="default"/>
                <w:spacing w:val="-9"/>
                <w:sz w:val="18"/>
                <w:szCs w:val="18"/>
              </w:rPr>
              <w:t>&gt;</w:t>
            </w:r>
            <w:r>
              <w:rPr>
                <w:rFonts w:ascii="宋体" w:hAnsi="宋体" w:cs="宋体" w:eastAsia="宋体" w:hint="default"/>
                <w:spacing w:val="-9"/>
                <w:sz w:val="18"/>
                <w:szCs w:val="18"/>
              </w:rPr>
              <w:t>的通知》（财会</w:t>
            </w:r>
            <w:r>
              <w:rPr>
                <w:rFonts w:ascii="Times New Roman" w:hAnsi="Times New Roman" w:cs="Times New Roman" w:eastAsia="Times New Roman" w:hint="default"/>
                <w:spacing w:val="-9"/>
                <w:sz w:val="18"/>
                <w:szCs w:val="18"/>
              </w:rPr>
              <w:t>[2017]15</w:t>
            </w:r>
            <w:r>
              <w:rPr>
                <w:rFonts w:ascii="Times New Roman" w:hAnsi="Times New Roman" w:cs="Times New Roman" w:eastAsia="Times New Roman" w:hint="default"/>
                <w:spacing w:val="6"/>
                <w:sz w:val="18"/>
                <w:szCs w:val="18"/>
              </w:rPr>
              <w:t> </w:t>
            </w:r>
            <w:r>
              <w:rPr>
                <w:rFonts w:ascii="宋体" w:hAnsi="宋体" w:cs="宋体" w:eastAsia="宋体" w:hint="default"/>
                <w:spacing w:val="-37"/>
                <w:sz w:val="18"/>
                <w:szCs w:val="18"/>
              </w:rPr>
              <w:t>号），对《企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政府补助》进行了修</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订，自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公司董事会六届十九次会议批准了上述 会计政策变更。</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公司在利润表中的</w:t>
            </w:r>
            <w:r>
              <w:rPr>
                <w:rFonts w:ascii="Times New Roman" w:hAnsi="Times New Roman" w:cs="Times New Roman" w:eastAsia="Times New Roman" w:hint="default"/>
                <w:sz w:val="18"/>
                <w:szCs w:val="18"/>
              </w:rPr>
              <w:t>"</w:t>
            </w: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项目之上 </w:t>
            </w:r>
            <w:r>
              <w:rPr>
                <w:rFonts w:ascii="宋体" w:hAnsi="宋体" w:cs="宋体" w:eastAsia="宋体" w:hint="default"/>
                <w:spacing w:val="-5"/>
                <w:sz w:val="18"/>
                <w:szCs w:val="18"/>
              </w:rPr>
              <w:t>增加</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其他收益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项目，反映计入其他收益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的政府补助。公司对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日存 在的政府补助采用未来适用法处理，对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日至该准则施行日之间新 增的政府补助根据该准则进行调整。</w:t>
            </w:r>
          </w:p>
        </w:tc>
      </w:tr>
      <w:tr>
        <w:trPr>
          <w:trHeight w:val="1338" w:hRule="exact"/>
        </w:trPr>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7"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日，财政部发布了《关 于修订印发一般企业财务报表格式的通 </w:t>
            </w:r>
            <w:r>
              <w:rPr>
                <w:rFonts w:ascii="宋体" w:hAnsi="宋体" w:cs="宋体" w:eastAsia="宋体" w:hint="default"/>
                <w:spacing w:val="-8"/>
                <w:sz w:val="18"/>
                <w:szCs w:val="18"/>
              </w:rPr>
              <w:t>知》（财会〔</w:t>
            </w:r>
            <w:r>
              <w:rPr>
                <w:rFonts w:ascii="Times New Roman" w:hAnsi="Times New Roman" w:cs="Times New Roman" w:eastAsia="Times New Roman" w:hint="default"/>
                <w:spacing w:val="-8"/>
                <w:sz w:val="18"/>
                <w:szCs w:val="18"/>
              </w:rPr>
              <w:t>2017</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30</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号），适用于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年度及以后期间的财务报表的编制。</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5"/>
        <w:rPr>
          <w:rFonts w:ascii="宋体" w:hAnsi="宋体" w:cs="宋体" w:eastAsia="宋体" w:hint="default"/>
          <w:sz w:val="20"/>
          <w:szCs w:val="20"/>
        </w:rPr>
      </w:pPr>
    </w:p>
    <w:p>
      <w:pPr>
        <w:pStyle w:val="BodyText"/>
        <w:spacing w:line="240" w:lineRule="auto" w:before="44"/>
        <w:ind w:left="511" w:right="170"/>
        <w:jc w:val="left"/>
      </w:pPr>
      <w:r>
        <w:rPr/>
        <w:t>本公司执行上述三项会计政策对列报前期财务报表项目及金额的影响如下：</w:t>
      </w:r>
    </w:p>
    <w:p>
      <w:pPr>
        <w:pStyle w:val="BodyText"/>
        <w:spacing w:line="240" w:lineRule="auto" w:before="76"/>
        <w:ind w:left="0" w:right="1800"/>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724"/>
        <w:gridCol w:w="2989"/>
        <w:gridCol w:w="3313"/>
        <w:gridCol w:w="2668"/>
      </w:tblGrid>
      <w:tr>
        <w:trPr>
          <w:trHeight w:val="350" w:hRule="exact"/>
        </w:trPr>
        <w:tc>
          <w:tcPr>
            <w:tcW w:w="724"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17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989"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676" w:right="0"/>
              <w:jc w:val="left"/>
              <w:rPr>
                <w:rFonts w:ascii="宋体" w:hAnsi="宋体" w:cs="宋体" w:eastAsia="宋体" w:hint="default"/>
                <w:sz w:val="18"/>
                <w:szCs w:val="18"/>
              </w:rPr>
            </w:pPr>
            <w:r>
              <w:rPr>
                <w:rFonts w:ascii="宋体" w:hAnsi="宋体" w:cs="宋体" w:eastAsia="宋体" w:hint="default"/>
                <w:sz w:val="18"/>
                <w:szCs w:val="18"/>
              </w:rPr>
              <w:t>会计政策变更的依据</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749"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9" w:hRule="exact"/>
        </w:trPr>
        <w:tc>
          <w:tcPr>
            <w:tcW w:w="72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298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348,984.72</w:t>
            </w:r>
          </w:p>
        </w:tc>
      </w:tr>
      <w:tr>
        <w:trPr>
          <w:trHeight w:val="350" w:hRule="exact"/>
        </w:trPr>
        <w:tc>
          <w:tcPr>
            <w:tcW w:w="724" w:type="dxa"/>
            <w:vMerge/>
            <w:tcBorders>
              <w:left w:val="single" w:sz="6" w:space="0" w:color="000000"/>
              <w:right w:val="single" w:sz="6" w:space="0" w:color="000000"/>
            </w:tcBorders>
          </w:tcPr>
          <w:p>
            <w:pPr/>
          </w:p>
        </w:tc>
        <w:tc>
          <w:tcPr>
            <w:tcW w:w="2989" w:type="dxa"/>
            <w:vMerge/>
            <w:tcBorders>
              <w:left w:val="single" w:sz="6" w:space="0" w:color="000000"/>
              <w:right w:val="single" w:sz="6" w:space="0" w:color="000000"/>
            </w:tcBorders>
          </w:tcPr>
          <w:p>
            <w:pP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-625,878.71</w:t>
            </w:r>
          </w:p>
        </w:tc>
      </w:tr>
      <w:tr>
        <w:trPr>
          <w:trHeight w:val="350" w:hRule="exact"/>
        </w:trPr>
        <w:tc>
          <w:tcPr>
            <w:tcW w:w="724" w:type="dxa"/>
            <w:vMerge/>
            <w:tcBorders>
              <w:left w:val="single" w:sz="6" w:space="0" w:color="000000"/>
              <w:bottom w:val="single" w:sz="6" w:space="0" w:color="000000"/>
              <w:right w:val="single" w:sz="6" w:space="0" w:color="000000"/>
            </w:tcBorders>
          </w:tcPr>
          <w:p>
            <w:pPr/>
          </w:p>
        </w:tc>
        <w:tc>
          <w:tcPr>
            <w:tcW w:w="2989" w:type="dxa"/>
            <w:vMerge/>
            <w:tcBorders>
              <w:left w:val="single" w:sz="6" w:space="0" w:color="000000"/>
              <w:bottom w:val="single" w:sz="6" w:space="0" w:color="000000"/>
              <w:right w:val="single" w:sz="6" w:space="0" w:color="000000"/>
            </w:tcBorders>
          </w:tcPr>
          <w:p>
            <w:pPr/>
          </w:p>
        </w:tc>
        <w:tc>
          <w:tcPr>
            <w:tcW w:w="3313" w:type="dxa"/>
            <w:tcBorders>
              <w:top w:val="single" w:sz="6" w:space="0" w:color="000000"/>
              <w:left w:val="single" w:sz="6" w:space="0" w:color="000000"/>
              <w:bottom w:val="single" w:sz="6" w:space="0" w:color="000000"/>
              <w:right w:val="single" w:sz="6" w:space="0" w:color="000000"/>
            </w:tcBorders>
          </w:tcPr>
          <w:p>
            <w:pPr>
              <w:pStyle w:val="TableParagraph"/>
              <w:spacing w:line="228" w:lineRule="exact"/>
              <w:ind w:left="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18"/>
                <w:szCs w:val="18"/>
              </w:rPr>
            </w:pPr>
            <w:r>
              <w:rPr>
                <w:rFonts w:ascii="Times New Roman"/>
                <w:sz w:val="18"/>
              </w:rPr>
              <w:t>-276,893.99</w:t>
            </w:r>
          </w:p>
        </w:tc>
      </w:tr>
    </w:tbl>
    <w:p>
      <w:pPr>
        <w:spacing w:line="240" w:lineRule="auto" w:before="2"/>
        <w:rPr>
          <w:rFonts w:ascii="宋体" w:hAnsi="宋体" w:cs="宋体" w:eastAsia="宋体" w:hint="default"/>
          <w:sz w:val="19"/>
          <w:szCs w:val="19"/>
        </w:rPr>
      </w:pPr>
    </w:p>
    <w:p>
      <w:pPr>
        <w:pStyle w:val="Heading3"/>
        <w:spacing w:line="240" w:lineRule="auto" w:before="35"/>
        <w:ind w:right="17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60"/>
        </w:sectPr>
      </w:pPr>
    </w:p>
    <w:p>
      <w:pPr>
        <w:spacing w:line="240" w:lineRule="auto" w:before="8"/>
        <w:rPr>
          <w:rFonts w:ascii="宋体" w:hAnsi="宋体" w:cs="宋体" w:eastAsia="宋体" w:hint="default"/>
          <w:sz w:val="23"/>
          <w:szCs w:val="23"/>
        </w:rPr>
      </w:pPr>
    </w:p>
    <w:p>
      <w:pPr>
        <w:pStyle w:val="Heading2"/>
        <w:spacing w:line="240" w:lineRule="auto" w:before="26"/>
        <w:ind w:right="141"/>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3161"/>
        <w:gridCol w:w="3190"/>
        <w:gridCol w:w="3194"/>
      </w:tblGrid>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61"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31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9"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54" w:right="141"/>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石家庄常山物业服务有限公司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新疆常山恒宏纺织科技有限公司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北京爱意生活电子商务有限公司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常山股份香港国际贸易有限公司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北京北明伟业科技有限公司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武汉网软华信科技有限公司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北京北明云易信息科技有限公司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山东成功科技信息有限责任公司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北京天时前程工程技术有限公司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北明云山（武汉）软件开发有限公司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24" w:right="0"/>
        <w:jc w:val="left"/>
      </w:pPr>
      <w:r>
        <w:rPr/>
        <w:t>（</w:t>
      </w:r>
      <w:r>
        <w:rPr>
          <w:rFonts w:ascii="Times New Roman" w:hAnsi="Times New Roman" w:cs="Times New Roman" w:eastAsia="Times New Roman" w:hint="default"/>
        </w:rPr>
        <w:t>1</w:t>
      </w:r>
      <w:r>
        <w:rPr/>
        <w:t>）增值税</w:t>
      </w:r>
    </w:p>
    <w:p>
      <w:pPr>
        <w:spacing w:line="240" w:lineRule="auto" w:before="0"/>
        <w:rPr>
          <w:rFonts w:ascii="宋体" w:hAnsi="宋体" w:cs="宋体" w:eastAsia="宋体" w:hint="default"/>
          <w:sz w:val="18"/>
          <w:szCs w:val="18"/>
        </w:rPr>
      </w:pPr>
    </w:p>
    <w:p>
      <w:pPr>
        <w:pStyle w:val="BodyText"/>
        <w:spacing w:line="300" w:lineRule="auto" w:before="127"/>
        <w:ind w:right="176"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日，北明软件有限公司取得软件企业证明函，证明函编号为粤软协函</w:t>
      </w:r>
      <w:r>
        <w:rPr>
          <w:rFonts w:ascii="Times New Roman" w:hAnsi="Times New Roman" w:cs="Times New Roman" w:eastAsia="Times New Roman" w:hint="default"/>
        </w:rPr>
        <w:t>[2015]QP2-0053</w:t>
      </w:r>
      <w:r>
        <w:rPr/>
        <w:t>号</w:t>
      </w:r>
      <w:r>
        <w:rPr>
          <w:rFonts w:ascii="Times New Roman" w:hAnsi="Times New Roman" w:cs="Times New Roman" w:eastAsia="Times New Roman" w:hint="default"/>
        </w:rPr>
        <w:t>,</w:t>
      </w:r>
      <w:r>
        <w:rPr/>
        <w:t>颁布单位：广东省 软件行业协会。</w:t>
      </w:r>
    </w:p>
    <w:p>
      <w:pPr>
        <w:spacing w:line="240" w:lineRule="auto" w:before="4"/>
        <w:rPr>
          <w:rFonts w:ascii="宋体" w:hAnsi="宋体" w:cs="宋体" w:eastAsia="宋体" w:hint="default"/>
          <w:sz w:val="25"/>
          <w:szCs w:val="25"/>
        </w:rPr>
      </w:pPr>
    </w:p>
    <w:p>
      <w:pPr>
        <w:pStyle w:val="BodyText"/>
        <w:spacing w:line="240" w:lineRule="auto"/>
        <w:ind w:left="513" w:right="0"/>
        <w:jc w:val="left"/>
      </w:pPr>
      <w:r>
        <w:rPr>
          <w:rFonts w:ascii="Times New Roman" w:hAnsi="Times New Roman" w:cs="Times New Roman" w:eastAsia="Times New Roman" w:hint="default"/>
        </w:rPr>
        <w:t>2012</w:t>
      </w:r>
      <w:r>
        <w:rPr/>
        <w:t>年武汉网软华信科技有限公司取得湖北省信息产业厅颁发的软件企业认定证书，证书编号鄂</w:t>
      </w:r>
      <w:r>
        <w:rPr>
          <w:rFonts w:ascii="Times New Roman" w:hAnsi="Times New Roman" w:cs="Times New Roman" w:eastAsia="Times New Roman" w:hint="default"/>
        </w:rPr>
        <w:t>R-2001-0029</w:t>
      </w:r>
      <w:r>
        <w:rPr/>
        <w:t>。</w:t>
      </w:r>
    </w:p>
    <w:p>
      <w:pPr>
        <w:spacing w:line="240" w:lineRule="auto" w:before="0"/>
        <w:rPr>
          <w:rFonts w:ascii="宋体" w:hAnsi="宋体" w:cs="宋体" w:eastAsia="宋体" w:hint="default"/>
          <w:sz w:val="18"/>
          <w:szCs w:val="18"/>
        </w:rPr>
      </w:pPr>
    </w:p>
    <w:p>
      <w:pPr>
        <w:pStyle w:val="BodyText"/>
        <w:spacing w:line="300" w:lineRule="auto" w:before="127"/>
        <w:ind w:right="171"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日，珠海市震星信息技术有限公司取得软件企业证明函，证明函编号为</w:t>
      </w:r>
      <w:r>
        <w:rPr>
          <w:rFonts w:ascii="Times New Roman" w:hAnsi="Times New Roman" w:cs="Times New Roman" w:eastAsia="Times New Roman" w:hint="default"/>
        </w:rPr>
        <w:t>2015-RQ-0902</w:t>
      </w:r>
      <w:r>
        <w:rPr/>
        <w:t>号，颁布单位：珠海 市软件行业协会。</w:t>
      </w:r>
    </w:p>
    <w:p>
      <w:pPr>
        <w:spacing w:line="240" w:lineRule="auto" w:before="4"/>
        <w:rPr>
          <w:rFonts w:ascii="宋体" w:hAnsi="宋体" w:cs="宋体" w:eastAsia="宋体" w:hint="default"/>
          <w:sz w:val="25"/>
          <w:szCs w:val="25"/>
        </w:rPr>
      </w:pPr>
    </w:p>
    <w:p>
      <w:pPr>
        <w:pStyle w:val="BodyText"/>
        <w:spacing w:line="300" w:lineRule="auto"/>
        <w:ind w:right="175"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日，广州市龙泰信息技术有限公司取得软件企业证明函，证明函编号为</w:t>
      </w:r>
      <w:r>
        <w:rPr>
          <w:rFonts w:ascii="Times New Roman" w:hAnsi="Times New Roman" w:cs="Times New Roman" w:eastAsia="Times New Roman" w:hint="default"/>
        </w:rPr>
        <w:t>[2015]QP</w:t>
      </w:r>
      <w:r>
        <w:rPr>
          <w:rFonts w:ascii="Times New Roman" w:hAnsi="Times New Roman" w:cs="Times New Roman" w:eastAsia="Times New Roman" w:hint="default"/>
          <w:spacing w:val="1"/>
        </w:rPr>
        <w:t> </w:t>
      </w:r>
      <w:r>
        <w:rPr>
          <w:rFonts w:ascii="Times New Roman" w:hAnsi="Times New Roman" w:cs="Times New Roman" w:eastAsia="Times New Roman" w:hint="default"/>
        </w:rPr>
        <w:t>2-2096</w:t>
      </w:r>
      <w:r>
        <w:rPr/>
        <w:t>号，颁布单位：广 东省软件行业协会。</w:t>
      </w:r>
    </w:p>
    <w:p>
      <w:pPr>
        <w:spacing w:line="240" w:lineRule="auto" w:before="4"/>
        <w:rPr>
          <w:rFonts w:ascii="宋体" w:hAnsi="宋体" w:cs="宋体" w:eastAsia="宋体" w:hint="default"/>
          <w:sz w:val="25"/>
          <w:szCs w:val="25"/>
        </w:rPr>
      </w:pPr>
    </w:p>
    <w:p>
      <w:pPr>
        <w:pStyle w:val="BodyText"/>
        <w:spacing w:line="300" w:lineRule="auto"/>
        <w:ind w:right="190" w:firstLine="36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日，北京北明正实科技有限公司取得北京市经济和信息化委员会颁发的软件企业认定证书，证书编号为京</w:t>
      </w:r>
      <w:r>
        <w:rPr/>
        <w:t> </w:t>
      </w:r>
      <w:r>
        <w:rPr>
          <w:rFonts w:ascii="Times New Roman" w:hAnsi="Times New Roman" w:cs="Times New Roman" w:eastAsia="Times New Roman" w:hint="default"/>
        </w:rPr>
        <w:t>R-2013-1232</w:t>
      </w:r>
      <w:r>
        <w:rPr/>
        <w:t>。</w:t>
      </w:r>
    </w:p>
    <w:p>
      <w:pPr>
        <w:spacing w:line="240" w:lineRule="auto" w:before="12"/>
        <w:rPr>
          <w:rFonts w:ascii="宋体" w:hAnsi="宋体" w:cs="宋体" w:eastAsia="宋体" w:hint="default"/>
          <w:sz w:val="23"/>
          <w:szCs w:val="23"/>
        </w:rPr>
      </w:pPr>
    </w:p>
    <w:p>
      <w:pPr>
        <w:pStyle w:val="BodyText"/>
        <w:spacing w:line="307" w:lineRule="auto"/>
        <w:ind w:right="87" w:firstLine="360"/>
        <w:jc w:val="left"/>
      </w:pPr>
      <w:r>
        <w:rPr/>
        <w:t>根据《财政部、国家税务总局关于软件产品增值税政策的通知》（财税</w:t>
      </w:r>
      <w:r>
        <w:rPr>
          <w:rFonts w:ascii="Times New Roman" w:hAnsi="Times New Roman" w:cs="Times New Roman" w:eastAsia="Times New Roman" w:hint="default"/>
        </w:rPr>
        <w:t>[2011]100</w:t>
      </w:r>
      <w:r>
        <w:rPr/>
        <w:t>号）文规定、《财政部、国家税务总</w:t>
      </w:r>
      <w:r>
        <w:rPr>
          <w:spacing w:val="1"/>
        </w:rPr>
        <w:t> </w:t>
      </w:r>
      <w:r>
        <w:rPr/>
        <w:t>局关于财政性资金、行政事业性收费、政府性基金有关企业所得税政策问题的通知》（财税</w:t>
      </w:r>
      <w:r>
        <w:rPr>
          <w:rFonts w:ascii="Times New Roman" w:hAnsi="Times New Roman" w:cs="Times New Roman" w:eastAsia="Times New Roman" w:hint="default"/>
        </w:rPr>
        <w:t>[2008]151</w:t>
      </w:r>
      <w:r>
        <w:rPr/>
        <w:t>号）、《国务院关于</w:t>
      </w:r>
      <w:r>
        <w:rPr>
          <w:spacing w:val="-34"/>
        </w:rPr>
        <w:t> </w:t>
      </w:r>
      <w:r>
        <w:rPr>
          <w:spacing w:val="-34"/>
        </w:rPr>
      </w:r>
      <w:r>
        <w:rPr/>
        <w:t>印发进一步鼓励软件产业和集成电路产业发展若干政策的通知》（国发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）号）文规定，北明软件有限公司及子公司</w:t>
      </w:r>
      <w:r>
        <w:rPr>
          <w:spacing w:val="-84"/>
        </w:rPr>
        <w:t> </w:t>
      </w:r>
      <w:r>
        <w:rPr>
          <w:spacing w:val="-84"/>
        </w:rPr>
      </w:r>
      <w:r>
        <w:rPr/>
        <w:t>武汉网软华信科技有限公司、珠海市震星信息技术有限公司、广州市龙泰信息技术有限公司、北京北明正实科技有限公司、 </w:t>
      </w:r>
      <w:r>
        <w:rPr>
          <w:spacing w:val="-2"/>
        </w:rPr>
        <w:t>山东成功信息技术有限公司、北京天时前程自动化工程技术有限公司、索科维尔（北京）软件系统有限公司、北京明润华创</w:t>
      </w:r>
      <w:r>
        <w:rPr>
          <w:spacing w:val="-66"/>
        </w:rPr>
        <w:t> </w:t>
      </w:r>
      <w:r>
        <w:rPr>
          <w:spacing w:val="-66"/>
        </w:rPr>
      </w:r>
      <w:r>
        <w:rPr>
          <w:spacing w:val="-1"/>
        </w:rPr>
        <w:t>科技有限责任公司、北京金实盈信科技有限公司共</w:t>
      </w:r>
      <w:r>
        <w:rPr>
          <w:rFonts w:ascii="Times New Roman" w:hAnsi="Times New Roman" w:cs="Times New Roman" w:eastAsia="Times New Roman" w:hint="default"/>
          <w:spacing w:val="-1"/>
        </w:rPr>
        <w:t>10</w:t>
      </w:r>
      <w:r>
        <w:rPr>
          <w:spacing w:val="-1"/>
        </w:rPr>
        <w:t>家软件企业，享受增值税实际税负超过</w:t>
      </w:r>
      <w:r>
        <w:rPr>
          <w:rFonts w:ascii="Times New Roman" w:hAnsi="Times New Roman" w:cs="Times New Roman" w:eastAsia="Times New Roman" w:hint="default"/>
          <w:spacing w:val="-1"/>
        </w:rPr>
        <w:t>3%</w:t>
      </w:r>
      <w:r>
        <w:rPr>
          <w:spacing w:val="-1"/>
        </w:rPr>
        <w:t>的部分即征即退的优惠政策。</w:t>
      </w:r>
    </w:p>
    <w:p>
      <w:pPr>
        <w:pStyle w:val="BodyText"/>
        <w:spacing w:line="612" w:lineRule="exact" w:before="27"/>
        <w:ind w:left="513" w:right="0" w:hanging="90"/>
        <w:jc w:val="left"/>
      </w:pPr>
      <w:r>
        <w:rPr/>
        <w:t>（</w:t>
      </w:r>
      <w:r>
        <w:rPr>
          <w:rFonts w:ascii="Times New Roman" w:hAnsi="Times New Roman" w:cs="Times New Roman" w:eastAsia="Times New Roman" w:hint="default"/>
        </w:rPr>
        <w:t>2</w:t>
      </w:r>
      <w:r>
        <w:rPr/>
        <w:t>）企业所得税 </w:t>
      </w:r>
      <w:r>
        <w:rPr>
          <w:spacing w:val="-2"/>
        </w:rPr>
        <w:t>北明软件有限公司于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月取得中华人民共和国国家发展和改革委员会、中华人民共和国工业和信息化部、中华人</w:t>
      </w:r>
    </w:p>
    <w:p>
      <w:pPr>
        <w:pStyle w:val="BodyText"/>
        <w:spacing w:line="229" w:lineRule="exact"/>
        <w:ind w:right="0"/>
        <w:jc w:val="both"/>
      </w:pPr>
      <w:r>
        <w:rPr/>
        <w:t>民共和国财政部、中华人民共和国商务部、国家税务总局联合颁发的国家规划布局内重点软件企业证书，</w:t>
      </w:r>
      <w:r>
        <w:rPr>
          <w:rFonts w:ascii="Times New Roman" w:hAnsi="Times New Roman" w:cs="Times New Roman" w:eastAsia="Times New Roman" w:hint="default"/>
        </w:rPr>
        <w:t>2013-2014</w:t>
      </w:r>
      <w:r>
        <w:rPr/>
        <w:t>年度被</w:t>
      </w:r>
    </w:p>
    <w:p>
      <w:pPr>
        <w:pStyle w:val="BodyText"/>
        <w:spacing w:line="304" w:lineRule="auto" w:before="63"/>
        <w:ind w:right="188"/>
        <w:jc w:val="both"/>
      </w:pPr>
      <w:r>
        <w:rPr>
          <w:spacing w:val="-2"/>
        </w:rPr>
        <w:t>确定为国家规划布局内重点软件企业。根据财政部、国家税务总局《关于进一步鼓励软件产业和集成电路产业发展企业所得</w:t>
      </w:r>
      <w:r>
        <w:rPr>
          <w:spacing w:val="-66"/>
        </w:rPr>
        <w:t> </w:t>
      </w:r>
      <w:r>
        <w:rPr>
          <w:spacing w:val="-66"/>
        </w:rPr>
      </w:r>
      <w:r>
        <w:rPr/>
        <w:t>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文件规定，北明软件有限公司</w:t>
      </w:r>
      <w:r>
        <w:rPr>
          <w:rFonts w:ascii="Times New Roman" w:hAnsi="Times New Roman" w:cs="Times New Roman" w:eastAsia="Times New Roman" w:hint="default"/>
        </w:rPr>
        <w:t>2013-2014</w:t>
      </w:r>
      <w:r>
        <w:rPr/>
        <w:t>年所得税率为</w:t>
      </w:r>
      <w:r>
        <w:rPr>
          <w:rFonts w:ascii="Times New Roman" w:hAnsi="Times New Roman" w:cs="Times New Roman" w:eastAsia="Times New Roman" w:hint="default"/>
        </w:rPr>
        <w:t>10%</w:t>
      </w:r>
      <w:r>
        <w:rPr/>
        <w:t>，该税收优惠政策已经广州市天</w:t>
      </w:r>
      <w:r>
        <w:rPr>
          <w:spacing w:val="-86"/>
        </w:rPr>
        <w:t> </w:t>
      </w:r>
      <w:r>
        <w:rPr>
          <w:spacing w:val="-86"/>
        </w:rPr>
      </w:r>
      <w:r>
        <w:rPr>
          <w:spacing w:val="-2"/>
        </w:rPr>
        <w:t>河区地方税务局备案。北明软件有限公司依据最新下发财税【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49</w:t>
      </w:r>
      <w:r>
        <w:rPr>
          <w:spacing w:val="-2"/>
        </w:rPr>
        <w:t>号文，在广州市天河区地方税务局对</w:t>
      </w:r>
      <w:r>
        <w:rPr>
          <w:rFonts w:ascii="Times New Roman" w:hAnsi="Times New Roman" w:cs="Times New Roman" w:eastAsia="Times New Roman" w:hint="default"/>
          <w:spacing w:val="-2"/>
        </w:rPr>
        <w:t>2015</w:t>
      </w:r>
      <w:r>
        <w:rPr>
          <w:spacing w:val="-2"/>
        </w:rPr>
        <w:t>年度所得税</w:t>
      </w:r>
      <w:r>
        <w:rPr>
          <w:spacing w:val="-56"/>
        </w:rPr>
        <w:t> </w:t>
      </w:r>
      <w:r>
        <w:rPr>
          <w:spacing w:val="-1"/>
        </w:rPr>
        <w:t>做了优惠事项备案，减按</w:t>
      </w:r>
      <w:r>
        <w:rPr>
          <w:rFonts w:ascii="Times New Roman" w:hAnsi="Times New Roman" w:cs="Times New Roman" w:eastAsia="Times New Roman" w:hint="default"/>
          <w:spacing w:val="-1"/>
        </w:rPr>
        <w:t>10%</w:t>
      </w:r>
      <w:r>
        <w:rPr>
          <w:spacing w:val="-1"/>
        </w:rPr>
        <w:t>征收，并通过发改委、工业和信息化部门的核查，同时北明软件有限公司</w:t>
      </w:r>
      <w:r>
        <w:rPr>
          <w:rFonts w:ascii="Times New Roman" w:hAnsi="Times New Roman" w:cs="Times New Roman" w:eastAsia="Times New Roman" w:hint="default"/>
          <w:spacing w:val="-1"/>
        </w:rPr>
        <w:t>2017</w:t>
      </w:r>
      <w:r>
        <w:rPr>
          <w:spacing w:val="-1"/>
        </w:rPr>
        <w:t>年重新申请高新</w:t>
      </w:r>
      <w:r>
        <w:rPr/>
        <w:t> </w:t>
      </w:r>
      <w:r>
        <w:rPr>
          <w:spacing w:val="-1"/>
        </w:rPr>
        <w:t>企业认定，已经公示，还未取得证书。</w:t>
      </w:r>
      <w:r>
        <w:rPr>
          <w:rFonts w:ascii="Times New Roman" w:hAnsi="Times New Roman" w:cs="Times New Roman" w:eastAsia="Times New Roman" w:hint="default"/>
          <w:spacing w:val="-1"/>
        </w:rPr>
        <w:t>2017</w:t>
      </w:r>
      <w:r>
        <w:rPr>
          <w:spacing w:val="-1"/>
        </w:rPr>
        <w:t>年同样执行财税【</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49</w:t>
      </w:r>
      <w:r>
        <w:rPr>
          <w:spacing w:val="-1"/>
        </w:rPr>
        <w:t>号文，减按</w:t>
      </w:r>
      <w:r>
        <w:rPr>
          <w:rFonts w:ascii="Times New Roman" w:hAnsi="Times New Roman" w:cs="Times New Roman" w:eastAsia="Times New Roman" w:hint="default"/>
          <w:spacing w:val="-1"/>
        </w:rPr>
        <w:t>10%</w:t>
      </w:r>
      <w:r>
        <w:rPr>
          <w:spacing w:val="-1"/>
        </w:rPr>
        <w:t>征收，相关优惠事项备案手续正在办</w:t>
      </w:r>
      <w:r>
        <w:rPr>
          <w:spacing w:val="-86"/>
        </w:rPr>
        <w:t> </w:t>
      </w:r>
      <w:r>
        <w:rPr>
          <w:spacing w:val="-86"/>
        </w:rPr>
      </w:r>
      <w:r>
        <w:rPr/>
        <w:t>理中。</w:t>
      </w:r>
    </w:p>
    <w:p>
      <w:pPr>
        <w:spacing w:line="240" w:lineRule="auto" w:before="1"/>
        <w:rPr>
          <w:rFonts w:ascii="宋体" w:hAnsi="宋体" w:cs="宋体" w:eastAsia="宋体" w:hint="default"/>
          <w:sz w:val="25"/>
          <w:szCs w:val="25"/>
        </w:rPr>
      </w:pPr>
    </w:p>
    <w:p>
      <w:pPr>
        <w:pStyle w:val="BodyText"/>
        <w:spacing w:line="300" w:lineRule="auto"/>
        <w:ind w:right="187" w:firstLine="360"/>
        <w:jc w:val="both"/>
      </w:pPr>
      <w:r>
        <w:rPr>
          <w:spacing w:val="-2"/>
        </w:rPr>
        <w:t>子公司武汉网软华信科技有限公司</w:t>
      </w:r>
      <w:r>
        <w:rPr>
          <w:rFonts w:ascii="Times New Roman" w:hAnsi="Times New Roman" w:cs="Times New Roman" w:eastAsia="Times New Roman" w:hint="default"/>
          <w:spacing w:val="-2"/>
        </w:rPr>
        <w:t>2013</w:t>
      </w:r>
      <w:r>
        <w:rPr>
          <w:spacing w:val="-2"/>
        </w:rPr>
        <w:t>年为税收政策规定的获利年度，根据《国务院关于印发进一步鼓励软件产业和集</w:t>
      </w:r>
      <w:r>
        <w:rPr/>
        <w:t> 成电路产业发展若干政策的通知》</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w:t>
      </w:r>
      <w:r>
        <w:rPr>
          <w:rFonts w:ascii="Times New Roman" w:hAnsi="Times New Roman" w:cs="Times New Roman" w:eastAsia="Times New Roman" w:hint="default"/>
        </w:rPr>
        <w:t>]</w:t>
      </w:r>
      <w:r>
        <w:rPr/>
        <w:t>、财政部、国家税务总局《关于进一步鼓励软件产业和集成电路产业</w:t>
      </w:r>
      <w:r>
        <w:rPr>
          <w:spacing w:val="-35"/>
        </w:rPr>
        <w:t> </w:t>
      </w:r>
      <w:r>
        <w:rPr>
          <w:spacing w:val="-35"/>
        </w:rPr>
      </w:r>
      <w:r>
        <w:rPr>
          <w:spacing w:val="-1"/>
        </w:rPr>
        <w:t>发展企业所得税政策的通知》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[2012]27</w:t>
      </w:r>
      <w:r>
        <w:rPr>
          <w:spacing w:val="-1"/>
        </w:rPr>
        <w:t>号</w:t>
      </w:r>
      <w:r>
        <w:rPr>
          <w:rFonts w:ascii="Times New Roman" w:hAnsi="Times New Roman" w:cs="Times New Roman" w:eastAsia="Times New Roman" w:hint="default"/>
          <w:spacing w:val="-1"/>
        </w:rPr>
        <w:t>]</w:t>
      </w:r>
      <w:r>
        <w:rPr>
          <w:spacing w:val="-1"/>
        </w:rPr>
        <w:t>、国家税务总局《关于执行软件企业所得税优惠政策有关问题的公告》</w:t>
      </w:r>
      <w:r>
        <w:rPr>
          <w:rFonts w:ascii="Times New Roman" w:hAnsi="Times New Roman" w:cs="Times New Roman" w:eastAsia="Times New Roman" w:hint="default"/>
          <w:spacing w:val="-1"/>
        </w:rPr>
        <w:t>[</w:t>
      </w:r>
      <w:r>
        <w:rPr>
          <w:spacing w:val="-1"/>
        </w:rPr>
        <w:t>国家</w:t>
      </w:r>
      <w:r>
        <w:rPr>
          <w:spacing w:val="-55"/>
        </w:rPr>
        <w:t> </w:t>
      </w:r>
      <w:r>
        <w:rPr/>
        <w:t>税务总局公告</w:t>
      </w:r>
      <w:r>
        <w:rPr>
          <w:rFonts w:ascii="Times New Roman" w:hAnsi="Times New Roman" w:cs="Times New Roman" w:eastAsia="Times New Roman" w:hint="default"/>
        </w:rPr>
        <w:t>2013</w:t>
      </w:r>
      <w:r>
        <w:rPr/>
        <w:t>年第</w:t>
      </w:r>
      <w:r>
        <w:rPr>
          <w:rFonts w:ascii="Times New Roman" w:hAnsi="Times New Roman" w:cs="Times New Roman" w:eastAsia="Times New Roman" w:hint="default"/>
        </w:rPr>
        <w:t>43</w:t>
      </w:r>
      <w:r>
        <w:rPr/>
        <w:t>号</w:t>
      </w:r>
      <w:r>
        <w:rPr>
          <w:rFonts w:ascii="Times New Roman" w:hAnsi="Times New Roman" w:cs="Times New Roman" w:eastAsia="Times New Roman" w:hint="default"/>
        </w:rPr>
        <w:t>]</w:t>
      </w:r>
      <w:r>
        <w:rPr/>
        <w:t>、财政部、国家税务总局、发展改革委、工业和信息化部《关于软件和集成电路产业企业所得</w:t>
      </w:r>
      <w:r>
        <w:rPr>
          <w:spacing w:val="-59"/>
        </w:rPr>
        <w:t> </w:t>
      </w:r>
      <w:r>
        <w:rPr>
          <w:spacing w:val="-59"/>
        </w:rPr>
      </w:r>
      <w:r>
        <w:rPr/>
        <w:t>税优惠政策有关问题的通知》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[2016]49</w:t>
      </w:r>
      <w:r>
        <w:rPr/>
        <w:t>号</w:t>
      </w:r>
      <w:r>
        <w:rPr>
          <w:rFonts w:ascii="Times New Roman" w:hAnsi="Times New Roman" w:cs="Times New Roman" w:eastAsia="Times New Roman" w:hint="default"/>
        </w:rPr>
        <w:t>]</w:t>
      </w:r>
      <w:r>
        <w:rPr/>
        <w:t>等文件规定，享受软件企业税收减免优惠，自获利年度起计算优惠期，</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spacing w:val="-1"/>
        </w:rPr>
        <w:t>年至</w:t>
      </w:r>
      <w:r>
        <w:rPr>
          <w:rFonts w:ascii="Times New Roman" w:hAnsi="Times New Roman" w:cs="Times New Roman" w:eastAsia="Times New Roman" w:hint="default"/>
          <w:spacing w:val="-1"/>
        </w:rPr>
        <w:t>2014</w:t>
      </w:r>
      <w:r>
        <w:rPr>
          <w:spacing w:val="-1"/>
        </w:rPr>
        <w:t>年免征企业所得税，</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2017</w:t>
      </w:r>
      <w:r>
        <w:rPr>
          <w:spacing w:val="-1"/>
        </w:rPr>
        <w:t>年按照</w:t>
      </w:r>
      <w:r>
        <w:rPr>
          <w:rFonts w:ascii="Times New Roman" w:hAnsi="Times New Roman" w:cs="Times New Roman" w:eastAsia="Times New Roman" w:hint="default"/>
          <w:spacing w:val="-1"/>
        </w:rPr>
        <w:t>25%</w:t>
      </w:r>
      <w:r>
        <w:rPr>
          <w:spacing w:val="-1"/>
        </w:rPr>
        <w:t>的法定税率减半征收企业所得税，并享受至期满为止。该税收优惠政</w:t>
      </w:r>
      <w:r>
        <w:rPr>
          <w:spacing w:val="-80"/>
        </w:rPr>
        <w:t> </w:t>
      </w:r>
      <w:r>
        <w:rPr>
          <w:spacing w:val="-80"/>
        </w:rPr>
      </w:r>
      <w:r>
        <w:rPr/>
        <w:t>策已于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日在武汉市东湖高新技术开发区国家税务局光谷税务所备案登记。同时武汉网软华信科技有限公司于</w:t>
      </w:r>
      <w:r>
        <w:rPr>
          <w:spacing w:val="-9"/>
        </w:rPr>
        <w:t> </w:t>
      </w:r>
      <w:r>
        <w:rPr>
          <w:spacing w:val="-9"/>
        </w:rPr>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日取得湖北省科学技术厅、湖北省财政厅、湖北省国家税务局、湖北省地方税务局四家联合颁发的高新技术企</w:t>
      </w:r>
      <w:r>
        <w:rPr>
          <w:spacing w:val="-58"/>
        </w:rPr>
        <w:t> </w:t>
      </w:r>
      <w:r>
        <w:rPr>
          <w:spacing w:val="-58"/>
        </w:rPr>
      </w:r>
      <w:r>
        <w:rPr/>
        <w:t>业认定证书（</w:t>
      </w:r>
      <w:r>
        <w:rPr>
          <w:rFonts w:ascii="Times New Roman" w:hAnsi="Times New Roman" w:cs="Times New Roman" w:eastAsia="Times New Roman" w:hint="default"/>
        </w:rPr>
        <w:t>GR201642001612</w:t>
      </w:r>
      <w:r>
        <w:rPr/>
        <w:t>号），根据《中华人民共和国企业所得税法》及其实施条例的相关规定，武汉网软华信科技</w:t>
      </w:r>
    </w:p>
    <w:p>
      <w:pPr>
        <w:spacing w:after="0" w:line="30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right="151"/>
        <w:jc w:val="both"/>
      </w:pPr>
      <w:r>
        <w:rPr>
          <w:spacing w:val="-1"/>
        </w:rPr>
        <w:t>有限公司自</w:t>
      </w:r>
      <w:r>
        <w:rPr>
          <w:rFonts w:ascii="Times New Roman" w:hAnsi="Times New Roman" w:cs="Times New Roman" w:eastAsia="Times New Roman" w:hint="default"/>
          <w:spacing w:val="-1"/>
        </w:rPr>
        <w:t>2017</w:t>
      </w:r>
      <w:r>
        <w:rPr>
          <w:spacing w:val="-1"/>
        </w:rPr>
        <w:t>年至</w:t>
      </w:r>
      <w:r>
        <w:rPr>
          <w:rFonts w:ascii="Times New Roman" w:hAnsi="Times New Roman" w:cs="Times New Roman" w:eastAsia="Times New Roman" w:hint="default"/>
          <w:spacing w:val="-1"/>
        </w:rPr>
        <w:t>2019</w:t>
      </w:r>
      <w:r>
        <w:rPr>
          <w:spacing w:val="-1"/>
        </w:rPr>
        <w:t>年减按</w:t>
      </w:r>
      <w:r>
        <w:rPr>
          <w:rFonts w:ascii="Times New Roman" w:hAnsi="Times New Roman" w:cs="Times New Roman" w:eastAsia="Times New Roman" w:hint="default"/>
          <w:spacing w:val="-1"/>
        </w:rPr>
        <w:t>15%</w:t>
      </w:r>
      <w:r>
        <w:rPr>
          <w:spacing w:val="-1"/>
        </w:rPr>
        <w:t>税率缴纳企业所得税的税收优惠政策。两种优惠政策只能享受其一，</w:t>
      </w:r>
      <w:r>
        <w:rPr>
          <w:rFonts w:ascii="Times New Roman" w:hAnsi="Times New Roman" w:cs="Times New Roman" w:eastAsia="Times New Roman" w:hint="default"/>
          <w:spacing w:val="-1"/>
        </w:rPr>
        <w:t>2017</w:t>
      </w:r>
      <w:r>
        <w:rPr>
          <w:spacing w:val="-1"/>
        </w:rPr>
        <w:t>年度企业所得</w:t>
      </w:r>
      <w:r>
        <w:rPr>
          <w:spacing w:val="-83"/>
        </w:rPr>
        <w:t> </w:t>
      </w:r>
      <w:r>
        <w:rPr/>
        <w:t>税率为</w:t>
      </w:r>
      <w:r>
        <w:rPr>
          <w:rFonts w:ascii="Times New Roman" w:hAnsi="Times New Roman" w:cs="Times New Roman" w:eastAsia="Times New Roman" w:hint="default"/>
        </w:rPr>
        <w:t>12.5%</w:t>
      </w:r>
      <w:r>
        <w:rPr/>
        <w:t>。</w:t>
      </w:r>
    </w:p>
    <w:p>
      <w:pPr>
        <w:spacing w:line="240" w:lineRule="auto" w:before="12"/>
        <w:rPr>
          <w:rFonts w:ascii="宋体" w:hAnsi="宋体" w:cs="宋体" w:eastAsia="宋体" w:hint="default"/>
          <w:sz w:val="23"/>
          <w:szCs w:val="23"/>
        </w:rPr>
      </w:pPr>
    </w:p>
    <w:p>
      <w:pPr>
        <w:pStyle w:val="BodyText"/>
        <w:spacing w:line="300" w:lineRule="auto"/>
        <w:ind w:right="147" w:firstLine="360"/>
        <w:jc w:val="both"/>
      </w:pPr>
      <w:r>
        <w:rPr>
          <w:spacing w:val="-2"/>
        </w:rPr>
        <w:t>子公司北京北明正实科技有限公司于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日取得北京市经济和信息化委员会颁发的软件企业认定证书，且</w:t>
      </w:r>
      <w:r>
        <w:rPr>
          <w:rFonts w:ascii="Times New Roman" w:hAnsi="Times New Roman" w:cs="Times New Roman" w:eastAsia="Times New Roman" w:hint="default"/>
          <w:spacing w:val="-2"/>
        </w:rPr>
        <w:t>2013</w:t>
      </w:r>
      <w:r>
        <w:rPr>
          <w:rFonts w:ascii="Times New Roman" w:hAnsi="Times New Roman" w:cs="Times New Roman" w:eastAsia="Times New Roman" w:hint="default"/>
        </w:rPr>
        <w:t> </w:t>
      </w:r>
      <w:r>
        <w:rPr>
          <w:spacing w:val="3"/>
        </w:rPr>
        <w:t>年为税收政策规定的获利年度，根据《国务院关于印发进一步鼓励软件产业和集成电路产业发展若干政策的通知》</w:t>
      </w:r>
      <w:r>
        <w:rPr>
          <w:rFonts w:ascii="Times New Roman" w:hAnsi="Times New Roman" w:cs="Times New Roman" w:eastAsia="Times New Roman" w:hint="default"/>
          <w:spacing w:val="3"/>
        </w:rPr>
        <w:t>[</w:t>
      </w:r>
      <w:r>
        <w:rPr>
          <w:spacing w:val="3"/>
        </w:rPr>
        <w:t>国发</w:t>
      </w:r>
      <w:r>
        <w:rPr/>
      </w:r>
    </w:p>
    <w:p>
      <w:pPr>
        <w:pStyle w:val="BodyText"/>
        <w:spacing w:line="300" w:lineRule="auto" w:before="13"/>
        <w:ind w:right="146"/>
        <w:jc w:val="both"/>
      </w:pPr>
      <w:r>
        <w:rPr>
          <w:spacing w:val="-4"/>
        </w:rPr>
        <w:t>〔</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4</w:t>
      </w:r>
      <w:r>
        <w:rPr>
          <w:spacing w:val="-4"/>
        </w:rPr>
        <w:t>号</w:t>
      </w:r>
      <w:r>
        <w:rPr>
          <w:rFonts w:ascii="Times New Roman" w:hAnsi="Times New Roman" w:cs="Times New Roman" w:eastAsia="Times New Roman" w:hint="default"/>
          <w:spacing w:val="-4"/>
        </w:rPr>
        <w:t>]</w:t>
      </w:r>
      <w:r>
        <w:rPr>
          <w:spacing w:val="-4"/>
        </w:rPr>
        <w:t>、财政部、国家税务总局《关于进一步鼓励软件产业和集成电路产业发展企业所得税政策的通知》</w:t>
      </w:r>
      <w:r>
        <w:rPr>
          <w:rFonts w:ascii="Times New Roman" w:hAnsi="Times New Roman" w:cs="Times New Roman" w:eastAsia="Times New Roman" w:hint="default"/>
          <w:spacing w:val="-4"/>
        </w:rPr>
        <w:t>[</w:t>
      </w:r>
      <w:r>
        <w:rPr>
          <w:spacing w:val="-4"/>
        </w:rPr>
        <w:t>财税</w:t>
      </w:r>
      <w:r>
        <w:rPr>
          <w:rFonts w:ascii="Times New Roman" w:hAnsi="Times New Roman" w:cs="Times New Roman" w:eastAsia="Times New Roman" w:hint="default"/>
          <w:spacing w:val="-4"/>
        </w:rPr>
        <w:t>[2012]27</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spacing w:val="-2"/>
        </w:rPr>
        <w:t>号</w:t>
      </w:r>
      <w:r>
        <w:rPr>
          <w:rFonts w:ascii="Times New Roman" w:hAnsi="Times New Roman" w:cs="Times New Roman" w:eastAsia="Times New Roman" w:hint="default"/>
          <w:spacing w:val="-2"/>
        </w:rPr>
        <w:t>]</w:t>
      </w:r>
      <w:r>
        <w:rPr>
          <w:spacing w:val="-2"/>
        </w:rPr>
        <w:t>、国家税务总局《关于执行软件企业所得税优惠政策有关问题的公告》</w:t>
      </w:r>
      <w:r>
        <w:rPr>
          <w:rFonts w:ascii="Times New Roman" w:hAnsi="Times New Roman" w:cs="Times New Roman" w:eastAsia="Times New Roman" w:hint="default"/>
          <w:spacing w:val="-2"/>
        </w:rPr>
        <w:t>[</w:t>
      </w:r>
      <w:r>
        <w:rPr>
          <w:spacing w:val="-2"/>
        </w:rPr>
        <w:t>国家税务总局公告</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43</w:t>
      </w:r>
      <w:r>
        <w:rPr>
          <w:spacing w:val="-2"/>
        </w:rPr>
        <w:t>号</w:t>
      </w:r>
      <w:r>
        <w:rPr>
          <w:rFonts w:ascii="Times New Roman" w:hAnsi="Times New Roman" w:cs="Times New Roman" w:eastAsia="Times New Roman" w:hint="default"/>
          <w:spacing w:val="-2"/>
        </w:rPr>
        <w:t>]</w:t>
      </w:r>
      <w:r>
        <w:rPr>
          <w:spacing w:val="-2"/>
        </w:rPr>
        <w:t>、财政部、国家</w:t>
      </w:r>
      <w:r>
        <w:rPr>
          <w:spacing w:val="-58"/>
        </w:rPr>
        <w:t> </w:t>
      </w:r>
      <w:r>
        <w:rPr>
          <w:spacing w:val="-58"/>
        </w:rPr>
      </w:r>
      <w:r>
        <w:rPr/>
        <w:t>税务总局、发展改革委、工业和信息化部《关于软件和集成电路产业企业所得税优惠政策有关问题的通知》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[2016]49</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号</w:t>
      </w:r>
      <w:r>
        <w:rPr>
          <w:rFonts w:ascii="Times New Roman" w:hAnsi="Times New Roman" w:cs="Times New Roman" w:eastAsia="Times New Roman" w:hint="default"/>
        </w:rPr>
        <w:t>]</w:t>
      </w:r>
      <w:r>
        <w:rPr/>
        <w:t>等文件规定，享受软件企业税收减免优惠，自获利年度起计算优惠期，</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2014</w:t>
      </w:r>
      <w:r>
        <w:rPr/>
        <w:t>年免征企业所得税，</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年按照</w:t>
      </w:r>
      <w:r>
        <w:rPr>
          <w:rFonts w:ascii="Times New Roman" w:hAnsi="Times New Roman" w:cs="Times New Roman" w:eastAsia="Times New Roman" w:hint="default"/>
        </w:rPr>
        <w:t>25%</w:t>
      </w:r>
      <w:r>
        <w:rPr/>
        <w:t>的法定税率减半征收企业所得税，并享受至期满为止。该税收优惠政策已于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日在北京市海淀区国家</w:t>
      </w:r>
      <w:r>
        <w:rPr>
          <w:spacing w:val="-57"/>
        </w:rPr>
        <w:t> </w:t>
      </w:r>
      <w:r>
        <w:rPr>
          <w:spacing w:val="-57"/>
        </w:rPr>
      </w:r>
      <w:r>
        <w:rPr/>
        <w:t>税务局第五税务所备案登记。</w:t>
      </w:r>
    </w:p>
    <w:p>
      <w:pPr>
        <w:spacing w:line="240" w:lineRule="auto" w:before="4"/>
        <w:rPr>
          <w:rFonts w:ascii="宋体" w:hAnsi="宋体" w:cs="宋体" w:eastAsia="宋体" w:hint="default"/>
          <w:sz w:val="25"/>
          <w:szCs w:val="25"/>
        </w:rPr>
      </w:pPr>
    </w:p>
    <w:p>
      <w:pPr>
        <w:pStyle w:val="BodyText"/>
        <w:spacing w:line="300" w:lineRule="auto"/>
        <w:ind w:left="154" w:right="149" w:firstLine="360"/>
        <w:jc w:val="both"/>
      </w:pPr>
      <w:r>
        <w:rPr>
          <w:spacing w:val="-2"/>
        </w:rPr>
        <w:t>子公司珠海市震星信息技术有限公司于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日经广东省科学技术厅、广东省财政厅、广东省国家税务局、广东</w:t>
      </w:r>
      <w:r>
        <w:rPr/>
        <w:t> 省地方税务局批准取得编号</w:t>
      </w:r>
      <w:r>
        <w:rPr>
          <w:rFonts w:ascii="Times New Roman" w:hAnsi="Times New Roman" w:cs="Times New Roman" w:eastAsia="Times New Roman" w:hint="default"/>
        </w:rPr>
        <w:t>GR201644001353</w:t>
      </w:r>
      <w:r>
        <w:rPr/>
        <w:t>号高新技术企业证书，根据《中华人民共和国企业所得税法》及其实施条例的</w:t>
      </w:r>
      <w:r>
        <w:rPr>
          <w:spacing w:val="-69"/>
        </w:rPr>
        <w:t> </w:t>
      </w:r>
      <w:r>
        <w:rPr>
          <w:spacing w:val="-69"/>
        </w:rPr>
      </w:r>
      <w:r>
        <w:rPr/>
        <w:t>相关规定，珠海市震星信息技术有限公司自</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年减按</w:t>
      </w:r>
      <w:r>
        <w:rPr>
          <w:rFonts w:ascii="Times New Roman" w:hAnsi="Times New Roman" w:cs="Times New Roman" w:eastAsia="Times New Roman" w:hint="default"/>
        </w:rPr>
        <w:t>15%</w:t>
      </w:r>
      <w:r>
        <w:rPr/>
        <w:t>税率缴纳企业所得税。</w:t>
      </w:r>
    </w:p>
    <w:p>
      <w:pPr>
        <w:spacing w:line="240" w:lineRule="auto" w:before="12"/>
        <w:rPr>
          <w:rFonts w:ascii="宋体" w:hAnsi="宋体" w:cs="宋体" w:eastAsia="宋体" w:hint="default"/>
          <w:sz w:val="23"/>
          <w:szCs w:val="23"/>
        </w:rPr>
      </w:pPr>
    </w:p>
    <w:p>
      <w:pPr>
        <w:pStyle w:val="BodyText"/>
        <w:spacing w:line="300" w:lineRule="auto"/>
        <w:ind w:left="154" w:right="149" w:firstLine="360"/>
        <w:jc w:val="both"/>
      </w:pPr>
      <w:r>
        <w:rPr>
          <w:spacing w:val="-2"/>
        </w:rPr>
        <w:t>子公司索科维尔（北京）软件系统有限公司，于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日取得北京科学技术委员会、北京市财政局、北京市国家</w:t>
      </w:r>
      <w:r>
        <w:rPr/>
        <w:t> 税务局、北京市地方税务局四家联合颁发的编号</w:t>
      </w:r>
      <w:r>
        <w:rPr>
          <w:rFonts w:ascii="Times New Roman" w:hAnsi="Times New Roman" w:cs="Times New Roman" w:eastAsia="Times New Roman" w:hint="default"/>
        </w:rPr>
        <w:t>GR201711002038</w:t>
      </w:r>
      <w:r>
        <w:rPr/>
        <w:t>号高新技术企业认定书，根据《中华人民共和国企业所得</w:t>
      </w:r>
      <w:r>
        <w:rPr>
          <w:spacing w:val="-80"/>
        </w:rPr>
        <w:t> </w:t>
      </w:r>
      <w:r>
        <w:rPr>
          <w:spacing w:val="-80"/>
        </w:rPr>
      </w:r>
      <w:r>
        <w:rPr>
          <w:spacing w:val="-1"/>
        </w:rPr>
        <w:t>税法》及其实施条例的相关规定，索科维尔（北京）软件系统有限公司自</w:t>
      </w:r>
      <w:r>
        <w:rPr>
          <w:rFonts w:ascii="Times New Roman" w:hAnsi="Times New Roman" w:cs="Times New Roman" w:eastAsia="Times New Roman" w:hint="default"/>
          <w:spacing w:val="-1"/>
        </w:rPr>
        <w:t>2017</w:t>
      </w:r>
      <w:r>
        <w:rPr>
          <w:spacing w:val="-1"/>
        </w:rPr>
        <w:t>年至</w:t>
      </w:r>
      <w:r>
        <w:rPr>
          <w:rFonts w:ascii="Times New Roman" w:hAnsi="Times New Roman" w:cs="Times New Roman" w:eastAsia="Times New Roman" w:hint="default"/>
          <w:spacing w:val="-1"/>
        </w:rPr>
        <w:t>2019</w:t>
      </w:r>
      <w:r>
        <w:rPr>
          <w:spacing w:val="-1"/>
        </w:rPr>
        <w:t>年减按</w:t>
      </w:r>
      <w:r>
        <w:rPr>
          <w:rFonts w:ascii="Times New Roman" w:hAnsi="Times New Roman" w:cs="Times New Roman" w:eastAsia="Times New Roman" w:hint="default"/>
          <w:spacing w:val="-1"/>
        </w:rPr>
        <w:t>15%</w:t>
      </w:r>
      <w:r>
        <w:rPr>
          <w:spacing w:val="-1"/>
        </w:rPr>
        <w:t>税率缴纳企业所得税的税</w:t>
      </w:r>
      <w:r>
        <w:rPr>
          <w:spacing w:val="-87"/>
        </w:rPr>
        <w:t> </w:t>
      </w:r>
      <w:r>
        <w:rPr/>
        <w:t>收优惠政策。</w:t>
      </w:r>
    </w:p>
    <w:p>
      <w:pPr>
        <w:spacing w:line="240" w:lineRule="auto" w:before="4"/>
        <w:rPr>
          <w:rFonts w:ascii="宋体" w:hAnsi="宋体" w:cs="宋体" w:eastAsia="宋体" w:hint="default"/>
          <w:sz w:val="25"/>
          <w:szCs w:val="25"/>
        </w:rPr>
      </w:pPr>
    </w:p>
    <w:p>
      <w:pPr>
        <w:pStyle w:val="BodyText"/>
        <w:spacing w:line="300" w:lineRule="auto"/>
        <w:ind w:left="154" w:right="149" w:firstLine="360"/>
        <w:jc w:val="both"/>
      </w:pPr>
      <w:r>
        <w:rPr/>
        <w:t>子公司北京天时前程自动化工程技术有限公司，于</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8</w:t>
      </w:r>
      <w:r>
        <w:rPr/>
        <w:t>月</w:t>
      </w:r>
      <w:r>
        <w:rPr>
          <w:spacing w:val="-3"/>
        </w:rPr>
        <w:t> </w:t>
      </w:r>
      <w:r>
        <w:rPr>
          <w:rFonts w:ascii="Times New Roman" w:hAnsi="Times New Roman" w:cs="Times New Roman" w:eastAsia="Times New Roman" w:hint="default"/>
        </w:rPr>
        <w:t>10</w:t>
      </w:r>
      <w:r>
        <w:rPr/>
        <w:t>日由北京市科学技术委员会、北京市财政局、北京市 国家税务局及北京市地方税务局共同认定为高新技术企业，己取得高新技术企业证书，证书编号为</w:t>
      </w:r>
      <w:r>
        <w:rPr>
          <w:rFonts w:ascii="Times New Roman" w:hAnsi="Times New Roman" w:cs="Times New Roman" w:eastAsia="Times New Roman" w:hint="default"/>
        </w:rPr>
        <w:t>GR201711000868</w:t>
      </w:r>
      <w:r>
        <w:rPr/>
        <w:t>，根据</w:t>
      </w:r>
    </w:p>
    <w:p>
      <w:pPr>
        <w:pStyle w:val="BodyText"/>
        <w:spacing w:line="240" w:lineRule="auto" w:before="13"/>
        <w:ind w:left="154" w:right="0"/>
        <w:jc w:val="both"/>
      </w:pPr>
      <w:r>
        <w:rPr/>
        <w:t>《中华人民共和国企业所得税法》及其实施条例的相关规定，北京天时前程自动化工程技术有限公司自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年减按</w:t>
      </w:r>
    </w:p>
    <w:p>
      <w:pPr>
        <w:pStyle w:val="BodyText"/>
        <w:spacing w:line="240" w:lineRule="auto" w:before="63"/>
        <w:ind w:left="154" w:right="0"/>
        <w:jc w:val="both"/>
      </w:pPr>
      <w:r>
        <w:rPr>
          <w:rFonts w:ascii="Times New Roman" w:hAnsi="Times New Roman" w:cs="Times New Roman" w:eastAsia="Times New Roman" w:hint="default"/>
        </w:rPr>
        <w:t>15%</w:t>
      </w:r>
      <w:r>
        <w:rPr/>
        <w:t>税率缴纳企业所得税。</w:t>
      </w:r>
    </w:p>
    <w:p>
      <w:pPr>
        <w:spacing w:line="240" w:lineRule="auto" w:before="0"/>
        <w:rPr>
          <w:rFonts w:ascii="宋体" w:hAnsi="宋体" w:cs="宋体" w:eastAsia="宋体" w:hint="default"/>
          <w:sz w:val="18"/>
          <w:szCs w:val="18"/>
        </w:rPr>
      </w:pPr>
    </w:p>
    <w:p>
      <w:pPr>
        <w:pStyle w:val="BodyText"/>
        <w:spacing w:line="240" w:lineRule="auto" w:before="127"/>
        <w:ind w:left="514" w:right="141"/>
        <w:jc w:val="left"/>
      </w:pPr>
      <w:r>
        <w:rPr/>
        <w:t>子公司北京明润华创有限责任公司于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22</w:t>
      </w:r>
      <w:r>
        <w:rPr/>
        <w:t>日取得北京市经济和信息化委员会颁发的软件企业认定证书，根据</w:t>
      </w:r>
    </w:p>
    <w:p>
      <w:pPr>
        <w:pStyle w:val="BodyText"/>
        <w:spacing w:line="240" w:lineRule="auto" w:before="63"/>
        <w:ind w:left="154" w:right="0"/>
        <w:jc w:val="both"/>
      </w:pPr>
      <w:r>
        <w:rPr/>
        <w:t>《国务院关于印发进一步鼓励软件产业和集成电路产业发展若干政策的通知》</w:t>
      </w:r>
      <w:r>
        <w:rPr>
          <w:rFonts w:ascii="Times New Roman" w:hAnsi="Times New Roman" w:cs="Times New Roman" w:eastAsia="Times New Roman" w:hint="default"/>
        </w:rPr>
        <w:t>[</w:t>
      </w:r>
      <w:r>
        <w:rPr/>
        <w:t>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w:t>
      </w:r>
      <w:r>
        <w:rPr>
          <w:rFonts w:ascii="Times New Roman" w:hAnsi="Times New Roman" w:cs="Times New Roman" w:eastAsia="Times New Roman" w:hint="default"/>
        </w:rPr>
        <w:t>]</w:t>
      </w:r>
      <w:r>
        <w:rPr/>
        <w:t>、财政部、国家税务总局</w:t>
      </w:r>
    </w:p>
    <w:p>
      <w:pPr>
        <w:pStyle w:val="BodyText"/>
        <w:spacing w:line="300" w:lineRule="auto" w:before="63"/>
        <w:ind w:left="154" w:right="146"/>
        <w:jc w:val="both"/>
      </w:pPr>
      <w:r>
        <w:rPr/>
        <w:t>《关于进一步鼓励软件产业和集成电路产业发展企业所得税政策的通知》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、国家税务总局《关于执行软件</w:t>
      </w:r>
      <w:r>
        <w:rPr>
          <w:spacing w:val="-58"/>
        </w:rPr>
        <w:t> </w:t>
      </w:r>
      <w:r>
        <w:rPr>
          <w:spacing w:val="-58"/>
        </w:rPr>
      </w:r>
      <w:r>
        <w:rPr>
          <w:spacing w:val="-1"/>
        </w:rPr>
        <w:t>企业所得税优惠政策有关问题的公告》</w:t>
      </w:r>
      <w:r>
        <w:rPr>
          <w:rFonts w:ascii="Times New Roman" w:hAnsi="Times New Roman" w:cs="Times New Roman" w:eastAsia="Times New Roman" w:hint="default"/>
          <w:spacing w:val="-1"/>
        </w:rPr>
        <w:t>[</w:t>
      </w:r>
      <w:r>
        <w:rPr>
          <w:spacing w:val="-1"/>
        </w:rPr>
        <w:t>国家税务总局公告</w:t>
      </w:r>
      <w:r>
        <w:rPr>
          <w:rFonts w:ascii="Times New Roman" w:hAnsi="Times New Roman" w:cs="Times New Roman" w:eastAsia="Times New Roman" w:hint="default"/>
          <w:spacing w:val="-1"/>
        </w:rPr>
        <w:t>2013</w:t>
      </w:r>
      <w:r>
        <w:rPr>
          <w:spacing w:val="-1"/>
        </w:rPr>
        <w:t>年第</w:t>
      </w:r>
      <w:r>
        <w:rPr>
          <w:rFonts w:ascii="Times New Roman" w:hAnsi="Times New Roman" w:cs="Times New Roman" w:eastAsia="Times New Roman" w:hint="default"/>
          <w:spacing w:val="-1"/>
        </w:rPr>
        <w:t>43</w:t>
      </w:r>
      <w:r>
        <w:rPr>
          <w:spacing w:val="-1"/>
        </w:rPr>
        <w:t>号</w:t>
      </w:r>
      <w:r>
        <w:rPr>
          <w:rFonts w:ascii="Times New Roman" w:hAnsi="Times New Roman" w:cs="Times New Roman" w:eastAsia="Times New Roman" w:hint="default"/>
          <w:spacing w:val="-1"/>
        </w:rPr>
        <w:t>]</w:t>
      </w:r>
      <w:r>
        <w:rPr>
          <w:spacing w:val="-1"/>
        </w:rPr>
        <w:t>、财政部、国家税务总局、发展改革委、工业和信</w:t>
      </w:r>
      <w:r>
        <w:rPr>
          <w:spacing w:val="-57"/>
        </w:rPr>
        <w:t> </w:t>
      </w:r>
      <w:r>
        <w:rPr>
          <w:spacing w:val="-57"/>
        </w:rPr>
      </w:r>
      <w:r>
        <w:rPr/>
        <w:t>息化部《关于软件和集成电路产业企业所得税优惠政策有关问题的通知》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[2016]49</w:t>
      </w:r>
      <w:r>
        <w:rPr/>
        <w:t>号</w:t>
      </w:r>
      <w:r>
        <w:rPr>
          <w:rFonts w:ascii="Times New Roman" w:hAnsi="Times New Roman" w:cs="Times New Roman" w:eastAsia="Times New Roman" w:hint="default"/>
        </w:rPr>
        <w:t>]</w:t>
      </w:r>
      <w:r>
        <w:rPr/>
        <w:t>等文件规定，享受软件企业税收</w:t>
      </w:r>
      <w:r>
        <w:rPr>
          <w:spacing w:val="-58"/>
        </w:rPr>
        <w:t> </w:t>
      </w:r>
      <w:r>
        <w:rPr>
          <w:spacing w:val="-58"/>
        </w:rPr>
      </w:r>
      <w:r>
        <w:rPr/>
        <w:t>减免优惠，</w:t>
      </w:r>
      <w:r>
        <w:rPr>
          <w:spacing w:val="-51"/>
        </w:rPr>
        <w:t> </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年按照</w:t>
      </w:r>
      <w:r>
        <w:rPr>
          <w:rFonts w:ascii="Times New Roman" w:hAnsi="Times New Roman" w:cs="Times New Roman" w:eastAsia="Times New Roman" w:hint="default"/>
        </w:rPr>
        <w:t>25%</w:t>
      </w:r>
      <w:r>
        <w:rPr/>
        <w:t>的法定税率减半征收企业所得税，并享受至期满为止。该税收优惠政策已于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1</w:t>
      </w:r>
      <w:r>
        <w:rPr/>
        <w:t>日在北京市石景区国家税务局第一税务所备案登记。</w:t>
      </w:r>
    </w:p>
    <w:p>
      <w:pPr>
        <w:spacing w:line="240" w:lineRule="auto" w:before="12"/>
        <w:rPr>
          <w:rFonts w:ascii="宋体" w:hAnsi="宋体" w:cs="宋体" w:eastAsia="宋体" w:hint="default"/>
          <w:sz w:val="23"/>
          <w:szCs w:val="23"/>
        </w:rPr>
      </w:pPr>
    </w:p>
    <w:p>
      <w:pPr>
        <w:pStyle w:val="BodyText"/>
        <w:spacing w:line="300" w:lineRule="auto"/>
        <w:ind w:left="154" w:right="151" w:firstLine="360"/>
        <w:jc w:val="both"/>
      </w:pPr>
      <w:r>
        <w:rPr>
          <w:spacing w:val="-2"/>
        </w:rPr>
        <w:t>子公司山东成功信息技术有限公司于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日取得山东省科学技厅、山东省财政厅、山东省国家税局、山东省地</w:t>
      </w:r>
      <w:r>
        <w:rPr/>
        <w:t> 方税局四家联合颁发的编号</w:t>
      </w:r>
      <w:r>
        <w:rPr>
          <w:rFonts w:ascii="Times New Roman" w:hAnsi="Times New Roman" w:cs="Times New Roman" w:eastAsia="Times New Roman" w:hint="default"/>
        </w:rPr>
        <w:t>GF201537000175</w:t>
      </w:r>
      <w:r>
        <w:rPr/>
        <w:t>号高新技术企业证书，自</w:t>
      </w:r>
      <w:r>
        <w:rPr>
          <w:rFonts w:ascii="Times New Roman" w:hAnsi="Times New Roman" w:cs="Times New Roman" w:eastAsia="Times New Roman" w:hint="default"/>
        </w:rPr>
        <w:t>2015</w:t>
      </w:r>
      <w:r>
        <w:rPr/>
        <w:t>年开始三年内企业所得税税率为</w:t>
      </w:r>
      <w:r>
        <w:rPr>
          <w:rFonts w:ascii="Times New Roman" w:hAnsi="Times New Roman" w:cs="Times New Roman" w:eastAsia="Times New Roman" w:hint="default"/>
        </w:rPr>
        <w:t>15%</w:t>
      </w:r>
      <w:r>
        <w:rPr/>
        <w:t>。</w:t>
      </w:r>
    </w:p>
    <w:p>
      <w:pPr>
        <w:spacing w:line="240" w:lineRule="auto" w:before="12"/>
        <w:rPr>
          <w:rFonts w:ascii="宋体" w:hAnsi="宋体" w:cs="宋体" w:eastAsia="宋体" w:hint="default"/>
          <w:sz w:val="23"/>
          <w:szCs w:val="23"/>
        </w:rPr>
      </w:pPr>
    </w:p>
    <w:p>
      <w:pPr>
        <w:pStyle w:val="BodyText"/>
        <w:spacing w:line="300" w:lineRule="auto"/>
        <w:ind w:right="147" w:firstLine="360"/>
        <w:jc w:val="both"/>
      </w:pPr>
      <w:r>
        <w:rPr>
          <w:spacing w:val="-2"/>
        </w:rPr>
        <w:t>子公司北京天时前程工程技术有限公司、北明云山（武汉）软件开发有限公司根据财税〔</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43</w:t>
      </w:r>
      <w:r>
        <w:rPr>
          <w:spacing w:val="-2"/>
        </w:rPr>
        <w:t>号《关于扩大小型微</w:t>
      </w:r>
      <w:r>
        <w:rPr/>
        <w:t> </w:t>
      </w:r>
      <w:r>
        <w:rPr>
          <w:spacing w:val="-2"/>
        </w:rPr>
        <w:t>利企业所得税优惠政策范围的通知》，自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日，将小型微利企业的年应纳税所得额上限由</w:t>
      </w:r>
      <w:r>
        <w:rPr>
          <w:rFonts w:ascii="Times New Roman" w:hAnsi="Times New Roman" w:cs="Times New Roman" w:eastAsia="Times New Roman" w:hint="default"/>
          <w:spacing w:val="-2"/>
        </w:rPr>
        <w:t>30</w:t>
      </w:r>
      <w:r>
        <w:rPr>
          <w:spacing w:val="-2"/>
        </w:rPr>
        <w:t>万元</w:t>
      </w:r>
      <w:r>
        <w:rPr>
          <w:spacing w:val="-50"/>
        </w:rPr>
        <w:t> </w:t>
      </w:r>
      <w:r>
        <w:rPr/>
        <w:t>提高至</w:t>
      </w:r>
      <w:r>
        <w:rPr>
          <w:rFonts w:ascii="Times New Roman" w:hAnsi="Times New Roman" w:cs="Times New Roman" w:eastAsia="Times New Roman" w:hint="default"/>
        </w:rPr>
        <w:t>50</w:t>
      </w:r>
      <w:r>
        <w:rPr/>
        <w:t>万元，对年应纳税所得额低于</w:t>
      </w:r>
      <w:r>
        <w:rPr>
          <w:rFonts w:ascii="Times New Roman" w:hAnsi="Times New Roman" w:cs="Times New Roman" w:eastAsia="Times New Roman" w:hint="default"/>
        </w:rPr>
        <w:t>50</w:t>
      </w:r>
      <w:r>
        <w:rPr/>
        <w:t>万元</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50</w:t>
      </w:r>
      <w:r>
        <w:rPr/>
        <w:t>万元</w:t>
      </w:r>
      <w:r>
        <w:rPr>
          <w:rFonts w:ascii="Times New Roman" w:hAnsi="Times New Roman" w:cs="Times New Roman" w:eastAsia="Times New Roman" w:hint="default"/>
        </w:rPr>
        <w:t>)</w:t>
      </w:r>
      <w:r>
        <w:rPr/>
        <w:t>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w:t>
      </w:r>
      <w:r>
        <w:rPr>
          <w:spacing w:val="-58"/>
        </w:rPr>
        <w:t> </w:t>
      </w:r>
      <w:r>
        <w:rPr/>
        <w:t>率缴纳企业所得税。</w:t>
      </w:r>
    </w:p>
    <w:p>
      <w:pPr>
        <w:spacing w:line="240" w:lineRule="auto" w:before="4"/>
        <w:rPr>
          <w:rFonts w:ascii="宋体" w:hAnsi="宋体" w:cs="宋体" w:eastAsia="宋体" w:hint="default"/>
          <w:sz w:val="25"/>
          <w:szCs w:val="25"/>
        </w:rPr>
      </w:pPr>
    </w:p>
    <w:p>
      <w:pPr>
        <w:pStyle w:val="BodyText"/>
        <w:spacing w:line="300" w:lineRule="auto"/>
        <w:ind w:right="151" w:firstLine="360"/>
        <w:jc w:val="both"/>
      </w:pPr>
      <w:r>
        <w:rPr/>
        <w:t>子公司北京金实盈信科技有限公司于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日取得软件企业认定证书，编号</w:t>
      </w:r>
      <w:r>
        <w:rPr>
          <w:rFonts w:ascii="Times New Roman" w:hAnsi="Times New Roman" w:cs="Times New Roman" w:eastAsia="Times New Roman" w:hint="default"/>
        </w:rPr>
        <w:t>:</w:t>
      </w:r>
      <w:r>
        <w:rPr/>
        <w:t>京</w:t>
      </w:r>
      <w:r>
        <w:rPr>
          <w:rFonts w:ascii="Times New Roman" w:hAnsi="Times New Roman" w:cs="Times New Roman" w:eastAsia="Times New Roman" w:hint="default"/>
        </w:rPr>
        <w:t>R-2014-0624</w:t>
      </w:r>
      <w:r>
        <w:rPr/>
        <w:t>，根据《国家税务总 </w:t>
      </w:r>
      <w:r>
        <w:rPr>
          <w:spacing w:val="-2"/>
        </w:rPr>
        <w:t>局关于执行软件企业所得税优惠政策有关问题的公告》（国家税务总局公告</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43</w:t>
      </w:r>
      <w:r>
        <w:rPr>
          <w:spacing w:val="-2"/>
        </w:rPr>
        <w:t>号）规定，经核定为软件企业享受自</w:t>
      </w:r>
      <w:r>
        <w:rPr>
          <w:spacing w:val="-59"/>
        </w:rPr>
        <w:t> </w:t>
      </w:r>
      <w:r>
        <w:rPr>
          <w:spacing w:val="-59"/>
        </w:rPr>
      </w:r>
      <w:r>
        <w:rPr>
          <w:spacing w:val="-2"/>
        </w:rPr>
        <w:t>获利年度开始</w:t>
      </w:r>
      <w:r>
        <w:rPr>
          <w:rFonts w:ascii="Times New Roman" w:hAnsi="Times New Roman" w:cs="Times New Roman" w:eastAsia="Times New Roman" w:hint="default"/>
          <w:spacing w:val="-2"/>
        </w:rPr>
        <w:t>“</w:t>
      </w:r>
      <w:r>
        <w:rPr>
          <w:spacing w:val="-2"/>
        </w:rPr>
        <w:t>两免三减半</w:t>
      </w:r>
      <w:r>
        <w:rPr>
          <w:rFonts w:ascii="Times New Roman" w:hAnsi="Times New Roman" w:cs="Times New Roman" w:eastAsia="Times New Roman" w:hint="default"/>
          <w:spacing w:val="-2"/>
        </w:rPr>
        <w:t>”</w:t>
      </w:r>
      <w:r>
        <w:rPr>
          <w:spacing w:val="-2"/>
        </w:rPr>
        <w:t>的所得税税收优惠政策。北京金实盈信科技有限公司已在北京市东城区国家税务局第一税务所进</w:t>
      </w:r>
    </w:p>
    <w:p>
      <w:pPr>
        <w:spacing w:after="0" w:line="300" w:lineRule="auto"/>
        <w:jc w:val="both"/>
        <w:sectPr>
          <w:footerReference w:type="default" r:id="rId21"/>
          <w:pgSz w:w="11910" w:h="16840"/>
          <w:pgMar w:footer="982" w:header="747" w:top="1060" w:bottom="1180" w:left="980" w:right="980"/>
          <w:pgNumType w:start="112"/>
        </w:sectPr>
      </w:pPr>
    </w:p>
    <w:p>
      <w:pPr>
        <w:spacing w:line="240" w:lineRule="auto" w:before="12"/>
        <w:rPr>
          <w:rFonts w:ascii="宋体" w:hAnsi="宋体" w:cs="宋体" w:eastAsia="宋体" w:hint="default"/>
          <w:sz w:val="25"/>
          <w:szCs w:val="25"/>
        </w:rPr>
      </w:pPr>
    </w:p>
    <w:p>
      <w:pPr>
        <w:pStyle w:val="BodyText"/>
        <w:spacing w:line="240" w:lineRule="auto" w:before="44"/>
        <w:ind w:right="141"/>
        <w:jc w:val="left"/>
      </w:pPr>
      <w:r>
        <w:rPr/>
        <w:t>行税收优惠的免税备案，</w:t>
      </w:r>
      <w:r>
        <w:rPr>
          <w:rFonts w:ascii="Times New Roman" w:hAnsi="Times New Roman" w:cs="Times New Roman" w:eastAsia="Times New Roman" w:hint="default"/>
        </w:rPr>
        <w:t>2017</w:t>
      </w:r>
      <w:r>
        <w:rPr/>
        <w:t>年为第二个减半征收企业所得税年度。</w:t>
      </w:r>
    </w:p>
    <w:p>
      <w:pPr>
        <w:spacing w:line="240" w:lineRule="auto" w:before="1"/>
        <w:rPr>
          <w:rFonts w:ascii="宋体" w:hAnsi="宋体" w:cs="宋体" w:eastAsia="宋体" w:hint="default"/>
          <w:sz w:val="24"/>
          <w:szCs w:val="24"/>
        </w:rPr>
      </w:pPr>
    </w:p>
    <w:p>
      <w:pPr>
        <w:pStyle w:val="Heading2"/>
        <w:spacing w:line="240" w:lineRule="auto"/>
        <w:ind w:right="141"/>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975,617.99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1,319,215.38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1,235,805,207.35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1,847,023,287.37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285,238,340.65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171,836,723.24</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1,522,019,165.99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2,020,179,225.99</w:t>
            </w:r>
          </w:p>
        </w:tc>
      </w:tr>
    </w:tbl>
    <w:p>
      <w:pPr>
        <w:pStyle w:val="BodyText"/>
        <w:spacing w:line="240" w:lineRule="auto" w:before="51"/>
        <w:ind w:left="154" w:right="141"/>
        <w:jc w:val="left"/>
      </w:pPr>
      <w:r>
        <w:rPr/>
        <w:t>其他说明</w:t>
      </w:r>
    </w:p>
    <w:p>
      <w:pPr>
        <w:pStyle w:val="BodyText"/>
        <w:spacing w:line="300" w:lineRule="auto" w:before="115"/>
        <w:ind w:right="141" w:firstLine="290"/>
        <w:jc w:val="left"/>
      </w:pPr>
      <w:r>
        <w:rPr>
          <w:spacing w:val="-1"/>
        </w:rPr>
        <w:t>其他货币资金中使用受到限制的存款为信用证开证保证金</w:t>
      </w:r>
      <w:r>
        <w:rPr>
          <w:rFonts w:ascii="Times New Roman" w:hAnsi="Times New Roman" w:cs="Times New Roman" w:eastAsia="Times New Roman" w:hint="default"/>
          <w:spacing w:val="-1"/>
        </w:rPr>
        <w:t>197,666,815.95</w:t>
      </w:r>
      <w:r>
        <w:rPr>
          <w:spacing w:val="-1"/>
        </w:rPr>
        <w:t>元、银行承兑保证金</w:t>
      </w:r>
      <w:r>
        <w:rPr>
          <w:rFonts w:ascii="Times New Roman" w:hAnsi="Times New Roman" w:cs="Times New Roman" w:eastAsia="Times New Roman" w:hint="default"/>
          <w:spacing w:val="-1"/>
        </w:rPr>
        <w:t>21,058,215.85</w:t>
      </w:r>
      <w:r>
        <w:rPr>
          <w:spacing w:val="-1"/>
        </w:rPr>
        <w:t>元、农民工工</w:t>
      </w:r>
      <w:r>
        <w:rPr/>
        <w:t> 资保证金</w:t>
      </w:r>
      <w:r>
        <w:rPr>
          <w:rFonts w:ascii="Times New Roman" w:hAnsi="Times New Roman" w:cs="Times New Roman" w:eastAsia="Times New Roman" w:hint="default"/>
        </w:rPr>
        <w:t>505,070.75</w:t>
      </w:r>
      <w:r>
        <w:rPr/>
        <w:t>元、保函保证金</w:t>
      </w:r>
      <w:r>
        <w:rPr>
          <w:rFonts w:ascii="Times New Roman" w:hAnsi="Times New Roman" w:cs="Times New Roman" w:eastAsia="Times New Roman" w:hint="default"/>
        </w:rPr>
        <w:t>44,234,534.42</w:t>
      </w:r>
      <w:r>
        <w:rPr/>
        <w:t>元。</w:t>
      </w:r>
    </w:p>
    <w:p>
      <w:pPr>
        <w:spacing w:line="240" w:lineRule="auto" w:before="1"/>
        <w:rPr>
          <w:rFonts w:ascii="宋体" w:hAnsi="宋体" w:cs="宋体" w:eastAsia="宋体" w:hint="default"/>
          <w:sz w:val="22"/>
          <w:szCs w:val="22"/>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178,077,712.90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130,073,321.61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161,516,159.64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61,501,500.00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339,593,872.54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191,574,821.61</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5" w:type="dxa"/>
            <w:tcBorders>
              <w:top w:val="single" w:sz="4" w:space="0" w:color="000000"/>
              <w:left w:val="single" w:sz="10" w:space="0" w:color="D3D3D3"/>
              <w:bottom w:val="single" w:sz="4" w:space="0" w:color="000000"/>
              <w:right w:val="single" w:sz="4" w:space="0" w:color="000000"/>
            </w:tcBorders>
          </w:tcPr>
          <w:p>
            <w:pP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982" w:top="1060" w:bottom="1180" w:left="980" w:right="980"/>
        </w:sectPr>
      </w:pPr>
    </w:p>
    <w:p>
      <w:pPr>
        <w:pStyle w:val="Heading3"/>
        <w:spacing w:line="240" w:lineRule="auto" w:before="35"/>
        <w:ind w:right="0"/>
        <w:jc w:val="left"/>
        <w:rPr>
          <w:b w:val="0"/>
          <w:bCs w:val="0"/>
        </w:rPr>
      </w:pPr>
      <w:r>
        <w:rPr>
          <w:w w:val="95"/>
        </w:rPr>
        <w:t>（</w:t>
      </w:r>
      <w:r>
        <w:rPr>
          <w:rFonts w:ascii="Times New Roman" w:hAnsi="Times New Roman" w:cs="Times New Roman" w:eastAsia="Times New Roman" w:hint="default"/>
          <w:w w:val="95"/>
        </w:rPr>
        <w:t>3</w:t>
      </w:r>
      <w:r>
        <w:rPr>
          <w:w w:val="95"/>
        </w:rPr>
        <w:t>）期末公司已背书或贴现且在资产负债表日尚未到期的应收票据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6373" w:space="2456"/>
            <w:col w:w="112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160,259,929.59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160,259,929.59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300" w:lineRule="auto" w:before="44"/>
        <w:ind w:left="154" w:right="141"/>
        <w:jc w:val="left"/>
      </w:pPr>
      <w:r>
        <w:rPr/>
        <w:t>其他说明：本公司子公司石家庄常山恒荣进出口贸易有限公司与招商银行股份有限公司石家庄分行签订编号为</w:t>
      </w:r>
      <w:r>
        <w:rPr>
          <w:spacing w:val="-49"/>
        </w:rPr>
        <w:t> </w:t>
      </w:r>
      <w:r>
        <w:rPr>
          <w:rFonts w:ascii="Times New Roman" w:hAnsi="Times New Roman" w:cs="Times New Roman" w:eastAsia="Times New Roman" w:hint="default"/>
        </w:rPr>
        <w:t>GSB2017</w:t>
      </w:r>
      <w:r>
        <w:rPr>
          <w:rFonts w:ascii="Times New Roman" w:hAnsi="Times New Roman" w:cs="Times New Roman" w:eastAsia="Times New Roman" w:hint="default"/>
          <w:spacing w:val="-4"/>
        </w:rPr>
        <w:t> </w:t>
      </w:r>
      <w:r>
        <w:rPr/>
        <w:t>借 款</w:t>
      </w:r>
      <w:r>
        <w:rPr>
          <w:spacing w:val="-52"/>
        </w:rPr>
        <w:t> </w:t>
      </w:r>
      <w:r>
        <w:rPr>
          <w:rFonts w:ascii="Times New Roman" w:hAnsi="Times New Roman" w:cs="Times New Roman" w:eastAsia="Times New Roman" w:hint="default"/>
        </w:rPr>
        <w:t>00017</w:t>
      </w:r>
      <w:r>
        <w:rPr>
          <w:rFonts w:ascii="Times New Roman" w:hAnsi="Times New Roman" w:cs="Times New Roman" w:eastAsia="Times New Roman" w:hint="default"/>
          <w:spacing w:val="-7"/>
        </w:rPr>
        <w:t> </w:t>
      </w:r>
      <w:r>
        <w:rPr/>
        <w:t>的借款合同，合同性质为质押借款，质押物为应收票据</w:t>
      </w:r>
      <w:r>
        <w:rPr>
          <w:spacing w:val="-52"/>
        </w:rPr>
        <w:t> </w:t>
      </w:r>
      <w:r>
        <w:rPr>
          <w:rFonts w:ascii="Times New Roman" w:hAnsi="Times New Roman" w:cs="Times New Roman" w:eastAsia="Times New Roman" w:hint="default"/>
        </w:rPr>
        <w:t>10,000,000.00</w:t>
      </w:r>
      <w:r>
        <w:rPr>
          <w:rFonts w:ascii="Times New Roman" w:hAnsi="Times New Roman" w:cs="Times New Roman" w:eastAsia="Times New Roman" w:hint="default"/>
          <w:spacing w:val="-7"/>
        </w:rPr>
        <w:t> </w:t>
      </w:r>
      <w:r>
        <w:rPr>
          <w:spacing w:val="-4"/>
        </w:rPr>
        <w:t>元，借款金额为</w:t>
      </w:r>
      <w:r>
        <w:rPr>
          <w:spacing w:val="-52"/>
        </w:rPr>
        <w:t> </w:t>
      </w:r>
      <w:r>
        <w:rPr>
          <w:rFonts w:ascii="Times New Roman" w:hAnsi="Times New Roman" w:cs="Times New Roman" w:eastAsia="Times New Roman" w:hint="default"/>
        </w:rPr>
        <w:t>9,500,000.00</w:t>
      </w:r>
      <w:r>
        <w:rPr>
          <w:rFonts w:ascii="Times New Roman" w:hAnsi="Times New Roman" w:cs="Times New Roman" w:eastAsia="Times New Roman" w:hint="default"/>
          <w:spacing w:val="-7"/>
        </w:rPr>
        <w:t> </w:t>
      </w:r>
      <w:r>
        <w:rPr>
          <w:spacing w:val="-3"/>
        </w:rPr>
        <w:t>元，借款期限为</w:t>
      </w:r>
    </w:p>
    <w:p>
      <w:pPr>
        <w:pStyle w:val="BodyText"/>
        <w:spacing w:line="240" w:lineRule="auto" w:before="14"/>
        <w:ind w:left="154" w:right="141"/>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12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日，年利率为</w:t>
      </w:r>
      <w:r>
        <w:rPr>
          <w:spacing w:val="-46"/>
        </w:rPr>
        <w:t> </w:t>
      </w:r>
      <w:r>
        <w:rPr>
          <w:rFonts w:ascii="Times New Roman" w:hAnsi="Times New Roman" w:cs="Times New Roman" w:eastAsia="Times New Roman" w:hint="default"/>
        </w:rPr>
        <w:t>4.35%</w:t>
      </w:r>
      <w:r>
        <w:rPr/>
        <w:t>。</w:t>
      </w:r>
    </w:p>
    <w:p>
      <w:pPr>
        <w:spacing w:line="240" w:lineRule="auto" w:before="9"/>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2"/>
        <w:gridCol w:w="775"/>
        <w:gridCol w:w="762"/>
        <w:gridCol w:w="762"/>
        <w:gridCol w:w="762"/>
        <w:gridCol w:w="790"/>
        <w:gridCol w:w="654"/>
        <w:gridCol w:w="762"/>
        <w:gridCol w:w="812"/>
        <w:gridCol w:w="932"/>
        <w:gridCol w:w="932"/>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22"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2"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22"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2,440,26</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5,967.91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117,197,</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543.57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2,323,068</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,424.34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99.70%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81,509,53</w:t>
            </w:r>
          </w:p>
          <w:p>
            <w:pPr>
              <w:pStyle w:val="TableParagraph"/>
              <w:spacing w:line="240" w:lineRule="auto" w:before="106"/>
              <w:ind w:left="464" w:right="0"/>
              <w:jc w:val="left"/>
              <w:rPr>
                <w:rFonts w:ascii="Times New Roman" w:hAnsi="Times New Roman" w:cs="Times New Roman" w:eastAsia="Times New Roman" w:hint="default"/>
                <w:sz w:val="18"/>
                <w:szCs w:val="18"/>
              </w:rPr>
            </w:pPr>
            <w:r>
              <w:rPr>
                <w:rFonts w:ascii="Times New Roman"/>
                <w:sz w:val="18"/>
              </w:rPr>
              <w:t>8.73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1,871,240,1</w:t>
            </w:r>
          </w:p>
          <w:p>
            <w:pPr>
              <w:pStyle w:val="TableParagraph"/>
              <w:spacing w:line="240" w:lineRule="auto" w:before="106"/>
              <w:ind w:left="500" w:right="0"/>
              <w:jc w:val="left"/>
              <w:rPr>
                <w:rFonts w:ascii="Times New Roman" w:hAnsi="Times New Roman" w:cs="Times New Roman" w:eastAsia="Times New Roman" w:hint="default"/>
                <w:sz w:val="18"/>
                <w:szCs w:val="18"/>
              </w:rPr>
            </w:pPr>
            <w:r>
              <w:rPr>
                <w:rFonts w:ascii="Times New Roman"/>
                <w:sz w:val="18"/>
              </w:rPr>
              <w:t>11.14</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5,871,02</w:t>
            </w:r>
          </w:p>
          <w:p>
            <w:pPr>
              <w:pStyle w:val="TableParagraph"/>
              <w:spacing w:line="240" w:lineRule="auto" w:before="106"/>
              <w:ind w:left="414" w:right="0"/>
              <w:jc w:val="left"/>
              <w:rPr>
                <w:rFonts w:ascii="Times New Roman" w:hAnsi="Times New Roman" w:cs="Times New Roman" w:eastAsia="Times New Roman" w:hint="default"/>
                <w:sz w:val="18"/>
                <w:szCs w:val="18"/>
              </w:rPr>
            </w:pPr>
            <w:r>
              <w:rPr>
                <w:rFonts w:ascii="Times New Roman"/>
                <w:sz w:val="18"/>
              </w:rPr>
              <w:t>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5,871,02</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5,881,0</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27.46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0.30%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5,881,027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2,446,13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6,995.37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123,068,</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571.03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5.03%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2,323,068</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,424.34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30,677.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87,390,56</w:t>
            </w:r>
          </w:p>
          <w:p>
            <w:pPr>
              <w:pStyle w:val="TableParagraph"/>
              <w:spacing w:line="240" w:lineRule="auto" w:before="106"/>
              <w:ind w:left="464" w:right="0"/>
              <w:jc w:val="left"/>
              <w:rPr>
                <w:rFonts w:ascii="Times New Roman" w:hAnsi="Times New Roman" w:cs="Times New Roman" w:eastAsia="Times New Roman" w:hint="default"/>
                <w:sz w:val="18"/>
                <w:szCs w:val="18"/>
              </w:rPr>
            </w:pPr>
            <w:r>
              <w:rPr>
                <w:rFonts w:ascii="Times New Roman"/>
                <w:sz w:val="18"/>
              </w:rPr>
              <w:t>6.19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1,871,240,1</w:t>
            </w:r>
          </w:p>
          <w:p>
            <w:pPr>
              <w:pStyle w:val="TableParagraph"/>
              <w:spacing w:line="240" w:lineRule="auto" w:before="106"/>
              <w:ind w:left="500" w:right="0"/>
              <w:jc w:val="left"/>
              <w:rPr>
                <w:rFonts w:ascii="Times New Roman" w:hAnsi="Times New Roman" w:cs="Times New Roman" w:eastAsia="Times New Roman" w:hint="default"/>
                <w:sz w:val="18"/>
                <w:szCs w:val="18"/>
              </w:rPr>
            </w:pPr>
            <w:r>
              <w:rPr>
                <w:rFonts w:ascii="Times New Roman"/>
                <w:sz w:val="18"/>
              </w:rPr>
              <w:t>11.14</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pStyle w:val="BodyText"/>
        <w:spacing w:line="240" w:lineRule="auto" w:before="51"/>
        <w:ind w:left="154" w:right="-20"/>
        <w:jc w:val="left"/>
      </w:pPr>
      <w:r>
        <w:rPr/>
        <w:t>期末单项金额重大并单项计提坏账准备的应收账款：</w:t>
      </w:r>
    </w:p>
    <w:p>
      <w:pPr>
        <w:pStyle w:val="BodyText"/>
        <w:spacing w:line="360" w:lineRule="auto" w:before="116"/>
        <w:ind w:right="161"/>
        <w:jc w:val="left"/>
      </w:pPr>
      <w:r>
        <w:rPr/>
        <w:t>□ 适用 √ 不适用 组合中，按账龄分析法计提坏账准备的应收账款：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6"/>
        <w:gridCol w:w="2399"/>
        <w:gridCol w:w="2392"/>
        <w:gridCol w:w="2392"/>
      </w:tblGrid>
      <w:tr>
        <w:trPr>
          <w:trHeight w:val="402" w:hRule="exact"/>
        </w:trPr>
        <w:tc>
          <w:tcPr>
            <w:tcW w:w="2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6" w:type="dxa"/>
            <w:vMerge/>
            <w:tcBorders>
              <w:left w:val="single" w:sz="4" w:space="0" w:color="000000"/>
              <w:bottom w:val="single" w:sz="4" w:space="0" w:color="000000"/>
              <w:right w:val="single" w:sz="4" w:space="0" w:color="000000"/>
            </w:tcBorders>
            <w:shd w:val="clear" w:color="auto" w:fill="D3D3D3"/>
          </w:tcPr>
          <w:p>
            <w:pP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99" w:type="dxa"/>
            <w:tcBorders>
              <w:top w:val="single" w:sz="4" w:space="0" w:color="000000"/>
              <w:left w:val="single" w:sz="13" w:space="0" w:color="C7EDCC"/>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83,902,947.46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3,356,117.91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5,045,487.76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302,729.25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15,705,952.26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2,355,892.84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19,441,136.50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7,776,454.59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124,095,523.98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13,791,194.59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99" w:type="dxa"/>
            <w:tcBorders>
              <w:top w:val="single" w:sz="4" w:space="0" w:color="000000"/>
              <w:left w:val="single" w:sz="13" w:space="0" w:color="C7EDCC"/>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1,602,138,565.62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16,021,385.66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4"/>
        <w:gridCol w:w="2420"/>
        <w:gridCol w:w="2392"/>
        <w:gridCol w:w="2392"/>
      </w:tblGrid>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240,756,703.07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12,037,835.16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369,297,030.00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36,929,702.99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84,312,749.59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25,293,824.88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10,681,534.59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5,340,767.30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6,005,140.35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4,804,112.28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2,978,720.71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2,978,720.71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2,316,170,443.93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103,406,348.98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w:t>
            </w:r>
          </w:p>
        </w:tc>
      </w:tr>
    </w:tbl>
    <w:p>
      <w:pPr>
        <w:pStyle w:val="BodyText"/>
        <w:spacing w:line="360" w:lineRule="auto" w:before="51"/>
        <w:ind w:right="5451"/>
        <w:jc w:val="left"/>
      </w:pPr>
      <w:r>
        <w:rPr/>
        <w:t>确定该组合依据的说明： 组合中，采用余额百分比法计提坏账准备的应收账款：</w:t>
      </w:r>
    </w:p>
    <w:p>
      <w:pPr>
        <w:pStyle w:val="BodyText"/>
        <w:spacing w:line="360" w:lineRule="auto" w:before="26"/>
        <w:ind w:right="5811"/>
        <w:jc w:val="left"/>
      </w:pPr>
      <w:r>
        <w:rPr/>
        <w:t>□ 适用 √ 不适用 组合中，采用其他方法计提坏账准备的应收账款：</w:t>
      </w:r>
    </w:p>
    <w:p>
      <w:pPr>
        <w:spacing w:line="240" w:lineRule="auto" w:before="11"/>
        <w:rPr>
          <w:rFonts w:ascii="宋体" w:hAnsi="宋体" w:cs="宋体" w:eastAsia="宋体" w:hint="default"/>
          <w:sz w:val="19"/>
          <w:szCs w:val="19"/>
        </w:rPr>
      </w:pPr>
    </w:p>
    <w:p>
      <w:pPr>
        <w:pStyle w:val="Heading3"/>
        <w:spacing w:line="240" w:lineRule="auto"/>
        <w:ind w:right="14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35,991,647.80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313,642.96</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7039" w:space="1789"/>
            <w:col w:w="112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辽宁宏丰印染有限公司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spacing w:val="4"/>
        </w:rPr>
        <w:t>本报告期按欠款方归集的期末余额前五名应收账款汇总金额</w:t>
      </w:r>
      <w:r>
        <w:rPr>
          <w:rFonts w:ascii="Times New Roman" w:hAnsi="Times New Roman" w:cs="Times New Roman" w:eastAsia="Times New Roman" w:hint="default"/>
          <w:spacing w:val="4"/>
        </w:rPr>
        <w:t>355,203,893.29</w:t>
      </w:r>
      <w:r>
        <w:rPr>
          <w:spacing w:val="4"/>
        </w:rPr>
        <w:t>元，占应收账款期末余额合计数的比例</w:t>
      </w:r>
    </w:p>
    <w:p>
      <w:pPr>
        <w:pStyle w:val="BodyText"/>
        <w:spacing w:line="240" w:lineRule="auto" w:before="63"/>
        <w:ind w:left="154" w:right="141"/>
        <w:jc w:val="left"/>
      </w:pPr>
      <w:r>
        <w:rPr>
          <w:rFonts w:ascii="Times New Roman" w:hAnsi="Times New Roman" w:cs="Times New Roman" w:eastAsia="Times New Roman" w:hint="default"/>
        </w:rPr>
        <w:t>14.52%</w:t>
      </w:r>
      <w:r>
        <w:rPr/>
        <w:t>，相应计提的坏账准备期末余额金额</w:t>
      </w:r>
      <w:r>
        <w:rPr>
          <w:spacing w:val="-22"/>
        </w:rPr>
        <w:t> </w:t>
      </w:r>
      <w:r>
        <w:rPr>
          <w:rFonts w:ascii="Times New Roman" w:hAnsi="Times New Roman" w:cs="Times New Roman" w:eastAsia="Times New Roman" w:hint="default"/>
        </w:rPr>
        <w:t>8,440,104.81</w:t>
      </w:r>
      <w:r>
        <w:rPr/>
        <w:t>元。</w:t>
      </w:r>
    </w:p>
    <w:p>
      <w:pPr>
        <w:spacing w:line="240" w:lineRule="auto" w:before="11"/>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0"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2"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999,558,473.36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1,117,465,156.10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81,647,125.40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56,252,553.42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49,435,141.60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28,441,849.36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100,554,090.19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85,381,340.74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1,231,194,830.55</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1,287,540,899.62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338" w:lineRule="auto" w:before="44"/>
        <w:ind w:left="634" w:right="2000" w:hanging="481"/>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账龄超过</w:t>
      </w:r>
      <w:r>
        <w:rPr>
          <w:rFonts w:ascii="Times New Roman" w:hAnsi="Times New Roman" w:cs="Times New Roman" w:eastAsia="Times New Roman" w:hint="default"/>
        </w:rPr>
        <w:t>1</w:t>
      </w:r>
      <w:r>
        <w:rPr/>
        <w:t>年且金额重大的预付账款主要为土地款，未及时结算的原因系尚未达到结算条件。</w:t>
      </w:r>
    </w:p>
    <w:p>
      <w:pPr>
        <w:spacing w:line="240" w:lineRule="auto" w:before="8"/>
        <w:rPr>
          <w:rFonts w:ascii="宋体" w:hAnsi="宋体" w:cs="宋体" w:eastAsia="宋体" w:hint="default"/>
          <w:sz w:val="19"/>
          <w:szCs w:val="19"/>
        </w:rPr>
      </w:pPr>
    </w:p>
    <w:p>
      <w:pPr>
        <w:pStyle w:val="Heading3"/>
        <w:spacing w:line="240" w:lineRule="auto"/>
        <w:ind w:right="141"/>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spacing w:val="3"/>
        </w:rPr>
        <w:t>本报告期按预付对象归集的期末余额前五名预付账款汇总金额</w:t>
      </w:r>
      <w:r>
        <w:rPr>
          <w:rFonts w:ascii="Times New Roman" w:hAnsi="Times New Roman" w:cs="Times New Roman" w:eastAsia="Times New Roman" w:hint="default"/>
          <w:spacing w:val="3"/>
        </w:rPr>
        <w:t>314,635,463.44</w:t>
      </w:r>
      <w:r>
        <w:rPr>
          <w:spacing w:val="3"/>
        </w:rPr>
        <w:t>元，占预付账款期末余额合计数的比例</w:t>
      </w:r>
    </w:p>
    <w:p>
      <w:pPr>
        <w:pStyle w:val="BodyText"/>
        <w:spacing w:line="240" w:lineRule="auto" w:before="63"/>
        <w:ind w:left="156" w:right="141"/>
        <w:jc w:val="left"/>
      </w:pPr>
      <w:r>
        <w:rPr>
          <w:rFonts w:ascii="Times New Roman" w:hAnsi="Times New Roman" w:cs="Times New Roman" w:eastAsia="Times New Roman" w:hint="default"/>
        </w:rPr>
        <w:t>25.56%</w:t>
      </w:r>
      <w:r>
        <w:rPr/>
        <w:t>。</w:t>
      </w:r>
    </w:p>
    <w:p>
      <w:pPr>
        <w:spacing w:line="240" w:lineRule="auto" w:before="11"/>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611"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1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11"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9" w:hRule="exact"/>
        </w:trPr>
        <w:tc>
          <w:tcPr>
            <w:tcW w:w="1611"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7"/>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11"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210,277,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336.31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7,859,90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2.98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202,417,4</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33.33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223,437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,662.35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98.20%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6,961,017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216,476,64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4.94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1,927,75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1,927,75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4,098,7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4,098,734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212,205,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090.28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9,787,65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6.95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4.61%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202,417,4</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33.33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227,536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,396.46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11,059,75</w:t>
            </w:r>
          </w:p>
          <w:p>
            <w:pPr>
              <w:pStyle w:val="TableParagraph"/>
              <w:spacing w:line="240" w:lineRule="auto" w:before="105"/>
              <w:ind w:left="464" w:right="0"/>
              <w:jc w:val="left"/>
              <w:rPr>
                <w:rFonts w:ascii="Times New Roman" w:hAnsi="Times New Roman" w:cs="Times New Roman" w:eastAsia="Times New Roman" w:hint="default"/>
                <w:sz w:val="18"/>
                <w:szCs w:val="18"/>
              </w:rPr>
            </w:pPr>
            <w:r>
              <w:rPr>
                <w:rFonts w:ascii="Times New Roman"/>
                <w:sz w:val="18"/>
              </w:rPr>
              <w:t>1.52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216,476,64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4.94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pStyle w:val="BodyText"/>
        <w:spacing w:line="240" w:lineRule="auto" w:before="51"/>
        <w:ind w:left="154" w:right="-20"/>
        <w:jc w:val="left"/>
      </w:pPr>
      <w:r>
        <w:rPr/>
        <w:t>期末单项金额重大并单项计提坏账准备的其他应收款：</w:t>
      </w:r>
    </w:p>
    <w:p>
      <w:pPr>
        <w:pStyle w:val="BodyText"/>
        <w:spacing w:line="357" w:lineRule="auto" w:before="117"/>
        <w:ind w:right="161"/>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3,346,627.45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133,865.08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1,771,932.67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106,315.96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253,830.00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38,074.50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2,655,917.71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1,062,367.09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8,028,307.83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1,340,622.63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69,340,521.47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693,405.21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8,480,289.07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424,014.44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14,774,121.48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1,477,412.15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6,520,844.29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1,956,253.29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1,213,160.40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606,580.20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1,295,402.82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1,036,322.26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325,292.80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325,292.80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101,949,632.33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6,519,280.35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60,299,396.15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光大幸福国际融资有限公司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中国外贸金融租赁有限公司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100,299,396.15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38" w:lineRule="auto" w:before="51"/>
        <w:ind w:right="141"/>
        <w:jc w:val="left"/>
      </w:pPr>
      <w:r>
        <w:rPr/>
        <w:t>确定该组合依据的说明： </w:t>
      </w:r>
      <w:r>
        <w:rPr>
          <w:spacing w:val="-2"/>
        </w:rPr>
        <w:t>除单项计提了坏账准备外的所有应收款项，根据历史经验相同账龄的应收款项具有类似信用风险特征，公司以账龄作为信用</w:t>
      </w:r>
      <w:r>
        <w:rPr>
          <w:spacing w:val="-64"/>
        </w:rPr>
        <w:t> </w:t>
      </w:r>
      <w:r>
        <w:rPr>
          <w:spacing w:val="-64"/>
        </w:rPr>
      </w:r>
      <w:r>
        <w:rPr/>
        <w:t>风险特征进行组合。</w:t>
      </w:r>
    </w:p>
    <w:p>
      <w:pPr>
        <w:pStyle w:val="BodyText"/>
        <w:spacing w:line="240" w:lineRule="auto" w:before="42"/>
        <w:ind w:right="141"/>
        <w:jc w:val="left"/>
      </w:pPr>
      <w:r>
        <w:rPr/>
        <w:t>组合中，采用余额百分比法计提坏账准备的其他应收款：</w:t>
      </w:r>
    </w:p>
    <w:p>
      <w:pPr>
        <w:pStyle w:val="BodyText"/>
        <w:spacing w:line="357" w:lineRule="auto" w:before="117"/>
        <w:ind w:right="5631"/>
        <w:jc w:val="left"/>
      </w:pPr>
      <w:r>
        <w:rPr/>
        <w:t>□ 适用 √ 不适用 组合中，采用其他方法计提坏账准备的其他应收款：</w:t>
      </w:r>
    </w:p>
    <w:p>
      <w:pPr>
        <w:pStyle w:val="BodyText"/>
        <w:spacing w:line="240" w:lineRule="auto" w:before="28"/>
        <w:ind w:right="141"/>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14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40" w:lineRule="auto" w:before="44"/>
        <w:ind w:left="154" w:right="-16"/>
        <w:jc w:val="left"/>
      </w:pPr>
      <w:r>
        <w:rPr/>
        <w:t>本期计提坏账准备金额</w:t>
      </w:r>
      <w:r>
        <w:rPr>
          <w:spacing w:val="-46"/>
        </w:rPr>
        <w:t> </w:t>
      </w:r>
      <w:r>
        <w:rPr>
          <w:rFonts w:ascii="Times New Roman" w:hAnsi="Times New Roman" w:cs="Times New Roman" w:eastAsia="Times New Roman" w:hint="default"/>
        </w:rPr>
        <w:t>896,718.04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2,168,812.61</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6950" w:space="1878"/>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2,170,980.14</w:t>
            </w:r>
          </w:p>
        </w:tc>
        <w:tc>
          <w:tcPr>
            <w:tcW w:w="31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2,170,980.14</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18,619,268.91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14,774,296.17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61,904,753.14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56,840,703.36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119,117,255.78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137,715,560.95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12,563,812.45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18,205,835.98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212,205,090.28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227,536,396.46</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61,904,753.14</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642,142.80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光大幸福国际融资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14.14%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中国外贸金融租赁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广东省商务厅</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5,371,840.00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53,718.40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北京盛世繁花国际 传媒广告有限公司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4,658,153.00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46,581.53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111,934,746.14</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742,442.73</w:t>
            </w:r>
          </w:p>
        </w:tc>
      </w:tr>
    </w:tbl>
    <w:p>
      <w:pPr>
        <w:spacing w:line="240" w:lineRule="auto" w:before="3"/>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531"/>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7"/>
        <w:gridCol w:w="1367"/>
        <w:gridCol w:w="1368"/>
        <w:gridCol w:w="1367"/>
        <w:gridCol w:w="1367"/>
      </w:tblGrid>
      <w:tr>
        <w:trPr>
          <w:trHeight w:val="201"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355,336,294.30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355,336,294.30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439,793,209.56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439,793,209.56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35,111,235.89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35,111,235.89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45,630,034.87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45,630,034.87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1,361,026,365.03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310,792,065.16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1,050,234,299.87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1,396,140,113.46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210,084,745.75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1,186,055,367.71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456,794,745.79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456,794,745.79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260,297,047.83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260,297,047.83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5,119,850.48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5,119,850.48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3,031,108.36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3,031,108.36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2,213,388,491.49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310,792,065.16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1,902,596,426.33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2,144,891,514.08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210,084,745.75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1,934,806,768.33</w:t>
            </w:r>
          </w:p>
        </w:tc>
      </w:tr>
    </w:tbl>
    <w:p>
      <w:pPr>
        <w:pStyle w:val="BodyText"/>
        <w:spacing w:line="340" w:lineRule="auto" w:before="51"/>
        <w:ind w:left="154" w:right="1492"/>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7"/>
        <w:gridCol w:w="1367"/>
        <w:gridCol w:w="1355"/>
        <w:gridCol w:w="1379"/>
        <w:gridCol w:w="1355"/>
        <w:gridCol w:w="1378"/>
      </w:tblGrid>
      <w:tr>
        <w:trPr>
          <w:trHeight w:val="200"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2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34"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3D3D3"/>
          </w:tcPr>
          <w:p>
            <w:pPr/>
          </w:p>
        </w:tc>
        <w:tc>
          <w:tcPr>
            <w:tcW w:w="2735" w:type="dxa"/>
            <w:gridSpan w:val="2"/>
            <w:vMerge/>
            <w:tcBorders>
              <w:left w:val="single" w:sz="4" w:space="0" w:color="000000"/>
              <w:bottom w:val="single" w:sz="4" w:space="0" w:color="000000"/>
              <w:right w:val="single" w:sz="4" w:space="0" w:color="000000"/>
            </w:tcBorders>
            <w:shd w:val="clear" w:color="auto" w:fill="D3D3D3"/>
          </w:tcPr>
          <w:p>
            <w:pPr/>
          </w:p>
        </w:tc>
        <w:tc>
          <w:tcPr>
            <w:tcW w:w="137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7"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8"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210,084,745.75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174,126,460.36</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73,419,140.95</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310,792,065.16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210,084,745.75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174,126,460.36</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73,419,140.95</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310,792,065.16</w:t>
            </w:r>
          </w:p>
        </w:tc>
      </w:tr>
    </w:tbl>
    <w:p>
      <w:pPr>
        <w:spacing w:line="240" w:lineRule="auto" w:before="11"/>
        <w:rPr>
          <w:rFonts w:ascii="宋体" w:hAnsi="宋体" w:cs="宋体" w:eastAsia="宋体" w:hint="default"/>
          <w:sz w:val="23"/>
          <w:szCs w:val="23"/>
        </w:rPr>
      </w:pPr>
    </w:p>
    <w:tbl>
      <w:tblPr>
        <w:tblW w:w="0" w:type="auto"/>
        <w:jc w:val="left"/>
        <w:tblInd w:w="146" w:type="dxa"/>
        <w:tblLayout w:type="fixed"/>
        <w:tblCellMar>
          <w:top w:w="0" w:type="dxa"/>
          <w:left w:w="0" w:type="dxa"/>
          <w:bottom w:w="0" w:type="dxa"/>
          <w:right w:w="0" w:type="dxa"/>
        </w:tblCellMar>
        <w:tblLook w:val="01E0"/>
      </w:tblPr>
      <w:tblGrid>
        <w:gridCol w:w="1260"/>
        <w:gridCol w:w="3240"/>
        <w:gridCol w:w="2520"/>
        <w:gridCol w:w="2520"/>
      </w:tblGrid>
      <w:tr>
        <w:trPr>
          <w:trHeight w:val="427"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6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41"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1"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1"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739" w:hRule="exact"/>
        </w:trPr>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2"/>
                <w:sz w:val="18"/>
                <w:szCs w:val="18"/>
              </w:rPr>
              <w:t>期末存货成本高于其可变现净值的，计提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存货跌价准备。</w:t>
            </w:r>
          </w:p>
        </w:tc>
        <w:tc>
          <w:tcPr>
            <w:tcW w:w="252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销售</w:t>
            </w:r>
          </w:p>
        </w:tc>
      </w:tr>
    </w:tbl>
    <w:p>
      <w:pPr>
        <w:pStyle w:val="BodyText"/>
        <w:spacing w:line="240" w:lineRule="auto" w:before="51"/>
        <w:ind w:left="154" w:right="141"/>
        <w:jc w:val="left"/>
      </w:pPr>
      <w:r>
        <w:rPr/>
        <w:t>其他说明：</w:t>
      </w:r>
    </w:p>
    <w:p>
      <w:pPr>
        <w:pStyle w:val="BodyText"/>
        <w:spacing w:line="309" w:lineRule="auto" w:before="116"/>
        <w:ind w:right="151" w:firstLine="290"/>
        <w:jc w:val="both"/>
      </w:pPr>
      <w:r>
        <w:rPr>
          <w:spacing w:val="-1"/>
        </w:rPr>
        <w:t>本公司子公司石家庄常山恒新纺织有限公司与中国建设银行股份有限公司北京苏州桥支行签订了借款合同，合同性质为</w:t>
      </w:r>
      <w:r>
        <w:rPr/>
        <w:t> 质押借款，质押物存货电子仓单，质押物金额</w:t>
      </w:r>
      <w:r>
        <w:rPr>
          <w:rFonts w:ascii="Times New Roman" w:hAnsi="Times New Roman" w:cs="Times New Roman" w:eastAsia="Times New Roman" w:hint="default"/>
        </w:rPr>
        <w:t>13,419,685.61</w:t>
      </w:r>
      <w:r>
        <w:rPr/>
        <w:t>。期末借款余额为</w:t>
      </w:r>
      <w:r>
        <w:rPr>
          <w:rFonts w:ascii="Times New Roman" w:hAnsi="Times New Roman" w:cs="Times New Roman" w:eastAsia="Times New Roman" w:hint="default"/>
        </w:rPr>
        <w:t>10,239,085.99</w:t>
      </w:r>
      <w:r>
        <w:rPr/>
        <w:t>元，借款期限为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 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日，年利率为</w:t>
      </w:r>
      <w:r>
        <w:rPr>
          <w:rFonts w:ascii="Times New Roman" w:hAnsi="Times New Roman" w:cs="Times New Roman" w:eastAsia="Times New Roman" w:hint="default"/>
        </w:rPr>
        <w:t>4.35%</w:t>
      </w:r>
      <w:r>
        <w:rPr/>
        <w:t>。</w:t>
      </w:r>
    </w:p>
    <w:p>
      <w:pPr>
        <w:spacing w:line="240" w:lineRule="auto" w:before="6"/>
        <w:rPr>
          <w:rFonts w:ascii="宋体" w:hAnsi="宋体" w:cs="宋体" w:eastAsia="宋体" w:hint="default"/>
          <w:sz w:val="21"/>
          <w:szCs w:val="21"/>
        </w:rPr>
      </w:pPr>
    </w:p>
    <w:p>
      <w:pPr>
        <w:pStyle w:val="Heading3"/>
        <w:spacing w:line="240" w:lineRule="auto"/>
        <w:ind w:right="141"/>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28,363.45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2,125,536.88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2,162,483.29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40,891,580.68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46,677,151.73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43,017,117.56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48,867,998.47</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5"/>
        <w:gridCol w:w="1196"/>
        <w:gridCol w:w="1248"/>
        <w:gridCol w:w="1367"/>
        <w:gridCol w:w="1367"/>
      </w:tblGrid>
      <w:tr>
        <w:trPr>
          <w:trHeight w:val="201" w:hRule="exact"/>
        </w:trPr>
        <w:tc>
          <w:tcPr>
            <w:tcW w:w="1977" w:type="dxa"/>
            <w:tcBorders>
              <w:top w:val="single" w:sz="4" w:space="0" w:color="000000"/>
              <w:left w:val="single" w:sz="4" w:space="0" w:color="000000"/>
              <w:bottom w:val="nil" w:sz="6" w:space="0" w:color="auto"/>
              <w:right w:val="single" w:sz="4" w:space="0" w:color="000000"/>
            </w:tcBorders>
            <w:shd w:val="clear" w:color="auto" w:fill="D3D3D3"/>
          </w:tcPr>
          <w:p>
            <w:pPr/>
          </w:p>
        </w:tc>
        <w:tc>
          <w:tcPr>
            <w:tcW w:w="359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3D3D3"/>
          </w:tcPr>
          <w:p>
            <w:pPr/>
          </w:p>
        </w:tc>
        <w:tc>
          <w:tcPr>
            <w:tcW w:w="3982" w:type="dxa"/>
            <w:gridSpan w:val="3"/>
            <w:vMerge/>
            <w:tcBorders>
              <w:left w:val="single" w:sz="4" w:space="0" w:color="000000"/>
              <w:bottom w:val="single" w:sz="4" w:space="0" w:color="000000"/>
              <w:right w:val="single" w:sz="4" w:space="0" w:color="000000"/>
            </w:tcBorders>
            <w:shd w:val="clear" w:color="auto" w:fill="D3D3D3"/>
          </w:tcPr>
          <w:p>
            <w:pPr/>
          </w:p>
        </w:tc>
      </w:tr>
      <w:tr>
        <w:trPr>
          <w:trHeight w:val="189" w:hRule="exact"/>
        </w:trPr>
        <w:tc>
          <w:tcPr>
            <w:tcW w:w="1977" w:type="dxa"/>
            <w:vMerge/>
            <w:tcBorders>
              <w:left w:val="single" w:sz="4" w:space="0" w:color="000000"/>
              <w:bottom w:val="nil" w:sz="6" w:space="0" w:color="auto"/>
              <w:right w:val="single" w:sz="4" w:space="0" w:color="000000"/>
            </w:tcBorders>
            <w:shd w:val="clear" w:color="auto" w:fill="D3D3D3"/>
          </w:tcPr>
          <w:p>
            <w:pPr/>
          </w:p>
        </w:tc>
        <w:tc>
          <w:tcPr>
            <w:tcW w:w="120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3" w:hRule="exact"/>
        </w:trPr>
        <w:tc>
          <w:tcPr>
            <w:tcW w:w="19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7"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51,756,945.00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21,364,771.80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30,392,173.20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70,509,087.65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21,102,293.18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49,406,794.47</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7"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18,452,142.65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18,452,142.65</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51,756,945.00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21,364,771.80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30,392,173.20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52,056,945.00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21,102,293.18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30,954,651.82</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51,756,945.00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21,364,771.80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30,392,173.20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70,509,087.65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21,102,293.18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49,406,794.47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0"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河北国信 投资控股 集团股份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283,445.00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283,445.00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紫光创新 投资有限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21,102,293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262,478.62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21,364,771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河北银行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25,933,500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25,933,500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3,256,110.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北京未名 雅集文化 传播中心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540,000.00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540,000.00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北京北明 兆业科技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北京新能 晟源技术 咨询有限 责任公司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52,056,945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51,756,945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21,102,293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262,478.62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21,364,771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3,256,110.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1"/>
        <w:gridCol w:w="1926"/>
        <w:gridCol w:w="1914"/>
        <w:gridCol w:w="1914"/>
        <w:gridCol w:w="1914"/>
      </w:tblGrid>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0" w:space="0" w:color="D3D3D3"/>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21,102,293.18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21,102,293.18</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262,478.62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262,478.62</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21,364,771.80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21,364,771.80</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3" w:hRule="exact"/>
        </w:trPr>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6"/>
              <w:ind w:left="22" w:right="41"/>
              <w:jc w:val="both"/>
              <w:rPr>
                <w:rFonts w:ascii="宋体" w:hAnsi="宋体" w:cs="宋体" w:eastAsia="宋体" w:hint="default"/>
                <w:sz w:val="18"/>
                <w:szCs w:val="18"/>
              </w:rPr>
            </w:pPr>
            <w:r>
              <w:rPr>
                <w:rFonts w:ascii="宋体" w:hAnsi="宋体" w:cs="宋体" w:eastAsia="宋体" w:hint="default"/>
                <w:sz w:val="18"/>
                <w:szCs w:val="18"/>
              </w:rPr>
              <w:t>石家庄常 山明荣家 纺有限公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49,173.07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49,173.07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石家庄赛 孚纺织有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15,001,63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232,079.5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14,596,41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郑州郑热 天时自动 化工程技 术有限公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951,293.9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877,519.7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北京国智 云鼎软件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-140,082.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3,859,917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15,952,92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4,232,079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877,519.7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18,505,50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15,952,92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4,232,079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877,519.7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-801,983.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18,505,50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5.64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9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17"/>
        <w:gridCol w:w="1700"/>
        <w:gridCol w:w="1552"/>
        <w:gridCol w:w="1620"/>
        <w:gridCol w:w="1602"/>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535" w:right="0"/>
              <w:jc w:val="left"/>
              <w:rPr>
                <w:rFonts w:ascii="Times New Roman" w:hAnsi="Times New Roman" w:cs="Times New Roman" w:eastAsia="Times New Roman" w:hint="default"/>
                <w:sz w:val="18"/>
                <w:szCs w:val="18"/>
              </w:rPr>
            </w:pPr>
            <w:r>
              <w:rPr>
                <w:rFonts w:ascii="Times New Roman"/>
                <w:sz w:val="18"/>
              </w:rPr>
              <w:t>200,529,768.12</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200,529,768.12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11"/>
        <w:gridCol w:w="1717"/>
        <w:gridCol w:w="1552"/>
        <w:gridCol w:w="1620"/>
        <w:gridCol w:w="1602"/>
      </w:tblGrid>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33,772,783.35</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33,772,783.35</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38,643,926.43</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38,643,926.43</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17" w:type="dxa"/>
            <w:tcBorders>
              <w:top w:val="single" w:sz="4" w:space="0" w:color="000000"/>
              <w:left w:val="single" w:sz="10" w:space="0" w:color="D3D3D3"/>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161,885,841.69</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161,885,841.69</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1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166,756,984.77</w:t>
            </w:r>
          </w:p>
        </w:tc>
        <w:tc>
          <w:tcPr>
            <w:tcW w:w="155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166,756,984.77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28"/>
        <w:gridCol w:w="1452"/>
        <w:gridCol w:w="1440"/>
        <w:gridCol w:w="1440"/>
        <w:gridCol w:w="1440"/>
        <w:gridCol w:w="1594"/>
      </w:tblGrid>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2" w:type="dxa"/>
            <w:tcBorders>
              <w:top w:val="single" w:sz="4" w:space="0" w:color="000000"/>
              <w:left w:val="single" w:sz="10" w:space="0" w:color="D3D3D3"/>
              <w:bottom w:val="single" w:sz="4" w:space="0" w:color="000000"/>
              <w:right w:val="single" w:sz="4" w:space="0" w:color="000000"/>
            </w:tcBorders>
            <w:shd w:val="clear" w:color="auto" w:fill="E1FFFF"/>
          </w:tcPr>
          <w:p>
            <w:pPr>
              <w:pStyle w:val="TableParagraph"/>
              <w:spacing w:line="240" w:lineRule="auto" w:before="51"/>
              <w:ind w:left="17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4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4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4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86" w:right="0"/>
              <w:jc w:val="left"/>
              <w:rPr>
                <w:rFonts w:ascii="Times New Roman" w:hAnsi="Times New Roman" w:cs="Times New Roman" w:eastAsia="Times New Roman" w:hint="default"/>
                <w:sz w:val="18"/>
                <w:szCs w:val="18"/>
              </w:rPr>
            </w:pPr>
            <w:r>
              <w:rPr>
                <w:rFonts w:ascii="Times New Roman"/>
                <w:sz w:val="18"/>
              </w:rPr>
              <w:t>716,197,474.74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1,227,118,853.22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18,925,292.95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71,804,253.69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2,034,045,874.60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11"/>
        <w:gridCol w:w="1469"/>
        <w:gridCol w:w="1440"/>
        <w:gridCol w:w="1440"/>
        <w:gridCol w:w="1440"/>
        <w:gridCol w:w="1594"/>
      </w:tblGrid>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74,530,105.02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266,645,463.07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3,239,470.56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44,699,391.50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389,114,430.15</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671,253.33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483,801.36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3,239,470.56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21,594,282.15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25,988,807.40</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73,858,851.69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266,161,661.71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23,105,109.35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363,125,622.75</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26,488,033.17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1,817,039.08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10,802,772.19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39,107,844.44</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965,832.92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1,817,039.08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300,282.39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3,083,154.39</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( 2 )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改扩建</w:t>
            </w:r>
          </w:p>
        </w:tc>
        <w:tc>
          <w:tcPr>
            <w:tcW w:w="1469" w:type="dxa"/>
            <w:tcBorders>
              <w:top w:val="single" w:sz="4" w:space="0" w:color="000000"/>
              <w:left w:val="single" w:sz="10" w:space="0" w:color="E1FFFF"/>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25,522,200.25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10,502,489.80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36,024,690.05</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790,727,579.76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1,467,276,283.12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20,347,724.43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105,700,873.00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2,384,052,460.31</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124,305,632.00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499,290,572.07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11,289,587.47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39,503,893.69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674,389,685.23</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24,564,652.72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72,130,527.02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1,346,130.65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14,260,620.09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112,301,930.48</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24,564,652.72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72,130,527.02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1,346,130.65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14,260,620.09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112,301,930.48</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7,947,793.58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1,467,735.14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2,106,754.67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11,522,283.39</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731,695.37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1,467,735.14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231,620.48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2,431,050.99</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7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( 2 )</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改扩建</w:t>
            </w:r>
          </w:p>
        </w:tc>
        <w:tc>
          <w:tcPr>
            <w:tcW w:w="1469" w:type="dxa"/>
            <w:tcBorders>
              <w:top w:val="single" w:sz="4" w:space="0" w:color="000000"/>
              <w:left w:val="single" w:sz="10" w:space="0" w:color="E1FFFF"/>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7,216,098.21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1,875,134.19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9,091,232.40</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148,870,284.72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563,473,305.51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11,167,982.98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51,657,759.11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775,169,332.32</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69"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641,857,295.04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903,802,977.61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9,179,741.45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54,043,113.89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1,608,883,127.99</w:t>
            </w:r>
          </w:p>
        </w:tc>
      </w:tr>
      <w:tr>
        <w:trPr>
          <w:trHeight w:val="402" w:hRule="exact"/>
        </w:trPr>
        <w:tc>
          <w:tcPr>
            <w:tcW w:w="2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591,891,842.74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727,828,281.15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7,635,705.48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32,300,360.00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1,359,656,189.37</w:t>
            </w:r>
          </w:p>
        </w:tc>
      </w:tr>
    </w:tbl>
    <w:p>
      <w:pPr>
        <w:spacing w:line="240" w:lineRule="auto" w:before="2"/>
        <w:rPr>
          <w:rFonts w:ascii="宋体" w:hAnsi="宋体" w:cs="宋体" w:eastAsia="宋体" w:hint="default"/>
          <w:sz w:val="19"/>
          <w:szCs w:val="19"/>
        </w:rPr>
      </w:pPr>
    </w:p>
    <w:p>
      <w:pPr>
        <w:pStyle w:val="Heading3"/>
        <w:spacing w:line="240" w:lineRule="auto" w:before="35"/>
        <w:ind w:right="17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部分房产建筑物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82,472,884.68</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6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整体改造优化升 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高档服 装及绿色环保服 装面料项目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679,749,094.66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679,749,094.66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913,812,124.59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913,812,124.59</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提高纱质量开发 新型产品设备改 良</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463,930.61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463,930.61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吉林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能源 管理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2,507,655.85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2,507,655.85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常山云数据中心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28,719,540.09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28,719,540.09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1,379,084.37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1,379,084.37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新型纺织品与家 纺品牌设计制造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9,645,738.14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9,645,738.14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794,352.60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794,352.60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东厂房细纱机牵 绅装置升级改造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13,218,437.02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13,218,437.02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并条机自调匀整 装置升级改造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4,555,909.64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4,555,909.64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纺织工艺空调升 级改造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5,144,901.13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5,144,901.13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络筒机电子清纱 器功能升级改造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11,620,544.64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11,620,544.64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常山恒宏纺织服 装综合建设项目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1,358,265.03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1,358,265.03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自动络筒机升级 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30,380,310.54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30,380,310.54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266,921.39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266,921.39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5,422,795.74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5,422,795.74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750,119,869.85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750,119,869.85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958,919,736.19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958,919,736.19</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0"/>
                <w:sz w:val="18"/>
                <w:szCs w:val="18"/>
              </w:rPr>
              <w:t>厂房、公</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1"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z w:val="18"/>
                <w:szCs w:val="18"/>
              </w:rPr>
              <w:t>整体改 造优化 升级项 目</w:t>
            </w:r>
            <w:r>
              <w:rPr>
                <w:rFonts w:ascii="Times New Roman" w:hAnsi="Times New Roman" w:cs="Times New Roman" w:eastAsia="Times New Roman" w:hint="default"/>
                <w:sz w:val="18"/>
                <w:szCs w:val="18"/>
              </w:rPr>
              <w:t>--</w:t>
            </w:r>
            <w:r>
              <w:rPr>
                <w:rFonts w:ascii="宋体" w:hAnsi="宋体" w:cs="宋体" w:eastAsia="宋体" w:hint="default"/>
                <w:sz w:val="18"/>
                <w:szCs w:val="18"/>
              </w:rPr>
              <w:t>高档 服装及 绿色环 保服装 面料项 目</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73" w:right="0"/>
              <w:jc w:val="left"/>
              <w:rPr>
                <w:rFonts w:ascii="Times New Roman" w:hAnsi="Times New Roman" w:cs="Times New Roman" w:eastAsia="Times New Roman" w:hint="default"/>
                <w:sz w:val="18"/>
                <w:szCs w:val="18"/>
              </w:rPr>
            </w:pPr>
            <w:r>
              <w:rPr>
                <w:rFonts w:ascii="Times New Roman"/>
                <w:sz w:val="18"/>
              </w:rPr>
              <w:t>1,966,66</w:t>
            </w:r>
          </w:p>
          <w:p>
            <w:pPr>
              <w:pStyle w:val="TableParagraph"/>
              <w:spacing w:line="240" w:lineRule="auto" w:before="106"/>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52" w:right="0"/>
              <w:jc w:val="center"/>
              <w:rPr>
                <w:rFonts w:ascii="Times New Roman" w:hAnsi="Times New Roman" w:cs="Times New Roman" w:eastAsia="Times New Roman" w:hint="default"/>
                <w:sz w:val="18"/>
                <w:szCs w:val="18"/>
              </w:rPr>
            </w:pPr>
            <w:r>
              <w:rPr>
                <w:rFonts w:ascii="Times New Roman"/>
                <w:sz w:val="18"/>
              </w:rPr>
              <w:t>913,812,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124.59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73" w:right="0"/>
              <w:jc w:val="left"/>
              <w:rPr>
                <w:rFonts w:ascii="Times New Roman" w:hAnsi="Times New Roman" w:cs="Times New Roman" w:eastAsia="Times New Roman" w:hint="default"/>
                <w:sz w:val="18"/>
                <w:szCs w:val="18"/>
              </w:rPr>
            </w:pPr>
            <w:r>
              <w:rPr>
                <w:rFonts w:ascii="Times New Roman"/>
                <w:sz w:val="18"/>
              </w:rPr>
              <w:t>70,569,4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13.75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50" w:right="0"/>
              <w:jc w:val="center"/>
              <w:rPr>
                <w:rFonts w:ascii="Times New Roman" w:hAnsi="Times New Roman" w:cs="Times New Roman" w:eastAsia="Times New Roman" w:hint="default"/>
                <w:sz w:val="18"/>
                <w:szCs w:val="18"/>
              </w:rPr>
            </w:pPr>
            <w:r>
              <w:rPr>
                <w:rFonts w:ascii="Times New Roman"/>
                <w:sz w:val="18"/>
              </w:rPr>
              <w:t>304,632,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443.68</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50" w:right="0"/>
              <w:jc w:val="center"/>
              <w:rPr>
                <w:rFonts w:ascii="Times New Roman" w:hAnsi="Times New Roman" w:cs="Times New Roman" w:eastAsia="Times New Roman" w:hint="default"/>
                <w:sz w:val="18"/>
                <w:szCs w:val="18"/>
              </w:rPr>
            </w:pPr>
            <w:r>
              <w:rPr>
                <w:rFonts w:ascii="Times New Roman"/>
                <w:sz w:val="18"/>
              </w:rPr>
              <w:t>679,749,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094.66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84.06%</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用工程 及设施 已完工， 设备及 配套设 备已安 装调试 </w:t>
            </w:r>
            <w:r>
              <w:rPr>
                <w:rFonts w:ascii="宋体" w:hAnsi="宋体" w:cs="宋体" w:eastAsia="宋体" w:hint="default"/>
                <w:spacing w:val="-10"/>
                <w:sz w:val="18"/>
                <w:szCs w:val="18"/>
              </w:rPr>
              <w:t>完毕，生</w:t>
            </w:r>
            <w:r>
              <w:rPr>
                <w:rFonts w:ascii="宋体" w:hAnsi="宋体" w:cs="宋体" w:eastAsia="宋体" w:hint="default"/>
                <w:sz w:val="18"/>
                <w:szCs w:val="18"/>
              </w:rPr>
              <w:t> 产线正 在试生</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73" w:right="0"/>
              <w:jc w:val="left"/>
              <w:rPr>
                <w:rFonts w:ascii="Times New Roman" w:hAnsi="Times New Roman" w:cs="Times New Roman" w:eastAsia="Times New Roman" w:hint="default"/>
                <w:sz w:val="18"/>
                <w:szCs w:val="18"/>
              </w:rPr>
            </w:pPr>
            <w:r>
              <w:rPr>
                <w:rFonts w:ascii="Times New Roman"/>
                <w:sz w:val="18"/>
              </w:rPr>
              <w:t>99,165,0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52.85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73" w:right="0"/>
              <w:jc w:val="left"/>
              <w:rPr>
                <w:rFonts w:ascii="Times New Roman" w:hAnsi="Times New Roman" w:cs="Times New Roman" w:eastAsia="Times New Roman" w:hint="default"/>
                <w:sz w:val="18"/>
                <w:szCs w:val="18"/>
              </w:rPr>
            </w:pPr>
            <w:r>
              <w:rPr>
                <w:rFonts w:ascii="Times New Roman"/>
                <w:sz w:val="18"/>
              </w:rPr>
              <w:t>5,097,67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4.06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提高纱</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质量开 发新型 产品设</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463,930.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684,105.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122.35%</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完工已 转固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7,777,16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4.13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20,174.5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备改良</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东厂房</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细纱机 牵绅装 置升级</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3,200,00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13,218,4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37.02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583,845.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13,802,2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82.21</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146.13%</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完工已 转固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96,918.9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35,285.7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改造</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并条机</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自调匀 整装置 升级改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1,250,00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4,555,90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9.64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99,739.8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4,655,64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9.51</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102.13%</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完工已 转固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31,420.1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Times New Roman" w:hAnsi="Times New Roman" w:cs="Times New Roman" w:eastAsia="Times New Roman" w:hint="default"/>
                <w:sz w:val="18"/>
                <w:szCs w:val="18"/>
              </w:rPr>
            </w:pPr>
            <w:r>
              <w:rPr>
                <w:rFonts w:ascii="Times New Roman"/>
                <w:sz w:val="18"/>
              </w:rPr>
              <w:t>9,757.81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造</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纺织工</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艺空调 升级改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3" w:right="0"/>
              <w:jc w:val="left"/>
              <w:rPr>
                <w:rFonts w:ascii="Times New Roman" w:hAnsi="Times New Roman" w:cs="Times New Roman" w:eastAsia="Times New Roman" w:hint="default"/>
                <w:sz w:val="18"/>
                <w:szCs w:val="18"/>
              </w:rPr>
            </w:pPr>
            <w:r>
              <w:rPr>
                <w:rFonts w:ascii="Times New Roman"/>
                <w:sz w:val="18"/>
              </w:rPr>
              <w:t>2,490,00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4" w:right="0"/>
              <w:jc w:val="left"/>
              <w:rPr>
                <w:rFonts w:ascii="Times New Roman" w:hAnsi="Times New Roman" w:cs="Times New Roman" w:eastAsia="Times New Roman" w:hint="default"/>
                <w:sz w:val="18"/>
                <w:szCs w:val="18"/>
              </w:rPr>
            </w:pPr>
            <w:r>
              <w:rPr>
                <w:rFonts w:ascii="Times New Roman"/>
                <w:sz w:val="18"/>
              </w:rPr>
              <w:t>5,144,90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1.13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3" w:right="0"/>
              <w:jc w:val="left"/>
              <w:rPr>
                <w:rFonts w:ascii="Times New Roman" w:hAnsi="Times New Roman" w:cs="Times New Roman" w:eastAsia="Times New Roman" w:hint="default"/>
                <w:sz w:val="18"/>
                <w:szCs w:val="18"/>
              </w:rPr>
            </w:pPr>
            <w:r>
              <w:rPr>
                <w:rFonts w:ascii="Times New Roman"/>
                <w:sz w:val="18"/>
              </w:rPr>
              <w:t>1,096,13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5.51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3" w:right="0"/>
              <w:jc w:val="left"/>
              <w:rPr>
                <w:rFonts w:ascii="Times New Roman" w:hAnsi="Times New Roman" w:cs="Times New Roman" w:eastAsia="Times New Roman" w:hint="default"/>
                <w:sz w:val="18"/>
                <w:szCs w:val="18"/>
              </w:rPr>
            </w:pPr>
            <w:r>
              <w:rPr>
                <w:rFonts w:ascii="Times New Roman"/>
                <w:sz w:val="18"/>
              </w:rPr>
              <w:t>6,241,03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6.64</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156.58%</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0"/>
              <w:ind w:left="23" w:right="161"/>
              <w:jc w:val="left"/>
              <w:rPr>
                <w:rFonts w:ascii="宋体" w:hAnsi="宋体" w:cs="宋体" w:eastAsia="宋体" w:hint="default"/>
                <w:sz w:val="18"/>
                <w:szCs w:val="18"/>
              </w:rPr>
            </w:pPr>
            <w:r>
              <w:rPr>
                <w:rFonts w:ascii="宋体" w:hAnsi="宋体" w:cs="宋体" w:eastAsia="宋体" w:hint="default"/>
                <w:sz w:val="18"/>
                <w:szCs w:val="18"/>
              </w:rPr>
              <w:t>完工已 转固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70,287.8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24,332.0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造</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络筒机</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shd w:val="clear" w:color="auto" w:fill="C7EDCC"/>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73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电子清 纱器功 能升级</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2,660,00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11,620,5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44.64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1,122,01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6.28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12,742,5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60.92</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195.60%</w:t>
            </w:r>
          </w:p>
        </w:tc>
        <w:tc>
          <w:tcPr>
            <w:tcW w:w="73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完工已 转固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146,455.</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36,254.9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4.57%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改造</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shd w:val="clear" w:color="auto" w:fill="C7EDCC"/>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常山恒</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center"/>
              <w:rPr>
                <w:rFonts w:ascii="Times New Roman" w:hAnsi="Times New Roman" w:cs="Times New Roman" w:eastAsia="Times New Roman" w:hint="default"/>
                <w:sz w:val="18"/>
                <w:szCs w:val="18"/>
              </w:rPr>
            </w:pPr>
            <w:r>
              <w:rPr>
                <w:rFonts w:ascii="Times New Roman"/>
                <w:sz w:val="18"/>
              </w:rPr>
              <w:t>1,311,49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1,358,26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1,358,26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项目进</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20"/>
        <w:gridCol w:w="748"/>
        <w:gridCol w:w="737"/>
        <w:gridCol w:w="736"/>
        <w:gridCol w:w="736"/>
        <w:gridCol w:w="737"/>
        <w:gridCol w:w="736"/>
        <w:gridCol w:w="736"/>
        <w:gridCol w:w="737"/>
        <w:gridCol w:w="736"/>
        <w:gridCol w:w="736"/>
        <w:gridCol w:w="737"/>
        <w:gridCol w:w="736"/>
      </w:tblGrid>
      <w:tr>
        <w:trPr>
          <w:trHeight w:val="1298"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145"/>
              <w:jc w:val="both"/>
              <w:rPr>
                <w:rFonts w:ascii="宋体" w:hAnsi="宋体" w:cs="宋体" w:eastAsia="宋体" w:hint="default"/>
                <w:sz w:val="18"/>
                <w:szCs w:val="18"/>
              </w:rPr>
            </w:pPr>
            <w:r>
              <w:rPr>
                <w:rFonts w:ascii="宋体" w:hAnsi="宋体" w:cs="宋体" w:eastAsia="宋体" w:hint="default"/>
                <w:sz w:val="18"/>
                <w:szCs w:val="18"/>
              </w:rPr>
              <w:t>宏纺织 服装综 合建设 项目</w:t>
            </w:r>
          </w:p>
        </w:tc>
        <w:tc>
          <w:tcPr>
            <w:tcW w:w="74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4,300.00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5.03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5.03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341"/>
              <w:jc w:val="right"/>
              <w:rPr>
                <w:rFonts w:ascii="宋体" w:hAnsi="宋体" w:cs="宋体" w:eastAsia="宋体" w:hint="default"/>
                <w:sz w:val="18"/>
                <w:szCs w:val="18"/>
              </w:rPr>
            </w:pPr>
            <w:r>
              <w:rPr>
                <w:rFonts w:ascii="宋体" w:hAnsi="宋体" w:cs="宋体" w:eastAsia="宋体" w:hint="default"/>
                <w:sz w:val="18"/>
                <w:szCs w:val="18"/>
              </w:rPr>
              <w:t>行中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自动络 筒机升 级改造</w:t>
            </w:r>
          </w:p>
        </w:tc>
        <w:tc>
          <w:tcPr>
            <w:tcW w:w="74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30,380,3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10.54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30,380,3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48.58%</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项目进 行中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常山云 数据中 心</w:t>
            </w:r>
          </w:p>
        </w:tc>
        <w:tc>
          <w:tcPr>
            <w:tcW w:w="74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1,379,08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27,343,0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2,601.94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28,719,5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项目进 行中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新型纺 织品与 家纺品 牌设计 制造</w:t>
            </w:r>
          </w:p>
        </w:tc>
        <w:tc>
          <w:tcPr>
            <w:tcW w:w="74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2,880,00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794,352.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8,851,38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5.54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9,645,73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7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项目进 行中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11,197,7</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54,300.0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950,989,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284.60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141,624,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343.89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342,760,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680.03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749,852,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948.46</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107,513,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171.40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5,449,35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13</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855,555.55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9,132.47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864,688.02</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14</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11,150,294.95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95,490,710.85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11,150,294.95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95,490,710.85</w:t>
            </w:r>
          </w:p>
        </w:tc>
      </w:tr>
    </w:tbl>
    <w:p>
      <w:pPr>
        <w:pStyle w:val="BodyText"/>
        <w:spacing w:line="240" w:lineRule="auto" w:before="51"/>
        <w:ind w:left="154" w:right="141"/>
        <w:jc w:val="left"/>
      </w:pPr>
      <w:r>
        <w:rPr/>
        <w:t>其他说明：</w:t>
      </w:r>
    </w:p>
    <w:p>
      <w:pPr>
        <w:pStyle w:val="BodyText"/>
        <w:spacing w:line="240" w:lineRule="auto" w:before="116"/>
        <w:ind w:left="154" w:right="141"/>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日固定资产清理账面余额</w:t>
      </w:r>
      <w:r>
        <w:rPr>
          <w:rFonts w:ascii="Times New Roman" w:hAnsi="Times New Roman" w:cs="Times New Roman" w:eastAsia="Times New Roman" w:hint="default"/>
        </w:rPr>
        <w:t>55,012,527.50</w:t>
      </w:r>
      <w:r>
        <w:rPr/>
        <w:t>元，本期计提了资产减值准备</w:t>
      </w:r>
      <w:r>
        <w:rPr>
          <w:rFonts w:ascii="Times New Roman" w:hAnsi="Times New Roman" w:cs="Times New Roman" w:eastAsia="Times New Roman" w:hint="default"/>
        </w:rPr>
        <w:t>43,862,232.55</w:t>
      </w:r>
      <w:r>
        <w:rPr/>
        <w:t>元。</w:t>
      </w:r>
    </w:p>
    <w:p>
      <w:pPr>
        <w:spacing w:line="240" w:lineRule="auto" w:before="11"/>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4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77"/>
        <w:gridCol w:w="1208"/>
        <w:gridCol w:w="1195"/>
        <w:gridCol w:w="1028"/>
        <w:gridCol w:w="1196"/>
        <w:gridCol w:w="1195"/>
        <w:gridCol w:w="1145"/>
        <w:gridCol w:w="1195"/>
      </w:tblGrid>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6" w:type="dxa"/>
            <w:tcBorders>
              <w:top w:val="single" w:sz="4" w:space="0" w:color="000000"/>
              <w:left w:val="single" w:sz="9" w:space="0" w:color="D3D3D3"/>
              <w:bottom w:val="single" w:sz="4" w:space="0" w:color="000000"/>
              <w:right w:val="single" w:sz="4" w:space="0" w:color="000000"/>
            </w:tcBorders>
            <w:shd w:val="clear" w:color="auto" w:fill="E1FFFF"/>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1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14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220,978,394.10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4,646,500.00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98,584,050.38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42,726,098.88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3,946,704.90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370,881,748.26</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9,809,812.02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3,109,282.91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1,396,037.62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14,315,132.55</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897,435.90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1,396,037.62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2,293,473.52</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8,912,376.12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3,109,282.91</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12,021,659.03</w:t>
            </w:r>
          </w:p>
        </w:tc>
      </w:tr>
      <w:tr>
        <w:trPr>
          <w:trHeight w:val="714"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220,978,394.10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4,646,500.00</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108,393,862.40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45,835,381.79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5,342,742.52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385,196,880.81</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33,432,117.93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1,771,055.59</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38,875,517.95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27,773,486.24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559,471.01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102,411,648.72</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4,558,858.79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877,448.16</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16,952,419.95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2,732,384.16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671,755.37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25,792,866.43</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4,558,858.79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877,448.16</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16,952,419.95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2,732,384.16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671,755.37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25,792,866.43</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37,990,976.72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2,648,503.75</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55,827,937.90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30,505,870.40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1,231,226.38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128,204,515.15</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11,750,000.03</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11,750,000.03</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11,750,000.03</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11,750,000.03</w:t>
            </w: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182,987,417.38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1,997,996.25</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52,565,924.50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3,579,511.36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4,111,516.14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245,242,365.63</w:t>
            </w:r>
          </w:p>
        </w:tc>
      </w:tr>
      <w:tr>
        <w:trPr>
          <w:trHeight w:val="403"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187,546,276.17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2,875,444.41</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59,708,532.43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3,202,612.61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3,387,233.89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256,720,099.51</w:t>
            </w:r>
          </w:p>
        </w:tc>
      </w:tr>
    </w:tbl>
    <w:p>
      <w:pPr>
        <w:pStyle w:val="BodyText"/>
        <w:spacing w:line="240" w:lineRule="auto" w:before="51"/>
        <w:ind w:left="154"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3.12%</w:t>
      </w:r>
      <w:r>
        <w:rPr/>
        <w:t>。</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16</w:t>
      </w:r>
      <w:r>
        <w:rPr/>
        <w:t>、开发支出</w:t>
      </w:r>
      <w:r>
        <w:rPr>
          <w:b w:val="0"/>
          <w:bCs w:val="0"/>
        </w:rPr>
      </w:r>
    </w:p>
    <w:p>
      <w:pPr>
        <w:spacing w:after="0" w:line="240" w:lineRule="auto"/>
        <w:jc w:val="left"/>
        <w:sectPr>
          <w:pgSz w:w="11910" w:h="16840"/>
          <w:pgMar w:header="747" w:footer="982" w:top="1060" w:bottom="1180" w:left="980" w:right="70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2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88"/>
        <w:gridCol w:w="1272"/>
        <w:gridCol w:w="1260"/>
        <w:gridCol w:w="1063"/>
        <w:gridCol w:w="1097"/>
        <w:gridCol w:w="1063"/>
        <w:gridCol w:w="1310"/>
      </w:tblGrid>
      <w:tr>
        <w:trPr>
          <w:trHeight w:val="402" w:hRule="exact"/>
        </w:trPr>
        <w:tc>
          <w:tcPr>
            <w:tcW w:w="26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688" w:type="dxa"/>
            <w:vMerge/>
            <w:tcBorders>
              <w:left w:val="single" w:sz="4" w:space="0" w:color="000000"/>
              <w:bottom w:val="single" w:sz="4" w:space="0" w:color="000000"/>
              <w:right w:val="single" w:sz="4" w:space="0" w:color="000000"/>
            </w:tcBorders>
            <w:shd w:val="clear" w:color="auto" w:fill="D3D3D3"/>
          </w:tcPr>
          <w:p>
            <w:pPr/>
          </w:p>
        </w:tc>
        <w:tc>
          <w:tcPr>
            <w:tcW w:w="1272"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63" w:right="91"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31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云中心管理平台建设项目</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30,307,370.92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11,711,348.16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2,269,683.19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39,749,035.89</w:t>
            </w:r>
          </w:p>
        </w:tc>
      </w:tr>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民政低保</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3,565,150.60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3,565,150.60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智慧城市行业解决方案建设项目</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19,379,103.58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15,870,910.08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839,599.72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34,410,413.94</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电子政务公共服务云平台</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部 分</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2,366,351.35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380,274.66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2,746,626.01</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智慧城市跨领域协同的云服务平 台研发及示范应用</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4,470,638.80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326,158.65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120,510.38</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4,917,307.83</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广州市北明智慧城市信息资源集 成技术研究院</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2,009,657.00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9,657.00</w:t>
            </w: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电子政务公共服务云平台</w:t>
            </w:r>
            <w:r>
              <w:rPr>
                <w:rFonts w:ascii="Times New Roman" w:hAnsi="Times New Roman" w:cs="Times New Roman" w:eastAsia="Times New Roman" w:hint="default"/>
                <w:sz w:val="18"/>
                <w:szCs w:val="18"/>
              </w:rPr>
              <w:t>-IaaS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部 分</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669,756.39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669,756.39</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面向科技创新服务的大数据技术 研发及示范应用</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2,960,016.45</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-120,510.38</w:t>
            </w:r>
          </w:p>
        </w:tc>
        <w:tc>
          <w:tcPr>
            <w:tcW w:w="109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2,839,506.07</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无线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设备运营平台（</w:t>
            </w:r>
            <w:r>
              <w:rPr>
                <w:rFonts w:ascii="Times New Roman" w:hAnsi="Times New Roman" w:cs="Times New Roman" w:eastAsia="Times New Roman" w:hint="default"/>
                <w:spacing w:val="-4"/>
                <w:sz w:val="18"/>
                <w:szCs w:val="18"/>
              </w:rPr>
              <w:t>SAAS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 件平台）</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929,839.48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44,306.97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974,146.45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广东省智慧城市研究院</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1,223,079.07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1,223,079.07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年天河区配套大数据信息资 源库核心技术开发及示范应用</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41,183.50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108,816.50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年广州市战略性主导产业发 展资金拟扶持新业态项目</w:t>
            </w:r>
          </w:p>
        </w:tc>
        <w:tc>
          <w:tcPr>
            <w:tcW w:w="1272"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1,016,609.96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16,609.96</w:t>
            </w: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玉溪政务大数据平台研发项目</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3,185,456.86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3,185,456.86</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基于大数据的保险客户智能数据 服务平台</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5,027,174.76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5,027,174.76</w:t>
            </w:r>
          </w:p>
        </w:tc>
      </w:tr>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NLP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智能分析平台研发</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8,272,093.04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8,272,093.04</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北明大数据平台产品及行业解决 方案研发项目</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3,227,178.45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3,227,178.45</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基于大数据技术的检察院通用数 据应用分析服务平台</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3,950,803.48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3,950,803.48</w:t>
            </w:r>
          </w:p>
        </w:tc>
      </w:tr>
      <w:tr>
        <w:trPr>
          <w:trHeight w:val="1026" w:hRule="exact"/>
        </w:trPr>
        <w:tc>
          <w:tcPr>
            <w:tcW w:w="268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9" w:lineRule="auto" w:before="51"/>
              <w:ind w:left="22" w:right="73"/>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基于云计算的智慧政务协同及应 用</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智慧城市行业解决方案系列项 目</w:t>
            </w:r>
            <w:r>
              <w:rPr>
                <w:rFonts w:ascii="Times New Roman" w:hAnsi="Times New Roman" w:cs="Times New Roman" w:eastAsia="Times New Roman" w:hint="default"/>
                <w:sz w:val="18"/>
                <w:szCs w:val="18"/>
              </w:rPr>
              <w:t>)</w:t>
            </w:r>
          </w:p>
        </w:tc>
        <w:tc>
          <w:tcPr>
            <w:tcW w:w="1272" w:type="dxa"/>
            <w:tcBorders>
              <w:top w:val="single" w:sz="4" w:space="0" w:color="000000"/>
              <w:left w:val="single" w:sz="10" w:space="0" w:color="E1FFFF"/>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657,932.38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657,932.38</w:t>
            </w:r>
          </w:p>
        </w:tc>
      </w:tr>
      <w:tr>
        <w:trPr>
          <w:trHeight w:val="403" w:hRule="exact"/>
        </w:trPr>
        <w:tc>
          <w:tcPr>
            <w:tcW w:w="2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68,938,757.10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52,762,453.99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12,021,659.03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26,266.96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109,653,285.10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00"/>
        </w:sectPr>
      </w:pPr>
    </w:p>
    <w:p>
      <w:pPr>
        <w:spacing w:line="240" w:lineRule="auto" w:before="10"/>
        <w:rPr>
          <w:rFonts w:ascii="宋体" w:hAnsi="宋体" w:cs="宋体" w:eastAsia="宋体" w:hint="default"/>
          <w:sz w:val="24"/>
          <w:szCs w:val="24"/>
        </w:rPr>
      </w:pPr>
    </w:p>
    <w:p>
      <w:pPr>
        <w:pStyle w:val="Heading3"/>
        <w:spacing w:line="240" w:lineRule="auto" w:before="35"/>
        <w:ind w:left="234" w:right="568"/>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33" w:right="568"/>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3228"/>
        <w:gridCol w:w="1379"/>
        <w:gridCol w:w="1367"/>
        <w:gridCol w:w="400"/>
        <w:gridCol w:w="1367"/>
        <w:gridCol w:w="433"/>
        <w:gridCol w:w="1367"/>
      </w:tblGrid>
      <w:tr>
        <w:trPr>
          <w:trHeight w:val="402" w:hRule="exact"/>
        </w:trPr>
        <w:tc>
          <w:tcPr>
            <w:tcW w:w="32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28"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40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43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1,613,779,392.82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1,613,779,392.82</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296,181.57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296,181.57</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武汉网软华信科技有限公司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4,210,455.31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4,210,455.31</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12,667,247.45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12,667,247.45</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17,288,664.84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17,288,664.84</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184,243,605.71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184,243,605.71</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38,595,589.90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38,595,589.90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105,513,512.02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105,513,512.02</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37,903,438.01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37,903,438.01</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1379"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157,743,254.50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157,743,254.50</w:t>
            </w:r>
          </w:p>
        </w:tc>
      </w:tr>
      <w:tr>
        <w:trPr>
          <w:trHeight w:val="403"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2,172,241,342.13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43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2,172,241,342.13</w:t>
            </w:r>
          </w:p>
        </w:tc>
      </w:tr>
    </w:tbl>
    <w:p>
      <w:pPr>
        <w:spacing w:line="240" w:lineRule="auto" w:before="2"/>
        <w:rPr>
          <w:rFonts w:ascii="宋体" w:hAnsi="宋体" w:cs="宋体" w:eastAsia="宋体" w:hint="default"/>
          <w:sz w:val="19"/>
          <w:szCs w:val="19"/>
        </w:rPr>
      </w:pPr>
    </w:p>
    <w:p>
      <w:pPr>
        <w:pStyle w:val="Heading3"/>
        <w:spacing w:line="240" w:lineRule="auto" w:before="35"/>
        <w:ind w:left="234" w:right="568"/>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30"/>
        <w:jc w:val="right"/>
      </w:pPr>
      <w:r>
        <w:rPr/>
        <w:t>单位： 元</w:t>
      </w:r>
    </w:p>
    <w:p>
      <w:pPr>
        <w:spacing w:line="240" w:lineRule="auto" w:before="13"/>
        <w:rPr>
          <w:rFonts w:ascii="宋体" w:hAnsi="宋体" w:cs="宋体" w:eastAsia="宋体" w:hint="default"/>
          <w:sz w:val="7"/>
          <w:szCs w:val="7"/>
        </w:rPr>
      </w:pPr>
    </w:p>
    <w:tbl>
      <w:tblPr>
        <w:tblW w:w="0" w:type="auto"/>
        <w:jc w:val="left"/>
        <w:tblInd w:w="229" w:type="dxa"/>
        <w:tblLayout w:type="fixed"/>
        <w:tblCellMar>
          <w:top w:w="0" w:type="dxa"/>
          <w:left w:w="0" w:type="dxa"/>
          <w:bottom w:w="0" w:type="dxa"/>
          <w:right w:w="0" w:type="dxa"/>
        </w:tblCellMar>
        <w:tblLook w:val="01E0"/>
      </w:tblPr>
      <w:tblGrid>
        <w:gridCol w:w="1620"/>
        <w:gridCol w:w="1367"/>
        <w:gridCol w:w="1367"/>
        <w:gridCol w:w="1226"/>
        <w:gridCol w:w="1367"/>
        <w:gridCol w:w="1153"/>
        <w:gridCol w:w="1367"/>
      </w:tblGrid>
      <w:tr>
        <w:trPr>
          <w:trHeight w:val="200" w:hRule="exact"/>
        </w:trPr>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73" w:right="8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59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5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620" w:type="dxa"/>
            <w:vMerge/>
            <w:tcBorders>
              <w:left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93" w:type="dxa"/>
            <w:gridSpan w:val="2"/>
            <w:vMerge/>
            <w:tcBorders>
              <w:left w:val="single" w:sz="4" w:space="0" w:color="000000"/>
              <w:bottom w:val="single" w:sz="4" w:space="0" w:color="000000"/>
              <w:right w:val="single" w:sz="4" w:space="0" w:color="000000"/>
            </w:tcBorders>
            <w:shd w:val="clear" w:color="auto" w:fill="D3D3D3"/>
          </w:tcPr>
          <w:p>
            <w:pPr/>
          </w:p>
        </w:tc>
        <w:tc>
          <w:tcPr>
            <w:tcW w:w="2520"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620" w:type="dxa"/>
            <w:vMerge/>
            <w:tcBorders>
              <w:left w:val="single" w:sz="4" w:space="0" w:color="000000"/>
              <w:right w:val="single" w:sz="4" w:space="0" w:color="000000"/>
            </w:tcBorders>
            <w:shd w:val="clear" w:color="auto" w:fill="D3D3D3"/>
          </w:tcPr>
          <w:p>
            <w:pPr/>
          </w:p>
        </w:tc>
        <w:tc>
          <w:tcPr>
            <w:tcW w:w="1367"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26" w:type="dxa"/>
            <w:vMerge w:val="restart"/>
            <w:tcBorders>
              <w:top w:val="single" w:sz="4" w:space="0" w:color="000000"/>
              <w:left w:val="single" w:sz="12" w:space="0" w:color="D3D3D3"/>
              <w:right w:val="single" w:sz="13" w:space="0" w:color="D3D3D3"/>
            </w:tcBorders>
            <w:shd w:val="clear" w:color="auto" w:fill="E1FFFF"/>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153" w:type="dxa"/>
            <w:vMerge w:val="restart"/>
            <w:tcBorders>
              <w:top w:val="single" w:sz="4" w:space="0" w:color="000000"/>
              <w:left w:val="single" w:sz="10" w:space="0" w:color="D3D3D3"/>
              <w:right w:val="single" w:sz="9" w:space="0" w:color="D3D3D3"/>
            </w:tcBorders>
            <w:shd w:val="clear" w:color="auto" w:fill="E1FFFF"/>
          </w:tcPr>
          <w:p>
            <w:pP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620"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226" w:type="dxa"/>
            <w:vMerge/>
            <w:tcBorders>
              <w:left w:val="single" w:sz="12" w:space="0" w:color="D3D3D3"/>
              <w:bottom w:val="single" w:sz="4" w:space="0" w:color="000000"/>
              <w:right w:val="single" w:sz="13" w:space="0" w:color="D3D3D3"/>
            </w:tcBorders>
            <w:shd w:val="clear" w:color="auto" w:fill="E1FFFF"/>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153" w:type="dxa"/>
            <w:vMerge/>
            <w:tcBorders>
              <w:left w:val="single" w:sz="10" w:space="0" w:color="D3D3D3"/>
              <w:bottom w:val="single" w:sz="4" w:space="0" w:color="000000"/>
              <w:right w:val="single" w:sz="9" w:space="0" w:color="D3D3D3"/>
            </w:tcBorders>
            <w:shd w:val="clear" w:color="auto" w:fill="E1FFFF"/>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620" w:type="dxa"/>
            <w:tcBorders>
              <w:top w:val="single" w:sz="20" w:space="0" w:color="D3D3D3"/>
              <w:left w:val="single" w:sz="4" w:space="0" w:color="000000"/>
              <w:bottom w:val="single" w:sz="4" w:space="0" w:color="000000"/>
              <w:right w:val="single" w:sz="4" w:space="0" w:color="000000"/>
            </w:tcBorders>
            <w:shd w:val="clear" w:color="auto" w:fill="E1FFFF"/>
          </w:tcPr>
          <w:p>
            <w:pPr>
              <w:pStyle w:val="TableParagraph"/>
              <w:spacing w:line="319" w:lineRule="auto" w:before="31"/>
              <w:ind w:left="22" w:right="20"/>
              <w:jc w:val="left"/>
              <w:rPr>
                <w:rFonts w:ascii="宋体" w:hAnsi="宋体" w:cs="宋体" w:eastAsia="宋体" w:hint="default"/>
                <w:sz w:val="18"/>
                <w:szCs w:val="18"/>
              </w:rPr>
            </w:pPr>
            <w:r>
              <w:rPr>
                <w:rFonts w:ascii="宋体" w:hAnsi="宋体" w:cs="宋体" w:eastAsia="宋体" w:hint="default"/>
                <w:spacing w:val="-7"/>
                <w:sz w:val="18"/>
                <w:szCs w:val="18"/>
              </w:rPr>
              <w:t>索科维尔（北京）软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件系统有限公司</w:t>
            </w:r>
          </w:p>
        </w:tc>
        <w:tc>
          <w:tcPr>
            <w:tcW w:w="1367" w:type="dxa"/>
            <w:tcBorders>
              <w:top w:val="single" w:sz="4" w:space="0" w:color="000000"/>
              <w:left w:val="single" w:sz="10" w:space="0" w:color="E1FFF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22,082,002.41</w:t>
            </w:r>
          </w:p>
        </w:tc>
        <w:tc>
          <w:tcPr>
            <w:tcW w:w="12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22,082,002.41</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0" w:space="0" w:color="D3D3D3"/>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34" w:right="568"/>
        <w:jc w:val="left"/>
      </w:pPr>
      <w:r>
        <w:rPr/>
        <w:t>说明商誉减值测试过程、参数及商誉减值损失的确认方法：</w:t>
      </w:r>
    </w:p>
    <w:p>
      <w:pPr>
        <w:spacing w:line="240" w:lineRule="auto" w:before="3"/>
        <w:rPr>
          <w:rFonts w:ascii="宋体" w:hAnsi="宋体" w:cs="宋体" w:eastAsia="宋体" w:hint="default"/>
          <w:sz w:val="15"/>
          <w:szCs w:val="15"/>
        </w:rPr>
      </w:pPr>
    </w:p>
    <w:p>
      <w:pPr>
        <w:pStyle w:val="BodyText"/>
        <w:spacing w:line="230" w:lineRule="auto"/>
        <w:ind w:left="231" w:right="568" w:firstLine="424"/>
        <w:jc w:val="left"/>
      </w:pPr>
      <w:r>
        <w:rPr/>
        <w:pict>
          <v:group style="position:absolute;margin-left:119.580002pt;margin-top:50.171257pt;width:383pt;height:117.2pt;mso-position-horizontal-relative:page;mso-position-vertical-relative:paragraph;z-index:-1221664" coordorigin="2392,1003" coordsize="7660,2344">
            <v:shape style="position:absolute;left:2411;top:1021;width:10;height:2" type="#_x0000_t75" stroked="false">
              <v:imagedata r:id="rId22" o:title=""/>
            </v:shape>
            <v:shape style="position:absolute;left:3198;top:1021;width:10;height:2" type="#_x0000_t75" stroked="false">
              <v:imagedata r:id="rId22" o:title=""/>
            </v:shape>
            <v:shape style="position:absolute;left:4050;top:1021;width:10;height:2" type="#_x0000_t75" stroked="false">
              <v:imagedata r:id="rId22" o:title=""/>
            </v:shape>
            <v:shape style="position:absolute;left:4902;top:1021;width:10;height:2" type="#_x0000_t75" stroked="false">
              <v:imagedata r:id="rId22" o:title=""/>
            </v:shape>
            <v:shape style="position:absolute;left:5756;top:1021;width:10;height:2" type="#_x0000_t75" stroked="false">
              <v:imagedata r:id="rId22" o:title=""/>
            </v:shape>
            <v:shape style="position:absolute;left:6611;top:1021;width:10;height:2" type="#_x0000_t75" stroked="false">
              <v:imagedata r:id="rId22" o:title=""/>
            </v:shape>
            <v:shape style="position:absolute;left:7463;top:1021;width:10;height:2" type="#_x0000_t75" stroked="false">
              <v:imagedata r:id="rId22" o:title=""/>
            </v:shape>
            <v:shape style="position:absolute;left:8316;top:1021;width:10;height:2" type="#_x0000_t75" stroked="false">
              <v:imagedata r:id="rId22" o:title=""/>
            </v:shape>
            <v:shape style="position:absolute;left:9169;top:1021;width:10;height:2" type="#_x0000_t75" stroked="false">
              <v:imagedata r:id="rId22" o:title=""/>
            </v:shape>
            <v:shape style="position:absolute;left:10022;top:1021;width:10;height:2" type="#_x0000_t75" stroked="false">
              <v:imagedata r:id="rId22" o:title=""/>
            </v:shape>
            <v:shape style="position:absolute;left:2392;top:1003;width:7660;height:661" type="#_x0000_t75" stroked="false">
              <v:imagedata r:id="rId23" o:title=""/>
            </v:shape>
            <v:shape style="position:absolute;left:2411;top:1665;width:10;height:2" type="#_x0000_t75" stroked="false">
              <v:imagedata r:id="rId24" o:title=""/>
            </v:shape>
            <v:shape style="position:absolute;left:3198;top:1665;width:10;height:2" type="#_x0000_t75" stroked="false">
              <v:imagedata r:id="rId24" o:title=""/>
            </v:shape>
            <v:shape style="position:absolute;left:4050;top:1665;width:10;height:2" type="#_x0000_t75" stroked="false">
              <v:imagedata r:id="rId24" o:title=""/>
            </v:shape>
            <v:shape style="position:absolute;left:4902;top:1665;width:10;height:2" type="#_x0000_t75" stroked="false">
              <v:imagedata r:id="rId24" o:title=""/>
            </v:shape>
            <v:shape style="position:absolute;left:5756;top:1665;width:10;height:2" type="#_x0000_t75" stroked="false">
              <v:imagedata r:id="rId24" o:title=""/>
            </v:shape>
            <v:shape style="position:absolute;left:6611;top:1665;width:10;height:2" type="#_x0000_t75" stroked="false">
              <v:imagedata r:id="rId24" o:title=""/>
            </v:shape>
            <v:shape style="position:absolute;left:7463;top:1665;width:10;height:2" type="#_x0000_t75" stroked="false">
              <v:imagedata r:id="rId24" o:title=""/>
            </v:shape>
            <v:shape style="position:absolute;left:8316;top:1665;width:10;height:2" type="#_x0000_t75" stroked="false">
              <v:imagedata r:id="rId24" o:title=""/>
            </v:shape>
            <v:shape style="position:absolute;left:9169;top:1665;width:10;height:2" type="#_x0000_t75" stroked="false">
              <v:imagedata r:id="rId24" o:title=""/>
            </v:shape>
            <v:shape style="position:absolute;left:10022;top:1665;width:10;height:2" type="#_x0000_t75" stroked="false">
              <v:imagedata r:id="rId24" o:title=""/>
            </v:shape>
            <v:shape style="position:absolute;left:2392;top:1647;width:7660;height:431" type="#_x0000_t75" stroked="false">
              <v:imagedata r:id="rId25" o:title=""/>
            </v:shape>
            <v:shape style="position:absolute;left:2411;top:2077;width:10;height:2" type="#_x0000_t75" stroked="false">
              <v:imagedata r:id="rId22" o:title=""/>
            </v:shape>
            <v:shape style="position:absolute;left:3198;top:2077;width:10;height:2" type="#_x0000_t75" stroked="false">
              <v:imagedata r:id="rId22" o:title=""/>
            </v:shape>
            <v:shape style="position:absolute;left:4050;top:2077;width:10;height:2" type="#_x0000_t75" stroked="false">
              <v:imagedata r:id="rId22" o:title=""/>
            </v:shape>
            <v:shape style="position:absolute;left:4902;top:2077;width:10;height:2" type="#_x0000_t75" stroked="false">
              <v:imagedata r:id="rId22" o:title=""/>
            </v:shape>
            <v:shape style="position:absolute;left:5756;top:2077;width:10;height:2" type="#_x0000_t75" stroked="false">
              <v:imagedata r:id="rId22" o:title=""/>
            </v:shape>
            <v:shape style="position:absolute;left:6611;top:2077;width:10;height:2" type="#_x0000_t75" stroked="false">
              <v:imagedata r:id="rId22" o:title=""/>
            </v:shape>
            <v:shape style="position:absolute;left:7463;top:2077;width:10;height:2" type="#_x0000_t75" stroked="false">
              <v:imagedata r:id="rId22" o:title=""/>
            </v:shape>
            <v:shape style="position:absolute;left:8316;top:2077;width:10;height:2" type="#_x0000_t75" stroked="false">
              <v:imagedata r:id="rId22" o:title=""/>
            </v:shape>
            <v:shape style="position:absolute;left:9169;top:2077;width:10;height:2" type="#_x0000_t75" stroked="false">
              <v:imagedata r:id="rId22" o:title=""/>
            </v:shape>
            <v:shape style="position:absolute;left:10022;top:2077;width:10;height:2" type="#_x0000_t75" stroked="false">
              <v:imagedata r:id="rId22" o:title=""/>
            </v:shape>
            <v:shape style="position:absolute;left:2398;top:2065;width:7648;height:961" type="#_x0000_t75" stroked="false">
              <v:imagedata r:id="rId26" o:title=""/>
            </v:shape>
            <v:shape style="position:absolute;left:2411;top:3033;width:10;height:314" type="#_x0000_t75" stroked="false">
              <v:imagedata r:id="rId27" o:title=""/>
            </v:shape>
            <v:shape style="position:absolute;left:3198;top:3033;width:10;height:314" type="#_x0000_t75" stroked="false">
              <v:imagedata r:id="rId27" o:title=""/>
            </v:shape>
            <v:shape style="position:absolute;left:4050;top:3033;width:10;height:314" type="#_x0000_t75" stroked="false">
              <v:imagedata r:id="rId27" o:title=""/>
            </v:shape>
            <v:shape style="position:absolute;left:4902;top:3033;width:10;height:314" type="#_x0000_t75" stroked="false">
              <v:imagedata r:id="rId27" o:title=""/>
            </v:shape>
            <v:shape style="position:absolute;left:5756;top:3033;width:10;height:314" type="#_x0000_t75" stroked="false">
              <v:imagedata r:id="rId27" o:title=""/>
            </v:shape>
            <v:shape style="position:absolute;left:6611;top:3033;width:10;height:314" type="#_x0000_t75" stroked="false">
              <v:imagedata r:id="rId27" o:title=""/>
            </v:shape>
            <v:shape style="position:absolute;left:7463;top:3033;width:10;height:314" type="#_x0000_t75" stroked="false">
              <v:imagedata r:id="rId27" o:title=""/>
            </v:shape>
            <v:shape style="position:absolute;left:8316;top:3033;width:10;height:314" type="#_x0000_t75" stroked="false">
              <v:imagedata r:id="rId27" o:title=""/>
            </v:shape>
            <v:shape style="position:absolute;left:9169;top:3033;width:10;height:314" type="#_x0000_t75" stroked="false">
              <v:imagedata r:id="rId27" o:title=""/>
            </v:shape>
            <v:shape style="position:absolute;left:10022;top:3033;width:10;height:314" type="#_x0000_t75" stroked="false">
              <v:imagedata r:id="rId27" o:title=""/>
            </v:shape>
            <w10:wrap type="none"/>
          </v:group>
        </w:pic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5"/>
        </w:rPr>
        <w:t>日，公司对商誉进行减值测试。包含商誉的资产组的可收回金额是依据管理层批准的五年期预算，</w:t>
      </w:r>
      <w:r>
        <w:rPr/>
        <w:t> 采用预计未来现金流量折现方法计算。超过该五年期的未来现金流量采用估计的永续年增长率作出推算。各资产组采</w:t>
      </w:r>
      <w:r>
        <w:rPr>
          <w:spacing w:val="-71"/>
        </w:rPr>
        <w:t> </w:t>
      </w:r>
      <w:r>
        <w:rPr>
          <w:spacing w:val="-71"/>
        </w:rPr>
      </w:r>
      <w:r>
        <w:rPr/>
        <w:t>用预计未来现金流量折现方法的关键假设：</w:t>
      </w:r>
    </w:p>
    <w:p>
      <w:pPr>
        <w:spacing w:line="240" w:lineRule="auto" w:before="8"/>
        <w:rPr>
          <w:rFonts w:ascii="宋体" w:hAnsi="宋体" w:cs="宋体" w:eastAsia="宋体"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1393"/>
        <w:gridCol w:w="807"/>
        <w:gridCol w:w="852"/>
        <w:gridCol w:w="848"/>
        <w:gridCol w:w="854"/>
        <w:gridCol w:w="855"/>
        <w:gridCol w:w="852"/>
        <w:gridCol w:w="856"/>
        <w:gridCol w:w="853"/>
        <w:gridCol w:w="849"/>
        <w:gridCol w:w="833"/>
      </w:tblGrid>
      <w:tr>
        <w:trPr>
          <w:trHeight w:val="643" w:hRule="exact"/>
        </w:trPr>
        <w:tc>
          <w:tcPr>
            <w:tcW w:w="139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807"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210" w:right="235"/>
              <w:jc w:val="left"/>
              <w:rPr>
                <w:rFonts w:ascii="宋体" w:hAnsi="宋体" w:cs="宋体" w:eastAsia="宋体" w:hint="default"/>
                <w:sz w:val="18"/>
                <w:szCs w:val="18"/>
              </w:rPr>
            </w:pPr>
            <w:r>
              <w:rPr>
                <w:rFonts w:ascii="宋体" w:hAnsi="宋体" w:cs="宋体" w:eastAsia="宋体" w:hint="default"/>
                <w:sz w:val="18"/>
                <w:szCs w:val="18"/>
              </w:rPr>
              <w:t>北明 软件</w:t>
            </w:r>
          </w:p>
        </w:tc>
        <w:tc>
          <w:tcPr>
            <w:tcW w:w="852"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312" w:right="177" w:hanging="180"/>
              <w:jc w:val="left"/>
              <w:rPr>
                <w:rFonts w:ascii="宋体" w:hAnsi="宋体" w:cs="宋体" w:eastAsia="宋体" w:hint="default"/>
                <w:sz w:val="18"/>
                <w:szCs w:val="18"/>
              </w:rPr>
            </w:pPr>
            <w:r>
              <w:rPr>
                <w:rFonts w:ascii="宋体" w:hAnsi="宋体" w:cs="宋体" w:eastAsia="宋体" w:hint="default"/>
                <w:sz w:val="18"/>
                <w:szCs w:val="18"/>
              </w:rPr>
              <w:t>珠海震 星</w:t>
            </w:r>
          </w:p>
        </w:tc>
        <w:tc>
          <w:tcPr>
            <w:tcW w:w="848"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312" w:right="174" w:hanging="180"/>
              <w:jc w:val="left"/>
              <w:rPr>
                <w:rFonts w:ascii="宋体" w:hAnsi="宋体" w:cs="宋体" w:eastAsia="宋体" w:hint="default"/>
                <w:sz w:val="18"/>
                <w:szCs w:val="18"/>
              </w:rPr>
            </w:pPr>
            <w:r>
              <w:rPr>
                <w:rFonts w:ascii="宋体" w:hAnsi="宋体" w:cs="宋体" w:eastAsia="宋体" w:hint="default"/>
                <w:sz w:val="18"/>
                <w:szCs w:val="18"/>
              </w:rPr>
              <w:t>武汉网 软</w:t>
            </w:r>
          </w:p>
        </w:tc>
        <w:tc>
          <w:tcPr>
            <w:tcW w:w="854"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317" w:right="175" w:hanging="180"/>
              <w:jc w:val="left"/>
              <w:rPr>
                <w:rFonts w:ascii="宋体" w:hAnsi="宋体" w:cs="宋体" w:eastAsia="宋体" w:hint="default"/>
                <w:sz w:val="18"/>
                <w:szCs w:val="18"/>
              </w:rPr>
            </w:pPr>
            <w:r>
              <w:rPr>
                <w:rFonts w:ascii="宋体" w:hAnsi="宋体" w:cs="宋体" w:eastAsia="宋体" w:hint="default"/>
                <w:sz w:val="18"/>
                <w:szCs w:val="18"/>
              </w:rPr>
              <w:t>北明正 实</w:t>
            </w:r>
          </w:p>
        </w:tc>
        <w:tc>
          <w:tcPr>
            <w:tcW w:w="855"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317" w:right="175" w:hanging="180"/>
              <w:jc w:val="left"/>
              <w:rPr>
                <w:rFonts w:ascii="宋体" w:hAnsi="宋体" w:cs="宋体" w:eastAsia="宋体" w:hint="default"/>
                <w:sz w:val="18"/>
                <w:szCs w:val="18"/>
              </w:rPr>
            </w:pPr>
            <w:r>
              <w:rPr>
                <w:rFonts w:ascii="宋体" w:hAnsi="宋体" w:cs="宋体" w:eastAsia="宋体" w:hint="default"/>
                <w:sz w:val="18"/>
                <w:szCs w:val="18"/>
              </w:rPr>
              <w:t>广州龙 泰</w:t>
            </w:r>
          </w:p>
        </w:tc>
        <w:tc>
          <w:tcPr>
            <w:tcW w:w="852"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315" w:right="174" w:hanging="180"/>
              <w:jc w:val="left"/>
              <w:rPr>
                <w:rFonts w:ascii="宋体" w:hAnsi="宋体" w:cs="宋体" w:eastAsia="宋体" w:hint="default"/>
                <w:sz w:val="18"/>
                <w:szCs w:val="18"/>
              </w:rPr>
            </w:pPr>
            <w:r>
              <w:rPr>
                <w:rFonts w:ascii="宋体" w:hAnsi="宋体" w:cs="宋体" w:eastAsia="宋体" w:hint="default"/>
                <w:sz w:val="18"/>
                <w:szCs w:val="18"/>
              </w:rPr>
              <w:t>天时前 程</w:t>
            </w:r>
          </w:p>
        </w:tc>
        <w:tc>
          <w:tcPr>
            <w:tcW w:w="856"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315" w:right="179" w:hanging="180"/>
              <w:jc w:val="left"/>
              <w:rPr>
                <w:rFonts w:ascii="宋体" w:hAnsi="宋体" w:cs="宋体" w:eastAsia="宋体" w:hint="default"/>
                <w:sz w:val="18"/>
                <w:szCs w:val="18"/>
              </w:rPr>
            </w:pPr>
            <w:r>
              <w:rPr>
                <w:rFonts w:ascii="宋体" w:hAnsi="宋体" w:cs="宋体" w:eastAsia="宋体" w:hint="default"/>
                <w:sz w:val="18"/>
                <w:szCs w:val="18"/>
              </w:rPr>
              <w:t>山东成 功</w:t>
            </w:r>
          </w:p>
        </w:tc>
        <w:tc>
          <w:tcPr>
            <w:tcW w:w="853"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312" w:right="179" w:hanging="180"/>
              <w:jc w:val="left"/>
              <w:rPr>
                <w:rFonts w:ascii="宋体" w:hAnsi="宋体" w:cs="宋体" w:eastAsia="宋体" w:hint="default"/>
                <w:sz w:val="18"/>
                <w:szCs w:val="18"/>
              </w:rPr>
            </w:pPr>
            <w:r>
              <w:rPr>
                <w:rFonts w:ascii="宋体" w:hAnsi="宋体" w:cs="宋体" w:eastAsia="宋体" w:hint="default"/>
                <w:sz w:val="18"/>
                <w:szCs w:val="18"/>
              </w:rPr>
              <w:t>索科维 尔</w:t>
            </w:r>
          </w:p>
        </w:tc>
        <w:tc>
          <w:tcPr>
            <w:tcW w:w="849" w:type="dxa"/>
            <w:tcBorders>
              <w:top w:val="single" w:sz="8" w:space="0" w:color="000000"/>
              <w:left w:val="nil" w:sz="6" w:space="0" w:color="auto"/>
              <w:bottom w:val="single" w:sz="8" w:space="0" w:color="000000"/>
              <w:right w:val="nil" w:sz="6" w:space="0" w:color="auto"/>
            </w:tcBorders>
          </w:tcPr>
          <w:p>
            <w:pPr>
              <w:pStyle w:val="TableParagraph"/>
              <w:spacing w:line="316" w:lineRule="auto" w:before="11"/>
              <w:ind w:left="312" w:right="175" w:hanging="180"/>
              <w:jc w:val="left"/>
              <w:rPr>
                <w:rFonts w:ascii="宋体" w:hAnsi="宋体" w:cs="宋体" w:eastAsia="宋体" w:hint="default"/>
                <w:sz w:val="18"/>
                <w:szCs w:val="18"/>
              </w:rPr>
            </w:pPr>
            <w:r>
              <w:rPr>
                <w:rFonts w:ascii="宋体" w:hAnsi="宋体" w:cs="宋体" w:eastAsia="宋体" w:hint="default"/>
                <w:sz w:val="18"/>
                <w:szCs w:val="18"/>
              </w:rPr>
              <w:t>明润华 创</w:t>
            </w:r>
          </w:p>
        </w:tc>
        <w:tc>
          <w:tcPr>
            <w:tcW w:w="833" w:type="dxa"/>
            <w:tcBorders>
              <w:top w:val="single" w:sz="8" w:space="0" w:color="000000"/>
              <w:left w:val="nil" w:sz="6" w:space="0" w:color="auto"/>
              <w:bottom w:val="single" w:sz="8" w:space="0" w:color="000000"/>
              <w:right w:val="single" w:sz="8" w:space="0" w:color="000000"/>
            </w:tcBorders>
          </w:tcPr>
          <w:p>
            <w:pPr>
              <w:pStyle w:val="TableParagraph"/>
              <w:spacing w:line="316" w:lineRule="auto" w:before="11"/>
              <w:ind w:left="315" w:right="145" w:hanging="180"/>
              <w:jc w:val="left"/>
              <w:rPr>
                <w:rFonts w:ascii="宋体" w:hAnsi="宋体" w:cs="宋体" w:eastAsia="宋体" w:hint="default"/>
                <w:sz w:val="18"/>
                <w:szCs w:val="18"/>
              </w:rPr>
            </w:pPr>
            <w:r>
              <w:rPr>
                <w:rFonts w:ascii="宋体" w:hAnsi="宋体" w:cs="宋体" w:eastAsia="宋体" w:hint="default"/>
                <w:sz w:val="18"/>
                <w:szCs w:val="18"/>
              </w:rPr>
              <w:t>金实盈 信</w:t>
            </w:r>
          </w:p>
        </w:tc>
      </w:tr>
      <w:tr>
        <w:trPr>
          <w:trHeight w:val="413" w:hRule="exact"/>
        </w:trPr>
        <w:tc>
          <w:tcPr>
            <w:tcW w:w="139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永续年增长率</w:t>
            </w:r>
          </w:p>
        </w:tc>
        <w:tc>
          <w:tcPr>
            <w:tcW w:w="807"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right="129"/>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45"/>
              <w:jc w:val="center"/>
              <w:rPr>
                <w:rFonts w:ascii="Times New Roman" w:hAnsi="Times New Roman" w:cs="Times New Roman" w:eastAsia="Times New Roman" w:hint="default"/>
                <w:sz w:val="18"/>
                <w:szCs w:val="18"/>
              </w:rPr>
            </w:pPr>
            <w:r>
              <w:rPr>
                <w:rFonts w:ascii="Times New Roman"/>
                <w:sz w:val="18"/>
              </w:rPr>
              <w:t>0%</w:t>
            </w:r>
          </w:p>
        </w:tc>
        <w:tc>
          <w:tcPr>
            <w:tcW w:w="848"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41"/>
              <w:jc w:val="center"/>
              <w:rPr>
                <w:rFonts w:ascii="Times New Roman" w:hAnsi="Times New Roman" w:cs="Times New Roman" w:eastAsia="Times New Roman" w:hint="default"/>
                <w:sz w:val="18"/>
                <w:szCs w:val="18"/>
              </w:rPr>
            </w:pPr>
            <w:r>
              <w:rPr>
                <w:rFonts w:ascii="Times New Roman"/>
                <w:sz w:val="18"/>
              </w:rPr>
              <w:t>0%</w:t>
            </w:r>
          </w:p>
        </w:tc>
        <w:tc>
          <w:tcPr>
            <w:tcW w:w="854"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38"/>
              <w:jc w:val="center"/>
              <w:rPr>
                <w:rFonts w:ascii="Times New Roman" w:hAnsi="Times New Roman" w:cs="Times New Roman" w:eastAsia="Times New Roman" w:hint="default"/>
                <w:sz w:val="18"/>
                <w:szCs w:val="18"/>
              </w:rPr>
            </w:pPr>
            <w:r>
              <w:rPr>
                <w:rFonts w:ascii="Times New Roman"/>
                <w:sz w:val="18"/>
              </w:rPr>
              <w:t>0%</w:t>
            </w:r>
          </w:p>
        </w:tc>
        <w:tc>
          <w:tcPr>
            <w:tcW w:w="855"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38"/>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39"/>
              <w:jc w:val="center"/>
              <w:rPr>
                <w:rFonts w:ascii="Times New Roman" w:hAnsi="Times New Roman" w:cs="Times New Roman" w:eastAsia="Times New Roman" w:hint="default"/>
                <w:sz w:val="18"/>
                <w:szCs w:val="18"/>
              </w:rPr>
            </w:pPr>
            <w:r>
              <w:rPr>
                <w:rFonts w:ascii="Times New Roman"/>
                <w:sz w:val="18"/>
              </w:rPr>
              <w:t>0%</w:t>
            </w:r>
          </w:p>
        </w:tc>
        <w:tc>
          <w:tcPr>
            <w:tcW w:w="85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43"/>
              <w:jc w:val="center"/>
              <w:rPr>
                <w:rFonts w:ascii="Times New Roman" w:hAnsi="Times New Roman" w:cs="Times New Roman" w:eastAsia="Times New Roman" w:hint="default"/>
                <w:sz w:val="18"/>
                <w:szCs w:val="18"/>
              </w:rPr>
            </w:pPr>
            <w:r>
              <w:rPr>
                <w:rFonts w:ascii="Times New Roman"/>
                <w:sz w:val="18"/>
              </w:rPr>
              <w:t>0%</w:t>
            </w:r>
          </w:p>
        </w:tc>
        <w:tc>
          <w:tcPr>
            <w:tcW w:w="853"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46"/>
              <w:jc w:val="center"/>
              <w:rPr>
                <w:rFonts w:ascii="Times New Roman" w:hAnsi="Times New Roman" w:cs="Times New Roman" w:eastAsia="Times New Roman" w:hint="default"/>
                <w:sz w:val="18"/>
                <w:szCs w:val="18"/>
              </w:rPr>
            </w:pPr>
            <w:r>
              <w:rPr>
                <w:rFonts w:ascii="Times New Roman"/>
                <w:sz w:val="18"/>
              </w:rPr>
              <w:t>0%</w:t>
            </w:r>
          </w:p>
        </w:tc>
        <w:tc>
          <w:tcPr>
            <w:tcW w:w="849"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right="42"/>
              <w:jc w:val="center"/>
              <w:rPr>
                <w:rFonts w:ascii="Times New Roman" w:hAnsi="Times New Roman" w:cs="Times New Roman" w:eastAsia="Times New Roman" w:hint="default"/>
                <w:sz w:val="18"/>
                <w:szCs w:val="18"/>
              </w:rPr>
            </w:pPr>
            <w:r>
              <w:rPr>
                <w:rFonts w:ascii="Times New Roman"/>
                <w:sz w:val="18"/>
              </w:rPr>
              <w:t>0%</w:t>
            </w:r>
          </w:p>
        </w:tc>
        <w:tc>
          <w:tcPr>
            <w:tcW w:w="8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1393" w:type="dxa"/>
            <w:tcBorders>
              <w:top w:val="single" w:sz="8" w:space="0" w:color="000000"/>
              <w:left w:val="single" w:sz="8" w:space="0" w:color="000000"/>
              <w:bottom w:val="nil" w:sz="6" w:space="0" w:color="auto"/>
              <w:right w:val="nil" w:sz="6" w:space="0" w:color="auto"/>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毛利</w:t>
            </w:r>
            <w:r>
              <w:rPr>
                <w:rFonts w:ascii="宋体" w:hAnsi="宋体" w:cs="宋体" w:eastAsia="宋体" w:hint="default"/>
                <w:spacing w:val="-87"/>
                <w:sz w:val="18"/>
                <w:szCs w:val="18"/>
              </w:rPr>
              <w:t>率</w:t>
            </w:r>
            <w:r>
              <w:rPr>
                <w:rFonts w:ascii="宋体" w:hAnsi="宋体" w:cs="宋体" w:eastAsia="宋体" w:hint="default"/>
                <w:sz w:val="18"/>
                <w:szCs w:val="18"/>
              </w:rPr>
              <w:t>（剔除补</w:t>
            </w:r>
          </w:p>
        </w:tc>
        <w:tc>
          <w:tcPr>
            <w:tcW w:w="807" w:type="dxa"/>
            <w:tcBorders>
              <w:top w:val="single" w:sz="8" w:space="0" w:color="000000"/>
              <w:left w:val="nil" w:sz="6" w:space="0" w:color="auto"/>
              <w:bottom w:val="nil" w:sz="6" w:space="0" w:color="auto"/>
              <w:right w:val="nil" w:sz="6" w:space="0" w:color="auto"/>
            </w:tcBorders>
          </w:tcPr>
          <w:p>
            <w:pPr/>
          </w:p>
        </w:tc>
        <w:tc>
          <w:tcPr>
            <w:tcW w:w="852" w:type="dxa"/>
            <w:tcBorders>
              <w:top w:val="single" w:sz="8" w:space="0" w:color="000000"/>
              <w:left w:val="nil" w:sz="6" w:space="0" w:color="auto"/>
              <w:bottom w:val="nil" w:sz="6" w:space="0" w:color="auto"/>
              <w:right w:val="nil" w:sz="6" w:space="0" w:color="auto"/>
            </w:tcBorders>
          </w:tcPr>
          <w:p>
            <w:pPr/>
          </w:p>
        </w:tc>
        <w:tc>
          <w:tcPr>
            <w:tcW w:w="848" w:type="dxa"/>
            <w:tcBorders>
              <w:top w:val="single" w:sz="8" w:space="0" w:color="000000"/>
              <w:left w:val="nil" w:sz="6" w:space="0" w:color="auto"/>
              <w:bottom w:val="nil" w:sz="6" w:space="0" w:color="auto"/>
              <w:right w:val="nil" w:sz="6" w:space="0" w:color="auto"/>
            </w:tcBorders>
          </w:tcPr>
          <w:p>
            <w:pPr/>
          </w:p>
        </w:tc>
        <w:tc>
          <w:tcPr>
            <w:tcW w:w="854" w:type="dxa"/>
            <w:tcBorders>
              <w:top w:val="single" w:sz="8" w:space="0" w:color="000000"/>
              <w:left w:val="nil" w:sz="6" w:space="0" w:color="auto"/>
              <w:bottom w:val="nil" w:sz="6" w:space="0" w:color="auto"/>
              <w:right w:val="nil" w:sz="6" w:space="0" w:color="auto"/>
            </w:tcBorders>
          </w:tcPr>
          <w:p>
            <w:pPr/>
          </w:p>
        </w:tc>
        <w:tc>
          <w:tcPr>
            <w:tcW w:w="855" w:type="dxa"/>
            <w:tcBorders>
              <w:top w:val="single" w:sz="8" w:space="0" w:color="000000"/>
              <w:left w:val="nil" w:sz="6" w:space="0" w:color="auto"/>
              <w:bottom w:val="nil" w:sz="6" w:space="0" w:color="auto"/>
              <w:right w:val="nil" w:sz="6" w:space="0" w:color="auto"/>
            </w:tcBorders>
          </w:tcPr>
          <w:p>
            <w:pPr/>
          </w:p>
        </w:tc>
        <w:tc>
          <w:tcPr>
            <w:tcW w:w="852" w:type="dxa"/>
            <w:tcBorders>
              <w:top w:val="single" w:sz="8" w:space="0" w:color="000000"/>
              <w:left w:val="nil" w:sz="6" w:space="0" w:color="auto"/>
              <w:bottom w:val="nil" w:sz="6" w:space="0" w:color="auto"/>
              <w:right w:val="nil" w:sz="6" w:space="0" w:color="auto"/>
            </w:tcBorders>
          </w:tcPr>
          <w:p>
            <w:pPr/>
          </w:p>
        </w:tc>
        <w:tc>
          <w:tcPr>
            <w:tcW w:w="856" w:type="dxa"/>
            <w:tcBorders>
              <w:top w:val="single" w:sz="8" w:space="0" w:color="000000"/>
              <w:left w:val="nil" w:sz="6" w:space="0" w:color="auto"/>
              <w:bottom w:val="nil" w:sz="6" w:space="0" w:color="auto"/>
              <w:right w:val="nil" w:sz="6" w:space="0" w:color="auto"/>
            </w:tcBorders>
          </w:tcPr>
          <w:p>
            <w:pPr/>
          </w:p>
        </w:tc>
        <w:tc>
          <w:tcPr>
            <w:tcW w:w="853" w:type="dxa"/>
            <w:tcBorders>
              <w:top w:val="single" w:sz="8" w:space="0" w:color="000000"/>
              <w:left w:val="nil" w:sz="6" w:space="0" w:color="auto"/>
              <w:bottom w:val="nil" w:sz="6" w:space="0" w:color="auto"/>
              <w:right w:val="nil" w:sz="6" w:space="0" w:color="auto"/>
            </w:tcBorders>
          </w:tcPr>
          <w:p>
            <w:pPr/>
          </w:p>
        </w:tc>
        <w:tc>
          <w:tcPr>
            <w:tcW w:w="849" w:type="dxa"/>
            <w:tcBorders>
              <w:top w:val="single" w:sz="8" w:space="0" w:color="000000"/>
              <w:left w:val="nil" w:sz="6" w:space="0" w:color="auto"/>
              <w:bottom w:val="nil" w:sz="6" w:space="0" w:color="auto"/>
              <w:right w:val="nil" w:sz="6" w:space="0" w:color="auto"/>
            </w:tcBorders>
          </w:tcPr>
          <w:p>
            <w:pPr/>
          </w:p>
        </w:tc>
        <w:tc>
          <w:tcPr>
            <w:tcW w:w="833" w:type="dxa"/>
            <w:tcBorders>
              <w:top w:val="single" w:sz="8" w:space="0" w:color="000000"/>
              <w:left w:val="nil" w:sz="6" w:space="0" w:color="auto"/>
              <w:bottom w:val="nil" w:sz="6" w:space="0" w:color="auto"/>
              <w:right w:val="single" w:sz="8" w:space="0" w:color="000000"/>
            </w:tcBorders>
          </w:tcPr>
          <w:p>
            <w:pPr/>
          </w:p>
        </w:tc>
      </w:tr>
      <w:tr>
        <w:trPr>
          <w:trHeight w:val="316" w:hRule="exact"/>
        </w:trPr>
        <w:tc>
          <w:tcPr>
            <w:tcW w:w="1393" w:type="dxa"/>
            <w:tcBorders>
              <w:top w:val="nil" w:sz="6" w:space="0" w:color="auto"/>
              <w:left w:val="single" w:sz="8" w:space="0" w:color="000000"/>
              <w:bottom w:val="nil" w:sz="6" w:space="0" w:color="auto"/>
              <w:right w:val="nil" w:sz="6" w:space="0" w:color="auto"/>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贴收入</w:t>
            </w:r>
            <w:r>
              <w:rPr>
                <w:rFonts w:ascii="宋体" w:hAnsi="宋体" w:cs="宋体" w:eastAsia="宋体" w:hint="default"/>
                <w:spacing w:val="-87"/>
                <w:sz w:val="18"/>
                <w:szCs w:val="18"/>
              </w:rPr>
              <w:t>，</w:t>
            </w:r>
            <w:r>
              <w:rPr>
                <w:rFonts w:ascii="宋体" w:hAnsi="宋体" w:cs="宋体" w:eastAsia="宋体" w:hint="default"/>
                <w:sz w:val="18"/>
                <w:szCs w:val="18"/>
              </w:rPr>
              <w:t>永续年</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8"/>
              <w:jc w:val="right"/>
              <w:rPr>
                <w:rFonts w:ascii="Times New Roman" w:hAnsi="Times New Roman" w:cs="Times New Roman" w:eastAsia="Times New Roman" w:hint="default"/>
                <w:sz w:val="18"/>
                <w:szCs w:val="18"/>
              </w:rPr>
            </w:pPr>
            <w:r>
              <w:rPr>
                <w:rFonts w:ascii="Times New Roman"/>
                <w:sz w:val="18"/>
              </w:rPr>
              <w:t>21.99%</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46.08</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center"/>
              <w:rPr>
                <w:rFonts w:ascii="Times New Roman" w:hAnsi="Times New Roman" w:cs="Times New Roman" w:eastAsia="Times New Roman" w:hint="default"/>
                <w:sz w:val="18"/>
                <w:szCs w:val="18"/>
              </w:rPr>
            </w:pPr>
            <w:r>
              <w:rPr>
                <w:rFonts w:ascii="Times New Roman"/>
                <w:sz w:val="18"/>
              </w:rPr>
              <w:t>76%</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
              <w:jc w:val="center"/>
              <w:rPr>
                <w:rFonts w:ascii="Times New Roman" w:hAnsi="Times New Roman" w:cs="Times New Roman" w:eastAsia="Times New Roman" w:hint="default"/>
                <w:sz w:val="18"/>
                <w:szCs w:val="18"/>
              </w:rPr>
            </w:pPr>
            <w:r>
              <w:rPr>
                <w:rFonts w:ascii="Times New Roman"/>
                <w:sz w:val="18"/>
              </w:rPr>
              <w:t>61.70%</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center"/>
              <w:rPr>
                <w:rFonts w:ascii="Times New Roman" w:hAnsi="Times New Roman" w:cs="Times New Roman" w:eastAsia="Times New Roman" w:hint="default"/>
                <w:sz w:val="18"/>
                <w:szCs w:val="18"/>
              </w:rPr>
            </w:pPr>
            <w:r>
              <w:rPr>
                <w:rFonts w:ascii="Times New Roman"/>
                <w:sz w:val="18"/>
              </w:rPr>
              <w:t>59.55%</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8"/>
              <w:jc w:val="center"/>
              <w:rPr>
                <w:rFonts w:ascii="Times New Roman" w:hAnsi="Times New Roman" w:cs="Times New Roman" w:eastAsia="Times New Roman" w:hint="default"/>
                <w:sz w:val="18"/>
                <w:szCs w:val="18"/>
              </w:rPr>
            </w:pPr>
            <w:r>
              <w:rPr>
                <w:rFonts w:ascii="Times New Roman"/>
                <w:sz w:val="18"/>
              </w:rPr>
              <w:t>39.08%</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center"/>
              <w:rPr>
                <w:rFonts w:ascii="Times New Roman" w:hAnsi="Times New Roman" w:cs="Times New Roman" w:eastAsia="Times New Roman" w:hint="default"/>
                <w:sz w:val="18"/>
                <w:szCs w:val="18"/>
              </w:rPr>
            </w:pPr>
            <w:r>
              <w:rPr>
                <w:rFonts w:ascii="Times New Roman"/>
                <w:sz w:val="18"/>
              </w:rPr>
              <w:t>68.13%</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6"/>
              <w:jc w:val="center"/>
              <w:rPr>
                <w:rFonts w:ascii="Times New Roman" w:hAnsi="Times New Roman" w:cs="Times New Roman" w:eastAsia="Times New Roman" w:hint="default"/>
                <w:sz w:val="18"/>
                <w:szCs w:val="18"/>
              </w:rPr>
            </w:pPr>
            <w:r>
              <w:rPr>
                <w:rFonts w:ascii="Times New Roman"/>
                <w:sz w:val="18"/>
              </w:rPr>
              <w:t>67%</w:t>
            </w:r>
          </w:p>
        </w:tc>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center"/>
              <w:rPr>
                <w:rFonts w:ascii="Times New Roman" w:hAnsi="Times New Roman" w:cs="Times New Roman" w:eastAsia="Times New Roman" w:hint="default"/>
                <w:sz w:val="18"/>
                <w:szCs w:val="18"/>
              </w:rPr>
            </w:pPr>
            <w:r>
              <w:rPr>
                <w:rFonts w:ascii="Times New Roman"/>
                <w:sz w:val="18"/>
              </w:rPr>
              <w:t>48.3%</w:t>
            </w:r>
          </w:p>
        </w:tc>
        <w:tc>
          <w:tcPr>
            <w:tcW w:w="833" w:type="dxa"/>
            <w:tcBorders>
              <w:top w:val="nil" w:sz="6" w:space="0" w:color="auto"/>
              <w:left w:val="nil" w:sz="6" w:space="0" w:color="auto"/>
              <w:bottom w:val="nil" w:sz="6" w:space="0" w:color="auto"/>
              <w:right w:val="single" w:sz="8" w:space="0" w:color="000000"/>
            </w:tcBorders>
          </w:tcPr>
          <w:p>
            <w:pPr>
              <w:pStyle w:val="TableParagraph"/>
              <w:spacing w:line="240" w:lineRule="auto" w:before="50"/>
              <w:ind w:right="9"/>
              <w:jc w:val="center"/>
              <w:rPr>
                <w:rFonts w:ascii="Times New Roman" w:hAnsi="Times New Roman" w:cs="Times New Roman" w:eastAsia="Times New Roman" w:hint="default"/>
                <w:sz w:val="18"/>
                <w:szCs w:val="18"/>
              </w:rPr>
            </w:pPr>
            <w:r>
              <w:rPr>
                <w:rFonts w:ascii="Times New Roman"/>
                <w:sz w:val="18"/>
              </w:rPr>
              <w:t>67.08%</w:t>
            </w:r>
          </w:p>
        </w:tc>
      </w:tr>
      <w:tr>
        <w:trPr>
          <w:trHeight w:val="317" w:hRule="exact"/>
        </w:trPr>
        <w:tc>
          <w:tcPr>
            <w:tcW w:w="1393" w:type="dxa"/>
            <w:tcBorders>
              <w:top w:val="nil" w:sz="6" w:space="0" w:color="auto"/>
              <w:left w:val="single" w:sz="8" w:space="0" w:color="000000"/>
              <w:bottom w:val="single" w:sz="8" w:space="0" w:color="000000"/>
              <w:right w:val="nil" w:sz="6" w:space="0" w:color="auto"/>
            </w:tcBorders>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度）</w:t>
            </w:r>
          </w:p>
        </w:tc>
        <w:tc>
          <w:tcPr>
            <w:tcW w:w="807" w:type="dxa"/>
            <w:tcBorders>
              <w:top w:val="nil" w:sz="6" w:space="0" w:color="auto"/>
              <w:left w:val="nil" w:sz="6" w:space="0" w:color="auto"/>
              <w:bottom w:val="single" w:sz="8" w:space="0" w:color="000000"/>
              <w:right w:val="nil" w:sz="6" w:space="0" w:color="auto"/>
            </w:tcBorders>
          </w:tcPr>
          <w:p>
            <w:pPr/>
          </w:p>
        </w:tc>
        <w:tc>
          <w:tcPr>
            <w:tcW w:w="852" w:type="dxa"/>
            <w:tcBorders>
              <w:top w:val="nil" w:sz="6" w:space="0" w:color="auto"/>
              <w:left w:val="nil" w:sz="6" w:space="0" w:color="auto"/>
              <w:bottom w:val="single" w:sz="8" w:space="0" w:color="000000"/>
              <w:right w:val="nil" w:sz="6" w:space="0" w:color="auto"/>
            </w:tcBorders>
          </w:tcPr>
          <w:p>
            <w:pPr/>
          </w:p>
        </w:tc>
        <w:tc>
          <w:tcPr>
            <w:tcW w:w="848" w:type="dxa"/>
            <w:tcBorders>
              <w:top w:val="nil" w:sz="6" w:space="0" w:color="auto"/>
              <w:left w:val="nil" w:sz="6" w:space="0" w:color="auto"/>
              <w:bottom w:val="single" w:sz="8" w:space="0" w:color="000000"/>
              <w:right w:val="nil" w:sz="6" w:space="0" w:color="auto"/>
            </w:tcBorders>
          </w:tcPr>
          <w:p>
            <w:pPr/>
          </w:p>
        </w:tc>
        <w:tc>
          <w:tcPr>
            <w:tcW w:w="854" w:type="dxa"/>
            <w:tcBorders>
              <w:top w:val="nil" w:sz="6" w:space="0" w:color="auto"/>
              <w:left w:val="nil" w:sz="6" w:space="0" w:color="auto"/>
              <w:bottom w:val="single" w:sz="8" w:space="0" w:color="000000"/>
              <w:right w:val="nil" w:sz="6" w:space="0" w:color="auto"/>
            </w:tcBorders>
          </w:tcPr>
          <w:p>
            <w:pPr/>
          </w:p>
        </w:tc>
        <w:tc>
          <w:tcPr>
            <w:tcW w:w="855" w:type="dxa"/>
            <w:tcBorders>
              <w:top w:val="nil" w:sz="6" w:space="0" w:color="auto"/>
              <w:left w:val="nil" w:sz="6" w:space="0" w:color="auto"/>
              <w:bottom w:val="single" w:sz="8" w:space="0" w:color="000000"/>
              <w:right w:val="nil" w:sz="6" w:space="0" w:color="auto"/>
            </w:tcBorders>
          </w:tcPr>
          <w:p>
            <w:pPr/>
          </w:p>
        </w:tc>
        <w:tc>
          <w:tcPr>
            <w:tcW w:w="852" w:type="dxa"/>
            <w:tcBorders>
              <w:top w:val="nil" w:sz="6" w:space="0" w:color="auto"/>
              <w:left w:val="nil" w:sz="6" w:space="0" w:color="auto"/>
              <w:bottom w:val="single" w:sz="8" w:space="0" w:color="000000"/>
              <w:right w:val="nil" w:sz="6" w:space="0" w:color="auto"/>
            </w:tcBorders>
          </w:tcPr>
          <w:p>
            <w:pPr/>
          </w:p>
        </w:tc>
        <w:tc>
          <w:tcPr>
            <w:tcW w:w="856" w:type="dxa"/>
            <w:tcBorders>
              <w:top w:val="nil" w:sz="6" w:space="0" w:color="auto"/>
              <w:left w:val="nil" w:sz="6" w:space="0" w:color="auto"/>
              <w:bottom w:val="single" w:sz="8" w:space="0" w:color="000000"/>
              <w:right w:val="nil" w:sz="6" w:space="0" w:color="auto"/>
            </w:tcBorders>
          </w:tcPr>
          <w:p>
            <w:pPr/>
          </w:p>
        </w:tc>
        <w:tc>
          <w:tcPr>
            <w:tcW w:w="853" w:type="dxa"/>
            <w:tcBorders>
              <w:top w:val="nil" w:sz="6" w:space="0" w:color="auto"/>
              <w:left w:val="nil" w:sz="6" w:space="0" w:color="auto"/>
              <w:bottom w:val="single" w:sz="8" w:space="0" w:color="000000"/>
              <w:right w:val="nil" w:sz="6" w:space="0" w:color="auto"/>
            </w:tcBorders>
          </w:tcPr>
          <w:p>
            <w:pPr/>
          </w:p>
        </w:tc>
        <w:tc>
          <w:tcPr>
            <w:tcW w:w="849" w:type="dxa"/>
            <w:tcBorders>
              <w:top w:val="nil" w:sz="6" w:space="0" w:color="auto"/>
              <w:left w:val="nil" w:sz="6" w:space="0" w:color="auto"/>
              <w:bottom w:val="single" w:sz="8" w:space="0" w:color="000000"/>
              <w:right w:val="nil" w:sz="6" w:space="0" w:color="auto"/>
            </w:tcBorders>
          </w:tcPr>
          <w:p>
            <w:pPr/>
          </w:p>
        </w:tc>
        <w:tc>
          <w:tcPr>
            <w:tcW w:w="833" w:type="dxa"/>
            <w:tcBorders>
              <w:top w:val="nil" w:sz="6" w:space="0" w:color="auto"/>
              <w:left w:val="nil" w:sz="6" w:space="0" w:color="auto"/>
              <w:bottom w:val="single" w:sz="8" w:space="0" w:color="000000"/>
              <w:right w:val="single" w:sz="8" w:space="0" w:color="000000"/>
            </w:tcBorders>
          </w:tcPr>
          <w:p>
            <w:pPr/>
          </w:p>
        </w:tc>
      </w:tr>
      <w:tr>
        <w:trPr>
          <w:trHeight w:val="334" w:hRule="exact"/>
        </w:trPr>
        <w:tc>
          <w:tcPr>
            <w:tcW w:w="139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807"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right="130"/>
              <w:jc w:val="right"/>
              <w:rPr>
                <w:rFonts w:ascii="Times New Roman" w:hAnsi="Times New Roman" w:cs="Times New Roman" w:eastAsia="Times New Roman" w:hint="default"/>
                <w:sz w:val="18"/>
                <w:szCs w:val="18"/>
              </w:rPr>
            </w:pPr>
            <w:r>
              <w:rPr>
                <w:rFonts w:ascii="Times New Roman"/>
                <w:sz w:val="18"/>
              </w:rPr>
              <w:t>12.37%</w:t>
            </w:r>
          </w:p>
        </w:tc>
        <w:tc>
          <w:tcPr>
            <w:tcW w:w="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32" w:right="0"/>
              <w:jc w:val="center"/>
              <w:rPr>
                <w:rFonts w:ascii="Times New Roman" w:hAnsi="Times New Roman" w:cs="Times New Roman" w:eastAsia="Times New Roman" w:hint="default"/>
                <w:sz w:val="18"/>
                <w:szCs w:val="18"/>
              </w:rPr>
            </w:pPr>
            <w:r>
              <w:rPr>
                <w:rFonts w:ascii="Times New Roman"/>
                <w:sz w:val="18"/>
              </w:rPr>
              <w:t>12.89%</w:t>
            </w:r>
          </w:p>
        </w:tc>
        <w:tc>
          <w:tcPr>
            <w:tcW w:w="848"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35" w:right="0"/>
              <w:jc w:val="center"/>
              <w:rPr>
                <w:rFonts w:ascii="Times New Roman" w:hAnsi="Times New Roman" w:cs="Times New Roman" w:eastAsia="Times New Roman" w:hint="default"/>
                <w:sz w:val="18"/>
                <w:szCs w:val="18"/>
              </w:rPr>
            </w:pPr>
            <w:r>
              <w:rPr>
                <w:rFonts w:ascii="Times New Roman"/>
                <w:sz w:val="18"/>
              </w:rPr>
              <w:t>14.70%</w:t>
            </w:r>
          </w:p>
        </w:tc>
        <w:tc>
          <w:tcPr>
            <w:tcW w:w="854"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41" w:right="0"/>
              <w:jc w:val="center"/>
              <w:rPr>
                <w:rFonts w:ascii="Times New Roman" w:hAnsi="Times New Roman" w:cs="Times New Roman" w:eastAsia="Times New Roman" w:hint="default"/>
                <w:sz w:val="18"/>
                <w:szCs w:val="18"/>
              </w:rPr>
            </w:pPr>
            <w:r>
              <w:rPr>
                <w:rFonts w:ascii="Times New Roman"/>
                <w:sz w:val="18"/>
              </w:rPr>
              <w:t>13.39%</w:t>
            </w:r>
          </w:p>
        </w:tc>
        <w:tc>
          <w:tcPr>
            <w:tcW w:w="855"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42" w:right="0"/>
              <w:jc w:val="center"/>
              <w:rPr>
                <w:rFonts w:ascii="Times New Roman" w:hAnsi="Times New Roman" w:cs="Times New Roman" w:eastAsia="Times New Roman" w:hint="default"/>
                <w:sz w:val="18"/>
                <w:szCs w:val="18"/>
              </w:rPr>
            </w:pPr>
            <w:r>
              <w:rPr>
                <w:rFonts w:ascii="Times New Roman"/>
                <w:sz w:val="18"/>
              </w:rPr>
              <w:t>13.39%</w:t>
            </w:r>
          </w:p>
        </w:tc>
        <w:tc>
          <w:tcPr>
            <w:tcW w:w="852"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41" w:right="0"/>
              <w:jc w:val="center"/>
              <w:rPr>
                <w:rFonts w:ascii="Times New Roman" w:hAnsi="Times New Roman" w:cs="Times New Roman" w:eastAsia="Times New Roman" w:hint="default"/>
                <w:sz w:val="18"/>
                <w:szCs w:val="18"/>
              </w:rPr>
            </w:pPr>
            <w:r>
              <w:rPr>
                <w:rFonts w:ascii="Times New Roman"/>
                <w:sz w:val="18"/>
              </w:rPr>
              <w:t>12.53%</w:t>
            </w:r>
          </w:p>
        </w:tc>
        <w:tc>
          <w:tcPr>
            <w:tcW w:w="856"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36" w:right="0"/>
              <w:jc w:val="center"/>
              <w:rPr>
                <w:rFonts w:ascii="Times New Roman" w:hAnsi="Times New Roman" w:cs="Times New Roman" w:eastAsia="Times New Roman" w:hint="default"/>
                <w:sz w:val="18"/>
                <w:szCs w:val="18"/>
              </w:rPr>
            </w:pPr>
            <w:r>
              <w:rPr>
                <w:rFonts w:ascii="Times New Roman"/>
                <w:sz w:val="18"/>
              </w:rPr>
              <w:t>12.89%</w:t>
            </w:r>
          </w:p>
        </w:tc>
        <w:tc>
          <w:tcPr>
            <w:tcW w:w="853"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33" w:right="0"/>
              <w:jc w:val="center"/>
              <w:rPr>
                <w:rFonts w:ascii="Times New Roman" w:hAnsi="Times New Roman" w:cs="Times New Roman" w:eastAsia="Times New Roman" w:hint="default"/>
                <w:sz w:val="18"/>
                <w:szCs w:val="18"/>
              </w:rPr>
            </w:pPr>
            <w:r>
              <w:rPr>
                <w:rFonts w:ascii="Times New Roman"/>
                <w:sz w:val="18"/>
              </w:rPr>
              <w:t>15.58%</w:t>
            </w:r>
          </w:p>
        </w:tc>
        <w:tc>
          <w:tcPr>
            <w:tcW w:w="849"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37" w:right="0"/>
              <w:jc w:val="center"/>
              <w:rPr>
                <w:rFonts w:ascii="Times New Roman" w:hAnsi="Times New Roman" w:cs="Times New Roman" w:eastAsia="Times New Roman" w:hint="default"/>
                <w:sz w:val="18"/>
                <w:szCs w:val="18"/>
              </w:rPr>
            </w:pPr>
            <w:r>
              <w:rPr>
                <w:rFonts w:ascii="Times New Roman"/>
                <w:sz w:val="18"/>
              </w:rPr>
              <w:t>13.39%</w:t>
            </w:r>
          </w:p>
        </w:tc>
        <w:tc>
          <w:tcPr>
            <w:tcW w:w="83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70" w:right="0"/>
              <w:jc w:val="center"/>
              <w:rPr>
                <w:rFonts w:ascii="Times New Roman" w:hAnsi="Times New Roman" w:cs="Times New Roman" w:eastAsia="Times New Roman" w:hint="default"/>
                <w:sz w:val="18"/>
                <w:szCs w:val="18"/>
              </w:rPr>
            </w:pPr>
            <w:r>
              <w:rPr>
                <w:rFonts w:ascii="Times New Roman"/>
                <w:sz w:val="18"/>
              </w:rPr>
              <w:t>13.39%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00" w:right="9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80" w:lineRule="auto" w:before="44"/>
        <w:ind w:left="513" w:right="0" w:firstLine="62"/>
        <w:jc w:val="left"/>
      </w:pPr>
      <w:r>
        <w:rPr/>
        <w:t>管理层根据该等假设分析各资产组的可收回金额，认为除收购索科维尔形成的商誉外，无需计提减值准备。 </w:t>
      </w:r>
      <w:r>
        <w:rPr>
          <w:spacing w:val="-2"/>
        </w:rPr>
        <w:t>为谨慎起见，公司聘请了中联资产评估集团有限公司对索科维尔截止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日的与商誉有关的资产组组合预计未</w:t>
      </w:r>
    </w:p>
    <w:p>
      <w:pPr>
        <w:pStyle w:val="BodyText"/>
        <w:spacing w:line="300" w:lineRule="auto" w:before="29"/>
        <w:ind w:right="0"/>
        <w:jc w:val="left"/>
      </w:pPr>
      <w:r>
        <w:rPr>
          <w:spacing w:val="-5"/>
        </w:rPr>
        <w:t>来现金流现值进行测算，并出具了《咨询报告》（中联评咨字［</w:t>
      </w:r>
      <w:r>
        <w:rPr>
          <w:rFonts w:ascii="Times New Roman" w:hAnsi="Times New Roman" w:cs="Times New Roman" w:eastAsia="Times New Roman" w:hint="default"/>
          <w:spacing w:val="-5"/>
        </w:rPr>
        <w:t>2018</w:t>
      </w:r>
      <w:r>
        <w:rPr>
          <w:spacing w:val="-5"/>
        </w:rPr>
        <w:t>］第</w:t>
      </w:r>
      <w:r>
        <w:rPr>
          <w:rFonts w:ascii="Times New Roman" w:hAnsi="Times New Roman" w:cs="Times New Roman" w:eastAsia="Times New Roman" w:hint="default"/>
          <w:spacing w:val="-5"/>
        </w:rPr>
        <w:t>416</w:t>
      </w:r>
      <w:r>
        <w:rPr>
          <w:spacing w:val="-5"/>
        </w:rPr>
        <w:t>号），该报告所载咨询结果低于资产组（含商誉）</w:t>
      </w:r>
      <w:r>
        <w:rPr>
          <w:spacing w:val="-58"/>
        </w:rPr>
        <w:t> </w:t>
      </w:r>
      <w:r>
        <w:rPr>
          <w:spacing w:val="-58"/>
        </w:rPr>
      </w:r>
      <w:r>
        <w:rPr/>
        <w:t>账面价值。需要对收购索科维尔形成的商誉计提减值准备</w:t>
      </w:r>
      <w:r>
        <w:rPr>
          <w:rFonts w:ascii="Times New Roman" w:hAnsi="Times New Roman" w:cs="Times New Roman" w:eastAsia="Times New Roman" w:hint="default"/>
        </w:rPr>
        <w:t>2,208.20</w:t>
      </w:r>
      <w:r>
        <w:rPr/>
        <w:t>万元。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7,799,873.45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12,560,604.82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1,749,733.40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18,610,744.87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130,495.90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65,591.80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64,904.10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绿化工程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1,156,336.20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544,490.15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611,846.05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消防系统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93,216.71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23,799.96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69,416.75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9,179,922.26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12,560,604.82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2,383,615.31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19,356,911.77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201"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1"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498,443,409.45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113,941,549.33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326,711,925.22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73,800,359.29</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7,128,846.94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1,406,176.17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2,754,380.69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523,009.16</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28,270,879.70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4,446,686.23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30,275,751.73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4,901,457.26</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8" w:type="dxa"/>
            <w:tcBorders>
              <w:top w:val="single" w:sz="4" w:space="0" w:color="000000"/>
              <w:left w:val="single" w:sz="9" w:space="0" w:color="C7EDCC"/>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18,000.00</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200,055.69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30,008.35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534,043,191.78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119,824,420.08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359,862,057.64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79,242,825.71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0"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11"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13,312,773.16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3,328,193.29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1928"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39,615,420.51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5,915,299.33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52,233,431.80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7,837,021.02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39,615,420.51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5,915,299.33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65,546,204.96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11,165,214.31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3"/>
        <w:gridCol w:w="1914"/>
        <w:gridCol w:w="1915"/>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13"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2"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3D3D3"/>
          </w:tcPr>
          <w:p>
            <w:pPr/>
          </w:p>
        </w:tc>
        <w:tc>
          <w:tcPr>
            <w:tcW w:w="1913"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5" w:type="dxa"/>
            <w:vMerge/>
            <w:tcBorders>
              <w:left w:val="single" w:sz="4" w:space="0" w:color="000000"/>
              <w:right w:val="single" w:sz="4" w:space="0" w:color="000000"/>
            </w:tcBorders>
            <w:shd w:val="clear" w:color="auto" w:fill="D3D3D3"/>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119,824,420.08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79,242,825.71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5,915,299.33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11,165,214.31</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11,731,888.04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5,425,431.42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603,152,634.15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175,847,899.87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614,884,522.19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181,273,331.29</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13,989,722.33</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18,433,284.74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18,433,284.74</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14,879,178.71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14,879,178.71</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110,947,163.05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112,102,494.02</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16,353,281.84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16,443,220.07</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442,539,725.81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603,152,634.15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175,847,899.87</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134,101.21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134,101.21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134,101.21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19,739,085.99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2,246,700,000.00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2,481,529,039.63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2,421,139,085.99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3,249,329,039.63</w:t>
            </w:r>
          </w:p>
        </w:tc>
      </w:tr>
    </w:tbl>
    <w:p>
      <w:pPr>
        <w:pStyle w:val="BodyText"/>
        <w:spacing w:line="240" w:lineRule="auto" w:before="51"/>
        <w:ind w:left="154" w:right="141"/>
        <w:jc w:val="left"/>
      </w:pPr>
      <w:r>
        <w:rPr/>
        <w:t>短期借款分类的说明：</w:t>
      </w:r>
    </w:p>
    <w:p>
      <w:pPr>
        <w:spacing w:line="240" w:lineRule="auto" w:before="12"/>
        <w:rPr>
          <w:rFonts w:ascii="宋体" w:hAnsi="宋体" w:cs="宋体" w:eastAsia="宋体" w:hint="default"/>
          <w:sz w:val="14"/>
          <w:szCs w:val="14"/>
        </w:rPr>
      </w:pPr>
    </w:p>
    <w:p>
      <w:pPr>
        <w:pStyle w:val="BodyText"/>
        <w:spacing w:line="240" w:lineRule="auto"/>
        <w:ind w:left="473" w:right="141"/>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日，质押借款</w:t>
      </w:r>
      <w:r>
        <w:rPr>
          <w:rFonts w:ascii="Times New Roman" w:hAnsi="Times New Roman" w:cs="Times New Roman" w:eastAsia="Times New Roman" w:hint="default"/>
        </w:rPr>
        <w:t>19,739,085.99</w:t>
      </w:r>
      <w:r>
        <w:rPr/>
        <w:t>元。</w:t>
      </w:r>
    </w:p>
    <w:p>
      <w:pPr>
        <w:spacing w:line="240" w:lineRule="auto" w:before="4"/>
        <w:rPr>
          <w:rFonts w:ascii="宋体" w:hAnsi="宋体" w:cs="宋体" w:eastAsia="宋体" w:hint="default"/>
          <w:sz w:val="21"/>
          <w:szCs w:val="21"/>
        </w:rPr>
      </w:pPr>
    </w:p>
    <w:p>
      <w:pPr>
        <w:pStyle w:val="BodyText"/>
        <w:spacing w:line="300" w:lineRule="auto"/>
        <w:ind w:right="149" w:firstLine="270"/>
        <w:jc w:val="both"/>
      </w:pPr>
      <w:r>
        <w:rPr>
          <w:spacing w:val="-1"/>
        </w:rPr>
        <w:t>（</w:t>
      </w:r>
      <w:r>
        <w:rPr>
          <w:rFonts w:ascii="Times New Roman" w:hAnsi="Times New Roman" w:cs="Times New Roman" w:eastAsia="Times New Roman" w:hint="default"/>
          <w:spacing w:val="-1"/>
        </w:rPr>
        <w:t>1</w:t>
      </w:r>
      <w:r>
        <w:rPr>
          <w:spacing w:val="-1"/>
        </w:rPr>
        <w:t>）质押借款</w:t>
      </w:r>
      <w:r>
        <w:rPr>
          <w:rFonts w:ascii="Times New Roman" w:hAnsi="Times New Roman" w:cs="Times New Roman" w:eastAsia="Times New Roman" w:hint="default"/>
          <w:spacing w:val="-1"/>
        </w:rPr>
        <w:t>10,239,085.99</w:t>
      </w:r>
      <w:r>
        <w:rPr>
          <w:spacing w:val="-1"/>
        </w:rPr>
        <w:t>元，为本公司子公司石家庄常山恒新纺织有限公司与中国建设银行股份有限公司北京苏州桥</w:t>
      </w:r>
      <w:r>
        <w:rPr/>
        <w:t> 支行签订了借款合同，合同性质为质押借款，质押物存货电子仓单。借款金额为</w:t>
      </w:r>
      <w:r>
        <w:rPr>
          <w:rFonts w:ascii="Times New Roman" w:hAnsi="Times New Roman" w:cs="Times New Roman" w:eastAsia="Times New Roman" w:hint="default"/>
        </w:rPr>
        <w:t>20,070,933.99</w:t>
      </w:r>
      <w:r>
        <w:rPr/>
        <w:t>元，期末余额为</w:t>
      </w:r>
      <w:r>
        <w:rPr>
          <w:rFonts w:ascii="Times New Roman" w:hAnsi="Times New Roman" w:cs="Times New Roman" w:eastAsia="Times New Roman" w:hint="default"/>
        </w:rPr>
        <w:t>10,239,085.99 </w:t>
      </w:r>
      <w:r>
        <w:rPr/>
        <w:t>元，借款期限为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日，年利率为</w:t>
      </w:r>
      <w:r>
        <w:rPr>
          <w:rFonts w:ascii="Times New Roman" w:hAnsi="Times New Roman" w:cs="Times New Roman" w:eastAsia="Times New Roman" w:hint="default"/>
        </w:rPr>
        <w:t>4.35%</w:t>
      </w:r>
      <w:r>
        <w:rPr/>
        <w:t>。</w:t>
      </w:r>
    </w:p>
    <w:p>
      <w:pPr>
        <w:spacing w:line="240" w:lineRule="auto" w:before="7"/>
        <w:rPr>
          <w:rFonts w:ascii="宋体" w:hAnsi="宋体" w:cs="宋体" w:eastAsia="宋体" w:hint="default"/>
          <w:sz w:val="17"/>
          <w:szCs w:val="17"/>
        </w:rPr>
      </w:pPr>
    </w:p>
    <w:p>
      <w:pPr>
        <w:pStyle w:val="BodyText"/>
        <w:spacing w:line="300" w:lineRule="auto"/>
        <w:ind w:right="148" w:firstLine="270"/>
        <w:jc w:val="both"/>
      </w:pPr>
      <w:r>
        <w:rPr/>
        <w:t>（</w:t>
      </w:r>
      <w:r>
        <w:rPr>
          <w:rFonts w:ascii="Times New Roman" w:hAnsi="Times New Roman" w:cs="Times New Roman" w:eastAsia="Times New Roman" w:hint="default"/>
        </w:rPr>
        <w:t>2</w:t>
      </w:r>
      <w:r>
        <w:rPr/>
        <w:t>）质押借款</w:t>
      </w:r>
      <w:r>
        <w:rPr>
          <w:rFonts w:ascii="Times New Roman" w:hAnsi="Times New Roman" w:cs="Times New Roman" w:eastAsia="Times New Roman" w:hint="default"/>
        </w:rPr>
        <w:t>9,500,000.00</w:t>
      </w:r>
      <w:r>
        <w:rPr/>
        <w:t>元，为本公司子公司石家庄常山恒荣进出口贸易有限公司与招商银行股份有限公司石家庄分 </w:t>
      </w:r>
      <w:r>
        <w:rPr>
          <w:spacing w:val="-1"/>
        </w:rPr>
        <w:t>行签订编号为</w:t>
      </w:r>
      <w:r>
        <w:rPr>
          <w:rFonts w:ascii="Times New Roman" w:hAnsi="Times New Roman" w:cs="Times New Roman" w:eastAsia="Times New Roman" w:hint="default"/>
          <w:spacing w:val="-1"/>
        </w:rPr>
        <w:t>GSB2017</w:t>
      </w:r>
      <w:r>
        <w:rPr>
          <w:spacing w:val="-1"/>
        </w:rPr>
        <w:t>借款</w:t>
      </w:r>
      <w:r>
        <w:rPr>
          <w:rFonts w:ascii="Times New Roman" w:hAnsi="Times New Roman" w:cs="Times New Roman" w:eastAsia="Times New Roman" w:hint="default"/>
          <w:spacing w:val="-1"/>
        </w:rPr>
        <w:t>00017</w:t>
      </w:r>
      <w:r>
        <w:rPr>
          <w:spacing w:val="-1"/>
        </w:rPr>
        <w:t>的借款合同，合同性质为质押借款，质押物为应收票据，借款金额为</w:t>
      </w:r>
      <w:r>
        <w:rPr>
          <w:rFonts w:ascii="Times New Roman" w:hAnsi="Times New Roman" w:cs="Times New Roman" w:eastAsia="Times New Roman" w:hint="default"/>
          <w:spacing w:val="-1"/>
        </w:rPr>
        <w:t>9,500,000.00</w:t>
      </w:r>
      <w:r>
        <w:rPr>
          <w:spacing w:val="-1"/>
        </w:rPr>
        <w:t>元，借款</w:t>
      </w:r>
      <w:r>
        <w:rPr>
          <w:spacing w:val="-62"/>
        </w:rPr>
        <w:t> </w:t>
      </w:r>
      <w:r>
        <w:rPr>
          <w:spacing w:val="-62"/>
        </w:rPr>
      </w:r>
      <w:r>
        <w:rPr/>
        <w:t>期限为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日，年利率为</w:t>
      </w:r>
      <w:r>
        <w:rPr>
          <w:rFonts w:ascii="Times New Roman" w:hAnsi="Times New Roman" w:cs="Times New Roman" w:eastAsia="Times New Roman" w:hint="default"/>
        </w:rPr>
        <w:t>4.35%</w:t>
      </w:r>
      <w:r>
        <w:rPr/>
        <w:t>。</w:t>
      </w:r>
    </w:p>
    <w:p>
      <w:pPr>
        <w:pStyle w:val="BodyText"/>
        <w:spacing w:line="240" w:lineRule="auto" w:before="52"/>
        <w:ind w:left="513" w:right="141"/>
        <w:jc w:val="left"/>
      </w:pPr>
      <w:r>
        <w:rPr>
          <w:rFonts w:ascii="Times New Roman" w:hAnsi="Times New Roman" w:cs="Times New Roman" w:eastAsia="Times New Roman" w:hint="default"/>
        </w:rPr>
        <w:t>2</w:t>
      </w:r>
      <w:r>
        <w:rPr/>
        <w:t>、期末保证借款见</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）关联担保情况</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22</w:t>
      </w:r>
      <w:r>
        <w:rPr/>
        <w:t>、应付票据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国内信用证</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653,834,261.43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483,816,340.00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63,963,659.21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68,031,119.00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717,797,920.64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551,847,459.00</w:t>
            </w:r>
          </w:p>
        </w:tc>
      </w:tr>
    </w:tbl>
    <w:p>
      <w:pPr>
        <w:pStyle w:val="BodyText"/>
        <w:spacing w:line="240" w:lineRule="auto" w:before="51"/>
        <w:ind w:left="154" w:right="141"/>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868,052,315.70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812,533,710.54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94,126,791.24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66,996,923.72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27,885,927.72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15,249,808.38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26,257,658.49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20,254,618.73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1,016,322,693.15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915,035,061.37</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3"/>
        <w:gridCol w:w="3188"/>
      </w:tblGrid>
      <w:tr>
        <w:trPr>
          <w:trHeight w:val="401"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江苏南大尚诚高科技实业有限公司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9,794,702.70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杭州盈文信息科技有限公司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8,356,429.59</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北京华信讯通技术有限公司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7,367,621.70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航天云宏技术有限公司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7,020,000.00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深圳市驰通和信科技有限公司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6,753,169.74</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39,291,923.73</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3"/>
        <w:gridCol w:w="3188"/>
      </w:tblGrid>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285,386,181.34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257,788,327.57</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10,965,275.70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8,215,833.56</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3,108,695.46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970,055.96</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10,910,462.39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10,483,962.47</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310,370,614.89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277,458,179.56</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广州市职业技能鉴定指导中心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2,194,403.00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2,194,403.00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037"/>
        <w:gridCol w:w="1632"/>
        <w:gridCol w:w="1620"/>
        <w:gridCol w:w="1620"/>
        <w:gridCol w:w="1620"/>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10,057,672.42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407,834,680.14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407,859,987.93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10,032,364.63</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5,127,415.55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47,922,631.26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49,113,077.13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3,936,969.68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52,874,957.55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52,770,538.37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104,419.18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15,185,087.97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508,632,268.95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509,743,603.43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14,073,753.49</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37"/>
        <w:gridCol w:w="1700"/>
        <w:gridCol w:w="1620"/>
        <w:gridCol w:w="1620"/>
        <w:gridCol w:w="1620"/>
      </w:tblGrid>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4,320,399.07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347,649,176.51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347,567,681.61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4,401,893.97</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0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10,847,881.50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10,847,881.50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1,235,253.81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28,355,280.90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28,287,295.86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1,303,238.85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885,640.71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24,495,328.14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24,446,130.93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934,837.92</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59,114.83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1,678,052.13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1,671,503.01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65,663.95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290,498.27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2,181,900.63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2,169,661.92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302,736.98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2,652,433.65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17,916,570.13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18,127,769.33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2,441,234.45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1,849,585.89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3,065,771.10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3,029,359.63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1,885,997.36</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10,057,672.42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407,834,680.14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407,859,987.93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10,032,364.63</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4,299,762.71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44,760,275.46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45,961,255.81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3,098,782.36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827,652.84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3,162,355.80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3,151,821.32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838,187.32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5,127,415.55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47,922,631.26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49,113,077.13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3,936,969.68</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100,639,844.43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82,380,968.38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33,531,974.75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28,627,228.03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1,484,778.93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1,093,935.12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1,691,119.79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3,418,536.00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1,244,769.85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2,493,513.33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525,707.30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488,592.65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3,830,092.85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943,786.90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987,671.75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768,250.47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147,848.74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223,488.15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144,083,808.39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120,438,299.03</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27</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2,766,145.70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2,522,810.17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2,766,145.70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2,522,810.17</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28</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29,968,422.13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29,968,422.13</w:t>
            </w:r>
          </w:p>
        </w:tc>
      </w:tr>
    </w:tbl>
    <w:p>
      <w:pPr>
        <w:pStyle w:val="BodyText"/>
        <w:spacing w:line="240" w:lineRule="auto" w:before="51"/>
        <w:ind w:left="154" w:right="141"/>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2"/>
        <w:rPr>
          <w:rFonts w:ascii="宋体" w:hAnsi="宋体" w:cs="宋体" w:eastAsia="宋体" w:hint="default"/>
          <w:sz w:val="13"/>
          <w:szCs w:val="13"/>
        </w:rPr>
      </w:pPr>
    </w:p>
    <w:p>
      <w:pPr>
        <w:pStyle w:val="BodyText"/>
        <w:spacing w:line="300" w:lineRule="auto"/>
        <w:ind w:left="154" w:right="141" w:firstLine="428"/>
        <w:jc w:val="left"/>
      </w:pPr>
      <w:r>
        <w:rPr>
          <w:spacing w:val="-2"/>
        </w:rPr>
        <w:t>其中</w:t>
      </w:r>
      <w:r>
        <w:rPr>
          <w:rFonts w:ascii="Times New Roman" w:hAnsi="Times New Roman" w:cs="Times New Roman" w:eastAsia="Times New Roman" w:hint="default"/>
          <w:spacing w:val="-2"/>
        </w:rPr>
        <w:t>468,422.13</w:t>
      </w:r>
      <w:r>
        <w:rPr>
          <w:spacing w:val="-2"/>
        </w:rPr>
        <w:t>元系股东尚未领取形成；</w:t>
      </w:r>
      <w:r>
        <w:rPr>
          <w:rFonts w:ascii="Times New Roman" w:hAnsi="Times New Roman" w:cs="Times New Roman" w:eastAsia="Times New Roman" w:hint="default"/>
          <w:spacing w:val="-2"/>
        </w:rPr>
        <w:t>29,500,000.00</w:t>
      </w:r>
      <w:r>
        <w:rPr>
          <w:spacing w:val="-2"/>
        </w:rPr>
        <w:t>元系非同一控制下合并北京天时前程自动化工程有限公司分</w:t>
      </w:r>
      <w:r>
        <w:rPr/>
        <w:t> 配原股东股利。</w:t>
      </w:r>
    </w:p>
    <w:p>
      <w:pPr>
        <w:spacing w:line="240" w:lineRule="auto" w:before="6"/>
        <w:rPr>
          <w:rFonts w:ascii="宋体" w:hAnsi="宋体" w:cs="宋体" w:eastAsia="宋体" w:hint="default"/>
          <w:sz w:val="23"/>
          <w:szCs w:val="23"/>
        </w:rPr>
      </w:pPr>
    </w:p>
    <w:p>
      <w:pPr>
        <w:pStyle w:val="Heading3"/>
        <w:spacing w:line="240" w:lineRule="auto"/>
        <w:ind w:right="141"/>
        <w:jc w:val="left"/>
        <w:rPr>
          <w:b w:val="0"/>
          <w:bCs w:val="0"/>
        </w:rPr>
      </w:pPr>
      <w:r>
        <w:rPr>
          <w:rFonts w:ascii="Times New Roman" w:hAnsi="Times New Roman" w:cs="Times New Roman" w:eastAsia="Times New Roman" w:hint="default"/>
        </w:rPr>
        <w:t>29</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3160"/>
        <w:gridCol w:w="3193"/>
        <w:gridCol w:w="3188"/>
      </w:tblGrid>
      <w:tr>
        <w:trPr>
          <w:trHeight w:val="401"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待付款项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66,216,330.22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59,666,248.47</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34,997,928.79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37,459,063.91</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3,899,572.99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16,244,679.01</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子公司股权收购款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214,197,000.00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279,259,000.00</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预提费用（包含售后服务费）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31,849,297.62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32,270,921.73</w:t>
            </w:r>
          </w:p>
        </w:tc>
      </w:tr>
      <w:tr>
        <w:trPr>
          <w:trHeight w:val="402" w:hRule="exact"/>
        </w:trPr>
        <w:tc>
          <w:tcPr>
            <w:tcW w:w="3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351,160,129.62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424,899,913.12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韩向明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67,914,760.00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西安盈泰企业管理咨询有限公司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39,556,000.00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席波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32,364,000.00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18,958,400.00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18,958,400.00</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177,751,560.00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30</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116,495,726.50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148,903,133.90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2,159,492.08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1,409,492.08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793,655,218.58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150,312,625.98</w:t>
            </w:r>
          </w:p>
        </w:tc>
      </w:tr>
    </w:tbl>
    <w:p>
      <w:pPr>
        <w:pStyle w:val="BodyText"/>
        <w:spacing w:line="240" w:lineRule="auto" w:before="51"/>
        <w:ind w:left="154" w:right="141"/>
        <w:jc w:val="left"/>
      </w:pPr>
      <w:r>
        <w:rPr/>
        <w:t>其他说明：</w:t>
      </w:r>
    </w:p>
    <w:p>
      <w:pPr>
        <w:pStyle w:val="BodyText"/>
        <w:tabs>
          <w:tab w:pos="7533" w:val="left" w:leader="none"/>
        </w:tabs>
        <w:spacing w:line="240" w:lineRule="auto" w:before="117"/>
        <w:ind w:left="154" w:right="141"/>
        <w:jc w:val="left"/>
      </w:pPr>
      <w:r>
        <w:rPr/>
        <w:t>其中：一年内到期的递延收益明细如下：</w:t>
        <w:tab/>
        <w:t>单位：元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5400"/>
        <w:gridCol w:w="1620"/>
        <w:gridCol w:w="1440"/>
        <w:gridCol w:w="1080"/>
      </w:tblGrid>
      <w:tr>
        <w:trPr>
          <w:trHeight w:val="662" w:hRule="exact"/>
        </w:trPr>
        <w:tc>
          <w:tcPr>
            <w:tcW w:w="5400"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tabs>
                <w:tab w:pos="398" w:val="left" w:leader="none"/>
              </w:tabs>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2017.12.31</w:t>
            </w:r>
          </w:p>
        </w:tc>
        <w:tc>
          <w:tcPr>
            <w:tcW w:w="144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2016.12.31</w:t>
            </w:r>
          </w:p>
        </w:tc>
        <w:tc>
          <w:tcPr>
            <w:tcW w:w="1080" w:type="dxa"/>
            <w:tcBorders>
              <w:top w:val="single" w:sz="6" w:space="0" w:color="000000"/>
              <w:left w:val="single" w:sz="8" w:space="0" w:color="000000"/>
              <w:bottom w:val="single" w:sz="8" w:space="0" w:color="000000"/>
              <w:right w:val="single" w:sz="8" w:space="0" w:color="000000"/>
            </w:tcBorders>
          </w:tcPr>
          <w:p>
            <w:pPr>
              <w:pStyle w:val="TableParagraph"/>
              <w:spacing w:line="300" w:lineRule="auto" w:before="21"/>
              <w:ind w:left="79" w:right="54"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2" w:hRule="exact"/>
        </w:trPr>
        <w:tc>
          <w:tcPr>
            <w:tcW w:w="540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124,992.00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124,992.00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540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技术中心项目专项资金</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14,500.00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14,500.00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540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1,035,714.36</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1,035,714.36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540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提高自主创新能力及高新技术产业发展项目专项资金</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214,285.68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214,285.68</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540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高档纱线公共实验检测平台</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20,000.04</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20,000.04</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65" w:hRule="exact"/>
        </w:trPr>
        <w:tc>
          <w:tcPr>
            <w:tcW w:w="5400" w:type="dxa"/>
            <w:tcBorders>
              <w:top w:val="single" w:sz="8" w:space="0" w:color="000000"/>
              <w:left w:val="single" w:sz="6" w:space="0" w:color="000000"/>
              <w:bottom w:val="single" w:sz="8" w:space="0" w:color="000000"/>
              <w:right w:val="single" w:sz="8" w:space="0" w:color="000000"/>
            </w:tcBorders>
          </w:tcPr>
          <w:p>
            <w:pPr>
              <w:pStyle w:val="TableParagraph"/>
              <w:spacing w:line="300" w:lineRule="auto" w:before="21"/>
              <w:ind w:left="2" w:right="-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年度省协同创新与平台环境建设专项资金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广东智慧城市研究产</w:t>
            </w:r>
            <w:r>
              <w:rPr>
                <w:rFonts w:ascii="宋体" w:hAnsi="宋体" w:cs="宋体" w:eastAsia="宋体" w:hint="default"/>
                <w:spacing w:val="-68"/>
                <w:sz w:val="18"/>
                <w:szCs w:val="18"/>
              </w:rPr>
              <w:t> </w:t>
            </w:r>
            <w:r>
              <w:rPr>
                <w:rFonts w:ascii="宋体" w:hAnsi="宋体" w:cs="宋体" w:eastAsia="宋体" w:hint="default"/>
                <w:sz w:val="18"/>
                <w:szCs w:val="18"/>
              </w:rPr>
              <w:t>学研合作项目）</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120,000.00</w:t>
            </w:r>
          </w:p>
        </w:tc>
        <w:tc>
          <w:tcPr>
            <w:tcW w:w="14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540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年市战略性主导产业发展资金拟扶持新业态项目</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200,000.04</w:t>
            </w:r>
          </w:p>
        </w:tc>
        <w:tc>
          <w:tcPr>
            <w:tcW w:w="14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540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年天河区配套大数据信息资源库核心技术开发及示范应用</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30,000.00</w:t>
            </w:r>
          </w:p>
        </w:tc>
        <w:tc>
          <w:tcPr>
            <w:tcW w:w="14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65" w:hRule="exact"/>
        </w:trPr>
        <w:tc>
          <w:tcPr>
            <w:tcW w:w="5400" w:type="dxa"/>
            <w:tcBorders>
              <w:top w:val="single" w:sz="8" w:space="0" w:color="000000"/>
              <w:left w:val="single" w:sz="6" w:space="0" w:color="000000"/>
              <w:bottom w:val="single" w:sz="8" w:space="0" w:color="000000"/>
              <w:right w:val="single" w:sz="8"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年企业研发机构建设专项项目（广州市北明智慧城市信息资源集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成技术研究院）</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399,999.96</w:t>
            </w:r>
          </w:p>
        </w:tc>
        <w:tc>
          <w:tcPr>
            <w:tcW w:w="144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5400" w:type="dxa"/>
            <w:tcBorders>
              <w:top w:val="single" w:sz="8" w:space="0" w:color="000000"/>
              <w:left w:val="single" w:sz="6" w:space="0" w:color="000000"/>
              <w:bottom w:val="single" w:sz="8" w:space="0" w:color="000000"/>
              <w:right w:val="single" w:sz="8"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2,159,492.08</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1,409,492.08</w:t>
            </w:r>
          </w:p>
        </w:tc>
        <w:tc>
          <w:tcPr>
            <w:tcW w:w="1080"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5"/>
        <w:gridCol w:w="3205"/>
        <w:gridCol w:w="3188"/>
      </w:tblGrid>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805,000,000.00</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2,502,727.00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4,241,818.00</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668,002,727.00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809,241,818.00</w:t>
            </w:r>
          </w:p>
        </w:tc>
      </w:tr>
    </w:tbl>
    <w:p>
      <w:pPr>
        <w:pStyle w:val="BodyText"/>
        <w:spacing w:line="357" w:lineRule="auto" w:before="51"/>
        <w:ind w:right="6528"/>
        <w:jc w:val="left"/>
      </w:pPr>
      <w:r>
        <w:rPr/>
        <w:t>长期借款分类的说明： 其他说明，包括利率区间： 长期借款利率区间：年利率为</w:t>
      </w:r>
      <w:r>
        <w:rPr>
          <w:rFonts w:ascii="Times New Roman" w:hAnsi="Times New Roman" w:cs="Times New Roman" w:eastAsia="Times New Roman" w:hint="default"/>
        </w:rPr>
        <w:t>1.80-5.4625%</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32</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40"/>
        <w:gridCol w:w="2700"/>
        <w:gridCol w:w="2700"/>
      </w:tblGrid>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平安国际融资租赁有限公司融资租赁借款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32,407,407.26</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中国外贸金融租赁有限公司融资租赁借款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57,492,877.25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76,552,706.41</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光大幸福国际融资有限公司融资租赁借款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97,435,897.34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194,871,794.82</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减：一年内到期部分（附注七、</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116,495,726.50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148,903,133.90</w:t>
            </w:r>
          </w:p>
        </w:tc>
      </w:tr>
      <w:tr>
        <w:trPr>
          <w:trHeight w:val="403"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38,433,048.09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154,928,774.59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4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5"/>
        <w:gridCol w:w="1595"/>
        <w:gridCol w:w="1594"/>
        <w:gridCol w:w="1606"/>
        <w:gridCol w:w="1571"/>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348,034,676.48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520,318,500.00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605,418,468.03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262,934,708.45</w:t>
            </w:r>
          </w:p>
        </w:tc>
        <w:tc>
          <w:tcPr>
            <w:tcW w:w="1571"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27" w:right="0"/>
              <w:jc w:val="left"/>
              <w:rPr>
                <w:rFonts w:ascii="Times New Roman" w:hAnsi="Times New Roman" w:cs="Times New Roman" w:eastAsia="Times New Roman" w:hint="default"/>
                <w:sz w:val="18"/>
                <w:szCs w:val="18"/>
              </w:rPr>
            </w:pPr>
            <w:r>
              <w:rPr>
                <w:rFonts w:ascii="Times New Roman"/>
                <w:sz w:val="18"/>
              </w:rPr>
              <w:t>348,034,676.48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520,318,500.00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605,418,468.03</w:t>
            </w:r>
          </w:p>
        </w:tc>
        <w:tc>
          <w:tcPr>
            <w:tcW w:w="1606"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262,934,708.45</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4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1"/>
        <w:gridCol w:w="1076"/>
        <w:gridCol w:w="1292"/>
        <w:gridCol w:w="1309"/>
        <w:gridCol w:w="1211"/>
        <w:gridCol w:w="1063"/>
        <w:gridCol w:w="820"/>
        <w:gridCol w:w="1063"/>
        <w:gridCol w:w="1063"/>
      </w:tblGrid>
      <w:tr>
        <w:trPr>
          <w:trHeight w:val="714" w:hRule="exact"/>
        </w:trPr>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61" w:right="98"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9" w:right="108"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40" w:right="59"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75"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8" w:hRule="exact"/>
        </w:trPr>
        <w:tc>
          <w:tcPr>
            <w:tcW w:w="105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高档新型纤</w:t>
            </w:r>
          </w:p>
        </w:tc>
        <w:tc>
          <w:tcPr>
            <w:tcW w:w="1076"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维面料项目</w:t>
            </w:r>
          </w:p>
        </w:tc>
        <w:tc>
          <w:tcPr>
            <w:tcW w:w="1076" w:type="dxa"/>
            <w:tcBorders>
              <w:top w:val="nil" w:sz="6" w:space="0" w:color="auto"/>
              <w:left w:val="single" w:sz="13" w:space="0" w:color="C7EDCC"/>
              <w:bottom w:val="nil" w:sz="6" w:space="0" w:color="auto"/>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437,584.00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367" w:right="0"/>
              <w:jc w:val="left"/>
              <w:rPr>
                <w:rFonts w:ascii="Times New Roman" w:hAnsi="Times New Roman" w:cs="Times New Roman" w:eastAsia="Times New Roman" w:hint="default"/>
                <w:sz w:val="18"/>
                <w:szCs w:val="18"/>
              </w:rPr>
            </w:pPr>
            <w:r>
              <w:rPr>
                <w:rFonts w:ascii="Times New Roman"/>
                <w:sz w:val="18"/>
              </w:rPr>
              <w:t>124,992.00</w:t>
            </w: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19" w:right="0"/>
              <w:jc w:val="left"/>
              <w:rPr>
                <w:rFonts w:ascii="Times New Roman" w:hAnsi="Times New Roman" w:cs="Times New Roman" w:eastAsia="Times New Roman" w:hint="default"/>
                <w:sz w:val="18"/>
                <w:szCs w:val="18"/>
              </w:rPr>
            </w:pPr>
            <w:r>
              <w:rPr>
                <w:rFonts w:ascii="Times New Roman"/>
                <w:sz w:val="18"/>
              </w:rPr>
              <w:t>312,592.00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5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开发补助</w:t>
            </w:r>
          </w:p>
        </w:tc>
        <w:tc>
          <w:tcPr>
            <w:tcW w:w="1076"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7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34"/>
        <w:gridCol w:w="1093"/>
        <w:gridCol w:w="1292"/>
        <w:gridCol w:w="1309"/>
        <w:gridCol w:w="1211"/>
        <w:gridCol w:w="1063"/>
        <w:gridCol w:w="820"/>
        <w:gridCol w:w="1063"/>
        <w:gridCol w:w="1063"/>
      </w:tblGrid>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企业搬迁补 助</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282,494,340.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602,102,453.29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180,391,887.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院士工作站 项目</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仿麻弹力竹 节布和仿竹 节弹力提花 布的研发项 目</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领军人物项 目</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提高自主创 新能力及高 新技术产业 发展项目专 项资金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2,035,714.42</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214,285.66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1,821,428.76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重点产业振 兴和技术改 造项目专项 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9,095,237.74</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1,035,714.38</w:t>
            </w: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8,059,523.36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利用紧密纺 技术开发复 合纱线项目</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高档纱线公 共实验检测 平台</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198,333.17</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178,333.13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杨普工作室</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多组分差别 化纤维面料 研发项目专 项资金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450,000.00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技术中心项 目专项资金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354,000.00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正定纺织工 业园建设资 金补助</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3,866,626.14</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3,866,626.14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高档服装面 料工程技术 研究中心经 费</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7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34"/>
        <w:gridCol w:w="1093"/>
        <w:gridCol w:w="1292"/>
        <w:gridCol w:w="1309"/>
        <w:gridCol w:w="1211"/>
        <w:gridCol w:w="1063"/>
        <w:gridCol w:w="820"/>
        <w:gridCol w:w="1063"/>
        <w:gridCol w:w="1063"/>
      </w:tblGrid>
      <w:tr>
        <w:trPr>
          <w:trHeight w:val="357"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新型制造生</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产线技术改 造项目贴息</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工业企业技</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术改造贴息</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及补助资金</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工业企业技 术改造专项 资金</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01"/>
              <w:jc w:val="left"/>
              <w:rPr>
                <w:rFonts w:ascii="宋体" w:hAnsi="宋体" w:cs="宋体" w:eastAsia="宋体" w:hint="default"/>
                <w:sz w:val="18"/>
                <w:szCs w:val="18"/>
              </w:rPr>
            </w:pPr>
            <w:r>
              <w:rPr>
                <w:rFonts w:ascii="宋体" w:hAnsi="宋体" w:cs="宋体" w:eastAsia="宋体" w:hint="default"/>
                <w:sz w:val="18"/>
                <w:szCs w:val="18"/>
              </w:rPr>
              <w:t>业企业技术 改造补助资</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01"/>
              <w:jc w:val="left"/>
              <w:rPr>
                <w:rFonts w:ascii="宋体" w:hAnsi="宋体" w:cs="宋体" w:eastAsia="宋体" w:hint="default"/>
                <w:sz w:val="18"/>
                <w:szCs w:val="18"/>
              </w:rPr>
            </w:pPr>
            <w:r>
              <w:rPr>
                <w:rFonts w:ascii="宋体" w:hAnsi="宋体" w:cs="宋体" w:eastAsia="宋体" w:hint="default"/>
                <w:sz w:val="18"/>
                <w:szCs w:val="18"/>
              </w:rPr>
              <w:t>业企业技术 改造专项资</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1,184,999.81</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1,184,999.81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新疆常山恒</w:t>
            </w:r>
          </w:p>
        </w:tc>
        <w:tc>
          <w:tcPr>
            <w:tcW w:w="1093" w:type="dxa"/>
            <w:vMerge w:val="restart"/>
            <w:tcBorders>
              <w:top w:val="single" w:sz="4" w:space="0" w:color="000000"/>
              <w:left w:val="single" w:sz="13" w:space="0" w:color="C7EDCC"/>
              <w:right w:val="single" w:sz="4" w:space="0" w:color="000000"/>
            </w:tcBorders>
          </w:tcPr>
          <w:p>
            <w:pPr/>
          </w:p>
        </w:tc>
        <w:tc>
          <w:tcPr>
            <w:tcW w:w="1292" w:type="dxa"/>
            <w:tcBorders>
              <w:top w:val="single" w:sz="4" w:space="0" w:color="000000"/>
              <w:left w:val="single" w:sz="4" w:space="0" w:color="000000"/>
              <w:bottom w:val="nil" w:sz="6" w:space="0" w:color="auto"/>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宏纺织科技 有限公司纺 织服装综合</w:t>
            </w:r>
          </w:p>
        </w:tc>
        <w:tc>
          <w:tcPr>
            <w:tcW w:w="1093" w:type="dxa"/>
            <w:vMerge/>
            <w:tcBorders>
              <w:left w:val="single" w:sz="13" w:space="0" w:color="C7EDCC"/>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4" w:right="0"/>
              <w:jc w:val="left"/>
              <w:rPr>
                <w:rFonts w:ascii="Times New Roman" w:hAnsi="Times New Roman" w:cs="Times New Roman" w:eastAsia="Times New Roman" w:hint="default"/>
                <w:sz w:val="18"/>
                <w:szCs w:val="18"/>
              </w:rPr>
            </w:pPr>
            <w:r>
              <w:rPr>
                <w:rFonts w:ascii="Times New Roman"/>
                <w:sz w:val="18"/>
              </w:rPr>
              <w:t>16,218,500.00</w:t>
            </w: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16,218,500.0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1093" w:type="dxa"/>
            <w:vMerge/>
            <w:tcBorders>
              <w:left w:val="single" w:sz="13" w:space="0" w:color="C7EDCC"/>
              <w:bottom w:val="single" w:sz="4" w:space="0" w:color="000000"/>
              <w:right w:val="single" w:sz="4" w:space="0" w:color="000000"/>
            </w:tcBorders>
          </w:tcPr>
          <w:p>
            <w:pPr/>
          </w:p>
        </w:tc>
        <w:tc>
          <w:tcPr>
            <w:tcW w:w="1292" w:type="dxa"/>
            <w:tcBorders>
              <w:top w:val="nil" w:sz="6" w:space="0" w:color="auto"/>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信息产业发</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展专项资金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公共服务平</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前沿与关键</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技术创新专</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5"/>
              <w:jc w:val="left"/>
              <w:rPr>
                <w:rFonts w:ascii="宋体" w:hAnsi="宋体" w:cs="宋体" w:eastAsia="宋体" w:hint="default"/>
                <w:sz w:val="18"/>
                <w:szCs w:val="18"/>
              </w:rPr>
            </w:pPr>
            <w:r>
              <w:rPr>
                <w:rFonts w:ascii="宋体" w:hAnsi="宋体" w:cs="宋体" w:eastAsia="宋体" w:hint="default"/>
                <w:spacing w:val="-13"/>
                <w:sz w:val="18"/>
                <w:szCs w:val="18"/>
              </w:rPr>
              <w:t>项资金（面向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科技创新服</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务的大数据</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技术研发及</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示范应用）</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0"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01"/>
              <w:jc w:val="both"/>
              <w:rPr>
                <w:rFonts w:ascii="宋体" w:hAnsi="宋体" w:cs="宋体" w:eastAsia="宋体" w:hint="default"/>
                <w:sz w:val="18"/>
                <w:szCs w:val="18"/>
              </w:rPr>
            </w:pPr>
            <w:r>
              <w:rPr>
                <w:rFonts w:ascii="宋体" w:hAnsi="宋体" w:cs="宋体" w:eastAsia="宋体" w:hint="default"/>
                <w:sz w:val="18"/>
                <w:szCs w:val="18"/>
              </w:rPr>
              <w:t>协同创新与 平台环境建 设专项资金</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367" w:right="0"/>
              <w:jc w:val="left"/>
              <w:rPr>
                <w:rFonts w:ascii="Times New Roman" w:hAnsi="Times New Roman" w:cs="Times New Roman" w:eastAsia="Times New Roman" w:hint="default"/>
                <w:sz w:val="18"/>
                <w:szCs w:val="18"/>
              </w:rPr>
            </w:pPr>
            <w:r>
              <w:rPr>
                <w:rFonts w:ascii="Times New Roman"/>
                <w:sz w:val="18"/>
              </w:rPr>
              <w:t>130,000.00</w:t>
            </w:r>
          </w:p>
        </w:tc>
        <w:tc>
          <w:tcPr>
            <w:tcW w:w="1063" w:type="dxa"/>
            <w:vMerge/>
            <w:tcBorders>
              <w:left w:val="single" w:sz="4" w:space="0" w:color="000000"/>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950,000.00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8"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广东智慧城</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700"/>
        </w:sectPr>
      </w:pPr>
    </w:p>
    <w:p>
      <w:pPr>
        <w:spacing w:line="240" w:lineRule="auto" w:before="0"/>
        <w:rPr>
          <w:rFonts w:ascii="Times New Roman" w:hAnsi="Times New Roman" w:cs="Times New Roman" w:eastAsia="Times New Roman" w:hint="default"/>
          <w:sz w:val="20"/>
          <w:szCs w:val="20"/>
        </w:rPr>
      </w:pPr>
      <w:r>
        <w:rPr/>
        <w:pict>
          <v:group style="position:absolute;margin-left:110.099998pt;margin-top:72.480003pt;width:52.75pt;height:33.25pt;mso-position-horizontal-relative:page;mso-position-vertical-relative:page;z-index:-1221640" coordorigin="2202,1450" coordsize="1055,665">
            <v:shape style="position:absolute;left:2202;top:1450;width:1055;height:665" coordorigin="2202,1450" coordsize="1055,665" path="m2202,2114l3257,2114,3257,1450,2202,1450,2202,211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34"/>
        <w:gridCol w:w="1093"/>
        <w:gridCol w:w="1292"/>
        <w:gridCol w:w="1309"/>
        <w:gridCol w:w="1211"/>
        <w:gridCol w:w="1063"/>
        <w:gridCol w:w="820"/>
        <w:gridCol w:w="1063"/>
        <w:gridCol w:w="1063"/>
      </w:tblGrid>
      <w:tr>
        <w:trPr>
          <w:trHeight w:val="674"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市研究产学 研合作项目</w:t>
            </w:r>
          </w:p>
        </w:tc>
        <w:tc>
          <w:tcPr>
            <w:tcW w:w="10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01"/>
              <w:jc w:val="left"/>
              <w:rPr>
                <w:rFonts w:ascii="宋体" w:hAnsi="宋体" w:cs="宋体" w:eastAsia="宋体" w:hint="default"/>
                <w:sz w:val="18"/>
                <w:szCs w:val="18"/>
              </w:rPr>
            </w:pPr>
            <w:r>
              <w:rPr>
                <w:rFonts w:ascii="宋体" w:hAnsi="宋体" w:cs="宋体" w:eastAsia="宋体" w:hint="default"/>
                <w:sz w:val="18"/>
                <w:szCs w:val="18"/>
              </w:rPr>
              <w:t>东省应用型 科技研发专</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年市战</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01"/>
              <w:jc w:val="both"/>
              <w:rPr>
                <w:rFonts w:ascii="宋体" w:hAnsi="宋体" w:cs="宋体" w:eastAsia="宋体" w:hint="default"/>
                <w:sz w:val="18"/>
                <w:szCs w:val="18"/>
              </w:rPr>
            </w:pPr>
            <w:r>
              <w:rPr>
                <w:rFonts w:ascii="宋体" w:hAnsi="宋体" w:cs="宋体" w:eastAsia="宋体" w:hint="default"/>
                <w:sz w:val="18"/>
                <w:szCs w:val="18"/>
              </w:rPr>
              <w:t>略性主导产 业发展资金 拟扶持新业</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233,333.38</w:t>
            </w:r>
          </w:p>
        </w:tc>
        <w:tc>
          <w:tcPr>
            <w:tcW w:w="1063" w:type="dxa"/>
            <w:vMerge/>
            <w:tcBorders>
              <w:left w:val="single" w:sz="4" w:space="0" w:color="000000"/>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566,666.58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态项目</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区配套大数</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据信息资源 库核心技术</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vMerge/>
            <w:tcBorders>
              <w:left w:val="single" w:sz="4" w:space="0" w:color="000000"/>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30,000.00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开发及示范</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应用</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技型中小企</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业技术创新</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发展专项扶</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持资</w:t>
            </w:r>
            <w:r>
              <w:rPr>
                <w:rFonts w:ascii="宋体" w:hAnsi="宋体" w:cs="宋体" w:eastAsia="宋体" w:hint="default"/>
                <w:spacing w:val="-74"/>
                <w:sz w:val="18"/>
                <w:szCs w:val="18"/>
              </w:rPr>
              <w:t>金</w:t>
            </w:r>
            <w:r>
              <w:rPr>
                <w:rFonts w:ascii="宋体" w:hAnsi="宋体" w:cs="宋体" w:eastAsia="宋体" w:hint="default"/>
                <w:sz w:val="18"/>
                <w:szCs w:val="18"/>
              </w:rPr>
              <w:t>（基于</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90,021.98</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41,154.98</w:t>
            </w: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48,867.00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物联网应用</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技术的区域</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公共卫生信</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息平台）</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信息产业发</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107,822.20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41,366.82</w:t>
            </w: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66,455.38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展专项资金</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第一批科技</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型中小企业</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2"/>
                <w:sz w:val="18"/>
              </w:rPr>
              <w:t>111,512.95</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42,603.28</w:t>
            </w: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68,909.67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技术创新基</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临沂市</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科技惠民计</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划专项资金</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（以基于大 数据应用技</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175,932.91</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32,822.58</w:t>
            </w: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143,110.33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术的居家养</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老信息管理</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平台建设）</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700"/>
        </w:sectPr>
      </w:pPr>
    </w:p>
    <w:p>
      <w:pPr>
        <w:spacing w:line="240" w:lineRule="auto" w:before="0"/>
        <w:rPr>
          <w:rFonts w:ascii="Times New Roman" w:hAnsi="Times New Roman" w:cs="Times New Roman" w:eastAsia="Times New Roman" w:hint="default"/>
          <w:sz w:val="20"/>
          <w:szCs w:val="20"/>
        </w:rPr>
      </w:pPr>
      <w:r>
        <w:rPr/>
        <w:pict>
          <v:group style="position:absolute;margin-left:110.099998pt;margin-top:284.299988pt;width:52.75pt;height:62.4pt;mso-position-horizontal-relative:page;mso-position-vertical-relative:page;z-index:-1221616" coordorigin="2202,5686" coordsize="1055,1248">
            <v:shape style="position:absolute;left:2202;top:5686;width:1055;height:1248" coordorigin="2202,5686" coordsize="1055,1248" path="m2202,6934l3257,6934,3257,5686,2202,5686,2202,6934xe" filled="true" fillcolor="#ffffff" stroked="false">
              <v:path arrowok="t"/>
              <v:fill type="solid"/>
            </v:shape>
            <w10:wrap type="none"/>
          </v:group>
        </w:pict>
      </w:r>
      <w:r>
        <w:rPr/>
        <w:pict>
          <v:group style="position:absolute;margin-left:110.099998pt;margin-top:519pt;width:52.75pt;height:70.2pt;mso-position-horizontal-relative:page;mso-position-vertical-relative:page;z-index:-1221592" coordorigin="2202,10380" coordsize="1055,1404">
            <v:shape style="position:absolute;left:2202;top:10380;width:1055;height:1404" coordorigin="2202,10380" coordsize="1055,1404" path="m2202,11784l3257,11784,3257,10380,2202,10380,2202,1178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1"/>
        <w:gridCol w:w="1076"/>
        <w:gridCol w:w="1292"/>
        <w:gridCol w:w="1309"/>
        <w:gridCol w:w="1211"/>
        <w:gridCol w:w="1063"/>
        <w:gridCol w:w="820"/>
        <w:gridCol w:w="1063"/>
        <w:gridCol w:w="1063"/>
      </w:tblGrid>
      <w:tr>
        <w:trPr>
          <w:trHeight w:val="362" w:hRule="exact"/>
        </w:trPr>
        <w:tc>
          <w:tcPr>
            <w:tcW w:w="105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w:t>
            </w:r>
          </w:p>
        </w:tc>
        <w:tc>
          <w:tcPr>
            <w:tcW w:w="1076"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信息公共服</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务平台和两</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化融合奖励</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74"/>
                <w:sz w:val="18"/>
                <w:szCs w:val="18"/>
              </w:rPr>
              <w:t>金</w:t>
            </w:r>
            <w:r>
              <w:rPr>
                <w:rFonts w:ascii="宋体" w:hAnsi="宋体" w:cs="宋体" w:eastAsia="宋体" w:hint="default"/>
                <w:sz w:val="18"/>
                <w:szCs w:val="18"/>
              </w:rPr>
              <w:t>（基于大</w:t>
            </w:r>
          </w:p>
        </w:tc>
        <w:tc>
          <w:tcPr>
            <w:tcW w:w="1076"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145,423.01</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45,358.68</w:t>
            </w: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100,064.33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数据应用技</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术的居家养</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老信息管理</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1076"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5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w:t>
            </w:r>
          </w:p>
        </w:tc>
        <w:tc>
          <w:tcPr>
            <w:tcW w:w="1076"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16"/>
              <w:jc w:val="left"/>
              <w:rPr>
                <w:rFonts w:ascii="宋体" w:hAnsi="宋体" w:cs="宋体" w:eastAsia="宋体" w:hint="default"/>
                <w:sz w:val="18"/>
                <w:szCs w:val="18"/>
              </w:rPr>
            </w:pPr>
            <w:r>
              <w:rPr>
                <w:rFonts w:ascii="宋体" w:hAnsi="宋体" w:cs="宋体" w:eastAsia="宋体" w:hint="default"/>
                <w:sz w:val="18"/>
                <w:szCs w:val="18"/>
              </w:rPr>
              <w:t>科技型中小 企业创新发</w:t>
            </w:r>
          </w:p>
        </w:tc>
        <w:tc>
          <w:tcPr>
            <w:tcW w:w="1076" w:type="dxa"/>
            <w:tcBorders>
              <w:top w:val="nil" w:sz="6" w:space="0" w:color="auto"/>
              <w:left w:val="single" w:sz="13" w:space="0" w:color="C7EDCC"/>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38,293.71</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10,724.37</w:t>
            </w: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27,569.34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5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展验收资金</w:t>
            </w:r>
          </w:p>
        </w:tc>
        <w:tc>
          <w:tcPr>
            <w:tcW w:w="1076"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省科技惠民</w:t>
            </w:r>
          </w:p>
        </w:tc>
        <w:tc>
          <w:tcPr>
            <w:tcW w:w="1076"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专项资</w:t>
            </w:r>
            <w:r>
              <w:rPr>
                <w:rFonts w:ascii="宋体" w:hAnsi="宋体" w:cs="宋体" w:eastAsia="宋体" w:hint="default"/>
                <w:spacing w:val="-74"/>
                <w:sz w:val="18"/>
                <w:szCs w:val="18"/>
              </w:rPr>
              <w:t>金</w:t>
            </w:r>
            <w:r>
              <w:rPr>
                <w:rFonts w:ascii="宋体" w:hAnsi="宋体" w:cs="宋体" w:eastAsia="宋体" w:hint="default"/>
                <w:sz w:val="18"/>
                <w:szCs w:val="18"/>
              </w:rPr>
              <w:t>（以</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1076" w:type="dxa"/>
            <w:tcBorders>
              <w:top w:val="nil" w:sz="6" w:space="0" w:color="auto"/>
              <w:left w:val="single" w:sz="13" w:space="0" w:color="C7EDCC"/>
              <w:bottom w:val="nil" w:sz="6" w:space="0" w:color="auto"/>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云技术等为</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支撑的居家</w:t>
            </w:r>
          </w:p>
        </w:tc>
        <w:tc>
          <w:tcPr>
            <w:tcW w:w="1076"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97,463.56</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21,003.26</w:t>
            </w: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76,460.30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养老智慧社</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区建设科技</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惠民示范工</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1076"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5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w:t>
            </w:r>
          </w:p>
        </w:tc>
        <w:tc>
          <w:tcPr>
            <w:tcW w:w="1076"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中小企业创</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业补助资金</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（基于</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51" w:type="dxa"/>
            <w:tcBorders>
              <w:top w:val="nil" w:sz="6" w:space="0" w:color="auto"/>
              <w:left w:val="single" w:sz="4" w:space="0" w:color="000000"/>
              <w:bottom w:val="nil" w:sz="6" w:space="0" w:color="auto"/>
              <w:right w:val="single" w:sz="9" w:space="0" w:color="FFFFFF"/>
            </w:tcBorders>
            <w:shd w:val="clear" w:color="auto" w:fill="C7EDCC"/>
          </w:tcPr>
          <w:p>
            <w:pPr>
              <w:pStyle w:val="TableParagraph"/>
              <w:spacing w:line="300" w:lineRule="auto" w:before="10"/>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宋体" w:hAnsi="宋体" w:cs="宋体" w:eastAsia="宋体" w:hint="default"/>
                <w:sz w:val="18"/>
                <w:szCs w:val="18"/>
              </w:rPr>
              <w:t>（云计 算应用技术</w:t>
            </w:r>
          </w:p>
        </w:tc>
        <w:tc>
          <w:tcPr>
            <w:tcW w:w="1076" w:type="dxa"/>
            <w:tcBorders>
              <w:top w:val="nil" w:sz="6" w:space="0" w:color="auto"/>
              <w:left w:val="single" w:sz="23" w:space="0" w:color="FFFFFF"/>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161" w:lineRule="exact"/>
              <w:ind w:left="299" w:right="0"/>
              <w:jc w:val="left"/>
              <w:rPr>
                <w:rFonts w:ascii="Times New Roman" w:hAnsi="Times New Roman" w:cs="Times New Roman" w:eastAsia="Times New Roman" w:hint="default"/>
                <w:sz w:val="18"/>
                <w:szCs w:val="18"/>
              </w:rPr>
            </w:pPr>
            <w:r>
              <w:rPr>
                <w:rFonts w:ascii="Times New Roman"/>
                <w:sz w:val="18"/>
              </w:rPr>
              <w:t>79,370.31</w:t>
            </w:r>
          </w:p>
          <w:p>
            <w:pPr>
              <w:pStyle w:val="TableParagraph"/>
              <w:spacing w:line="190" w:lineRule="exact"/>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14,822.03</w:t>
            </w: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64,548.28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运营模式的</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数字民政综</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合管理信息</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1076"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5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w:t>
            </w:r>
          </w:p>
        </w:tc>
        <w:tc>
          <w:tcPr>
            <w:tcW w:w="1076"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省应用型科</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技研发专项</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74"/>
                <w:sz w:val="18"/>
                <w:szCs w:val="18"/>
              </w:rPr>
              <w:t>金</w:t>
            </w:r>
            <w:r>
              <w:rPr>
                <w:rFonts w:ascii="宋体" w:hAnsi="宋体" w:cs="宋体" w:eastAsia="宋体" w:hint="default"/>
                <w:sz w:val="18"/>
                <w:szCs w:val="18"/>
              </w:rPr>
              <w:t>（视频大</w:t>
            </w:r>
          </w:p>
        </w:tc>
        <w:tc>
          <w:tcPr>
            <w:tcW w:w="1076"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数据云平台</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研究以及应</w:t>
            </w:r>
          </w:p>
        </w:tc>
        <w:tc>
          <w:tcPr>
            <w:tcW w:w="1076"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076"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5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年智慧</w:t>
            </w:r>
          </w:p>
        </w:tc>
        <w:tc>
          <w:tcPr>
            <w:tcW w:w="1076"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8" w:hRule="exact"/>
        </w:trPr>
        <w:tc>
          <w:tcPr>
            <w:tcW w:w="105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0"/>
              <w:jc w:val="left"/>
              <w:rPr>
                <w:rFonts w:ascii="宋体" w:hAnsi="宋体" w:cs="宋体" w:eastAsia="宋体" w:hint="default"/>
                <w:sz w:val="18"/>
                <w:szCs w:val="18"/>
              </w:rPr>
            </w:pPr>
            <w:r>
              <w:rPr>
                <w:rFonts w:ascii="宋体" w:hAnsi="宋体" w:cs="宋体" w:eastAsia="宋体" w:hint="default"/>
                <w:sz w:val="18"/>
                <w:szCs w:val="18"/>
              </w:rPr>
              <w:t>广州专项资 </w:t>
            </w:r>
            <w:r>
              <w:rPr>
                <w:rFonts w:ascii="宋体" w:hAnsi="宋体" w:cs="宋体" w:eastAsia="宋体" w:hint="default"/>
                <w:spacing w:val="-13"/>
                <w:sz w:val="18"/>
                <w:szCs w:val="18"/>
              </w:rPr>
              <w:t>金（智慧城市</w:t>
            </w:r>
          </w:p>
        </w:tc>
        <w:tc>
          <w:tcPr>
            <w:tcW w:w="1076" w:type="dxa"/>
            <w:tcBorders>
              <w:top w:val="nil" w:sz="6" w:space="0" w:color="auto"/>
              <w:left w:val="single" w:sz="13" w:space="0" w:color="C7EDCC"/>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8" w:hRule="exact"/>
        </w:trPr>
        <w:tc>
          <w:tcPr>
            <w:tcW w:w="105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信息资源统</w:t>
            </w:r>
          </w:p>
        </w:tc>
        <w:tc>
          <w:tcPr>
            <w:tcW w:w="1076"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700"/>
        </w:sectPr>
      </w:pPr>
    </w:p>
    <w:p>
      <w:pPr>
        <w:spacing w:line="240" w:lineRule="auto" w:before="0"/>
        <w:rPr>
          <w:rFonts w:ascii="Times New Roman" w:hAnsi="Times New Roman" w:cs="Times New Roman" w:eastAsia="Times New Roman" w:hint="default"/>
          <w:sz w:val="20"/>
          <w:szCs w:val="20"/>
        </w:rPr>
      </w:pPr>
      <w:r>
        <w:rPr/>
        <w:pict>
          <v:group style="position:absolute;margin-left:110.099998pt;margin-top:309.700012pt;width:52.75pt;height:39pt;mso-position-horizontal-relative:page;mso-position-vertical-relative:page;z-index:-1221568" coordorigin="2202,6194" coordsize="1055,780">
            <v:shape style="position:absolute;left:2202;top:6194;width:1055;height:780" coordorigin="2202,6194" coordsize="1055,780" path="m2202,6974l3257,6974,3257,6194,2202,6194,2202,6974xe" filled="true" fillcolor="#ffffff" stroked="false">
              <v:path arrowok="t"/>
              <v:fill type="solid"/>
            </v:shape>
            <w10:wrap type="none"/>
          </v:group>
        </w:pict>
      </w:r>
      <w:r>
        <w:rPr/>
        <w:pict>
          <v:group style="position:absolute;margin-left:110.099998pt;margin-top:439pt;width:52.75pt;height:70.2pt;mso-position-horizontal-relative:page;mso-position-vertical-relative:page;z-index:-1221544" coordorigin="2202,8780" coordsize="1055,1404">
            <v:shape style="position:absolute;left:2202;top:8780;width:1055;height:1404" coordorigin="2202,8780" coordsize="1055,1404" path="m2202,10184l3257,10184,3257,8780,2202,8780,2202,1018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34"/>
        <w:gridCol w:w="1093"/>
        <w:gridCol w:w="1292"/>
        <w:gridCol w:w="1309"/>
        <w:gridCol w:w="1211"/>
        <w:gridCol w:w="1063"/>
        <w:gridCol w:w="820"/>
        <w:gridCol w:w="1063"/>
        <w:gridCol w:w="1063"/>
      </w:tblGrid>
      <w:tr>
        <w:trPr>
          <w:trHeight w:val="674" w:hRule="exact"/>
        </w:trPr>
        <w:tc>
          <w:tcPr>
            <w:tcW w:w="10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一管理和服 务平台）</w:t>
            </w:r>
          </w:p>
        </w:tc>
        <w:tc>
          <w:tcPr>
            <w:tcW w:w="1093" w:type="dxa"/>
            <w:tcBorders>
              <w:top w:val="single" w:sz="4" w:space="0" w:color="000000"/>
              <w:left w:val="single" w:sz="13" w:space="0" w:color="C7EDCC"/>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年度科技计</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划经费补助</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（天河区配</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6"/>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跨领域协同</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的云服务平</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台研发及示</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范应用）</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年度科技计</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划经费补助</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（面向移动</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端的政务协</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同服务平台</w:t>
            </w:r>
          </w:p>
        </w:tc>
        <w:tc>
          <w:tcPr>
            <w:tcW w:w="1093" w:type="dxa"/>
            <w:tcBorders>
              <w:top w:val="nil" w:sz="6" w:space="0" w:color="auto"/>
              <w:left w:val="single" w:sz="13" w:space="0" w:color="C7EDCC"/>
              <w:bottom w:val="single" w:sz="4" w:space="0" w:color="000000"/>
              <w:right w:val="single" w:sz="4"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省前沿与关</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键技术创新</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专项资</w:t>
            </w:r>
            <w:r>
              <w:rPr>
                <w:rFonts w:ascii="宋体" w:hAnsi="宋体" w:cs="宋体" w:eastAsia="宋体" w:hint="default"/>
                <w:spacing w:val="-74"/>
                <w:sz w:val="18"/>
                <w:szCs w:val="18"/>
              </w:rPr>
              <w:t>金</w:t>
            </w:r>
            <w:r>
              <w:rPr>
                <w:rFonts w:ascii="宋体" w:hAnsi="宋体" w:cs="宋体" w:eastAsia="宋体" w:hint="default"/>
                <w:sz w:val="18"/>
                <w:szCs w:val="18"/>
              </w:rPr>
              <w:t>（省</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重大科技专 </w:t>
            </w:r>
            <w:r>
              <w:rPr>
                <w:rFonts w:ascii="宋体" w:hAnsi="宋体" w:cs="宋体" w:eastAsia="宋体" w:hint="default"/>
                <w:spacing w:val="-15"/>
                <w:sz w:val="18"/>
                <w:szCs w:val="18"/>
              </w:rPr>
              <w:t>项）（基于医</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学大数据的</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肿瘤分析系</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统关键技术</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研究及应用</w:t>
            </w:r>
          </w:p>
        </w:tc>
        <w:tc>
          <w:tcPr>
            <w:tcW w:w="1093" w:type="dxa"/>
            <w:tcBorders>
              <w:top w:val="nil" w:sz="6" w:space="0" w:color="auto"/>
              <w:left w:val="single" w:sz="13" w:space="0" w:color="C7EDCC"/>
              <w:bottom w:val="single" w:sz="4" w:space="0" w:color="000000"/>
              <w:right w:val="single" w:sz="4" w:space="0" w:color="000000"/>
            </w:tcBorders>
          </w:tcPr>
          <w:p>
            <w:pPr>
              <w:pStyle w:val="TableParagraph"/>
              <w:spacing w:line="240" w:lineRule="auto" w:before="1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w:t>
            </w:r>
          </w:p>
        </w:tc>
        <w:tc>
          <w:tcPr>
            <w:tcW w:w="1093" w:type="dxa"/>
            <w:tcBorders>
              <w:top w:val="single" w:sz="4" w:space="0" w:color="000000"/>
              <w:left w:val="single" w:sz="13" w:space="0" w:color="C7EDCC"/>
              <w:bottom w:val="nil" w:sz="6" w:space="0" w:color="auto"/>
              <w:right w:val="single" w:sz="4" w:space="0" w:color="000000"/>
            </w:tcBorders>
          </w:tcPr>
          <w:p>
            <w:pPr/>
          </w:p>
        </w:tc>
        <w:tc>
          <w:tcPr>
            <w:tcW w:w="1292" w:type="dxa"/>
            <w:vMerge w:val="restart"/>
            <w:tcBorders>
              <w:top w:val="single" w:sz="4" w:space="0" w:color="000000"/>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研发机构建</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设专项项目</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（广州市北 明智慧城市</w:t>
            </w:r>
          </w:p>
        </w:tc>
        <w:tc>
          <w:tcPr>
            <w:tcW w:w="1093" w:type="dxa"/>
            <w:tcBorders>
              <w:top w:val="nil" w:sz="6" w:space="0" w:color="auto"/>
              <w:left w:val="single" w:sz="13" w:space="0" w:color="C7EDCC"/>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533,333.28</w:t>
            </w:r>
          </w:p>
        </w:tc>
        <w:tc>
          <w:tcPr>
            <w:tcW w:w="1063" w:type="dxa"/>
            <w:vMerge/>
            <w:tcBorders>
              <w:left w:val="single" w:sz="4" w:space="0" w:color="000000"/>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399,999.9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1,066,666.76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信息资源集</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成技术研究</w:t>
            </w:r>
          </w:p>
        </w:tc>
        <w:tc>
          <w:tcPr>
            <w:tcW w:w="1093" w:type="dxa"/>
            <w:tcBorders>
              <w:top w:val="nil" w:sz="6" w:space="0" w:color="auto"/>
              <w:left w:val="single" w:sz="13" w:space="0" w:color="C7EDCC"/>
              <w:bottom w:val="nil" w:sz="6" w:space="0" w:color="auto"/>
              <w:right w:val="single" w:sz="4" w:space="0" w:color="000000"/>
            </w:tcBorders>
          </w:tcPr>
          <w:p>
            <w:pPr/>
          </w:p>
        </w:tc>
        <w:tc>
          <w:tcPr>
            <w:tcW w:w="1292" w:type="dxa"/>
            <w:vMerge/>
            <w:tcBorders>
              <w:left w:val="single" w:sz="4" w:space="0" w:color="000000"/>
              <w:right w:val="single" w:sz="4" w:space="0" w:color="000000"/>
            </w:tcBorders>
          </w:tcPr>
          <w:p>
            <w:pPr/>
          </w:p>
        </w:tc>
        <w:tc>
          <w:tcPr>
            <w:tcW w:w="1309" w:type="dxa"/>
            <w:vMerge/>
            <w:tcBorders>
              <w:left w:val="single" w:sz="4" w:space="0" w:color="000000"/>
              <w:right w:val="single" w:sz="4" w:space="0" w:color="000000"/>
            </w:tcBorders>
          </w:tcPr>
          <w:p>
            <w:pPr/>
          </w:p>
        </w:tc>
        <w:tc>
          <w:tcPr>
            <w:tcW w:w="1211"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82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093" w:type="dxa"/>
            <w:tcBorders>
              <w:top w:val="nil" w:sz="6" w:space="0" w:color="auto"/>
              <w:left w:val="single" w:sz="13" w:space="0" w:color="C7EDCC"/>
              <w:bottom w:val="single" w:sz="4" w:space="0" w:color="000000"/>
              <w:right w:val="single" w:sz="4" w:space="0" w:color="000000"/>
            </w:tcBorders>
          </w:tcPr>
          <w:p>
            <w:pPr/>
          </w:p>
        </w:tc>
        <w:tc>
          <w:tcPr>
            <w:tcW w:w="1292"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3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基于云计算</w:t>
            </w:r>
          </w:p>
        </w:tc>
        <w:tc>
          <w:tcPr>
            <w:tcW w:w="1093" w:type="dxa"/>
            <w:vMerge w:val="restart"/>
            <w:tcBorders>
              <w:top w:val="single" w:sz="4" w:space="0" w:color="000000"/>
              <w:left w:val="single" w:sz="13" w:space="0" w:color="C7EDCC"/>
              <w:right w:val="single" w:sz="4" w:space="0" w:color="000000"/>
            </w:tcBorders>
          </w:tcPr>
          <w:p>
            <w:pPr/>
          </w:p>
        </w:tc>
        <w:tc>
          <w:tcPr>
            <w:tcW w:w="1292" w:type="dxa"/>
            <w:tcBorders>
              <w:top w:val="single" w:sz="4" w:space="0" w:color="000000"/>
              <w:left w:val="single" w:sz="4" w:space="0" w:color="000000"/>
              <w:bottom w:val="nil" w:sz="6" w:space="0" w:color="auto"/>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20"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3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的智慧政务 协同服务及</w:t>
            </w:r>
          </w:p>
        </w:tc>
        <w:tc>
          <w:tcPr>
            <w:tcW w:w="1093" w:type="dxa"/>
            <w:vMerge/>
            <w:tcBorders>
              <w:left w:val="single" w:sz="13" w:space="0" w:color="C7EDCC"/>
              <w:right w:val="single" w:sz="4" w:space="0" w:color="000000"/>
            </w:tcBorders>
          </w:tcPr>
          <w:p>
            <w:pPr/>
          </w:p>
        </w:tc>
        <w:tc>
          <w:tcPr>
            <w:tcW w:w="12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09" w:type="dxa"/>
            <w:vMerge/>
            <w:tcBorders>
              <w:left w:val="single" w:sz="4" w:space="0" w:color="000000"/>
              <w:right w:val="single" w:sz="4" w:space="0" w:color="000000"/>
            </w:tcBorders>
          </w:tcPr>
          <w:p>
            <w:pPr/>
          </w:p>
        </w:tc>
        <w:tc>
          <w:tcPr>
            <w:tcW w:w="1211"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3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应用项目</w:t>
            </w:r>
          </w:p>
        </w:tc>
        <w:tc>
          <w:tcPr>
            <w:tcW w:w="1093" w:type="dxa"/>
            <w:vMerge/>
            <w:tcBorders>
              <w:left w:val="single" w:sz="13" w:space="0" w:color="C7EDCC"/>
              <w:bottom w:val="single" w:sz="4" w:space="0" w:color="000000"/>
              <w:right w:val="single" w:sz="4" w:space="0" w:color="000000"/>
            </w:tcBorders>
          </w:tcPr>
          <w:p>
            <w:pPr/>
          </w:p>
        </w:tc>
        <w:tc>
          <w:tcPr>
            <w:tcW w:w="1292" w:type="dxa"/>
            <w:tcBorders>
              <w:top w:val="nil" w:sz="6" w:space="0" w:color="auto"/>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348,034,676.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520,318,500.00</w:t>
            </w:r>
          </w:p>
        </w:tc>
        <w:tc>
          <w:tcPr>
            <w:tcW w:w="1309"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604,668,468.03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262,934,708.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82" w:top="1060" w:bottom="1180" w:left="980" w:right="700"/>
        </w:sectPr>
      </w:pPr>
    </w:p>
    <w:p>
      <w:pPr>
        <w:spacing w:line="240" w:lineRule="auto" w:before="12"/>
        <w:rPr>
          <w:rFonts w:ascii="宋体" w:hAnsi="宋体" w:cs="宋体" w:eastAsia="宋体" w:hint="default"/>
          <w:sz w:val="25"/>
          <w:szCs w:val="25"/>
        </w:rPr>
      </w:pPr>
    </w:p>
    <w:p>
      <w:pPr>
        <w:pStyle w:val="BodyText"/>
        <w:spacing w:line="316" w:lineRule="auto" w:before="44"/>
        <w:ind w:right="91" w:firstLine="290"/>
        <w:jc w:val="left"/>
      </w:pPr>
      <w:r>
        <w:rPr/>
        <w:t>根据石家庄市人民政府常务会议纪要（2007年第65号）的规定，石家庄市人民政府按土地预期净收益的90%给予企业政 </w:t>
      </w:r>
      <w:r>
        <w:rPr>
          <w:spacing w:val="-2"/>
        </w:rPr>
        <w:t>策资金支持，用于搬迁项目建设，也可以用于弥补搬迁过程中发生人员安置、停工损失、设备处置等各项损失。2017年度公</w:t>
      </w:r>
      <w:r>
        <w:rPr>
          <w:spacing w:val="-62"/>
        </w:rPr>
        <w:t> </w:t>
      </w:r>
      <w:r>
        <w:rPr>
          <w:spacing w:val="-62"/>
        </w:rPr>
      </w:r>
      <w:r>
        <w:rPr/>
        <w:t>司共发生人员安置费、停工损失等搬迁损失602,102,453.29元，全部用搬迁支持政策资金进行弥补，全部计入了其他收益。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34</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504"/>
        <w:gridCol w:w="848"/>
        <w:gridCol w:w="900"/>
        <w:gridCol w:w="1196"/>
        <w:gridCol w:w="1196"/>
        <w:gridCol w:w="1184"/>
        <w:gridCol w:w="1516"/>
      </w:tblGrid>
      <w:tr>
        <w:trPr>
          <w:trHeight w:val="200" w:hRule="exact"/>
        </w:trPr>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04" w:type="dxa"/>
            <w:tcBorders>
              <w:top w:val="single" w:sz="4" w:space="0" w:color="000000"/>
              <w:left w:val="single" w:sz="4" w:space="0" w:color="000000"/>
              <w:bottom w:val="nil" w:sz="6" w:space="0" w:color="auto"/>
              <w:right w:val="single" w:sz="4" w:space="0" w:color="000000"/>
            </w:tcBorders>
            <w:shd w:val="clear" w:color="auto" w:fill="D3D3D3"/>
          </w:tcPr>
          <w:p>
            <w:pPr/>
          </w:p>
        </w:tc>
        <w:tc>
          <w:tcPr>
            <w:tcW w:w="5325"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11"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184" w:type="dxa"/>
            <w:vMerge w:val="restart"/>
            <w:tcBorders>
              <w:top w:val="nil" w:sz="6" w:space="0" w:color="auto"/>
              <w:left w:val="single" w:sz="4" w:space="0" w:color="000000"/>
              <w:right w:val="single" w:sz="4" w:space="0" w:color="000000"/>
            </w:tcBorders>
            <w:shd w:val="clear" w:color="auto" w:fill="D3D3D3"/>
          </w:tcPr>
          <w:p>
            <w:pPr/>
          </w:p>
        </w:tc>
        <w:tc>
          <w:tcPr>
            <w:tcW w:w="150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5"/>
            <w:vMerge/>
            <w:tcBorders>
              <w:left w:val="single" w:sz="4" w:space="0" w:color="000000"/>
              <w:bottom w:val="single" w:sz="4" w:space="0" w:color="000000"/>
              <w:right w:val="single" w:sz="4" w:space="0" w:color="000000"/>
            </w:tcBorders>
            <w:shd w:val="clear" w:color="auto" w:fill="D3D3D3"/>
          </w:tcPr>
          <w:p>
            <w:pPr/>
          </w:p>
        </w:tc>
        <w:tc>
          <w:tcPr>
            <w:tcW w:w="15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184" w:type="dxa"/>
            <w:vMerge/>
            <w:tcBorders>
              <w:left w:val="single" w:sz="4" w:space="0" w:color="000000"/>
              <w:bottom w:val="nil" w:sz="6" w:space="0" w:color="auto"/>
              <w:right w:val="single" w:sz="4" w:space="0" w:color="000000"/>
            </w:tcBorders>
            <w:shd w:val="clear" w:color="auto" w:fill="D3D3D3"/>
          </w:tcPr>
          <w:p>
            <w:pPr/>
          </w:p>
        </w:tc>
        <w:tc>
          <w:tcPr>
            <w:tcW w:w="1504" w:type="dxa"/>
            <w:vMerge/>
            <w:tcBorders>
              <w:left w:val="single" w:sz="4" w:space="0" w:color="000000"/>
              <w:bottom w:val="nil" w:sz="6" w:space="0" w:color="auto"/>
              <w:right w:val="single" w:sz="4" w:space="0" w:color="000000"/>
            </w:tcBorders>
            <w:shd w:val="clear" w:color="auto" w:fill="D3D3D3"/>
          </w:tcPr>
          <w:p>
            <w:pPr/>
          </w:p>
        </w:tc>
        <w:tc>
          <w:tcPr>
            <w:tcW w:w="8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16"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0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8"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99" w:right="0"/>
              <w:jc w:val="left"/>
              <w:rPr>
                <w:rFonts w:ascii="Times New Roman" w:hAnsi="Times New Roman" w:cs="Times New Roman" w:eastAsia="Times New Roman" w:hint="default"/>
                <w:sz w:val="18"/>
                <w:szCs w:val="18"/>
              </w:rPr>
            </w:pPr>
            <w:r>
              <w:rPr>
                <w:rFonts w:ascii="Times New Roman"/>
                <w:sz w:val="18"/>
              </w:rPr>
              <w:t>1,271,442,278.00</w:t>
            </w:r>
          </w:p>
        </w:tc>
        <w:tc>
          <w:tcPr>
            <w:tcW w:w="84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381,432,683.00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381,432,683.00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1,652,874,961.00</w:t>
            </w:r>
          </w:p>
        </w:tc>
      </w:tr>
    </w:tbl>
    <w:p>
      <w:pPr>
        <w:pStyle w:val="BodyText"/>
        <w:spacing w:line="240" w:lineRule="auto" w:before="51"/>
        <w:ind w:left="154" w:right="0"/>
        <w:jc w:val="left"/>
      </w:pPr>
      <w:r>
        <w:rPr/>
        <w:t>其他说明：</w:t>
      </w:r>
    </w:p>
    <w:p>
      <w:pPr>
        <w:pStyle w:val="BodyText"/>
        <w:spacing w:line="300" w:lineRule="auto" w:before="115"/>
        <w:ind w:right="191" w:firstLine="290"/>
        <w:jc w:val="both"/>
      </w:pPr>
      <w:r>
        <w:rPr>
          <w:spacing w:val="-1"/>
        </w:rPr>
        <w:t>公司根据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日召开的董事会六届十五次会议决议、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2016</w:t>
      </w:r>
      <w:r>
        <w:rPr>
          <w:spacing w:val="-1"/>
        </w:rPr>
        <w:t>年度股东大会决议和修改后的公</w:t>
      </w:r>
      <w:r>
        <w:rPr/>
        <w:t> </w:t>
      </w:r>
      <w:r>
        <w:rPr>
          <w:spacing w:val="-1"/>
        </w:rPr>
        <w:t>司章程规定，公司增加注册资本人民币</w:t>
      </w:r>
      <w:r>
        <w:rPr>
          <w:rFonts w:ascii="Times New Roman" w:hAnsi="Times New Roman" w:cs="Times New Roman" w:eastAsia="Times New Roman" w:hint="default"/>
          <w:spacing w:val="-1"/>
        </w:rPr>
        <w:t>381,432,683.00</w:t>
      </w:r>
      <w:r>
        <w:rPr>
          <w:spacing w:val="-1"/>
        </w:rPr>
        <w:t>元，由资本公积转增股本，转增基准日期为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19</w:t>
      </w:r>
      <w:r>
        <w:rPr>
          <w:spacing w:val="-1"/>
        </w:rPr>
        <w:t>日，变更后注</w:t>
      </w:r>
      <w:r>
        <w:rPr>
          <w:spacing w:val="-65"/>
        </w:rPr>
        <w:t> </w:t>
      </w:r>
      <w:r>
        <w:rPr>
          <w:spacing w:val="-65"/>
        </w:rPr>
      </w:r>
      <w:r>
        <w:rPr/>
        <w:t>册资本为人民币</w:t>
      </w:r>
      <w:r>
        <w:rPr>
          <w:rFonts w:ascii="Times New Roman" w:hAnsi="Times New Roman" w:cs="Times New Roman" w:eastAsia="Times New Roman" w:hint="default"/>
        </w:rPr>
        <w:t>1,652,874,961.00</w:t>
      </w:r>
      <w:r>
        <w:rPr/>
        <w:t>元。本次增资已经中兴财光华会计师事务所（特殊普通合伙）</w:t>
      </w:r>
      <w:r>
        <w:rPr>
          <w:rFonts w:ascii="Times New Roman" w:hAnsi="Times New Roman" w:cs="Times New Roman" w:eastAsia="Times New Roman" w:hint="default"/>
        </w:rPr>
        <w:t>“</w:t>
      </w:r>
      <w:r>
        <w:rPr/>
        <w:t>中兴财光华审验字（</w:t>
      </w:r>
      <w:r>
        <w:rPr>
          <w:rFonts w:ascii="Times New Roman" w:hAnsi="Times New Roman" w:cs="Times New Roman" w:eastAsia="Times New Roman" w:hint="default"/>
        </w:rPr>
        <w:t>2017</w:t>
      </w:r>
      <w:r>
        <w:rPr/>
        <w:t>） 第</w:t>
      </w:r>
      <w:r>
        <w:rPr>
          <w:rFonts w:ascii="Times New Roman" w:hAnsi="Times New Roman" w:cs="Times New Roman" w:eastAsia="Times New Roman" w:hint="default"/>
        </w:rPr>
        <w:t>103008</w:t>
      </w:r>
      <w:r>
        <w:rPr/>
        <w:t>号</w:t>
      </w:r>
      <w:r>
        <w:rPr>
          <w:rFonts w:ascii="Times New Roman" w:hAnsi="Times New Roman" w:cs="Times New Roman" w:eastAsia="Times New Roman" w:hint="default"/>
        </w:rPr>
        <w:t>”</w:t>
      </w:r>
      <w:r>
        <w:rPr/>
        <w:t>验资报告验证。</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35</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3,153,097,485.01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381,432,683.00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2,771,664,802.01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125,425,565.85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125,425,565.85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3,278,523,050.86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381,432,683.00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2,897,090,367.86</w:t>
            </w:r>
          </w:p>
        </w:tc>
      </w:tr>
    </w:tbl>
    <w:p>
      <w:pPr>
        <w:pStyle w:val="BodyText"/>
        <w:spacing w:line="240" w:lineRule="auto" w:before="51"/>
        <w:ind w:left="154" w:right="0"/>
        <w:jc w:val="left"/>
      </w:pPr>
      <w:r>
        <w:rPr/>
        <w:t>其他说明，包括本期增减变动情况、变动原因说明：详见附注</w:t>
      </w:r>
      <w:r>
        <w:rPr>
          <w:spacing w:val="-46"/>
        </w:rPr>
        <w:t> </w:t>
      </w:r>
      <w:r>
        <w:rPr>
          <w:rFonts w:ascii="Times New Roman" w:hAnsi="Times New Roman" w:cs="Times New Roman" w:eastAsia="Times New Roman" w:hint="default"/>
        </w:rPr>
        <w:t>34</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36</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9"/>
        <w:gridCol w:w="1069"/>
        <w:gridCol w:w="935"/>
        <w:gridCol w:w="1776"/>
        <w:gridCol w:w="935"/>
        <w:gridCol w:w="1129"/>
        <w:gridCol w:w="923"/>
        <w:gridCol w:w="809"/>
      </w:tblGrid>
      <w:tr>
        <w:trPr>
          <w:trHeight w:val="402" w:hRule="exact"/>
        </w:trPr>
        <w:tc>
          <w:tcPr>
            <w:tcW w:w="1969" w:type="dxa"/>
            <w:vMerge w:val="restart"/>
            <w:tcBorders>
              <w:top w:val="single" w:sz="4" w:space="0" w:color="000000"/>
              <w:left w:val="single" w:sz="4" w:space="0" w:color="000000"/>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shd w:val="clear" w:color="auto" w:fill="D3D3D3"/>
          </w:tcPr>
          <w:p>
            <w:pPr/>
          </w:p>
        </w:tc>
        <w:tc>
          <w:tcPr>
            <w:tcW w:w="569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9" w:type="dxa"/>
            <w:vMerge w:val="restart"/>
            <w:tcBorders>
              <w:top w:val="single" w:sz="4" w:space="0" w:color="000000"/>
              <w:left w:val="single" w:sz="4" w:space="0" w:color="000000"/>
              <w:right w:val="single" w:sz="4" w:space="0" w:color="000000"/>
            </w:tcBorders>
            <w:shd w:val="clear" w:color="auto" w:fill="D3D3D3"/>
          </w:tcPr>
          <w:p>
            <w:pPr/>
          </w:p>
        </w:tc>
      </w:tr>
      <w:tr>
        <w:trPr>
          <w:trHeight w:val="111" w:hRule="exact"/>
        </w:trPr>
        <w:tc>
          <w:tcPr>
            <w:tcW w:w="1969" w:type="dxa"/>
            <w:vMerge/>
            <w:tcBorders>
              <w:left w:val="single" w:sz="4" w:space="0" w:color="000000"/>
              <w:bottom w:val="nil" w:sz="6" w:space="0" w:color="auto"/>
              <w:right w:val="single" w:sz="4" w:space="0" w:color="000000"/>
            </w:tcBorders>
            <w:shd w:val="clear" w:color="auto" w:fill="D3D3D3"/>
          </w:tcPr>
          <w:p>
            <w:pPr/>
          </w:p>
        </w:tc>
        <w:tc>
          <w:tcPr>
            <w:tcW w:w="1069" w:type="dxa"/>
            <w:vMerge/>
            <w:tcBorders>
              <w:left w:val="single" w:sz="4" w:space="0" w:color="000000"/>
              <w:bottom w:val="nil" w:sz="6" w:space="0" w:color="auto"/>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776" w:type="dxa"/>
            <w:tcBorders>
              <w:top w:val="single" w:sz="4" w:space="0" w:color="000000"/>
              <w:left w:val="single" w:sz="4" w:space="0" w:color="000000"/>
              <w:bottom w:val="nil" w:sz="6" w:space="0" w:color="auto"/>
              <w:right w:val="single" w:sz="4" w:space="0" w:color="000000"/>
            </w:tcBorders>
            <w:shd w:val="clear" w:color="auto" w:fill="D3D3D3"/>
          </w:tcPr>
          <w:p>
            <w:pPr/>
          </w:p>
        </w:tc>
        <w:tc>
          <w:tcPr>
            <w:tcW w:w="93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9" w:type="dxa"/>
            <w:tcBorders>
              <w:top w:val="single" w:sz="4" w:space="0" w:color="000000"/>
              <w:left w:val="single" w:sz="4" w:space="0" w:color="000000"/>
              <w:bottom w:val="nil" w:sz="6" w:space="0" w:color="auto"/>
              <w:right w:val="single" w:sz="4" w:space="0" w:color="000000"/>
            </w:tcBorders>
            <w:shd w:val="clear" w:color="auto" w:fill="D3D3D3"/>
          </w:tcPr>
          <w:p>
            <w:pPr/>
          </w:p>
        </w:tc>
        <w:tc>
          <w:tcPr>
            <w:tcW w:w="92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01" w:right="8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9" w:type="dxa"/>
            <w:vMerge/>
            <w:tcBorders>
              <w:left w:val="single" w:sz="4" w:space="0" w:color="000000"/>
              <w:bottom w:val="nil" w:sz="6" w:space="0" w:color="auto"/>
              <w:right w:val="single" w:sz="4" w:space="0" w:color="000000"/>
            </w:tcBorders>
            <w:shd w:val="clear" w:color="auto" w:fill="D3D3D3"/>
          </w:tcPr>
          <w:p>
            <w:pPr/>
          </w:p>
        </w:tc>
      </w:tr>
      <w:tr>
        <w:trPr>
          <w:trHeight w:val="367" w:hRule="exact"/>
        </w:trPr>
        <w:tc>
          <w:tcPr>
            <w:tcW w:w="1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3D3D3"/>
          </w:tcPr>
          <w:p>
            <w:pPr/>
          </w:p>
        </w:tc>
        <w:tc>
          <w:tcPr>
            <w:tcW w:w="177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6"/>
              <w:ind w:left="161" w:right="22" w:hanging="140"/>
              <w:jc w:val="left"/>
              <w:rPr>
                <w:rFonts w:ascii="宋体" w:hAnsi="宋体" w:cs="宋体" w:eastAsia="宋体" w:hint="default"/>
                <w:sz w:val="18"/>
                <w:szCs w:val="18"/>
              </w:rPr>
            </w:pPr>
            <w:r>
              <w:rPr>
                <w:rFonts w:ascii="宋体" w:hAnsi="宋体" w:cs="宋体" w:eastAsia="宋体" w:hint="default"/>
                <w:spacing w:val="-9"/>
                <w:sz w:val="18"/>
                <w:szCs w:val="18"/>
              </w:rPr>
              <w:t>减：前期计入其他综合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收益当期转入损益</w:t>
            </w:r>
          </w:p>
        </w:tc>
        <w:tc>
          <w:tcPr>
            <w:tcW w:w="93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6"/>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112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6"/>
              <w:ind w:left="290" w:right="107"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23" w:type="dxa"/>
            <w:vMerge/>
            <w:tcBorders>
              <w:left w:val="single" w:sz="4" w:space="0" w:color="000000"/>
              <w:right w:val="single" w:sz="4" w:space="0" w:color="000000"/>
            </w:tcBorders>
            <w:shd w:val="clear" w:color="auto" w:fill="D3D3D3"/>
          </w:tcPr>
          <w:p>
            <w:pPr/>
          </w:p>
        </w:tc>
        <w:tc>
          <w:tcPr>
            <w:tcW w:w="8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5"/>
              <w:ind w:left="4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1969" w:type="dxa"/>
            <w:vMerge w:val="restart"/>
            <w:tcBorders>
              <w:top w:val="nil" w:sz="6" w:space="0" w:color="auto"/>
              <w:left w:val="single" w:sz="4" w:space="0" w:color="000000"/>
              <w:right w:val="single" w:sz="4" w:space="0" w:color="000000"/>
            </w:tcBorders>
            <w:shd w:val="clear" w:color="auto" w:fill="D3D3D3"/>
          </w:tcPr>
          <w:p>
            <w:pPr/>
          </w:p>
        </w:tc>
        <w:tc>
          <w:tcPr>
            <w:tcW w:w="1069" w:type="dxa"/>
            <w:vMerge w:val="restart"/>
            <w:tcBorders>
              <w:top w:val="nil" w:sz="6" w:space="0" w:color="auto"/>
              <w:left w:val="single" w:sz="4" w:space="0" w:color="000000"/>
              <w:right w:val="single" w:sz="4" w:space="0" w:color="000000"/>
            </w:tcBorders>
            <w:shd w:val="clear" w:color="auto" w:fill="D3D3D3"/>
          </w:tcPr>
          <w:p>
            <w:pPr/>
          </w:p>
        </w:tc>
        <w:tc>
          <w:tcPr>
            <w:tcW w:w="935" w:type="dxa"/>
            <w:vMerge/>
            <w:tcBorders>
              <w:left w:val="single" w:sz="4" w:space="0" w:color="000000"/>
              <w:right w:val="single" w:sz="4" w:space="0" w:color="000000"/>
            </w:tcBorders>
            <w:shd w:val="clear" w:color="auto" w:fill="D3D3D3"/>
          </w:tcPr>
          <w:p>
            <w:pPr/>
          </w:p>
        </w:tc>
        <w:tc>
          <w:tcPr>
            <w:tcW w:w="1776" w:type="dxa"/>
            <w:vMerge/>
            <w:tcBorders>
              <w:left w:val="single" w:sz="4" w:space="0" w:color="000000"/>
              <w:bottom w:val="nil" w:sz="6" w:space="0" w:color="auto"/>
              <w:right w:val="single" w:sz="4" w:space="0" w:color="000000"/>
            </w:tcBorders>
            <w:shd w:val="clear" w:color="auto" w:fill="D3D3D3"/>
          </w:tcPr>
          <w:p>
            <w:pPr/>
          </w:p>
        </w:tc>
        <w:tc>
          <w:tcPr>
            <w:tcW w:w="935" w:type="dxa"/>
            <w:vMerge/>
            <w:tcBorders>
              <w:left w:val="single" w:sz="4" w:space="0" w:color="000000"/>
              <w:bottom w:val="nil" w:sz="6" w:space="0" w:color="auto"/>
              <w:right w:val="single" w:sz="4" w:space="0" w:color="000000"/>
            </w:tcBorders>
            <w:shd w:val="clear" w:color="auto" w:fill="D3D3D3"/>
          </w:tcPr>
          <w:p>
            <w:pPr/>
          </w:p>
        </w:tc>
        <w:tc>
          <w:tcPr>
            <w:tcW w:w="1129" w:type="dxa"/>
            <w:vMerge/>
            <w:tcBorders>
              <w:left w:val="single" w:sz="4" w:space="0" w:color="000000"/>
              <w:bottom w:val="nil" w:sz="6" w:space="0" w:color="auto"/>
              <w:right w:val="single" w:sz="4" w:space="0" w:color="000000"/>
            </w:tcBorders>
            <w:shd w:val="clear" w:color="auto" w:fill="D3D3D3"/>
          </w:tcPr>
          <w:p>
            <w:pPr/>
          </w:p>
        </w:tc>
        <w:tc>
          <w:tcPr>
            <w:tcW w:w="923" w:type="dxa"/>
            <w:vMerge/>
            <w:tcBorders>
              <w:left w:val="single" w:sz="4" w:space="0" w:color="000000"/>
              <w:right w:val="single" w:sz="4" w:space="0" w:color="000000"/>
            </w:tcBorders>
            <w:shd w:val="clear" w:color="auto" w:fill="D3D3D3"/>
          </w:tcPr>
          <w:p>
            <w:pPr/>
          </w:p>
        </w:tc>
        <w:tc>
          <w:tcPr>
            <w:tcW w:w="809"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969"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776" w:type="dxa"/>
            <w:tcBorders>
              <w:top w:val="nil" w:sz="6" w:space="0" w:color="auto"/>
              <w:left w:val="single" w:sz="4" w:space="0" w:color="000000"/>
              <w:bottom w:val="single" w:sz="4" w:space="0" w:color="000000"/>
              <w:right w:val="single" w:sz="4" w:space="0" w:color="000000"/>
            </w:tcBorders>
            <w:shd w:val="clear" w:color="auto" w:fill="D3D3D3"/>
          </w:tcPr>
          <w:p>
            <w:pPr/>
          </w:p>
        </w:tc>
        <w:tc>
          <w:tcPr>
            <w:tcW w:w="93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9" w:type="dxa"/>
            <w:tcBorders>
              <w:top w:val="nil" w:sz="6" w:space="0" w:color="auto"/>
              <w:left w:val="single" w:sz="4" w:space="0" w:color="000000"/>
              <w:bottom w:val="single" w:sz="4" w:space="0" w:color="000000"/>
              <w:right w:val="single" w:sz="4" w:space="0" w:color="000000"/>
            </w:tcBorders>
            <w:shd w:val="clear" w:color="auto" w:fill="D3D3D3"/>
          </w:tcPr>
          <w:p>
            <w:pPr/>
          </w:p>
        </w:tc>
        <w:tc>
          <w:tcPr>
            <w:tcW w:w="923" w:type="dxa"/>
            <w:vMerge/>
            <w:tcBorders>
              <w:left w:val="single" w:sz="4" w:space="0" w:color="000000"/>
              <w:bottom w:val="single" w:sz="4" w:space="0" w:color="000000"/>
              <w:right w:val="single" w:sz="4" w:space="0" w:color="000000"/>
            </w:tcBorders>
            <w:shd w:val="clear" w:color="auto" w:fill="D3D3D3"/>
          </w:tcPr>
          <w:p>
            <w:pPr/>
          </w:p>
        </w:tc>
        <w:tc>
          <w:tcPr>
            <w:tcW w:w="80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pacing w:val="-6"/>
                <w:sz w:val="18"/>
                <w:szCs w:val="18"/>
              </w:rPr>
              <w:t>二、以后将重分类进损益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的其他综合收益</w:t>
            </w:r>
          </w:p>
        </w:tc>
        <w:tc>
          <w:tcPr>
            <w:tcW w:w="10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9,984,579.86</w:t>
            </w:r>
          </w:p>
        </w:tc>
        <w:tc>
          <w:tcPr>
            <w:tcW w:w="93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9,984,579.86</w:t>
            </w:r>
          </w:p>
        </w:tc>
        <w:tc>
          <w:tcPr>
            <w:tcW w:w="935"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-9,984,579.86</w:t>
            </w:r>
          </w:p>
        </w:tc>
        <w:tc>
          <w:tcPr>
            <w:tcW w:w="92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5" w:firstLine="540"/>
              <w:jc w:val="left"/>
              <w:rPr>
                <w:rFonts w:ascii="宋体" w:hAnsi="宋体" w:cs="宋体" w:eastAsia="宋体" w:hint="default"/>
                <w:sz w:val="18"/>
                <w:szCs w:val="18"/>
              </w:rPr>
            </w:pPr>
            <w:r>
              <w:rPr>
                <w:rFonts w:ascii="宋体" w:hAnsi="宋体" w:cs="宋体" w:eastAsia="宋体" w:hint="default"/>
                <w:sz w:val="18"/>
                <w:szCs w:val="18"/>
              </w:rPr>
              <w:t>可供出售金融资 产公允价值变动损益</w:t>
            </w:r>
          </w:p>
        </w:tc>
        <w:tc>
          <w:tcPr>
            <w:tcW w:w="10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9,984,579.86</w:t>
            </w:r>
          </w:p>
        </w:tc>
        <w:tc>
          <w:tcPr>
            <w:tcW w:w="93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9,984,579.86</w:t>
            </w:r>
          </w:p>
        </w:tc>
        <w:tc>
          <w:tcPr>
            <w:tcW w:w="935"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-9,984,579.86</w:t>
            </w:r>
          </w:p>
        </w:tc>
        <w:tc>
          <w:tcPr>
            <w:tcW w:w="92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9,984,579.86</w:t>
            </w:r>
          </w:p>
        </w:tc>
        <w:tc>
          <w:tcPr>
            <w:tcW w:w="935"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9,984,579.86</w:t>
            </w:r>
          </w:p>
        </w:tc>
        <w:tc>
          <w:tcPr>
            <w:tcW w:w="935"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-9,984,579.86</w:t>
            </w:r>
          </w:p>
        </w:tc>
        <w:tc>
          <w:tcPr>
            <w:tcW w:w="92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rFonts w:ascii="Times New Roman" w:hAnsi="Times New Roman" w:cs="Times New Roman" w:eastAsia="Times New Roman" w:hint="default"/>
        </w:rPr>
        <w:t>37</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166,059,631.63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6,884,580.92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172,944,212.55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58,904,179.28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3,442,290.46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62,346,469.74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224,963,810.91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10,326,871.38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235,290,682.29</w:t>
            </w:r>
          </w:p>
        </w:tc>
      </w:tr>
    </w:tbl>
    <w:p>
      <w:pPr>
        <w:pStyle w:val="BodyText"/>
        <w:spacing w:line="357" w:lineRule="auto" w:before="51"/>
        <w:ind w:right="3801"/>
        <w:jc w:val="left"/>
      </w:pPr>
      <w:r>
        <w:rPr/>
        <w:t>盈余公积说明，包括本期增减变动情况、变动原因说明： 公司按净利润的</w:t>
      </w:r>
      <w:r>
        <w:rPr>
          <w:rFonts w:ascii="Times New Roman" w:hAnsi="Times New Roman" w:cs="Times New Roman" w:eastAsia="Times New Roman" w:hint="default"/>
        </w:rPr>
        <w:t>10%</w:t>
      </w:r>
      <w:r>
        <w:rPr/>
        <w:t>计提法定盈余公积，按净利润的</w:t>
      </w:r>
      <w:r>
        <w:rPr>
          <w:rFonts w:ascii="Times New Roman" w:hAnsi="Times New Roman" w:cs="Times New Roman" w:eastAsia="Times New Roman" w:hint="default"/>
        </w:rPr>
        <w:t>5%</w:t>
      </w:r>
      <w:r>
        <w:rPr/>
        <w:t>计提任意盈余公积。</w:t>
      </w:r>
    </w:p>
    <w:p>
      <w:pPr>
        <w:spacing w:line="240" w:lineRule="auto" w:before="4"/>
        <w:rPr>
          <w:rFonts w:ascii="宋体" w:hAnsi="宋体" w:cs="宋体" w:eastAsia="宋体" w:hint="default"/>
          <w:sz w:val="18"/>
          <w:szCs w:val="18"/>
        </w:rPr>
      </w:pPr>
    </w:p>
    <w:p>
      <w:pPr>
        <w:pStyle w:val="Heading3"/>
        <w:spacing w:line="240" w:lineRule="auto"/>
        <w:ind w:right="141"/>
        <w:jc w:val="left"/>
        <w:rPr>
          <w:b w:val="0"/>
          <w:bCs w:val="0"/>
        </w:rPr>
      </w:pPr>
      <w:r>
        <w:rPr>
          <w:rFonts w:ascii="Times New Roman" w:hAnsi="Times New Roman" w:cs="Times New Roman" w:eastAsia="Times New Roman" w:hint="default"/>
        </w:rPr>
        <w:t>38</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3"/>
        <w:gridCol w:w="2924"/>
        <w:gridCol w:w="2918"/>
      </w:tblGrid>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954,348,850.74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669,427,300.38</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954,348,850.74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669,427,300.38</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355,095,034.93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349,914,511.72</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6,884,580.92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9,423,513.51</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3,442,290.46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4,711,756.75</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76,286,536.68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50,857,691.10</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1,222,830,477.61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954,348,850.74</w:t>
            </w:r>
          </w:p>
        </w:tc>
      </w:tr>
    </w:tbl>
    <w:p>
      <w:pPr>
        <w:pStyle w:val="BodyText"/>
        <w:spacing w:line="240" w:lineRule="auto" w:before="51"/>
        <w:ind w:left="154" w:right="141"/>
        <w:jc w:val="left"/>
      </w:pPr>
      <w:r>
        <w:rPr/>
        <w:t>调整期初未分配利润明细：</w:t>
      </w:r>
    </w:p>
    <w:p>
      <w:pPr>
        <w:pStyle w:val="BodyText"/>
        <w:spacing w:line="240" w:lineRule="auto" w:before="117"/>
        <w:ind w:right="141"/>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41"/>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4" w:right="141"/>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54" w:right="141"/>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4" w:right="141"/>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39</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0"/>
        <w:gridCol w:w="1916"/>
        <w:gridCol w:w="1914"/>
        <w:gridCol w:w="1914"/>
        <w:gridCol w:w="1914"/>
      </w:tblGrid>
      <w:tr>
        <w:trPr>
          <w:trHeight w:val="201"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89"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3"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11,172,838,886.98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10,395,607,195.52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10,915,958,611.73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10,113,155,105.24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81,628,797.81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42,284,342.85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58,364,479.01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27,169,743.31</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11,254,467,684.79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10,437,891,538.37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10,974,323,090.74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10,140,324,848.55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rFonts w:ascii="Times New Roman" w:hAnsi="Times New Roman" w:cs="Times New Roman" w:eastAsia="Times New Roman" w:hint="default"/>
        </w:rPr>
        <w:t>40</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5,953,609.46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6,252,627.57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4,518,602.63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4,814,736.86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12,554,958.16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8,588,639.76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22,346,668.21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16,298,302.35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44,406.03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4,816,785.94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3,276,129.57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5"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1,297,365.83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水资源税</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1,261,850.20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23,191.21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21,676.15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51,520,071.84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40,567,558.09</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41</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25,537,046.91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19,820,468.54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63,336,036.55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63,994,602.45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17,446,503.06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7,115,636.24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22,037,039.64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28,763,444.63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15,350,667.71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12,718,971.94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1,389,722.42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836,826.29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843,661.17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1,404,440.73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24,597,940.73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23,317,845.73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19,312,781.31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12,546,105.21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852,904.79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1,733,417.81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1,420,797.63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452,903.01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1,717,757.68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1,858,604.47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8,151,917.04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5,085,519.48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5,620,864.44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5,805,442.80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2,776,303.68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1,851,620.46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1,637,531.19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3,660,585.05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212,029,475.95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190,966,434.84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41"/>
        <w:jc w:val="left"/>
        <w:rPr>
          <w:b w:val="0"/>
          <w:bCs w:val="0"/>
        </w:rPr>
      </w:pPr>
      <w:r>
        <w:rPr>
          <w:rFonts w:ascii="Times New Roman" w:hAnsi="Times New Roman" w:cs="Times New Roman" w:eastAsia="Times New Roman" w:hint="default"/>
        </w:rPr>
        <w:t>42</w:t>
      </w:r>
      <w:r>
        <w:rPr/>
        <w:t>、管理费用</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182,822,335.17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144,659,188.31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5,565,895.16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1,134,183.58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2,551,121.05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3,765,508.86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42,500,640.83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39,447,503.25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1,587,411.49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1,439,804.91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9,197,943.40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8,210,920.50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5,498,481.70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4,026,252.44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1,884,655.53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2,471,517.41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18,448,374.00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19,690,582.63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338,543.51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26,041,501.15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22,731,577.05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11,295,431.33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3,575,451.59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仓库经费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658,785.16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488,358.82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898,303.23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1,181,516.85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19,995,397.42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8,903,266.48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10,161,012.16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7,085,447.78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2,652,415.68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2,216,592.36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920,292.70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3,534,247.08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13,841,497.84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338,311,118.91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293,110,839.50</w:t>
            </w:r>
          </w:p>
        </w:tc>
      </w:tr>
    </w:tbl>
    <w:p>
      <w:pPr>
        <w:pStyle w:val="Heading3"/>
        <w:spacing w:line="240" w:lineRule="auto" w:before="66"/>
        <w:ind w:right="141"/>
        <w:jc w:val="left"/>
        <w:rPr>
          <w:b w:val="0"/>
          <w:bCs w:val="0"/>
        </w:rPr>
      </w:pPr>
      <w:r>
        <w:rPr>
          <w:rFonts w:ascii="Times New Roman" w:hAnsi="Times New Roman" w:cs="Times New Roman" w:eastAsia="Times New Roman" w:hint="default"/>
        </w:rPr>
        <w:t>43</w:t>
      </w:r>
      <w:r>
        <w:rPr/>
        <w:t>、财务费用</w:t>
      </w:r>
      <w:r>
        <w:rPr>
          <w:b w:val="0"/>
          <w:bCs w:val="0"/>
        </w:rPr>
      </w:r>
    </w:p>
    <w:p>
      <w:pPr>
        <w:pStyle w:val="BodyText"/>
        <w:spacing w:line="240" w:lineRule="auto" w:before="13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193,780,731.44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180,734,555.21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6,434,241.55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5,513,418.54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150,909.35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15,154.78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5,088,581.73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2,291,952.58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34,220,394.63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25,445,114.86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4,877,194.88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2,966,937.65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221,506,407.02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201,356,391.38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rFonts w:ascii="Times New Roman" w:hAnsi="Times New Roman" w:cs="Times New Roman" w:eastAsia="Times New Roman" w:hint="default"/>
        </w:rPr>
        <w:t>44</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34,405,910.27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35,003,247.76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174,126,460.36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158,247,862.25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262,478.62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4,259,324.34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43,862,232.55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22,082,002.41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274,739,084.21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197,510,434.35</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45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-801,983.95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-1,719,028.47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-387,519.73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1,103,256.58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4,124,352.15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2,898,513.95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13,876,459.11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7,450.53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16,811,307.58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3,954,192.59</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46</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-24,159,652.59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348,984.72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-24,159,652.59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348,984.72</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47</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76" w:type="dxa"/>
        <w:tblLayout w:type="fixed"/>
        <w:tblCellMar>
          <w:top w:w="0" w:type="dxa"/>
          <w:left w:w="0" w:type="dxa"/>
          <w:bottom w:w="0" w:type="dxa"/>
          <w:right w:w="0" w:type="dxa"/>
        </w:tblCellMar>
        <w:tblLook w:val="01E0"/>
      </w:tblPr>
      <w:tblGrid>
        <w:gridCol w:w="5372"/>
        <w:gridCol w:w="2160"/>
        <w:gridCol w:w="1980"/>
      </w:tblGrid>
      <w:tr>
        <w:trPr>
          <w:trHeight w:val="401" w:hRule="exact"/>
        </w:trPr>
        <w:tc>
          <w:tcPr>
            <w:tcW w:w="5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5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602,102,453.29</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124,992.00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提高自主创新能力及高新技术产业发展项目专项资金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214,285.66</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1,035,714.38</w:t>
            </w:r>
          </w:p>
        </w:tc>
        <w:tc>
          <w:tcPr>
            <w:tcW w:w="19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26.940002pt;margin-top:425.299988pt;width:107.55pt;height:7.8pt;mso-position-horizontal-relative:page;mso-position-vertical-relative:page;z-index:-1221520" coordorigin="6539,8506" coordsize="2151,156">
            <v:shape style="position:absolute;left:6539;top:8506;width:2151;height:156" coordorigin="6539,8506" coordsize="2151,156" path="m6539,8662l8689,8662,8689,8506,6539,8506,6539,866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400"/>
        <w:gridCol w:w="2160"/>
        <w:gridCol w:w="1980"/>
      </w:tblGrid>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高档纱线公共实验检测平台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20,000.04</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石家庄常山纺织股份有限公司技术中心项目专项资金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14,500.00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长安区政府关闭深水井补贴</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年度市级专利专项实施资金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专利奖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年中央外经贸发展专项资金（</w:t>
            </w:r>
            <w:r>
              <w:rPr>
                <w:rFonts w:ascii="Times New Roman" w:hAnsi="Times New Roman" w:cs="Times New Roman" w:eastAsia="Times New Roman" w:hint="default"/>
                <w:sz w:val="18"/>
                <w:szCs w:val="18"/>
              </w:rPr>
              <w:t>oeko-tex standrad</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认证）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出口信保补贴资金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409,000.00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月市级出口信用保险补贴资金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163,600.00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年专利补助</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香洲区科工信局拨付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年度省企业研究开发省级财政补助资金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省科技惠民专项资金（以移动互联网、云技术等为支撑的居家养老智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慧社区建设科技惠民示范工程）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21,003.26</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广州市天河区财政局企业研发后补助专项经费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86,900.00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年广州市企业研发经费后补助专项项目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631,200.00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年广州市企业研发经费后补助专项项目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86,900.00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年企业研发机构建设专项项目（广州市北明智慧城市信息资源 集成技术研究院）</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533,333.28</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年天河区配套大数据信息资源库核心技术开发及示范应用</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年市战略性主导产业发展资金拟扶持新业态项目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233,333.38</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400" w:type="dxa"/>
            <w:tcBorders>
              <w:top w:val="single" w:sz="4" w:space="0" w:color="000000"/>
              <w:left w:val="single" w:sz="4" w:space="0" w:color="000000"/>
              <w:bottom w:val="single" w:sz="4" w:space="0" w:color="000000"/>
              <w:right w:val="single" w:sz="13" w:space="0" w:color="FFFFFF"/>
            </w:tcBorders>
            <w:shd w:val="clear" w:color="auto" w:fill="C7EDCC"/>
          </w:tcPr>
          <w:p>
            <w:pPr>
              <w:pStyle w:val="TableParagraph"/>
              <w:spacing w:line="300" w:lineRule="auto" w:before="51"/>
              <w:ind w:left="22"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年市级中小企业创业补助资金（基于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SAAS</w:t>
            </w:r>
            <w:r>
              <w:rPr>
                <w:rFonts w:ascii="宋体" w:hAnsi="宋体" w:cs="宋体" w:eastAsia="宋体" w:hint="default"/>
                <w:sz w:val="18"/>
                <w:szCs w:val="18"/>
              </w:rPr>
              <w:t>（云计算应用技术 运营模式的数字民政综合管理信息平台）</w:t>
            </w:r>
          </w:p>
        </w:tc>
        <w:tc>
          <w:tcPr>
            <w:tcW w:w="2160" w:type="dxa"/>
            <w:tcBorders>
              <w:top w:val="single" w:sz="4" w:space="0" w:color="000000"/>
              <w:left w:val="single" w:sz="13" w:space="0" w:color="FFFFFF"/>
              <w:bottom w:val="single" w:sz="4" w:space="0" w:color="000000"/>
              <w:right w:val="single" w:sz="4" w:space="0" w:color="000000"/>
            </w:tcBorders>
          </w:tcPr>
          <w:p>
            <w:pPr>
              <w:pStyle w:val="TableParagraph"/>
              <w:spacing w:line="216" w:lineRule="exact" w:before="51"/>
              <w:ind w:left="-15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393" w:right="0"/>
              <w:jc w:val="left"/>
              <w:rPr>
                <w:rFonts w:ascii="Times New Roman" w:hAnsi="Times New Roman" w:cs="Times New Roman" w:eastAsia="Times New Roman" w:hint="default"/>
                <w:sz w:val="18"/>
                <w:szCs w:val="18"/>
              </w:rPr>
            </w:pPr>
            <w:r>
              <w:rPr>
                <w:rFonts w:ascii="Times New Roman"/>
                <w:sz w:val="18"/>
              </w:rPr>
              <w:t>14,822.03</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年市级科技型中小企业创新发展验收资金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10,724.37</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年省级信息公共服务平台和两化融合奖励资金（基于大数据应 用技术的居家养老信息管理平台）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45,358.68</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年度省协同创新与平台环境建设专项资金（广东智慧城市研究 院产学研合作项目）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临沂市科技惠民计划专项资金（以基于大数据应用技术的居家 养老信息管理平台建设）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32,822.58</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年市级信息产业发展专项资金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41,366.82</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年省科技型中小企业技术创新发展专项扶持资金（基于物联网 应用技术的区域公共卫生信息平台）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41,154.98</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年国家第一批科技型中小企业技术创新基金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42,603.28</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7,555,822.79</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613,742,690.82</w:t>
            </w:r>
          </w:p>
        </w:tc>
        <w:tc>
          <w:tcPr>
            <w:tcW w:w="19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
        <w:rPr>
          <w:rFonts w:ascii="Times New Roman" w:hAnsi="Times New Roman" w:cs="Times New Roman" w:eastAsia="Times New Roman" w:hint="default"/>
          <w:sz w:val="28"/>
          <w:szCs w:val="28"/>
        </w:rPr>
      </w:pPr>
    </w:p>
    <w:p>
      <w:pPr>
        <w:pStyle w:val="Heading3"/>
        <w:spacing w:line="240" w:lineRule="auto" w:before="35"/>
        <w:ind w:right="141"/>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415,403,119.94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1,610,400.00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21,995,681.69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21,995,681.69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378,533.32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6,472,279.68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378,533.32</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23,984,615.01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421,875,399.62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23,984,615.01</w:t>
            </w:r>
          </w:p>
        </w:tc>
      </w:tr>
    </w:tbl>
    <w:p>
      <w:pPr>
        <w:pStyle w:val="BodyText"/>
        <w:spacing w:line="240" w:lineRule="auto" w:before="51"/>
        <w:ind w:left="154" w:right="141"/>
        <w:jc w:val="left"/>
      </w:pPr>
      <w:r>
        <w:rPr/>
        <w:t>计入当期损益的政府补助：</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0"/>
        <w:gridCol w:w="1063"/>
        <w:gridCol w:w="1063"/>
        <w:gridCol w:w="1294"/>
        <w:gridCol w:w="900"/>
        <w:gridCol w:w="623"/>
        <w:gridCol w:w="1063"/>
        <w:gridCol w:w="1194"/>
        <w:gridCol w:w="1063"/>
      </w:tblGrid>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2"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6" w:right="35"/>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5"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政府搬迁补助</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石家庄市土 地储备中心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403,505,659.43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十大名牌奖励</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著名商标奖励</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年省级知 识产权补助资 金</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石家庄市科 学技术和知 </w:t>
            </w:r>
            <w:r>
              <w:rPr>
                <w:rFonts w:ascii="宋体" w:hAnsi="宋体" w:cs="宋体" w:eastAsia="宋体" w:hint="default"/>
                <w:spacing w:val="-13"/>
                <w:sz w:val="18"/>
                <w:szCs w:val="18"/>
              </w:rPr>
              <w:t>识产权局（市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地震局）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石家庄市科 学技术和知 </w:t>
            </w:r>
            <w:r>
              <w:rPr>
                <w:rFonts w:ascii="宋体" w:hAnsi="宋体" w:cs="宋体" w:eastAsia="宋体" w:hint="default"/>
                <w:spacing w:val="-13"/>
                <w:sz w:val="18"/>
                <w:szCs w:val="18"/>
              </w:rPr>
              <w:t>识产权局（市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地震局）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励和扶持特定</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45"/>
              <w:jc w:val="left"/>
              <w:rPr>
                <w:rFonts w:ascii="宋体" w:hAnsi="宋体" w:cs="宋体" w:eastAsia="宋体" w:hint="default"/>
                <w:sz w:val="18"/>
                <w:szCs w:val="18"/>
              </w:rPr>
            </w:pPr>
            <w:r>
              <w:rPr>
                <w:rFonts w:ascii="宋体" w:hAnsi="宋体" w:cs="宋体" w:eastAsia="宋体" w:hint="default"/>
                <w:sz w:val="18"/>
                <w:szCs w:val="18"/>
              </w:rPr>
              <w:t>长安区财政局 政府补助</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28"/>
              <w:jc w:val="left"/>
              <w:rPr>
                <w:rFonts w:ascii="宋体" w:hAnsi="宋体" w:cs="宋体" w:eastAsia="宋体" w:hint="default"/>
                <w:sz w:val="18"/>
                <w:szCs w:val="18"/>
              </w:rPr>
            </w:pPr>
            <w:r>
              <w:rPr>
                <w:rFonts w:ascii="宋体" w:hAnsi="宋体" w:cs="宋体" w:eastAsia="宋体" w:hint="default"/>
                <w:sz w:val="18"/>
                <w:szCs w:val="18"/>
              </w:rPr>
              <w:t>长安区财政 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得的补助（按国</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16,200.00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家级政策规定</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29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能源计量节能 减排财政补贴</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石家庄市质 量技术监督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因从事国家鼓 励和扶持特定 </w:t>
            </w:r>
            <w:r>
              <w:rPr>
                <w:rFonts w:ascii="宋体" w:hAnsi="宋体" w:cs="宋体" w:eastAsia="宋体" w:hint="default"/>
                <w:spacing w:val="-4"/>
                <w:sz w:val="18"/>
                <w:szCs w:val="18"/>
              </w:rPr>
              <w:t>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得的补助（按国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60"/>
        <w:gridCol w:w="1063"/>
        <w:gridCol w:w="1063"/>
        <w:gridCol w:w="1294"/>
        <w:gridCol w:w="900"/>
        <w:gridCol w:w="623"/>
        <w:gridCol w:w="1063"/>
        <w:gridCol w:w="1194"/>
        <w:gridCol w:w="1063"/>
      </w:tblGrid>
      <w:tr>
        <w:trPr>
          <w:trHeight w:val="67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9"/>
              <w:jc w:val="left"/>
              <w:rPr>
                <w:rFonts w:ascii="宋体" w:hAnsi="宋体" w:cs="宋体" w:eastAsia="宋体" w:hint="default"/>
                <w:sz w:val="18"/>
                <w:szCs w:val="18"/>
              </w:rPr>
            </w:pPr>
            <w:r>
              <w:rPr>
                <w:rFonts w:ascii="宋体" w:hAnsi="宋体" w:cs="宋体" w:eastAsia="宋体" w:hint="default"/>
                <w:sz w:val="18"/>
                <w:szCs w:val="18"/>
              </w:rPr>
              <w:t>家级政策规定 依法取得）</w:t>
            </w:r>
          </w:p>
        </w:tc>
        <w:tc>
          <w:tcPr>
            <w:tcW w:w="900"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新疆维吾尔自</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新疆维吾尔</w:t>
            </w: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府招商引资等</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治区财政国库</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自治区财政</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地方性扶持政</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253,300.00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处运费补贴款</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厅</w:t>
            </w: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策而获得的补</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出口信用保险 扶持发展扶持 资金</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励和扶持特定 </w:t>
            </w:r>
            <w:r>
              <w:rPr>
                <w:rFonts w:ascii="宋体" w:hAnsi="宋体" w:cs="宋体" w:eastAsia="宋体" w:hint="default"/>
                <w:spacing w:val="-4"/>
                <w:sz w:val="18"/>
                <w:szCs w:val="18"/>
              </w:rPr>
              <w:t>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得的补助（按国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家级政策规定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77,700.00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产品研发费</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重点产业振兴</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励和扶持特定</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和技术改造项 目专项资金摊</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得的补助（按国</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1,035,714.36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家级政策规定</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高档新型纤维 面料项目开发 补助摊销</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124,992.00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常山纺织股份 技术中心项目 摊销</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石家庄市科 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高档纱线公共 实验检测平台 摊销</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提高自主创新</w:t>
            </w: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45"/>
              <w:jc w:val="both"/>
              <w:rPr>
                <w:rFonts w:ascii="宋体" w:hAnsi="宋体" w:cs="宋体" w:eastAsia="宋体" w:hint="default"/>
                <w:sz w:val="18"/>
                <w:szCs w:val="18"/>
              </w:rPr>
            </w:pPr>
            <w:r>
              <w:rPr>
                <w:rFonts w:ascii="宋体" w:hAnsi="宋体" w:cs="宋体" w:eastAsia="宋体" w:hint="default"/>
                <w:sz w:val="18"/>
                <w:szCs w:val="18"/>
              </w:rPr>
              <w:t>能力及高新技 术产业发展项 目专项资金摊</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214,285.68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6"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5"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46"/>
              <w:ind w:left="22" w:right="145"/>
              <w:jc w:val="left"/>
              <w:rPr>
                <w:rFonts w:ascii="宋体" w:hAnsi="宋体" w:cs="宋体" w:eastAsia="宋体" w:hint="default"/>
                <w:sz w:val="18"/>
                <w:szCs w:val="18"/>
              </w:rPr>
            </w:pPr>
            <w:r>
              <w:rPr>
                <w:rFonts w:ascii="宋体" w:hAnsi="宋体" w:cs="宋体" w:eastAsia="宋体" w:hint="default"/>
                <w:sz w:val="18"/>
                <w:szCs w:val="18"/>
              </w:rPr>
              <w:t>增值税税金返 还</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主管国税局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励和扶持特定 </w:t>
            </w:r>
            <w:r>
              <w:rPr>
                <w:rFonts w:ascii="宋体" w:hAnsi="宋体" w:cs="宋体" w:eastAsia="宋体" w:hint="default"/>
                <w:spacing w:val="-4"/>
                <w:sz w:val="18"/>
                <w:szCs w:val="18"/>
              </w:rPr>
              <w:t>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得的补助（按国</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5,898,000.30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8"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家级政策规定</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60"/>
        <w:gridCol w:w="1063"/>
        <w:gridCol w:w="1063"/>
        <w:gridCol w:w="1294"/>
        <w:gridCol w:w="900"/>
        <w:gridCol w:w="623"/>
        <w:gridCol w:w="1063"/>
        <w:gridCol w:w="1194"/>
        <w:gridCol w:w="1063"/>
      </w:tblGrid>
      <w:tr>
        <w:trPr>
          <w:trHeight w:val="36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900"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香洲区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度企业研究开 发费补助</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香洲区财政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香洲区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度企业研究开 发费补助</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香洲区财政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年珠海市 高新技术企业 申报后补助资 金</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珠海市财政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年度市总 部企业奖励补 贴</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石家庄市财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127,400.00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 企业研发经费 投入后补助专 项</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8"/>
              <w:jc w:val="left"/>
              <w:rPr>
                <w:rFonts w:ascii="宋体" w:hAnsi="宋体" w:cs="宋体" w:eastAsia="宋体" w:hint="default"/>
                <w:sz w:val="18"/>
                <w:szCs w:val="18"/>
              </w:rPr>
            </w:pPr>
            <w:r>
              <w:rPr>
                <w:rFonts w:ascii="宋体" w:hAnsi="宋体" w:cs="宋体" w:eastAsia="宋体" w:hint="default"/>
                <w:sz w:val="18"/>
                <w:szCs w:val="18"/>
              </w:rPr>
              <w:t>广州市财政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815,940.00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 科技创新政策 支持产业发展 专项</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因符合地方政 府招商引资等 地方性扶持政 策而获得的补 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年度广州</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励和扶持特定</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5"/>
              <w:ind w:left="22" w:right="145"/>
              <w:jc w:val="left"/>
              <w:rPr>
                <w:rFonts w:ascii="宋体" w:hAnsi="宋体" w:cs="宋体" w:eastAsia="宋体" w:hint="default"/>
                <w:sz w:val="18"/>
                <w:szCs w:val="18"/>
              </w:rPr>
            </w:pPr>
            <w:r>
              <w:rPr>
                <w:rFonts w:ascii="宋体" w:hAnsi="宋体" w:cs="宋体" w:eastAsia="宋体" w:hint="default"/>
                <w:sz w:val="18"/>
                <w:szCs w:val="18"/>
              </w:rPr>
              <w:t>市天河区产业 发展专项资金</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128"/>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0"/>
              <w:jc w:val="left"/>
              <w:rPr>
                <w:rFonts w:ascii="宋体" w:hAnsi="宋体" w:cs="宋体" w:eastAsia="宋体" w:hint="default"/>
                <w:sz w:val="18"/>
                <w:szCs w:val="18"/>
              </w:rPr>
            </w:pPr>
            <w:r>
              <w:rPr>
                <w:rFonts w:ascii="宋体" w:hAnsi="宋体" w:cs="宋体" w:eastAsia="宋体" w:hint="default"/>
                <w:spacing w:val="-4"/>
                <w:sz w:val="18"/>
                <w:szCs w:val="18"/>
              </w:rPr>
              <w:t>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得的补助（按国</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家级政策规定</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145"/>
              <w:jc w:val="both"/>
              <w:rPr>
                <w:rFonts w:ascii="宋体" w:hAnsi="宋体" w:cs="宋体" w:eastAsia="宋体" w:hint="default"/>
                <w:sz w:val="18"/>
                <w:szCs w:val="18"/>
              </w:rPr>
            </w:pPr>
            <w:r>
              <w:rPr>
                <w:rFonts w:ascii="宋体" w:hAnsi="宋体" w:cs="宋体" w:eastAsia="宋体" w:hint="default"/>
                <w:sz w:val="18"/>
                <w:szCs w:val="18"/>
              </w:rPr>
              <w:t>杭州银行中关 村支行海淀金 融办贴息</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北京市海淀 区人民政府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9"/>
              <w:jc w:val="both"/>
              <w:rPr>
                <w:rFonts w:ascii="宋体" w:hAnsi="宋体" w:cs="宋体" w:eastAsia="宋体" w:hint="default"/>
                <w:sz w:val="18"/>
                <w:szCs w:val="18"/>
              </w:rPr>
            </w:pPr>
            <w:r>
              <w:rPr>
                <w:rFonts w:ascii="宋体" w:hAnsi="宋体" w:cs="宋体" w:eastAsia="宋体" w:hint="default"/>
                <w:sz w:val="18"/>
                <w:szCs w:val="18"/>
              </w:rPr>
              <w:t>府招商引资等 地方性扶持政 策而获得的补</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43,000.00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中关村企业信 用促进会款</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海淀区政府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72"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年省科技</w:t>
            </w: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临沂市经济</w:t>
            </w: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因研究开发、技</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型中小企业技</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技术开发区</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术更新及改造</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18"/>
                <w:szCs w:val="18"/>
              </w:rPr>
            </w:pPr>
            <w:r>
              <w:rPr>
                <w:rFonts w:ascii="Times New Roman"/>
                <w:sz w:val="18"/>
              </w:rPr>
              <w:t>34,515.44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术创新发展专</w:t>
            </w: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等获得的补助</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60"/>
        <w:gridCol w:w="1063"/>
        <w:gridCol w:w="1063"/>
        <w:gridCol w:w="1294"/>
        <w:gridCol w:w="900"/>
        <w:gridCol w:w="623"/>
        <w:gridCol w:w="1063"/>
        <w:gridCol w:w="1194"/>
        <w:gridCol w:w="1063"/>
      </w:tblGrid>
      <w:tr>
        <w:trPr>
          <w:trHeight w:val="31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项扶持资金（基</w:t>
            </w:r>
          </w:p>
        </w:tc>
        <w:tc>
          <w:tcPr>
            <w:tcW w:w="1063" w:type="dxa"/>
            <w:vMerge w:val="restart"/>
            <w:tcBorders>
              <w:top w:val="single" w:sz="4" w:space="0" w:color="000000"/>
              <w:left w:val="single" w:sz="4" w:space="0" w:color="000000"/>
              <w:right w:val="single" w:sz="4" w:space="0" w:color="000000"/>
            </w:tcBorders>
            <w:shd w:val="clear" w:color="auto" w:fill="C7EDCC"/>
          </w:tcPr>
          <w:p>
            <w:pPr/>
          </w:p>
        </w:tc>
        <w:tc>
          <w:tcPr>
            <w:tcW w:w="1063" w:type="dxa"/>
            <w:vMerge w:val="restart"/>
            <w:tcBorders>
              <w:top w:val="single" w:sz="4" w:space="0" w:color="000000"/>
              <w:left w:val="single" w:sz="4" w:space="0" w:color="000000"/>
              <w:right w:val="single" w:sz="4" w:space="0" w:color="000000"/>
            </w:tcBorders>
          </w:tcPr>
          <w:p>
            <w:pPr/>
          </w:p>
        </w:tc>
        <w:tc>
          <w:tcPr>
            <w:tcW w:w="129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62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于物联网应用</w:t>
            </w:r>
          </w:p>
        </w:tc>
        <w:tc>
          <w:tcPr>
            <w:tcW w:w="1063" w:type="dxa"/>
            <w:vMerge/>
            <w:tcBorders>
              <w:left w:val="single" w:sz="4" w:space="0" w:color="000000"/>
              <w:right w:val="single" w:sz="4" w:space="0" w:color="000000"/>
            </w:tcBorders>
            <w:shd w:val="clear" w:color="auto" w:fill="C7EDCC"/>
          </w:tcPr>
          <w:p>
            <w:pPr/>
          </w:p>
        </w:tc>
        <w:tc>
          <w:tcPr>
            <w:tcW w:w="1063" w:type="dxa"/>
            <w:vMerge/>
            <w:tcBorders>
              <w:left w:val="single" w:sz="4" w:space="0" w:color="000000"/>
              <w:right w:val="single" w:sz="4" w:space="0" w:color="000000"/>
            </w:tcBorders>
          </w:tcPr>
          <w:p>
            <w:pPr/>
          </w:p>
        </w:tc>
        <w:tc>
          <w:tcPr>
            <w:tcW w:w="129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19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技术的区域公</w:t>
            </w:r>
          </w:p>
        </w:tc>
        <w:tc>
          <w:tcPr>
            <w:tcW w:w="1063" w:type="dxa"/>
            <w:vMerge/>
            <w:tcBorders>
              <w:left w:val="single" w:sz="4" w:space="0" w:color="000000"/>
              <w:right w:val="single" w:sz="4" w:space="0" w:color="000000"/>
            </w:tcBorders>
            <w:shd w:val="clear" w:color="auto" w:fill="C7EDCC"/>
          </w:tcPr>
          <w:p>
            <w:pPr/>
          </w:p>
        </w:tc>
        <w:tc>
          <w:tcPr>
            <w:tcW w:w="1063" w:type="dxa"/>
            <w:vMerge/>
            <w:tcBorders>
              <w:left w:val="single" w:sz="4" w:space="0" w:color="000000"/>
              <w:right w:val="single" w:sz="4" w:space="0" w:color="000000"/>
            </w:tcBorders>
          </w:tcPr>
          <w:p>
            <w:pPr/>
          </w:p>
        </w:tc>
        <w:tc>
          <w:tcPr>
            <w:tcW w:w="129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19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3"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共卫生信息平</w:t>
            </w:r>
          </w:p>
        </w:tc>
        <w:tc>
          <w:tcPr>
            <w:tcW w:w="1063" w:type="dxa"/>
            <w:vMerge/>
            <w:tcBorders>
              <w:left w:val="single" w:sz="4" w:space="0" w:color="000000"/>
              <w:right w:val="single" w:sz="4" w:space="0" w:color="000000"/>
            </w:tcBorders>
            <w:shd w:val="clear" w:color="auto" w:fill="C7EDCC"/>
          </w:tcPr>
          <w:p>
            <w:pPr/>
          </w:p>
        </w:tc>
        <w:tc>
          <w:tcPr>
            <w:tcW w:w="1063" w:type="dxa"/>
            <w:vMerge/>
            <w:tcBorders>
              <w:left w:val="single" w:sz="4" w:space="0" w:color="000000"/>
              <w:right w:val="single" w:sz="4" w:space="0" w:color="000000"/>
            </w:tcBorders>
          </w:tcPr>
          <w:p>
            <w:pPr/>
          </w:p>
        </w:tc>
        <w:tc>
          <w:tcPr>
            <w:tcW w:w="129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62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19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063" w:type="dxa"/>
            <w:vMerge/>
            <w:tcBorders>
              <w:left w:val="single" w:sz="4" w:space="0" w:color="000000"/>
              <w:bottom w:val="single" w:sz="4" w:space="0" w:color="000000"/>
              <w:right w:val="single" w:sz="4" w:space="0" w:color="000000"/>
            </w:tcBorders>
            <w:shd w:val="clear" w:color="auto" w:fill="C7EDCC"/>
          </w:tcPr>
          <w:p>
            <w:pPr/>
          </w:p>
        </w:tc>
        <w:tc>
          <w:tcPr>
            <w:tcW w:w="1063"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62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62"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年市级信</w:t>
            </w: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临沂市经济</w:t>
            </w: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因研究开发、技</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息产业发展专</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技术开发区</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术更新及改造</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35,379.15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等获得的补助</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年国家第 一批科技型中 小企业技术创 新基金</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临沂市经济 技术开发区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36,453.61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2"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临沂市科</w:t>
            </w: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技惠民计划专</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项资金（以基于</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临沂市经济</w:t>
            </w: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4"/>
                <w:sz w:val="18"/>
                <w:szCs w:val="18"/>
              </w:rPr>
              <w:t>因研究开发、技</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大数据应用技</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技术开发区</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15,200.40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术的居家养老</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等获得的补助</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信息管理平台</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年省级信</w:t>
            </w: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息公共服务平</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台和两化融合</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临沂市经济</w:t>
            </w: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4"/>
                <w:sz w:val="18"/>
                <w:szCs w:val="18"/>
              </w:rPr>
              <w:t>因研究开发、技</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奖励资金（基于</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技术开发区</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39,869.28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大数据应用技</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等获得的补助</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术的居家养老</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33"/>
              <w:jc w:val="left"/>
              <w:rPr>
                <w:rFonts w:ascii="宋体" w:hAnsi="宋体" w:cs="宋体" w:eastAsia="宋体" w:hint="default"/>
                <w:sz w:val="18"/>
                <w:szCs w:val="18"/>
              </w:rPr>
            </w:pPr>
            <w:r>
              <w:rPr>
                <w:rFonts w:ascii="宋体" w:hAnsi="宋体" w:cs="宋体" w:eastAsia="宋体" w:hint="default"/>
                <w:sz w:val="18"/>
                <w:szCs w:val="18"/>
              </w:rPr>
              <w:t>信息管理平台）</w:t>
            </w: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年市级科 技型中小企业 创新发展验收 资金</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临沂市经济 技术开发区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12,424.38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省科技惠民专</w:t>
            </w: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项资金（以移动</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互联网、云技术</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临沂市经济</w:t>
            </w: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4"/>
                <w:sz w:val="18"/>
                <w:szCs w:val="18"/>
              </w:rPr>
              <w:t>因研究开发、技</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等为支撑的居</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技术开发区</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14,756.18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家养老智慧社</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财政局</w:t>
            </w: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等获得的补助</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区建设科技惠</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民示范工程）</w:t>
            </w: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年临沂市 市级中小企业 创业补助创新 奖励资金</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临沂市经济 技术开发区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7,629.69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财政局科技创</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临沂市经济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4"/>
                <w:sz w:val="18"/>
                <w:szCs w:val="18"/>
              </w:rPr>
              <w:t>因研究开发、技</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60"/>
        <w:gridCol w:w="1063"/>
        <w:gridCol w:w="1063"/>
        <w:gridCol w:w="1294"/>
        <w:gridCol w:w="900"/>
        <w:gridCol w:w="623"/>
        <w:gridCol w:w="1063"/>
        <w:gridCol w:w="1194"/>
        <w:gridCol w:w="1063"/>
      </w:tblGrid>
      <w:tr>
        <w:trPr>
          <w:trHeight w:val="674"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新奖</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技术开发区 财政局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9"/>
              <w:jc w:val="left"/>
              <w:rPr>
                <w:rFonts w:ascii="宋体" w:hAnsi="宋体" w:cs="宋体" w:eastAsia="宋体" w:hint="default"/>
                <w:sz w:val="18"/>
                <w:szCs w:val="18"/>
              </w:rPr>
            </w:pP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武汉市软件评</w:t>
            </w:r>
          </w:p>
        </w:tc>
        <w:tc>
          <w:tcPr>
            <w:tcW w:w="1063" w:type="dxa"/>
            <w:vMerge w:val="restart"/>
            <w:tcBorders>
              <w:top w:val="single" w:sz="4" w:space="0" w:color="000000"/>
              <w:left w:val="single" w:sz="4" w:space="0" w:color="000000"/>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因研究开发、技</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测中心知识产</w:t>
            </w:r>
          </w:p>
        </w:tc>
        <w:tc>
          <w:tcPr>
            <w:tcW w:w="1063" w:type="dxa"/>
            <w:vMerge/>
            <w:tcBorders>
              <w:left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7,400.00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权登记补助</w:t>
            </w:r>
          </w:p>
        </w:tc>
        <w:tc>
          <w:tcPr>
            <w:tcW w:w="1063" w:type="dxa"/>
            <w:vMerge/>
            <w:tcBorders>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等获得的补助</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广州市企 业研发经费投 入后补助专项</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广州市财政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157,400.00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香洲区科工信 局拨付香洲区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年高企认 定资助经费</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8"/>
              <w:jc w:val="left"/>
              <w:rPr>
                <w:rFonts w:ascii="宋体" w:hAnsi="宋体" w:cs="宋体" w:eastAsia="宋体" w:hint="default"/>
                <w:sz w:val="18"/>
                <w:szCs w:val="18"/>
              </w:rPr>
            </w:pPr>
            <w:r>
              <w:rPr>
                <w:rFonts w:ascii="宋体" w:hAnsi="宋体" w:cs="宋体" w:eastAsia="宋体" w:hint="default"/>
                <w:sz w:val="18"/>
                <w:szCs w:val="18"/>
              </w:rPr>
              <w:t>香洲区财政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香洲区工信局 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 高新技术企业 培育补助资金</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8"/>
              <w:jc w:val="left"/>
              <w:rPr>
                <w:rFonts w:ascii="宋体" w:hAnsi="宋体" w:cs="宋体" w:eastAsia="宋体" w:hint="default"/>
                <w:sz w:val="18"/>
                <w:szCs w:val="18"/>
              </w:rPr>
            </w:pPr>
            <w:r>
              <w:rPr>
                <w:rFonts w:ascii="宋体" w:hAnsi="宋体" w:cs="宋体" w:eastAsia="宋体" w:hint="default"/>
                <w:sz w:val="18"/>
                <w:szCs w:val="18"/>
              </w:rPr>
              <w:t>香洲区财政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广州市知识产 权局专利资助</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广州市财政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广州市商务委 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2016-2017</w:t>
            </w: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年度总部企业 办公用房补贴</w:t>
            </w:r>
          </w:p>
        </w:tc>
        <w:tc>
          <w:tcPr>
            <w:tcW w:w="106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8"/>
              <w:jc w:val="left"/>
              <w:rPr>
                <w:rFonts w:ascii="宋体" w:hAnsi="宋体" w:cs="宋体" w:eastAsia="宋体" w:hint="default"/>
                <w:sz w:val="18"/>
                <w:szCs w:val="18"/>
              </w:rPr>
            </w:pPr>
            <w:r>
              <w:rPr>
                <w:rFonts w:ascii="宋体" w:hAnsi="宋体" w:cs="宋体" w:eastAsia="宋体" w:hint="default"/>
                <w:sz w:val="18"/>
                <w:szCs w:val="18"/>
              </w:rPr>
              <w:t>广州市财政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因研究开发、技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术更新及改造 等获得的补助</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84,900.00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vMerge w:val="restart"/>
            <w:tcBorders>
              <w:top w:val="single" w:sz="4" w:space="0" w:color="000000"/>
              <w:left w:val="single" w:sz="4" w:space="0" w:color="000000"/>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vMerge/>
            <w:tcBorders>
              <w:left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励和扶持特定</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高新认定补助</w:t>
            </w:r>
          </w:p>
        </w:tc>
        <w:tc>
          <w:tcPr>
            <w:tcW w:w="1063" w:type="dxa"/>
            <w:vMerge/>
            <w:tcBorders>
              <w:left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得的补助（按国</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19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
        </w:tc>
        <w:tc>
          <w:tcPr>
            <w:tcW w:w="1063" w:type="dxa"/>
            <w:vMerge/>
            <w:tcBorders>
              <w:left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家级政策规定</w:t>
            </w:r>
          </w:p>
        </w:tc>
        <w:tc>
          <w:tcPr>
            <w:tcW w:w="900"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vMerge/>
            <w:tcBorders>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广州天河软</w:t>
            </w: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因研究开发、技</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服务外包奖励</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件管理委员</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100,000.00</w:t>
            </w:r>
          </w:p>
        </w:tc>
        <w:tc>
          <w:tcPr>
            <w:tcW w:w="119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等获得的补助</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shd w:val="clear" w:color="auto" w:fill="C7EDCC"/>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w:t>
            </w:r>
          </w:p>
        </w:tc>
        <w:tc>
          <w:tcPr>
            <w:tcW w:w="900"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4"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26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9" w:lineRule="auto"/>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 术成果转化项 目</w:t>
            </w:r>
          </w:p>
        </w:tc>
        <w:tc>
          <w:tcPr>
            <w:tcW w:w="106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28"/>
              <w:jc w:val="left"/>
              <w:rPr>
                <w:rFonts w:ascii="宋体" w:hAnsi="宋体" w:cs="宋体" w:eastAsia="宋体" w:hint="default"/>
                <w:sz w:val="18"/>
                <w:szCs w:val="18"/>
              </w:rPr>
            </w:pPr>
            <w:r>
              <w:rPr>
                <w:rFonts w:ascii="宋体" w:hAnsi="宋体" w:cs="宋体" w:eastAsia="宋体" w:hint="default"/>
                <w:sz w:val="18"/>
                <w:szCs w:val="18"/>
              </w:rPr>
              <w:t>北京科学技 术委员会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励和扶持特定 </w:t>
            </w:r>
            <w:r>
              <w:rPr>
                <w:rFonts w:ascii="宋体" w:hAnsi="宋体" w:cs="宋体" w:eastAsia="宋体" w:hint="default"/>
                <w:spacing w:val="-4"/>
                <w:sz w:val="18"/>
                <w:szCs w:val="18"/>
              </w:rPr>
              <w:t>行业、产业而获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得的补助（按国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家级政策规定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700,000.00</w:t>
            </w:r>
          </w:p>
        </w:tc>
        <w:tc>
          <w:tcPr>
            <w:tcW w:w="1194"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shd w:val="clear" w:color="auto" w:fill="C7EDCC"/>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900"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1,610,400.00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415,403,119.94</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
        <w:rPr>
          <w:rFonts w:ascii="Times New Roman" w:hAnsi="Times New Roman" w:cs="Times New Roman" w:eastAsia="Times New Roman" w:hint="default"/>
          <w:sz w:val="28"/>
          <w:szCs w:val="28"/>
        </w:rPr>
      </w:pPr>
    </w:p>
    <w:p>
      <w:pPr>
        <w:pStyle w:val="Heading3"/>
        <w:spacing w:line="240" w:lineRule="auto" w:before="35"/>
        <w:ind w:right="141"/>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28"/>
        <w:gridCol w:w="2172"/>
        <w:gridCol w:w="2160"/>
        <w:gridCol w:w="2880"/>
      </w:tblGrid>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520,000.00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固定资产毁损报废损失</w:t>
            </w:r>
          </w:p>
        </w:tc>
        <w:tc>
          <w:tcPr>
            <w:tcW w:w="21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46,131.28</w:t>
            </w:r>
          </w:p>
        </w:tc>
        <w:tc>
          <w:tcPr>
            <w:tcW w:w="216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46,131.28</w:t>
            </w:r>
          </w:p>
        </w:tc>
      </w:tr>
      <w:tr>
        <w:trPr>
          <w:trHeight w:val="402" w:hRule="exact"/>
        </w:trPr>
        <w:tc>
          <w:tcPr>
            <w:tcW w:w="23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778,937.63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485,205.95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778,937.63</w:t>
            </w:r>
          </w:p>
        </w:tc>
      </w:tr>
      <w:tr>
        <w:trPr>
          <w:trHeight w:val="403" w:hRule="exact"/>
        </w:trPr>
        <w:tc>
          <w:tcPr>
            <w:tcW w:w="2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1,375,068.91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1,005,205.95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1,375,068.91</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34,939,318.02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36,128,399.87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-42,503,316.06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-47,463,354.12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-7,563,998.04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-11,334,954.25</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6"/>
        <w:gridCol w:w="4800"/>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347,473,880.40</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86,868,470.10</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-45,072,645.81</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-7,419,906.38</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-151,383,367.99</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3,879,808.20</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-470,171.21</w:t>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112,330,136.75</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-1,679,120.92</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-4,617,200.78</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-7,563,998.04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544" w:lineRule="auto" w:before="35"/>
        <w:ind w:left="154" w:right="78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141"/>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6,434,241.55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5,513,418.54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519,507,323.00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700,289,968.13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往来及个人借款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43,668,838.91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收到赔偿款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21,995,681.69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收回押金及保证金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16,137,170.05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477,577.39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279,481.50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564,551,993.68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749,751,707.08</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20,849,149.41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16,745,224.38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26,644,446.46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15,326,556.74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48,078,540.79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51,495,021.68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43,985,420.91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19,690,582.63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1,134,183.58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2,551,121.05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843,661.17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1,404,440.73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8,151,917.04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5,085,519.48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15,781,876.60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12,890,890.58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30,892,395.02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3,844,972.74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4,649,566.90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11,295,431.33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3,575,451.59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39,308,178.73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21,449,371.69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4,877,194.88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2,966,937.65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10,228,475.52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11,186,286.21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235,023,449.16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199,909,366.33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建筑物拆除款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12,595,972.22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20,020,138.90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138,333,333.28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153,333,333.36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150,929,305.50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173,353,472.26</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17"/>
        <w:gridCol w:w="1906"/>
        <w:gridCol w:w="1800"/>
      </w:tblGrid>
      <w:tr>
        <w:trPr>
          <w:trHeight w:val="401"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355,037,878.44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346,994,909.26</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274,739,084.21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197,510,434.35</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117,173,073.56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110,579,844.98</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25,792,866.43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24,361,392.80</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2,383,615.31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2,016,657.75</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24,159,652.59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-348,984.72</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46,131.28</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193,944,552.30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180,526,910.55</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-16,811,307.58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-3,954,192.59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917"/>
        <w:gridCol w:w="1906"/>
        <w:gridCol w:w="1800"/>
      </w:tblGrid>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-40,581,594.37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-45,140,990.61</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-5,249,914.98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-2,322,363.51</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-141,916,118.36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-102,101,360.43</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-582,361,323.61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-860,058,528.14</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176,431,598.70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588,513,308.92</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382,788,193.92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436,577,038.61</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1,258,554,529.02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1,850,213,938.35</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1,850,213,938.35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948,443,386.56</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-591,659,409.33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901,770,551.79</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1"/>
      </w:tblGrid>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65,062,000.00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山东成功信息技术有限公司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4,517,000.00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4,260,000.00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22,850,000.00</w:t>
            </w:r>
          </w:p>
        </w:tc>
      </w:tr>
      <w:tr>
        <w:trPr>
          <w:trHeight w:val="402" w:hRule="exact"/>
        </w:trPr>
        <w:tc>
          <w:tcPr>
            <w:tcW w:w="496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33,435,000.00</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65,062,000.00</w:t>
            </w:r>
          </w:p>
        </w:tc>
      </w:tr>
    </w:tbl>
    <w:p>
      <w:pPr>
        <w:spacing w:line="240" w:lineRule="auto" w:before="3"/>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1,258,554,529.02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1,850,213,938.35</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975,617.99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1,319,215.38</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1,235,805,207.35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1,847,023,287.37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21,773,703.68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1,871,435.60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1,258,554,529.02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1,850,213,938.35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72"/>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263,464,636.97</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票据、农民工工资等保证金</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13,419,685.61</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286,884,322.58</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55</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7"/>
        <w:gridCol w:w="2299"/>
        <w:gridCol w:w="2390"/>
        <w:gridCol w:w="2401"/>
      </w:tblGrid>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4,277,789.27</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654,496.42</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6.5342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4,276,610.50</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151.08</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7.8023</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1,178.77</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57,078,212.67</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8,735,302.36</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6.5342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57,078,212.67</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9"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293,337.40</w:t>
            </w:r>
          </w:p>
        </w:tc>
      </w:tr>
      <w:tr>
        <w:trPr>
          <w:trHeight w:val="403" w:hRule="exact"/>
        </w:trPr>
        <w:tc>
          <w:tcPr>
            <w:tcW w:w="24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44,892.63</w:t>
            </w:r>
          </w:p>
        </w:tc>
        <w:tc>
          <w:tcPr>
            <w:tcW w:w="23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6.5342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293,337.40</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0" w:hanging="360"/>
        <w:jc w:val="left"/>
      </w:pPr>
      <w:r>
        <w:rPr/>
        <w:t>说明其他原因导致的合并范围变动（如，新设子公司、清算子公司等）及其相关情况： </w:t>
      </w:r>
      <w:r>
        <w:rPr>
          <w:spacing w:val="-4"/>
        </w:rPr>
        <w:t>本报告期，公司新设立两家子公司，分别为：河北常山恒云数据科技有限公司、河北北明兴云互联网科技有限责任公司，</w:t>
      </w:r>
    </w:p>
    <w:p>
      <w:pPr>
        <w:pStyle w:val="BodyText"/>
        <w:spacing w:line="239" w:lineRule="exact"/>
        <w:ind w:right="0"/>
        <w:jc w:val="left"/>
      </w:pPr>
      <w:r>
        <w:rPr/>
        <w:t>对上述两家子公司本公司均持有</w:t>
      </w:r>
      <w:r>
        <w:rPr>
          <w:rFonts w:ascii="Times New Roman" w:hAnsi="Times New Roman" w:cs="Times New Roman" w:eastAsia="Times New Roman" w:hint="default"/>
        </w:rPr>
        <w:t>100%</w:t>
      </w:r>
      <w:r>
        <w:rPr/>
        <w:t>股权。</w:t>
      </w:r>
    </w:p>
    <w:p>
      <w:pPr>
        <w:spacing w:after="0" w:line="239" w:lineRule="exact"/>
        <w:jc w:val="left"/>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141"/>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41"/>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上海冀源国际贸 易有限公司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石家庄常山恒新 纺织有限公司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上海常纺恒友国 际贸易有限公司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石家庄常山赵州 纺织有限公司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石家庄常山恒荣 进出口贸易有限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常山股份香港国 际贸易有限公司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石家庄常山物业 服务有限公司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库尔勒常山恒丰 商贸有限责任公 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库尔勒市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库尔勒市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北明软件有限公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北京北明伟业科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珠海市震星信息 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武汉网软华信科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69.60%</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北京北明正实科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广州市龙泰信息 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北京北明云易信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非同一控制下合</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1"/>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pacing w:val="-5"/>
                <w:sz w:val="18"/>
                <w:szCs w:val="18"/>
              </w:rPr>
              <w:t>索科维尔（北京</w:t>
            </w:r>
            <w:r>
              <w:rPr>
                <w:rFonts w:ascii="宋体" w:hAnsi="宋体" w:cs="宋体" w:eastAsia="宋体" w:hint="default"/>
                <w:sz w:val="18"/>
                <w:szCs w:val="18"/>
              </w:rPr>
              <w:t> 软件系统有限公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66"/>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北京明润华创科 技有限责任公司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北京天时前程自 动化工程技术有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66"/>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山东成功信息技 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山东临沂市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山东临沂市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北京天时前程工 程技术有限公司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pacing w:val="-5"/>
                <w:sz w:val="18"/>
                <w:szCs w:val="18"/>
              </w:rPr>
              <w:t>北明云山（武汉</w:t>
            </w:r>
            <w:r>
              <w:rPr>
                <w:rFonts w:ascii="宋体" w:hAnsi="宋体" w:cs="宋体" w:eastAsia="宋体" w:hint="default"/>
                <w:sz w:val="18"/>
                <w:szCs w:val="18"/>
              </w:rPr>
              <w:t> 软件开发有限公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软件技术</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北京金实盈信科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非同一控制下合 并取得</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北京爱意生活电 子商务有限公司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批发</w:t>
            </w:r>
            <w:r>
              <w:rPr>
                <w:rFonts w:ascii="Times New Roman" w:hAnsi="Times New Roman" w:cs="Times New Roman" w:eastAsia="Times New Roman" w:hint="default"/>
                <w:sz w:val="18"/>
                <w:szCs w:val="18"/>
              </w:rPr>
              <w:t>/</w:t>
            </w:r>
            <w:r>
              <w:rPr>
                <w:rFonts w:ascii="宋体" w:hAnsi="宋体" w:cs="宋体" w:eastAsia="宋体" w:hint="default"/>
                <w:sz w:val="18"/>
                <w:szCs w:val="18"/>
              </w:rPr>
              <w:t>零售、互联 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新疆常山恒宏纺 织科技有限公司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新疆阿拉尔市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新疆阿拉尔市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河北常山恒云数 据科技有限公司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河北北明兴云互 联网科技有限责 任公司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1851"/>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240" w:lineRule="auto" w:before="26"/>
        <w:ind w:right="141"/>
        <w:jc w:val="left"/>
      </w:pPr>
      <w:r>
        <w:rPr/>
        <w:t>确定公司是代理人还是委托人的依据：</w:t>
      </w:r>
    </w:p>
    <w:p>
      <w:pPr>
        <w:spacing w:line="240" w:lineRule="auto" w:before="11"/>
        <w:rPr>
          <w:rFonts w:ascii="宋体" w:hAnsi="宋体" w:cs="宋体" w:eastAsia="宋体" w:hint="default"/>
          <w:sz w:val="26"/>
          <w:szCs w:val="26"/>
        </w:rPr>
      </w:pPr>
    </w:p>
    <w:p>
      <w:pPr>
        <w:pStyle w:val="Heading3"/>
        <w:spacing w:line="240" w:lineRule="auto"/>
        <w:ind w:right="141"/>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80"/>
        <w:gridCol w:w="1914"/>
        <w:gridCol w:w="1390"/>
        <w:gridCol w:w="1440"/>
        <w:gridCol w:w="1914"/>
      </w:tblGrid>
      <w:tr>
        <w:trPr>
          <w:trHeight w:val="762"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239" w:right="59" w:hanging="180"/>
              <w:jc w:val="left"/>
              <w:rPr>
                <w:rFonts w:ascii="宋体" w:hAnsi="宋体" w:cs="宋体" w:eastAsia="宋体" w:hint="default"/>
                <w:sz w:val="18"/>
                <w:szCs w:val="18"/>
              </w:rPr>
            </w:pPr>
            <w:r>
              <w:rPr>
                <w:rFonts w:ascii="宋体" w:hAnsi="宋体" w:cs="宋体" w:eastAsia="宋体" w:hint="default"/>
                <w:sz w:val="18"/>
                <w:szCs w:val="18"/>
              </w:rPr>
              <w:t>本期归属于少数 股东的损益</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0"/>
              <w:ind w:left="85" w:right="83"/>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4" w:hRule="exact"/>
        </w:trPr>
        <w:tc>
          <w:tcPr>
            <w:tcW w:w="28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武汉网软华信科技有限公司</w:t>
            </w:r>
          </w:p>
        </w:tc>
        <w:tc>
          <w:tcPr>
            <w:tcW w:w="191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30.40%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1,572,190.78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-26,605.57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3" w:right="9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4" w:right="90"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武汉网</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软华信</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12,942,0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360,723.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13,302,7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13,390,3</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13,390,3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4,895,94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703,181.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5,599,12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10,859,0</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10,859,0</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47.36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71.25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01.10</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01.10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6.20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7.66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18.27</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18.27</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44"/>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99"/>
        <w:gridCol w:w="1062"/>
        <w:gridCol w:w="1066"/>
        <w:gridCol w:w="971"/>
        <w:gridCol w:w="1063"/>
        <w:gridCol w:w="1062"/>
        <w:gridCol w:w="1063"/>
        <w:gridCol w:w="1067"/>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19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9" w:right="29"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武汉网软华</w:t>
            </w:r>
          </w:p>
        </w:tc>
        <w:tc>
          <w:tcPr>
            <w:tcW w:w="1099" w:type="dxa"/>
            <w:tcBorders>
              <w:top w:val="single" w:sz="4" w:space="0" w:color="000000"/>
              <w:left w:val="single" w:sz="13" w:space="0" w:color="C7EDCC"/>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971"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信科技有限</w:t>
            </w:r>
          </w:p>
        </w:tc>
        <w:tc>
          <w:tcPr>
            <w:tcW w:w="1099" w:type="dxa"/>
            <w:tcBorders>
              <w:top w:val="nil" w:sz="6" w:space="0" w:color="auto"/>
              <w:left w:val="single" w:sz="13" w:space="0" w:color="C7EDCC"/>
              <w:bottom w:val="nil" w:sz="6" w:space="0" w:color="auto"/>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15,910,471.73</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8" w:right="0"/>
              <w:jc w:val="center"/>
              <w:rPr>
                <w:rFonts w:ascii="Times New Roman" w:hAnsi="Times New Roman" w:cs="Times New Roman" w:eastAsia="Times New Roman" w:hint="default"/>
                <w:sz w:val="18"/>
                <w:szCs w:val="18"/>
              </w:rPr>
            </w:pPr>
            <w:r>
              <w:rPr>
                <w:rFonts w:ascii="Times New Roman"/>
                <w:sz w:val="18"/>
              </w:rPr>
              <w:t>5,172,360.76</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5,172,360.76</w:t>
            </w:r>
          </w:p>
        </w:tc>
        <w:tc>
          <w:tcPr>
            <w:tcW w:w="97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34" w:right="0"/>
              <w:jc w:val="left"/>
              <w:rPr>
                <w:rFonts w:ascii="Times New Roman" w:hAnsi="Times New Roman" w:cs="Times New Roman" w:eastAsia="Times New Roman" w:hint="default"/>
                <w:sz w:val="18"/>
                <w:szCs w:val="18"/>
              </w:rPr>
            </w:pPr>
            <w:r>
              <w:rPr>
                <w:rFonts w:ascii="Times New Roman"/>
                <w:sz w:val="18"/>
              </w:rPr>
              <w:t>381,531.11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9" w:right="0"/>
              <w:jc w:val="center"/>
              <w:rPr>
                <w:rFonts w:ascii="Times New Roman" w:hAnsi="Times New Roman" w:cs="Times New Roman" w:eastAsia="Times New Roman" w:hint="default"/>
                <w:sz w:val="18"/>
                <w:szCs w:val="18"/>
              </w:rPr>
            </w:pPr>
            <w:r>
              <w:rPr>
                <w:rFonts w:ascii="Times New Roman"/>
                <w:sz w:val="18"/>
              </w:rPr>
              <w:t>2,045,215.39</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-6,839,796.66</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5" w:right="0"/>
              <w:jc w:val="left"/>
              <w:rPr>
                <w:rFonts w:ascii="Times New Roman" w:hAnsi="Times New Roman" w:cs="Times New Roman" w:eastAsia="Times New Roman" w:hint="default"/>
                <w:sz w:val="18"/>
                <w:szCs w:val="18"/>
              </w:rPr>
            </w:pPr>
            <w:r>
              <w:rPr>
                <w:rFonts w:ascii="Times New Roman"/>
                <w:sz w:val="18"/>
              </w:rPr>
              <w:t>-6,839,796.66</w:t>
            </w:r>
          </w:p>
        </w:tc>
        <w:tc>
          <w:tcPr>
            <w:tcW w:w="10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-1,692,007.42</w:t>
            </w:r>
          </w:p>
        </w:tc>
      </w:tr>
      <w:tr>
        <w:trPr>
          <w:trHeight w:val="353" w:hRule="exact"/>
        </w:trPr>
        <w:tc>
          <w:tcPr>
            <w:tcW w:w="106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99" w:type="dxa"/>
            <w:tcBorders>
              <w:top w:val="nil" w:sz="6" w:space="0" w:color="auto"/>
              <w:left w:val="single" w:sz="13" w:space="0" w:color="C7EDCC"/>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971"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7"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pict>
          <v:group style="position:absolute;margin-left:330.540009pt;margin-top:92.573975pt;width:66.7pt;height:25.15pt;mso-position-horizontal-relative:page;mso-position-vertical-relative:paragraph;z-index:-1221496" coordorigin="6611,1851" coordsize="1334,503">
            <v:group style="position:absolute;left:6622;top:1863;width:2;height:480" coordorigin="6622,1863" coordsize="2,480">
              <v:shape style="position:absolute;left:6622;top:1863;width:2;height:480" coordorigin="6622,1863" coordsize="0,480" path="m6622,1863l6622,2343e" filled="false" stroked="true" strokeweight="1.140pt" strokecolor="#ffffff">
                <v:path arrowok="t"/>
              </v:shape>
            </v:group>
            <v:group style="position:absolute;left:6634;top:1863;width:1311;height:480" coordorigin="6634,1863" coordsize="1311,480">
              <v:shape style="position:absolute;left:6634;top:1863;width:1311;height:480" coordorigin="6634,1863" coordsize="1311,480" path="m6634,2343l7944,2343,7944,1863,6634,1863,6634,2343xe" filled="true" fillcolor="#ffffff" stroked="false">
                <v:path arrowok="t"/>
                <v:fill type="solid"/>
              </v:shape>
            </v:group>
            <w10:wrap type="none"/>
          </v:group>
        </w:pict>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55"/>
        <w:gridCol w:w="434"/>
        <w:gridCol w:w="944"/>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0"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7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w:t>
            </w:r>
          </w:p>
        </w:tc>
        <w:tc>
          <w:tcPr>
            <w:tcW w:w="1367" w:type="dxa"/>
            <w:tcBorders>
              <w:top w:val="single" w:sz="4" w:space="0" w:color="000000"/>
              <w:left w:val="single" w:sz="4" w:space="0" w:color="000000"/>
              <w:bottom w:val="nil" w:sz="6" w:space="0" w:color="auto"/>
              <w:right w:val="single" w:sz="4" w:space="0" w:color="000000"/>
            </w:tcBorders>
            <w:shd w:val="clear" w:color="auto" w:fill="C7EDCC"/>
          </w:tcPr>
          <w:p>
            <w:pPr/>
          </w:p>
        </w:tc>
        <w:tc>
          <w:tcPr>
            <w:tcW w:w="1367" w:type="dxa"/>
            <w:tcBorders>
              <w:top w:val="single" w:sz="4" w:space="0" w:color="000000"/>
              <w:left w:val="single" w:sz="4" w:space="0" w:color="000000"/>
              <w:bottom w:val="nil" w:sz="6" w:space="0" w:color="auto"/>
              <w:right w:val="single" w:sz="4" w:space="0" w:color="000000"/>
            </w:tcBorders>
            <w:shd w:val="clear" w:color="auto" w:fill="C7EDCC"/>
          </w:tcPr>
          <w:p>
            <w:pPr/>
          </w:p>
        </w:tc>
        <w:tc>
          <w:tcPr>
            <w:tcW w:w="135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pacing w:val="-6"/>
                <w:sz w:val="18"/>
                <w:szCs w:val="18"/>
              </w:rPr>
              <w:t>床上用品、服装</w:t>
            </w:r>
          </w:p>
        </w:tc>
        <w:tc>
          <w:tcPr>
            <w:tcW w:w="434" w:type="dxa"/>
            <w:tcBorders>
              <w:top w:val="single" w:sz="4" w:space="0" w:color="000000"/>
              <w:left w:val="single" w:sz="10" w:space="0" w:color="C7EDCC"/>
              <w:bottom w:val="nil" w:sz="6" w:space="0" w:color="auto"/>
              <w:right w:val="nil" w:sz="6" w:space="0" w:color="auto"/>
            </w:tcBorders>
          </w:tcPr>
          <w:p>
            <w:pPr>
              <w:pStyle w:val="TableParagraph"/>
              <w:spacing w:line="240" w:lineRule="auto" w:before="1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944"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205" w:hRule="exact"/>
        </w:trPr>
        <w:tc>
          <w:tcPr>
            <w:tcW w:w="1372" w:type="dxa"/>
            <w:tcBorders>
              <w:top w:val="nil" w:sz="6" w:space="0" w:color="auto"/>
              <w:left w:val="single" w:sz="4" w:space="0" w:color="000000"/>
              <w:bottom w:val="nil" w:sz="6" w:space="0" w:color="auto"/>
              <w:right w:val="single" w:sz="4" w:space="0" w:color="000000"/>
            </w:tcBorders>
            <w:shd w:val="clear" w:color="auto" w:fill="C7EDCC"/>
          </w:tcPr>
          <w:p>
            <w:pPr/>
          </w:p>
        </w:tc>
        <w:tc>
          <w:tcPr>
            <w:tcW w:w="13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55" w:type="dxa"/>
            <w:tcBorders>
              <w:top w:val="nil" w:sz="6" w:space="0" w:color="auto"/>
              <w:left w:val="single" w:sz="4" w:space="0" w:color="000000"/>
              <w:bottom w:val="nil" w:sz="6" w:space="0" w:color="auto"/>
              <w:right w:val="single" w:sz="4" w:space="0" w:color="000000"/>
            </w:tcBorders>
            <w:shd w:val="clear" w:color="auto" w:fill="C7EDCC"/>
          </w:tcPr>
          <w:p>
            <w:pPr/>
          </w:p>
        </w:tc>
        <w:tc>
          <w:tcPr>
            <w:tcW w:w="434" w:type="dxa"/>
            <w:tcBorders>
              <w:top w:val="nil" w:sz="6" w:space="0" w:color="auto"/>
              <w:left w:val="single" w:sz="10" w:space="0" w:color="C7EDCC"/>
              <w:bottom w:val="nil" w:sz="6" w:space="0" w:color="auto"/>
              <w:right w:val="nil" w:sz="6" w:space="0" w:color="auto"/>
            </w:tcBorders>
          </w:tcPr>
          <w:p>
            <w:pPr/>
          </w:p>
        </w:tc>
        <w:tc>
          <w:tcPr>
            <w:tcW w:w="944" w:type="dxa"/>
            <w:tcBorders>
              <w:top w:val="nil" w:sz="6" w:space="0" w:color="auto"/>
              <w:left w:val="nil" w:sz="6" w:space="0" w:color="auto"/>
              <w:bottom w:val="nil" w:sz="6" w:space="0" w:color="auto"/>
              <w:right w:val="single" w:sz="4" w:space="0" w:color="000000"/>
            </w:tcBorders>
          </w:tcPr>
          <w:p>
            <w:pPr>
              <w:pStyle w:val="TableParagraph"/>
              <w:spacing w:line="204" w:lineRule="exact"/>
              <w:ind w:left="586" w:right="0"/>
              <w:jc w:val="left"/>
              <w:rPr>
                <w:rFonts w:ascii="Times New Roman" w:hAnsi="Times New Roman" w:cs="Times New Roman" w:eastAsia="Times New Roman" w:hint="default"/>
                <w:sz w:val="18"/>
                <w:szCs w:val="18"/>
              </w:rPr>
            </w:pPr>
            <w:r>
              <w:rPr>
                <w:rFonts w:ascii="Times New Roman"/>
                <w:sz w:val="18"/>
              </w:rPr>
              <w:t>40%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284" w:hRule="exact"/>
        </w:trPr>
        <w:tc>
          <w:tcPr>
            <w:tcW w:w="137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185" w:lineRule="exact"/>
              <w:ind w:left="22" w:right="0"/>
              <w:jc w:val="left"/>
              <w:rPr>
                <w:rFonts w:ascii="宋体" w:hAnsi="宋体" w:cs="宋体" w:eastAsia="宋体" w:hint="default"/>
                <w:sz w:val="18"/>
                <w:szCs w:val="18"/>
              </w:rPr>
            </w:pPr>
            <w:r>
              <w:rPr>
                <w:rFonts w:ascii="宋体" w:hAnsi="宋体" w:cs="宋体" w:eastAsia="宋体" w:hint="default"/>
                <w:sz w:val="18"/>
                <w:szCs w:val="18"/>
              </w:rPr>
              <w:t>家纺有限公司</w:t>
            </w:r>
          </w:p>
        </w:tc>
        <w:tc>
          <w:tcPr>
            <w:tcW w:w="1367" w:type="dxa"/>
            <w:tcBorders>
              <w:top w:val="nil" w:sz="6" w:space="0" w:color="auto"/>
              <w:left w:val="single" w:sz="4" w:space="0" w:color="000000"/>
              <w:bottom w:val="single" w:sz="4" w:space="0" w:color="000000"/>
              <w:right w:val="single" w:sz="4" w:space="0" w:color="000000"/>
            </w:tcBorders>
            <w:shd w:val="clear" w:color="auto" w:fill="C7EDCC"/>
          </w:tcPr>
          <w:p>
            <w:pPr/>
          </w:p>
        </w:tc>
        <w:tc>
          <w:tcPr>
            <w:tcW w:w="1367" w:type="dxa"/>
            <w:tcBorders>
              <w:top w:val="nil" w:sz="6" w:space="0" w:color="auto"/>
              <w:left w:val="single" w:sz="4" w:space="0" w:color="000000"/>
              <w:bottom w:val="single" w:sz="4" w:space="0" w:color="000000"/>
              <w:right w:val="single" w:sz="4" w:space="0" w:color="000000"/>
            </w:tcBorders>
            <w:shd w:val="clear" w:color="auto" w:fill="C7EDCC"/>
          </w:tcPr>
          <w:p>
            <w:pPr/>
          </w:p>
        </w:tc>
        <w:tc>
          <w:tcPr>
            <w:tcW w:w="135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185" w:lineRule="exact"/>
              <w:ind w:left="47" w:right="0"/>
              <w:jc w:val="left"/>
              <w:rPr>
                <w:rFonts w:ascii="宋体" w:hAnsi="宋体" w:cs="宋体" w:eastAsia="宋体" w:hint="default"/>
                <w:sz w:val="18"/>
                <w:szCs w:val="18"/>
              </w:rPr>
            </w:pPr>
            <w:r>
              <w:rPr>
                <w:rFonts w:ascii="宋体" w:hAnsi="宋体" w:cs="宋体" w:eastAsia="宋体" w:hint="default"/>
                <w:sz w:val="18"/>
                <w:szCs w:val="18"/>
              </w:rPr>
              <w:t>纺织等加工销售</w:t>
            </w:r>
          </w:p>
        </w:tc>
        <w:tc>
          <w:tcPr>
            <w:tcW w:w="434" w:type="dxa"/>
            <w:tcBorders>
              <w:top w:val="nil" w:sz="6" w:space="0" w:color="auto"/>
              <w:left w:val="single" w:sz="10" w:space="0" w:color="C7EDCC"/>
              <w:bottom w:val="single" w:sz="4" w:space="0" w:color="000000"/>
              <w:right w:val="nil" w:sz="6" w:space="0" w:color="auto"/>
            </w:tcBorders>
          </w:tcPr>
          <w:p>
            <w:pPr/>
          </w:p>
        </w:tc>
        <w:tc>
          <w:tcPr>
            <w:tcW w:w="944"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shd w:val="clear" w:color="auto" w:fill="C7EDCC"/>
          </w:tcPr>
          <w:p>
            <w:pPr/>
          </w:p>
        </w:tc>
        <w:tc>
          <w:tcPr>
            <w:tcW w:w="1367" w:type="dxa"/>
            <w:tcBorders>
              <w:top w:val="single" w:sz="4" w:space="0" w:color="000000"/>
              <w:left w:val="single" w:sz="4" w:space="0" w:color="000000"/>
              <w:bottom w:val="nil" w:sz="6" w:space="0" w:color="auto"/>
              <w:right w:val="single" w:sz="4" w:space="0" w:color="000000"/>
            </w:tcBorders>
            <w:shd w:val="clear" w:color="auto" w:fill="C7EDCC"/>
          </w:tcPr>
          <w:p>
            <w:pPr/>
          </w:p>
        </w:tc>
        <w:tc>
          <w:tcPr>
            <w:tcW w:w="1367" w:type="dxa"/>
            <w:tcBorders>
              <w:top w:val="single" w:sz="4" w:space="0" w:color="000000"/>
              <w:left w:val="single" w:sz="4" w:space="0" w:color="000000"/>
              <w:bottom w:val="nil" w:sz="6" w:space="0" w:color="auto"/>
              <w:right w:val="single" w:sz="4" w:space="0" w:color="000000"/>
            </w:tcBorders>
            <w:shd w:val="clear" w:color="auto" w:fill="C7EDCC"/>
          </w:tcPr>
          <w:p>
            <w:pPr/>
          </w:p>
        </w:tc>
        <w:tc>
          <w:tcPr>
            <w:tcW w:w="135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高新技术纺织品</w:t>
            </w:r>
          </w:p>
        </w:tc>
        <w:tc>
          <w:tcPr>
            <w:tcW w:w="1379" w:type="dxa"/>
            <w:gridSpan w:val="2"/>
            <w:tcBorders>
              <w:top w:val="single" w:sz="4" w:space="0" w:color="000000"/>
              <w:left w:val="single" w:sz="10" w:space="0" w:color="C7EDCC"/>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石家庄赛孚纺织 有限公司</w:t>
            </w:r>
          </w:p>
        </w:tc>
        <w:tc>
          <w:tcPr>
            <w:tcW w:w="13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5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60"/>
              <w:jc w:val="left"/>
              <w:rPr>
                <w:rFonts w:ascii="宋体" w:hAnsi="宋体" w:cs="宋体" w:eastAsia="宋体" w:hint="default"/>
                <w:sz w:val="18"/>
                <w:szCs w:val="18"/>
              </w:rPr>
            </w:pPr>
            <w:r>
              <w:rPr>
                <w:rFonts w:ascii="宋体" w:hAnsi="宋体" w:cs="宋体" w:eastAsia="宋体" w:hint="default"/>
                <w:sz w:val="18"/>
                <w:szCs w:val="18"/>
              </w:rPr>
              <w:t>和其他纺织品的 生产、销售；纺</w:t>
            </w:r>
          </w:p>
        </w:tc>
        <w:tc>
          <w:tcPr>
            <w:tcW w:w="1379" w:type="dxa"/>
            <w:gridSpan w:val="2"/>
            <w:tcBorders>
              <w:top w:val="nil" w:sz="6" w:space="0" w:color="auto"/>
              <w:left w:val="single" w:sz="10" w:space="0" w:color="C7EDCC"/>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48.33%</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shd w:val="clear" w:color="auto" w:fill="C7EDCC"/>
          </w:tcPr>
          <w:p>
            <w:pPr/>
          </w:p>
        </w:tc>
        <w:tc>
          <w:tcPr>
            <w:tcW w:w="1367" w:type="dxa"/>
            <w:tcBorders>
              <w:top w:val="nil" w:sz="6" w:space="0" w:color="auto"/>
              <w:left w:val="single" w:sz="4" w:space="0" w:color="000000"/>
              <w:bottom w:val="single" w:sz="4" w:space="0" w:color="000000"/>
              <w:right w:val="single" w:sz="4" w:space="0" w:color="000000"/>
            </w:tcBorders>
            <w:shd w:val="clear" w:color="auto" w:fill="C7EDCC"/>
          </w:tcPr>
          <w:p>
            <w:pPr/>
          </w:p>
        </w:tc>
        <w:tc>
          <w:tcPr>
            <w:tcW w:w="1367" w:type="dxa"/>
            <w:tcBorders>
              <w:top w:val="nil" w:sz="6" w:space="0" w:color="auto"/>
              <w:left w:val="single" w:sz="4" w:space="0" w:color="000000"/>
              <w:bottom w:val="single" w:sz="4" w:space="0" w:color="000000"/>
              <w:right w:val="single" w:sz="4" w:space="0" w:color="000000"/>
            </w:tcBorders>
            <w:shd w:val="clear" w:color="auto" w:fill="C7EDCC"/>
          </w:tcPr>
          <w:p>
            <w:pPr/>
          </w:p>
        </w:tc>
        <w:tc>
          <w:tcPr>
            <w:tcW w:w="135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织技术咨询服务</w:t>
            </w:r>
          </w:p>
        </w:tc>
        <w:tc>
          <w:tcPr>
            <w:tcW w:w="1379" w:type="dxa"/>
            <w:gridSpan w:val="2"/>
            <w:tcBorders>
              <w:top w:val="nil" w:sz="6" w:space="0" w:color="auto"/>
              <w:left w:val="single" w:sz="10" w:space="0" w:color="C7EDCC"/>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北京国智云鼎软 件有限公司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5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软件开发、技术 服务等</w:t>
            </w:r>
          </w:p>
        </w:tc>
        <w:tc>
          <w:tcPr>
            <w:tcW w:w="1379" w:type="dxa"/>
            <w:gridSpan w:val="2"/>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141"/>
        <w:jc w:val="left"/>
      </w:pPr>
      <w:r>
        <w:rPr/>
        <w:t>在合营企业或联营企业的持股比例不同于表决权比例的说明：</w:t>
      </w:r>
    </w:p>
    <w:p>
      <w:pPr>
        <w:pStyle w:val="BodyText"/>
        <w:spacing w:line="240" w:lineRule="auto" w:before="117"/>
        <w:ind w:right="141"/>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1"/>
        <w:gridCol w:w="1926"/>
        <w:gridCol w:w="1914"/>
        <w:gridCol w:w="1914"/>
        <w:gridCol w:w="1914"/>
      </w:tblGrid>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26" w:type="dxa"/>
            <w:tcBorders>
              <w:top w:val="single" w:sz="4" w:space="0" w:color="000000"/>
              <w:left w:val="single" w:sz="10" w:space="0" w:color="D3D3D3"/>
              <w:bottom w:val="single" w:sz="4" w:space="0" w:color="000000"/>
              <w:right w:val="single" w:sz="4" w:space="0" w:color="000000"/>
            </w:tcBorders>
            <w:shd w:val="clear" w:color="auto" w:fill="E1FFFF"/>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赛孚纺织</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国智云鼎</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赛孚纺织</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国智云鼎</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10,834,976.23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10,152,234.43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10,524,669.36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8,283,416.03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810,595.08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8,816,116.29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19,118,392.26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10,962,829.51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19,340,785.65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5,877,869.87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1,313,035.10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5,013,789.88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5,877,869.87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1,313,035.10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5,013,789.88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13,240,522.39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5,789,876.65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14,326,995.77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7"/>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14,596,414.81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3,859,917.76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15,001,635.84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7"/>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14,596,414.81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3,859,917.76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15,001,635.84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13,519,609.34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990,699.07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11,805,301.85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-1,318,552.93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-350,205.59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-2,234,302.85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-1,318,552.93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-350,205.59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-2,234,302.85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6"/>
        <w:gridCol w:w="3059"/>
        <w:gridCol w:w="3191"/>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49,173.07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346,989.06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16,257.31</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346,989.06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16,257.31</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0"/>
        <w:gridCol w:w="2520"/>
        <w:gridCol w:w="2392"/>
        <w:gridCol w:w="2186"/>
      </w:tblGrid>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累积未确认前期累计认的损失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2520"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-297,815.99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346,989.06</w:t>
            </w:r>
          </w:p>
        </w:tc>
        <w:tc>
          <w:tcPr>
            <w:tcW w:w="2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4" w:right="191" w:firstLine="360"/>
        <w:jc w:val="both"/>
      </w:pPr>
      <w:r>
        <w:rPr>
          <w:spacing w:val="-2"/>
        </w:rPr>
        <w:t>本公司在经营过程中面临各种金融风险：信用风险、市场风险和流动性风险。公司经营管理层全面负责风险管理目标和</w:t>
      </w:r>
      <w:r>
        <w:rPr/>
        <w:t> 政策的确定，并对风险管理目标和政策承担最终责任。</w:t>
      </w:r>
      <w:r>
        <w:rPr>
          <w:spacing w:val="-18"/>
        </w:rPr>
        <w:t> </w:t>
      </w:r>
      <w:r>
        <w:rPr/>
        <w:t>经营管理层通过职能部门递交的月度工作报告来审查已执行程序的</w:t>
      </w:r>
      <w:r>
        <w:rPr/>
        <w:t> 有效性以及风险管理目标和政策的合理性。</w:t>
      </w:r>
    </w:p>
    <w:p>
      <w:pPr>
        <w:pStyle w:val="BodyText"/>
        <w:spacing w:line="319" w:lineRule="auto" w:before="55"/>
        <w:ind w:left="154" w:right="0" w:firstLine="360"/>
        <w:jc w:val="left"/>
      </w:pPr>
      <w:r>
        <w:rPr/>
        <w:t>本公司从事风险管理的目标是在风险和收益之间取得适当的平衡，将风险对本公司经营业绩的负面影响降低到最低水 </w:t>
      </w:r>
      <w:r>
        <w:rPr>
          <w:spacing w:val="-2"/>
        </w:rPr>
        <w:t>平，使股东及其他权益投资者的利益最大化。基于该风险管理目标，本公司风险管理的基本策略是确定和分析本公司所面临</w:t>
      </w:r>
      <w:r>
        <w:rPr>
          <w:spacing w:val="-66"/>
        </w:rPr>
        <w:t> </w:t>
      </w:r>
      <w:r>
        <w:rPr>
          <w:spacing w:val="-66"/>
        </w:rPr>
      </w:r>
      <w:r>
        <w:rPr>
          <w:spacing w:val="-4"/>
        </w:rPr>
        <w:t>的各种风险，建立适当的风险承受底线和进行风险管理，并及时可靠地对各种风险进行监督，将风险控制在限定的范围之内。</w:t>
      </w:r>
    </w:p>
    <w:p>
      <w:pPr>
        <w:pStyle w:val="BodyText"/>
        <w:spacing w:line="240" w:lineRule="auto" w:before="58"/>
        <w:ind w:left="514" w:right="0"/>
        <w:jc w:val="left"/>
      </w:pPr>
      <w:r>
        <w:rPr>
          <w:rFonts w:ascii="Times New Roman" w:hAnsi="Times New Roman" w:cs="Times New Roman" w:eastAsia="Times New Roman" w:hint="default"/>
        </w:rPr>
        <w:t>1</w:t>
      </w:r>
      <w:r>
        <w:rPr/>
        <w:t>、信用风险</w:t>
      </w:r>
    </w:p>
    <w:p>
      <w:pPr>
        <w:pStyle w:val="BodyText"/>
        <w:spacing w:line="319" w:lineRule="auto" w:before="101"/>
        <w:ind w:left="154" w:right="189" w:firstLine="360"/>
        <w:jc w:val="both"/>
      </w:pPr>
      <w:r>
        <w:rPr/>
        <w:t>信用风险是指金融工具的一方不履行义务，造成另一方发生财务损失的风险。</w:t>
      </w:r>
      <w:r>
        <w:rPr>
          <w:spacing w:val="-19"/>
        </w:rPr>
        <w:t> </w:t>
      </w:r>
      <w:r>
        <w:rPr/>
        <w:t>本公司主要面临赊销导致的客户信用风</w:t>
      </w:r>
      <w:r>
        <w:rPr/>
        <w:t> </w:t>
      </w:r>
      <w:r>
        <w:rPr>
          <w:spacing w:val="-2"/>
        </w:rPr>
        <w:t>险。在签订新合同之前，本公司会对新客户的信用风险进行评估，包括外部信用评级和在某些情况下的银行资信证明（当此</w:t>
      </w:r>
      <w:r>
        <w:rPr>
          <w:spacing w:val="-66"/>
        </w:rPr>
        <w:t> </w:t>
      </w:r>
      <w:r>
        <w:rPr>
          <w:spacing w:val="-66"/>
        </w:rPr>
      </w:r>
      <w:r>
        <w:rPr/>
        <w:t>信息可获取时）。公司对每一客户均设置了赊销限额，该限额为无需获得额外批准的最大额度。</w:t>
      </w:r>
    </w:p>
    <w:p>
      <w:pPr>
        <w:pStyle w:val="BodyText"/>
        <w:spacing w:line="309" w:lineRule="auto" w:before="55"/>
        <w:ind w:right="0"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pStyle w:val="BodyText"/>
        <w:spacing w:line="338" w:lineRule="auto" w:before="65"/>
        <w:ind w:left="513" w:right="0"/>
        <w:jc w:val="left"/>
      </w:pPr>
      <w:r>
        <w:rPr>
          <w:rFonts w:ascii="Times New Roman" w:hAnsi="Times New Roman" w:cs="Times New Roman" w:eastAsia="Times New Roman" w:hint="default"/>
        </w:rPr>
        <w:t>2</w:t>
      </w:r>
      <w:r>
        <w:rPr/>
        <w:t>、市场风险 </w:t>
      </w:r>
      <w:r>
        <w:rPr>
          <w:spacing w:val="-2"/>
        </w:rPr>
        <w:t>金融工具的市场风险，是指金融工具的公允价值或未来现金流量因市场价格变动而发生波动的风险，包括利率风险、外</w:t>
      </w:r>
    </w:p>
    <w:p>
      <w:pPr>
        <w:pStyle w:val="BodyText"/>
        <w:spacing w:line="240" w:lineRule="auto" w:before="4"/>
        <w:ind w:right="0"/>
        <w:jc w:val="left"/>
      </w:pPr>
      <w:r>
        <w:rPr/>
        <w:t>汇风险和其他价格风险。</w:t>
      </w:r>
    </w:p>
    <w:p>
      <w:pPr>
        <w:pStyle w:val="BodyText"/>
        <w:spacing w:line="338" w:lineRule="auto" w:before="116"/>
        <w:ind w:left="513" w:right="0" w:hanging="143"/>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利率风险，是指金融工具的公允价值或未来现金流量因市场利率变动而发生波动的风险。本公司面临的利率风险主要来</w:t>
      </w:r>
    </w:p>
    <w:p>
      <w:pPr>
        <w:pStyle w:val="BodyText"/>
        <w:spacing w:line="319" w:lineRule="auto" w:before="2"/>
        <w:ind w:right="0"/>
        <w:jc w:val="left"/>
      </w:pPr>
      <w:r>
        <w:rPr>
          <w:spacing w:val="-2"/>
        </w:rPr>
        <w:t>源于银行短期借款。公司通过建立良好的银企关系，对授信额度、授信品种以及授信期限进行合理的设计，保障银行授信额</w:t>
      </w:r>
      <w:r>
        <w:rPr>
          <w:spacing w:val="-66"/>
        </w:rPr>
        <w:t> </w:t>
      </w:r>
      <w:r>
        <w:rPr>
          <w:spacing w:val="-66"/>
        </w:rPr>
      </w:r>
      <w:r>
        <w:rPr/>
        <w:t>度充足，满足公司各类短期融资需求。并且通过缩短单笔借款的期限，特别约定提前还款条款，合理降低利率波动风险。</w:t>
      </w:r>
    </w:p>
    <w:p>
      <w:pPr>
        <w:pStyle w:val="BodyText"/>
        <w:spacing w:line="302" w:lineRule="auto" w:before="55"/>
        <w:ind w:right="197" w:firstLine="434"/>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日，在其他变量保持不变的情况下，如果以浮动利率计算的借款利率上升或下降</w:t>
      </w:r>
      <w:r>
        <w:rPr>
          <w:rFonts w:ascii="Times New Roman" w:hAnsi="Times New Roman" w:cs="Times New Roman" w:eastAsia="Times New Roman" w:hint="default"/>
        </w:rPr>
        <w:t>50</w:t>
      </w:r>
      <w:r>
        <w:rPr/>
        <w:t>个基点，则本公司 的净利润将减少或增加</w:t>
      </w:r>
      <w:r>
        <w:rPr>
          <w:rFonts w:ascii="Times New Roman" w:hAnsi="Times New Roman" w:cs="Times New Roman" w:eastAsia="Times New Roman" w:hint="default"/>
        </w:rPr>
        <w:t>1,959.54</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2,181.20</w:t>
      </w:r>
      <w:r>
        <w:rPr/>
        <w:t>万元）。</w:t>
      </w:r>
    </w:p>
    <w:p>
      <w:pPr>
        <w:pStyle w:val="BodyText"/>
        <w:spacing w:line="338" w:lineRule="auto" w:before="50"/>
        <w:ind w:left="588" w:right="196" w:hanging="218"/>
        <w:jc w:val="left"/>
      </w:pPr>
      <w:r>
        <w:rPr/>
        <w:t>（</w:t>
      </w:r>
      <w:r>
        <w:rPr>
          <w:rFonts w:ascii="Times New Roman" w:hAnsi="Times New Roman" w:cs="Times New Roman" w:eastAsia="Times New Roman" w:hint="default"/>
        </w:rPr>
        <w:t>2</w:t>
      </w:r>
      <w:r>
        <w:rPr/>
        <w:t>）外汇风险 外汇风险，是指金融工具的公允价值或未来现金流量因外汇汇率变动而发生波动的风险。本公司尽可能将外币收入与</w:t>
      </w:r>
    </w:p>
    <w:p>
      <w:pPr>
        <w:pStyle w:val="BodyText"/>
        <w:spacing w:line="319" w:lineRule="auto" w:before="2"/>
        <w:ind w:right="0"/>
        <w:jc w:val="left"/>
      </w:pPr>
      <w:r>
        <w:rPr>
          <w:spacing w:val="-2"/>
        </w:rPr>
        <w:t>外币支出相匹配以降低外汇风险。此外，公司还可能签署远期外汇合约或货币互换合约以达到规避外汇风险的目的。由于外</w:t>
      </w:r>
      <w:r>
        <w:rPr>
          <w:spacing w:val="-66"/>
        </w:rPr>
        <w:t> </w:t>
      </w:r>
      <w:r>
        <w:rPr>
          <w:spacing w:val="-66"/>
        </w:rPr>
      </w:r>
      <w:r>
        <w:rPr/>
        <w:t>币金融资产和负债占总资产比重较小，</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2017</w:t>
      </w:r>
      <w:r>
        <w:rPr/>
        <w:t>年度，本公司未签署任何远期外汇合约或货币互换合约。</w:t>
      </w:r>
    </w:p>
    <w:p>
      <w:pPr>
        <w:pStyle w:val="BodyText"/>
        <w:spacing w:line="319" w:lineRule="auto" w:before="35"/>
        <w:ind w:right="197" w:firstLine="434"/>
        <w:jc w:val="left"/>
      </w:pPr>
      <w:r>
        <w:rPr/>
        <w:t>本公司面临的外汇风险主要来源于以美元计价的金融资产和金融负债，外币金融资产和外币金融负债折算成人民币的 金额列示如下：</w:t>
      </w:r>
    </w:p>
    <w:p>
      <w:pPr>
        <w:spacing w:line="240" w:lineRule="auto" w:before="6"/>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1660"/>
        <w:gridCol w:w="1223"/>
        <w:gridCol w:w="1163"/>
        <w:gridCol w:w="1418"/>
        <w:gridCol w:w="1318"/>
        <w:gridCol w:w="1136"/>
        <w:gridCol w:w="1416"/>
      </w:tblGrid>
      <w:tr>
        <w:trPr>
          <w:trHeight w:val="432" w:hRule="exact"/>
        </w:trPr>
        <w:tc>
          <w:tcPr>
            <w:tcW w:w="1660" w:type="dxa"/>
            <w:vMerge w:val="restart"/>
            <w:tcBorders>
              <w:top w:val="single" w:sz="8" w:space="0" w:color="000000"/>
              <w:left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04"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870"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32" w:hRule="exact"/>
        </w:trPr>
        <w:tc>
          <w:tcPr>
            <w:tcW w:w="1660" w:type="dxa"/>
            <w:vMerge/>
            <w:tcBorders>
              <w:left w:val="single" w:sz="8" w:space="0" w:color="000000"/>
              <w:bottom w:val="single" w:sz="8" w:space="0" w:color="000000"/>
              <w:right w:val="single" w:sz="8" w:space="0" w:color="000000"/>
            </w:tcBorders>
          </w:tcPr>
          <w:p>
            <w:pPr/>
          </w:p>
        </w:tc>
        <w:tc>
          <w:tcPr>
            <w:tcW w:w="12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美元</w:t>
            </w:r>
            <w:r>
              <w:rPr>
                <w:rFonts w:ascii="宋体" w:hAnsi="宋体" w:cs="宋体" w:eastAsia="宋体" w:hint="default"/>
                <w:sz w:val="18"/>
                <w:szCs w:val="18"/>
              </w:rPr>
            </w: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08" w:right="0"/>
              <w:jc w:val="left"/>
              <w:rPr>
                <w:rFonts w:ascii="宋体" w:hAnsi="宋体" w:cs="宋体" w:eastAsia="宋体" w:hint="default"/>
                <w:sz w:val="18"/>
                <w:szCs w:val="18"/>
              </w:rPr>
            </w:pPr>
            <w:r>
              <w:rPr>
                <w:rFonts w:ascii="宋体" w:hAnsi="宋体" w:cs="宋体" w:eastAsia="宋体" w:hint="default"/>
                <w:b/>
                <w:bCs/>
                <w:sz w:val="18"/>
                <w:szCs w:val="18"/>
              </w:rPr>
              <w:t>其他外币</w:t>
            </w:r>
            <w:r>
              <w:rPr>
                <w:rFonts w:ascii="宋体" w:hAnsi="宋体" w:cs="宋体" w:eastAsia="宋体" w:hint="default"/>
                <w:sz w:val="18"/>
                <w:szCs w:val="18"/>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4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美元</w:t>
            </w:r>
            <w:r>
              <w:rPr>
                <w:rFonts w:ascii="宋体" w:hAnsi="宋体" w:cs="宋体" w:eastAsia="宋体" w:hint="default"/>
                <w:sz w:val="18"/>
                <w:szCs w:val="18"/>
              </w:rPr>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95" w:right="0"/>
              <w:jc w:val="left"/>
              <w:rPr>
                <w:rFonts w:ascii="宋体" w:hAnsi="宋体" w:cs="宋体" w:eastAsia="宋体" w:hint="default"/>
                <w:sz w:val="18"/>
                <w:szCs w:val="18"/>
              </w:rPr>
            </w:pPr>
            <w:r>
              <w:rPr>
                <w:rFonts w:ascii="宋体" w:hAnsi="宋体" w:cs="宋体" w:eastAsia="宋体" w:hint="default"/>
                <w:b/>
                <w:bCs/>
                <w:sz w:val="18"/>
                <w:szCs w:val="18"/>
              </w:rPr>
              <w:t>其他外币</w:t>
            </w:r>
            <w:r>
              <w:rPr>
                <w:rFonts w:ascii="宋体" w:hAnsi="宋体" w:cs="宋体" w:eastAsia="宋体" w:hint="default"/>
                <w:sz w:val="18"/>
                <w:szCs w:val="18"/>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45"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3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223" w:type="dxa"/>
            <w:tcBorders>
              <w:top w:val="single" w:sz="8" w:space="0" w:color="000000"/>
              <w:left w:val="single" w:sz="8" w:space="0" w:color="000000"/>
              <w:bottom w:val="single" w:sz="8" w:space="0" w:color="000000"/>
              <w:right w:val="single" w:sz="8" w:space="0" w:color="000000"/>
            </w:tcBorders>
          </w:tcPr>
          <w:p>
            <w:pPr/>
          </w:p>
        </w:tc>
        <w:tc>
          <w:tcPr>
            <w:tcW w:w="1163"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18"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654,496.42</w:t>
            </w:r>
          </w:p>
        </w:tc>
        <w:tc>
          <w:tcPr>
            <w:tcW w:w="1163"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4,276,610.50</w:t>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239,066.01</w:t>
            </w:r>
          </w:p>
        </w:tc>
        <w:tc>
          <w:tcPr>
            <w:tcW w:w="1136"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1,658,400.90</w:t>
            </w:r>
          </w:p>
        </w:tc>
      </w:tr>
      <w:tr>
        <w:trPr>
          <w:trHeight w:val="43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223" w:type="dxa"/>
            <w:tcBorders>
              <w:top w:val="single" w:sz="8" w:space="0" w:color="000000"/>
              <w:left w:val="single" w:sz="8" w:space="0" w:color="000000"/>
              <w:bottom w:val="single" w:sz="8" w:space="0" w:color="000000"/>
              <w:right w:val="single" w:sz="8" w:space="0" w:color="000000"/>
            </w:tcBorders>
          </w:tcPr>
          <w:p>
            <w:pP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151.08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1,178.77</w:t>
            </w:r>
          </w:p>
        </w:tc>
        <w:tc>
          <w:tcPr>
            <w:tcW w:w="1318"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8,735,302.36</w:t>
            </w:r>
          </w:p>
        </w:tc>
        <w:tc>
          <w:tcPr>
            <w:tcW w:w="1163"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57,078,212.67</w:t>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7,265,178.39</w:t>
            </w:r>
          </w:p>
        </w:tc>
        <w:tc>
          <w:tcPr>
            <w:tcW w:w="1136"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50,398,542.52</w:t>
            </w:r>
          </w:p>
        </w:tc>
      </w:tr>
      <w:tr>
        <w:trPr>
          <w:trHeight w:val="43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9,389,798.78</w:t>
            </w: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151.08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61,356,001.94</w:t>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7,504,244.40</w:t>
            </w:r>
          </w:p>
        </w:tc>
        <w:tc>
          <w:tcPr>
            <w:tcW w:w="1136"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52,056,943.42</w:t>
            </w:r>
          </w:p>
        </w:tc>
      </w:tr>
      <w:tr>
        <w:trPr>
          <w:trHeight w:val="43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223" w:type="dxa"/>
            <w:tcBorders>
              <w:top w:val="single" w:sz="8" w:space="0" w:color="000000"/>
              <w:left w:val="single" w:sz="8" w:space="0" w:color="000000"/>
              <w:bottom w:val="single" w:sz="8" w:space="0" w:color="000000"/>
              <w:right w:val="single" w:sz="8" w:space="0" w:color="000000"/>
            </w:tcBorders>
          </w:tcPr>
          <w:p>
            <w:pPr/>
          </w:p>
        </w:tc>
        <w:tc>
          <w:tcPr>
            <w:tcW w:w="1163"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18"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r>
      <w:tr>
        <w:trPr>
          <w:trHeight w:val="433"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44,892.63</w:t>
            </w:r>
          </w:p>
        </w:tc>
        <w:tc>
          <w:tcPr>
            <w:tcW w:w="1163"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293,337.40</w:t>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55,650.63</w:t>
            </w:r>
          </w:p>
        </w:tc>
        <w:tc>
          <w:tcPr>
            <w:tcW w:w="1136"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386,048.39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4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1660"/>
        <w:gridCol w:w="1223"/>
        <w:gridCol w:w="1163"/>
        <w:gridCol w:w="1418"/>
        <w:gridCol w:w="1318"/>
        <w:gridCol w:w="1136"/>
        <w:gridCol w:w="1416"/>
      </w:tblGrid>
      <w:tr>
        <w:trPr>
          <w:trHeight w:val="43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223" w:type="dxa"/>
            <w:tcBorders>
              <w:top w:val="single" w:sz="8" w:space="0" w:color="000000"/>
              <w:left w:val="single" w:sz="8" w:space="0" w:color="000000"/>
              <w:bottom w:val="single" w:sz="8" w:space="0" w:color="000000"/>
              <w:right w:val="single" w:sz="8" w:space="0" w:color="000000"/>
            </w:tcBorders>
          </w:tcPr>
          <w:p>
            <w:pPr/>
          </w:p>
        </w:tc>
        <w:tc>
          <w:tcPr>
            <w:tcW w:w="1163"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18" w:type="dxa"/>
            <w:tcBorders>
              <w:top w:val="single" w:sz="8" w:space="0" w:color="000000"/>
              <w:left w:val="single" w:sz="8" w:space="0" w:color="000000"/>
              <w:bottom w:val="single" w:sz="8" w:space="0" w:color="000000"/>
              <w:right w:val="single" w:sz="8" w:space="0" w:color="000000"/>
            </w:tcBorders>
          </w:tcPr>
          <w:p>
            <w:pP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798,892.78</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5,837,349.78</w:t>
            </w:r>
          </w:p>
        </w:tc>
      </w:tr>
      <w:tr>
        <w:trPr>
          <w:trHeight w:val="432"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44,892.63</w:t>
            </w:r>
          </w:p>
        </w:tc>
        <w:tc>
          <w:tcPr>
            <w:tcW w:w="1163"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293,337.40</w:t>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55,650.63</w:t>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798,892.78</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6,223,398.17</w:t>
            </w:r>
          </w:p>
        </w:tc>
      </w:tr>
      <w:tr>
        <w:trPr>
          <w:trHeight w:val="433" w:hRule="exact"/>
        </w:trPr>
        <w:tc>
          <w:tcPr>
            <w:tcW w:w="1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宋体" w:hAnsi="宋体" w:cs="宋体" w:eastAsia="宋体" w:hint="default"/>
                <w:sz w:val="18"/>
                <w:szCs w:val="18"/>
              </w:rPr>
            </w:pPr>
            <w:r>
              <w:rPr>
                <w:rFonts w:ascii="宋体" w:hAnsi="宋体" w:cs="宋体" w:eastAsia="宋体" w:hint="default"/>
                <w:b/>
                <w:bCs/>
                <w:sz w:val="18"/>
                <w:szCs w:val="18"/>
              </w:rPr>
              <w:t>净额</w:t>
            </w:r>
            <w:r>
              <w:rPr>
                <w:rFonts w:ascii="宋体" w:hAnsi="宋体" w:cs="宋体" w:eastAsia="宋体" w:hint="default"/>
                <w:sz w:val="18"/>
                <w:szCs w:val="18"/>
              </w:rPr>
            </w:r>
          </w:p>
        </w:tc>
        <w:tc>
          <w:tcPr>
            <w:tcW w:w="12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b/>
                <w:spacing w:val="-1"/>
                <w:sz w:val="18"/>
              </w:rPr>
              <w:t>9,344,906.15</w:t>
            </w:r>
            <w:r>
              <w:rPr>
                <w:rFonts w:ascii="Times New Roman"/>
                <w:spacing w:val="-1"/>
                <w:sz w:val="18"/>
              </w:rPr>
            </w:r>
          </w:p>
        </w:tc>
        <w:tc>
          <w:tcPr>
            <w:tcW w:w="11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left="646" w:right="0"/>
              <w:jc w:val="left"/>
              <w:rPr>
                <w:rFonts w:ascii="Times New Roman" w:hAnsi="Times New Roman" w:cs="Times New Roman" w:eastAsia="Times New Roman" w:hint="default"/>
                <w:sz w:val="18"/>
                <w:szCs w:val="18"/>
              </w:rPr>
            </w:pPr>
            <w:r>
              <w:rPr>
                <w:rFonts w:ascii="Times New Roman"/>
                <w:b/>
                <w:sz w:val="18"/>
              </w:rPr>
              <w:t>151.08</w:t>
            </w:r>
            <w:r>
              <w:rPr>
                <w:rFonts w:ascii="Times New Roman"/>
                <w:sz w:val="18"/>
              </w:rPr>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b/>
                <w:spacing w:val="-1"/>
                <w:sz w:val="18"/>
              </w:rPr>
              <w:t>61,062,664.54</w:t>
            </w:r>
            <w:r>
              <w:rPr>
                <w:rFonts w:ascii="Times New Roman"/>
                <w:spacing w:val="-1"/>
                <w:sz w:val="18"/>
              </w:rPr>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b/>
                <w:spacing w:val="-1"/>
                <w:sz w:val="18"/>
              </w:rPr>
              <w:t>7,448,593.77</w:t>
            </w:r>
            <w:r>
              <w:rPr>
                <w:rFonts w:ascii="Times New Roman"/>
                <w:spacing w:val="-1"/>
                <w:sz w:val="18"/>
              </w:rPr>
            </w:r>
          </w:p>
        </w:tc>
        <w:tc>
          <w:tcPr>
            <w:tcW w:w="1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b/>
                <w:w w:val="95"/>
                <w:sz w:val="18"/>
              </w:rPr>
              <w:t>-798,892.78</w:t>
            </w:r>
            <w:r>
              <w:rPr>
                <w:rFonts w:ascii="Times New Roman"/>
                <w:sz w:val="18"/>
              </w:rPr>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b/>
                <w:spacing w:val="-1"/>
                <w:sz w:val="18"/>
              </w:rPr>
              <w:t>45,833,545.25</w:t>
            </w:r>
            <w:r>
              <w:rPr>
                <w:rFonts w:ascii="Times New Roman"/>
                <w:spacing w:val="-1"/>
                <w:sz w:val="18"/>
              </w:rPr>
            </w:r>
          </w:p>
        </w:tc>
      </w:tr>
    </w:tbl>
    <w:p>
      <w:pPr>
        <w:pStyle w:val="BodyText"/>
        <w:spacing w:line="300" w:lineRule="auto" w:before="51"/>
        <w:ind w:right="142" w:firstLine="434"/>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日，在所有其他变量保持不变的情况下，如果人民币对外币升值或贬值</w:t>
      </w:r>
      <w:r>
        <w:rPr>
          <w:rFonts w:ascii="Times New Roman" w:hAnsi="Times New Roman" w:cs="Times New Roman" w:eastAsia="Times New Roman" w:hint="default"/>
        </w:rPr>
        <w:t>0.5%</w:t>
      </w:r>
      <w:r>
        <w:rPr/>
        <w:t>，则公司将减少或增加净 利润</w:t>
      </w:r>
      <w:r>
        <w:rPr>
          <w:rFonts w:ascii="Times New Roman" w:hAnsi="Times New Roman" w:cs="Times New Roman" w:eastAsia="Times New Roman" w:hint="default"/>
        </w:rPr>
        <w:t>30.53</w:t>
      </w:r>
      <w:r>
        <w:rPr/>
        <w:t>万元人民币（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22.92</w:t>
      </w:r>
      <w:r>
        <w:rPr/>
        <w:t>万元人民币）。</w:t>
      </w:r>
    </w:p>
    <w:p>
      <w:pPr>
        <w:pStyle w:val="BodyText"/>
        <w:spacing w:line="338" w:lineRule="auto" w:before="52"/>
        <w:ind w:left="588" w:right="156" w:hanging="75"/>
        <w:jc w:val="left"/>
      </w:pPr>
      <w:r>
        <w:rPr>
          <w:rFonts w:ascii="Times New Roman" w:hAnsi="Times New Roman" w:cs="Times New Roman" w:eastAsia="Times New Roman" w:hint="default"/>
        </w:rPr>
        <w:t>3</w:t>
      </w:r>
      <w:r>
        <w:rPr/>
        <w:t>、流动性风险 流动风险，是指企业在履行以交付现金或其他金融资产的方式结算的义务时发生资金短缺的风险。本公司的政策是确</w:t>
      </w:r>
    </w:p>
    <w:p>
      <w:pPr>
        <w:pStyle w:val="BodyText"/>
        <w:spacing w:line="302" w:lineRule="auto" w:before="2"/>
        <w:ind w:right="231"/>
        <w:jc w:val="left"/>
      </w:pPr>
      <w:r>
        <w:rPr/>
        <w:t>保拥有充足的现金以偿还到期债务。流动性风险由本公司的财务部门集中控制。财务部门通过监控现金余额以及对未来</w:t>
      </w:r>
      <w:r>
        <w:rPr>
          <w:rFonts w:ascii="Times New Roman" w:hAnsi="Times New Roman" w:cs="Times New Roman" w:eastAsia="Times New Roman" w:hint="default"/>
        </w:rPr>
        <w:t>12 </w:t>
      </w:r>
      <w:r>
        <w:rPr/>
        <w:t>个月现金流量的滚动预测，确保公司在所有合理预测的情况下拥有充足的资金偿还债务。</w:t>
      </w:r>
    </w:p>
    <w:p>
      <w:pPr>
        <w:spacing w:line="240" w:lineRule="auto" w:before="5"/>
        <w:rPr>
          <w:rFonts w:ascii="宋体" w:hAnsi="宋体" w:cs="宋体" w:eastAsia="宋体" w:hint="default"/>
          <w:sz w:val="21"/>
          <w:szCs w:val="21"/>
        </w:rPr>
      </w:pPr>
    </w:p>
    <w:p>
      <w:pPr>
        <w:pStyle w:val="Heading2"/>
        <w:spacing w:line="240" w:lineRule="auto"/>
        <w:ind w:right="141"/>
        <w:jc w:val="left"/>
        <w:rPr>
          <w:b w:val="0"/>
          <w:bCs w:val="0"/>
        </w:rPr>
      </w:pP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石家庄和平东路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纺织集团</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1,253,540,000.00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27.32%</w:t>
            </w:r>
          </w:p>
        </w:tc>
      </w:tr>
    </w:tbl>
    <w:p>
      <w:pPr>
        <w:pStyle w:val="BodyText"/>
        <w:spacing w:line="360" w:lineRule="auto" w:before="51"/>
        <w:ind w:right="5271"/>
        <w:jc w:val="left"/>
      </w:pPr>
      <w:r>
        <w:rPr/>
        <w:t>本企业的母公司情况的说明 本企业最终控制方是石家庄市国有资产监督管理委员会。</w:t>
      </w:r>
    </w:p>
    <w:p>
      <w:pPr>
        <w:spacing w:line="240" w:lineRule="auto" w:before="11"/>
        <w:rPr>
          <w:rFonts w:ascii="宋体" w:hAnsi="宋体" w:cs="宋体" w:eastAsia="宋体" w:hint="default"/>
          <w:sz w:val="19"/>
          <w:szCs w:val="19"/>
        </w:rPr>
      </w:pPr>
    </w:p>
    <w:p>
      <w:pPr>
        <w:spacing w:line="547" w:lineRule="auto" w:before="0"/>
        <w:ind w:left="154" w:right="58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1311"/>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771"/>
        <w:gridCol w:w="4786"/>
      </w:tblGrid>
      <w:tr>
        <w:trPr>
          <w:trHeight w:val="401" w:hRule="exact"/>
        </w:trPr>
        <w:tc>
          <w:tcPr>
            <w:tcW w:w="4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64"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97" w:hRule="exact"/>
        </w:trPr>
        <w:tc>
          <w:tcPr>
            <w:tcW w:w="477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8"/>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石家庄常山纺织集团第一实业有限公司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石家庄常山纺织集团第二实业有限公司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石家庄常山纺织集团第三实业有限公司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石家庄常山纺织集团第五实业有限公司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广州移动科技有限公司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应华江之妻穆慧为第一大股东的企业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北京新能晟源技术咨询有限责任公司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北明软件高级副总裁咸勇之妻刘丽丹为股东的企业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史静敏</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  量</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哲</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  辉</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常务副总经理、总会计师</w:t>
            </w:r>
          </w:p>
        </w:tc>
      </w:tr>
    </w:tbl>
    <w:p>
      <w:pPr>
        <w:spacing w:line="240" w:lineRule="auto" w:before="2"/>
        <w:rPr>
          <w:rFonts w:ascii="宋体" w:hAnsi="宋体" w:cs="宋体" w:eastAsia="宋体" w:hint="default"/>
          <w:b/>
          <w:bCs/>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41"/>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40"/>
        <w:gridCol w:w="1080"/>
        <w:gridCol w:w="1260"/>
        <w:gridCol w:w="886"/>
        <w:gridCol w:w="900"/>
        <w:gridCol w:w="1274"/>
      </w:tblGrid>
      <w:tr>
        <w:trPr>
          <w:trHeight w:val="714"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3" w:right="84"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68" w:right="77"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11,951,132.15</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12,000.00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975,775.22</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30,034,250.40</w:t>
            </w:r>
          </w:p>
        </w:tc>
        <w:tc>
          <w:tcPr>
            <w:tcW w:w="886"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聚乙烯醇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1,881,196.58</w:t>
            </w:r>
          </w:p>
        </w:tc>
        <w:tc>
          <w:tcPr>
            <w:tcW w:w="886"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2,049,145.29</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260" w:type="dxa"/>
            <w:tcBorders>
              <w:top w:val="single" w:sz="4" w:space="0" w:color="000000"/>
              <w:left w:val="single" w:sz="4" w:space="0" w:color="000000"/>
              <w:bottom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2,584.62</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58,665,743.05</w:t>
            </w:r>
          </w:p>
        </w:tc>
        <w:tc>
          <w:tcPr>
            <w:tcW w:w="886"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52,769,301.07</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玉米淀粉</w:t>
            </w:r>
          </w:p>
        </w:tc>
        <w:tc>
          <w:tcPr>
            <w:tcW w:w="1260" w:type="dxa"/>
            <w:tcBorders>
              <w:top w:val="single" w:sz="4" w:space="0" w:color="000000"/>
              <w:left w:val="single" w:sz="4" w:space="0" w:color="000000"/>
              <w:bottom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15,818,505.10</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13,244,007.70</w:t>
            </w:r>
          </w:p>
        </w:tc>
        <w:tc>
          <w:tcPr>
            <w:tcW w:w="886"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22,890,748.17</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260" w:type="dxa"/>
            <w:tcBorders>
              <w:top w:val="single" w:sz="4" w:space="0" w:color="000000"/>
              <w:left w:val="single" w:sz="4" w:space="0" w:color="000000"/>
              <w:bottom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8,236,049.44</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177,515.69</w:t>
            </w:r>
          </w:p>
        </w:tc>
        <w:tc>
          <w:tcPr>
            <w:tcW w:w="886"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1,166,347.66</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2,632,146.91</w:t>
            </w:r>
          </w:p>
        </w:tc>
        <w:tc>
          <w:tcPr>
            <w:tcW w:w="886"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6,579,701.01</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3,156.67</w:t>
            </w:r>
          </w:p>
        </w:tc>
        <w:tc>
          <w:tcPr>
            <w:tcW w:w="886"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26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444,226.01</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1,556,179.24</w:t>
            </w: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0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9,177,050.93</w:t>
            </w:r>
          </w:p>
        </w:tc>
        <w:tc>
          <w:tcPr>
            <w:tcW w:w="886"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41"/>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40"/>
        <w:gridCol w:w="1440"/>
        <w:gridCol w:w="1980"/>
        <w:gridCol w:w="1980"/>
      </w:tblGrid>
      <w:tr>
        <w:trPr>
          <w:trHeight w:val="397"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4,608,389.06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3,261,275.25</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13,335,761.73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10,065,959.71</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131,148.85</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358.98</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24,677,692.69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29,808,159.75</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3,948.72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1,261.54</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10,038.46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11,214,188.00</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36,323,928.38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25,878,544.23</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2,500.00</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13,126.50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14,423.93</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499,157.59</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1,116,316.08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729,197.78</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9,428.20</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1,735.03</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1,482.04</w:t>
            </w:r>
          </w:p>
        </w:tc>
      </w:tr>
      <w:tr>
        <w:trPr>
          <w:trHeight w:val="403"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643,660.29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157,047.79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40"/>
        <w:gridCol w:w="1440"/>
        <w:gridCol w:w="1980"/>
        <w:gridCol w:w="1980"/>
      </w:tblGrid>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石家庄常山纺织集团第三实业有限公司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923.07</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商品（软件）</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1,040,216.24</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商品（硬件）</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7,849,508.55</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199,261.32</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商品（硬件）</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21,085,892.31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8,410,041.01</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商品（硬件）</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35,053.85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1,939,626.50</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502,203.76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414,283.02</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14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962,264.15</w:t>
            </w:r>
          </w:p>
        </w:tc>
        <w:tc>
          <w:tcPr>
            <w:tcW w:w="19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568"/>
        <w:jc w:val="left"/>
      </w:pPr>
      <w:r>
        <w:rPr/>
        <w:t>购销商品、提供和接受劳务的关联交易说明：公司按照公平、公正的市场原则进行定价。</w:t>
      </w:r>
    </w:p>
    <w:p>
      <w:pPr>
        <w:spacing w:line="240" w:lineRule="auto" w:before="11"/>
        <w:rPr>
          <w:rFonts w:ascii="宋体" w:hAnsi="宋体" w:cs="宋体" w:eastAsia="宋体" w:hint="default"/>
          <w:sz w:val="26"/>
          <w:szCs w:val="26"/>
        </w:rPr>
      </w:pPr>
    </w:p>
    <w:p>
      <w:pPr>
        <w:pStyle w:val="Heading3"/>
        <w:spacing w:line="240" w:lineRule="auto"/>
        <w:ind w:right="568"/>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568"/>
        <w:jc w:val="left"/>
      </w:pPr>
      <w:r>
        <w:rPr/>
        <w:t>本公司作为承租方：</w:t>
      </w:r>
    </w:p>
    <w:p>
      <w:pPr>
        <w:pStyle w:val="BodyText"/>
        <w:spacing w:line="240" w:lineRule="auto" w:before="116"/>
        <w:ind w:left="0" w:right="31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81"/>
        <w:gridCol w:w="2403"/>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广州移动科技有限公司</w:t>
            </w:r>
          </w:p>
        </w:tc>
        <w:tc>
          <w:tcPr>
            <w:tcW w:w="23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40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1,669,466.32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1,589,967.96</w:t>
            </w:r>
          </w:p>
        </w:tc>
      </w:tr>
    </w:tbl>
    <w:p>
      <w:pPr>
        <w:pStyle w:val="BodyText"/>
        <w:spacing w:line="357" w:lineRule="auto" w:before="51"/>
        <w:ind w:left="444" w:right="0" w:hanging="291"/>
        <w:jc w:val="left"/>
        <w:rPr>
          <w:rFonts w:ascii="Times New Roman" w:hAnsi="Times New Roman" w:cs="Times New Roman" w:eastAsia="Times New Roman" w:hint="default"/>
        </w:rPr>
      </w:pPr>
      <w:r>
        <w:rPr/>
        <w:t>关联租赁情况说明 </w:t>
      </w:r>
      <w:r>
        <w:rPr>
          <w:spacing w:val="-1"/>
        </w:rPr>
        <w:t>本报告期，北明软件依据租赁合同承租关联方广州移动科技有限公司办公楼，承租期为自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p>
    <w:p>
      <w:pPr>
        <w:pStyle w:val="BodyText"/>
        <w:spacing w:line="214" w:lineRule="exact"/>
        <w:ind w:right="0"/>
        <w:jc w:val="left"/>
      </w:pPr>
      <w:r>
        <w:rPr/>
        <w:t>日，租赁费</w:t>
      </w:r>
      <w:r>
        <w:rPr>
          <w:rFonts w:ascii="Times New Roman" w:hAnsi="Times New Roman" w:cs="Times New Roman" w:eastAsia="Times New Roman" w:hint="default"/>
        </w:rPr>
        <w:t>115,858.80</w:t>
      </w:r>
      <w:r>
        <w:rPr/>
        <w:t>元</w:t>
      </w:r>
      <w:r>
        <w:rPr>
          <w:rFonts w:ascii="Times New Roman" w:hAnsi="Times New Roman" w:cs="Times New Roman" w:eastAsia="Times New Roman" w:hint="default"/>
        </w:rPr>
        <w:t>/</w:t>
      </w:r>
      <w:r>
        <w:rPr/>
        <w:t>月，根据合同规定，自第三年起租金价格每年上涨</w:t>
      </w:r>
      <w:r>
        <w:rPr>
          <w:rFonts w:ascii="Times New Roman" w:hAnsi="Times New Roman" w:cs="Times New Roman" w:eastAsia="Times New Roman" w:hint="default"/>
        </w:rPr>
        <w:t>5%</w:t>
      </w:r>
      <w:r>
        <w:rPr/>
        <w:t>，即</w:t>
      </w:r>
      <w:r>
        <w:rPr>
          <w:rFonts w:ascii="Times New Roman" w:hAnsi="Times New Roman" w:cs="Times New Roman" w:eastAsia="Times New Roman" w:hint="default"/>
        </w:rPr>
        <w:t>2017</w:t>
      </w:r>
      <w:r>
        <w:rPr/>
        <w:t>年月租金为</w:t>
      </w:r>
      <w:r>
        <w:rPr>
          <w:rFonts w:ascii="Times New Roman" w:hAnsi="Times New Roman" w:cs="Times New Roman" w:eastAsia="Times New Roman" w:hint="default"/>
        </w:rPr>
        <w:t>134,121.04</w:t>
      </w:r>
      <w:r>
        <w:rPr/>
        <w:t>元</w:t>
      </w:r>
      <w:r>
        <w:rPr>
          <w:rFonts w:ascii="Times New Roman" w:hAnsi="Times New Roman" w:cs="Times New Roman" w:eastAsia="Times New Roman" w:hint="default"/>
        </w:rPr>
        <w:t>/</w:t>
      </w:r>
      <w:r>
        <w:rPr/>
        <w:t>月；北明软</w:t>
      </w:r>
    </w:p>
    <w:p>
      <w:pPr>
        <w:pStyle w:val="BodyText"/>
        <w:spacing w:line="240" w:lineRule="auto" w:before="63"/>
        <w:ind w:right="0"/>
        <w:jc w:val="left"/>
      </w:pPr>
      <w:r>
        <w:rPr/>
        <w:t>件子公司广州市龙泰信息技术有限公司依据租赁合同承租关联方广州移动科技有限公司办公楼</w:t>
      </w:r>
      <w:r>
        <w:rPr>
          <w:spacing w:val="-82"/>
        </w:rPr>
        <w:t>，</w:t>
      </w:r>
      <w:r>
        <w:rPr/>
        <w:t>承租期为自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p>
    <w:p>
      <w:pPr>
        <w:pStyle w:val="BodyText"/>
        <w:spacing w:line="240" w:lineRule="auto" w:before="63"/>
        <w:ind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日，租赁费</w:t>
      </w:r>
      <w:r>
        <w:rPr>
          <w:rFonts w:ascii="Times New Roman" w:hAnsi="Times New Roman" w:cs="Times New Roman" w:eastAsia="Times New Roman" w:hint="default"/>
        </w:rPr>
        <w:t>4,763</w:t>
      </w:r>
      <w:r>
        <w:rPr/>
        <w:t>元</w:t>
      </w:r>
      <w:r>
        <w:rPr>
          <w:rFonts w:ascii="Times New Roman" w:hAnsi="Times New Roman" w:cs="Times New Roman" w:eastAsia="Times New Roman" w:hint="default"/>
        </w:rPr>
        <w:t>/</w:t>
      </w:r>
      <w:r>
        <w:rPr/>
        <w:t>月，根据合同规定，自第二年起租金价格每年上涨</w:t>
      </w:r>
      <w:r>
        <w:rPr>
          <w:rFonts w:ascii="Times New Roman" w:hAnsi="Times New Roman" w:cs="Times New Roman" w:eastAsia="Times New Roman" w:hint="default"/>
        </w:rPr>
        <w:t>5%</w:t>
      </w:r>
      <w:r>
        <w:rPr/>
        <w:t>，即</w:t>
      </w:r>
      <w:r>
        <w:rPr>
          <w:rFonts w:ascii="Times New Roman" w:hAnsi="Times New Roman" w:cs="Times New Roman" w:eastAsia="Times New Roman" w:hint="default"/>
        </w:rPr>
        <w:t>2017</w:t>
      </w:r>
      <w:r>
        <w:rPr/>
        <w:t>年月租金为</w:t>
      </w:r>
      <w:r>
        <w:rPr>
          <w:rFonts w:ascii="Times New Roman" w:hAnsi="Times New Roman" w:cs="Times New Roman" w:eastAsia="Times New Roman" w:hint="default"/>
        </w:rPr>
        <w:t>5,001.15</w:t>
      </w:r>
      <w:r>
        <w:rPr/>
        <w:t>元</w:t>
      </w:r>
      <w:r>
        <w:rPr>
          <w:rFonts w:ascii="Times New Roman" w:hAnsi="Times New Roman" w:cs="Times New Roman" w:eastAsia="Times New Roman" w:hint="default"/>
        </w:rPr>
        <w:t>/</w:t>
      </w:r>
      <w:r>
        <w:rPr/>
        <w:t>月。</w:t>
      </w:r>
    </w:p>
    <w:p>
      <w:pPr>
        <w:spacing w:line="240" w:lineRule="auto" w:before="11"/>
        <w:rPr>
          <w:rFonts w:ascii="宋体" w:hAnsi="宋体" w:cs="宋体" w:eastAsia="宋体" w:hint="default"/>
          <w:sz w:val="25"/>
          <w:szCs w:val="25"/>
        </w:rPr>
      </w:pPr>
    </w:p>
    <w:p>
      <w:pPr>
        <w:pStyle w:val="Heading3"/>
        <w:spacing w:line="240" w:lineRule="auto"/>
        <w:ind w:right="568"/>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568"/>
        <w:jc w:val="left"/>
      </w:pPr>
      <w:r>
        <w:rPr/>
        <w:t>本公司作为担保方</w:t>
      </w:r>
    </w:p>
    <w:p>
      <w:pPr>
        <w:pStyle w:val="BodyText"/>
        <w:spacing w:line="240" w:lineRule="auto" w:before="117"/>
        <w:ind w:left="0" w:right="31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28"/>
        <w:gridCol w:w="1452"/>
        <w:gridCol w:w="1620"/>
        <w:gridCol w:w="1620"/>
        <w:gridCol w:w="1914"/>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27,000,000.00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43,750,000.00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64,956,111.10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5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375" w:right="0"/>
              <w:jc w:val="left"/>
              <w:rPr>
                <w:rFonts w:ascii="Times New Roman" w:hAnsi="Times New Roman" w:cs="Times New Roman" w:eastAsia="Times New Roman" w:hint="default"/>
                <w:sz w:val="18"/>
                <w:szCs w:val="18"/>
              </w:rPr>
            </w:pPr>
            <w:r>
              <w:rPr>
                <w:rFonts w:ascii="Times New Roman"/>
                <w:sz w:val="18"/>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8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11"/>
        <w:gridCol w:w="1469"/>
        <w:gridCol w:w="1620"/>
        <w:gridCol w:w="1620"/>
        <w:gridCol w:w="1914"/>
      </w:tblGrid>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47,895,600.00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22,480,798.51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70,862,191.82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北京天时前程自动化工程技术有限公司</w:t>
            </w:r>
          </w:p>
        </w:tc>
        <w:tc>
          <w:tcPr>
            <w:tcW w:w="1469"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568"/>
        <w:jc w:val="left"/>
      </w:pPr>
      <w:r>
        <w:rPr/>
        <w:t>本公司作为被担保方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311"/>
        <w:jc w:val="right"/>
      </w:pPr>
      <w:r>
        <w:rPr/>
        <w:t>单位： 元</w:t>
      </w:r>
    </w:p>
    <w:p>
      <w:pPr>
        <w:spacing w:after="0" w:line="240" w:lineRule="auto"/>
        <w:jc w:val="right"/>
        <w:sectPr>
          <w:pgSz w:w="11910" w:h="16840"/>
          <w:pgMar w:header="747" w:footer="982" w:top="1060" w:bottom="118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48"/>
        <w:gridCol w:w="1632"/>
        <w:gridCol w:w="1620"/>
        <w:gridCol w:w="1620"/>
        <w:gridCol w:w="1914"/>
      </w:tblGrid>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11,218,661.43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3,710,341.80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103,562,500.00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48"/>
        <w:gridCol w:w="1632"/>
        <w:gridCol w:w="1620"/>
        <w:gridCol w:w="1620"/>
        <w:gridCol w:w="1914"/>
      </w:tblGrid>
      <w:tr>
        <w:trPr>
          <w:trHeight w:val="402" w:hRule="exact"/>
        </w:trPr>
        <w:tc>
          <w:tcPr>
            <w:tcW w:w="304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李锋、应华江</w:t>
            </w:r>
          </w:p>
        </w:tc>
        <w:tc>
          <w:tcPr>
            <w:tcW w:w="163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382,956.45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568"/>
        <w:jc w:val="left"/>
      </w:pPr>
      <w:r>
        <w:rPr/>
        <w:t>关联担保情况说明</w:t>
      </w:r>
    </w:p>
    <w:p>
      <w:pPr>
        <w:pStyle w:val="BodyText"/>
        <w:spacing w:line="316" w:lineRule="auto" w:before="116"/>
        <w:ind w:left="513" w:right="0" w:hanging="70"/>
        <w:jc w:val="left"/>
      </w:pPr>
      <w:r>
        <w:rPr/>
        <w:t>①借款担保情况 本公司期末保证短期借款</w:t>
      </w:r>
      <w:r>
        <w:rPr>
          <w:rFonts w:ascii="Times New Roman" w:hAnsi="Times New Roman" w:cs="Times New Roman" w:eastAsia="Times New Roman" w:hint="default"/>
        </w:rPr>
        <w:t>1,361,700,000.00</w:t>
      </w:r>
      <w:r>
        <w:rPr/>
        <w:t>元、长期借款</w:t>
      </w:r>
      <w:r>
        <w:rPr>
          <w:rFonts w:ascii="Times New Roman" w:hAnsi="Times New Roman" w:cs="Times New Roman" w:eastAsia="Times New Roman" w:hint="default"/>
        </w:rPr>
        <w:t>775,000,000.00</w:t>
      </w:r>
      <w:r>
        <w:rPr/>
        <w:t>元由石家庄常山纺织集团有限责任公司提供保证</w:t>
      </w:r>
    </w:p>
    <w:p>
      <w:pPr>
        <w:pStyle w:val="BodyText"/>
        <w:spacing w:line="235" w:lineRule="exact"/>
        <w:ind w:left="154" w:right="568"/>
        <w:jc w:val="left"/>
      </w:pPr>
      <w:r>
        <w:rPr/>
        <w:t>担保。</w:t>
      </w:r>
    </w:p>
    <w:p>
      <w:pPr>
        <w:spacing w:line="240" w:lineRule="auto" w:before="5"/>
        <w:rPr>
          <w:rFonts w:ascii="宋体" w:hAnsi="宋体" w:cs="宋体" w:eastAsia="宋体" w:hint="default"/>
          <w:sz w:val="22"/>
          <w:szCs w:val="22"/>
        </w:rPr>
      </w:pPr>
    </w:p>
    <w:p>
      <w:pPr>
        <w:pStyle w:val="BodyText"/>
        <w:spacing w:line="508" w:lineRule="auto"/>
        <w:ind w:left="587" w:right="2567" w:hanging="74"/>
        <w:jc w:val="left"/>
      </w:pPr>
      <w:r>
        <w:rPr/>
        <w:t>本公司期末保证长期借款</w:t>
      </w:r>
      <w:r>
        <w:rPr>
          <w:rFonts w:ascii="Times New Roman" w:hAnsi="Times New Roman" w:cs="Times New Roman" w:eastAsia="Times New Roman" w:hint="default"/>
        </w:rPr>
        <w:t>365,500,000.00</w:t>
      </w:r>
      <w:r>
        <w:rPr/>
        <w:t>元由北明软件有限公司提供保证担保。 本公司子公司北明软件有限公司期末银行保函中</w:t>
      </w:r>
      <w:r>
        <w:rPr>
          <w:rFonts w:ascii="Times New Roman" w:hAnsi="Times New Roman" w:cs="Times New Roman" w:eastAsia="Times New Roman" w:hint="default"/>
        </w:rPr>
        <w:t>382,956.45</w:t>
      </w:r>
      <w:r>
        <w:rPr/>
        <w:t>元由李锋、应华江提供担保。</w:t>
      </w:r>
    </w:p>
    <w:p>
      <w:pPr>
        <w:pStyle w:val="BodyText"/>
        <w:spacing w:line="240" w:lineRule="auto" w:before="55"/>
        <w:ind w:left="599" w:right="568"/>
        <w:jc w:val="left"/>
      </w:pPr>
      <w:r>
        <w:rPr/>
        <w:t>②其他担保情况</w:t>
      </w:r>
    </w:p>
    <w:p>
      <w:pPr>
        <w:spacing w:line="240" w:lineRule="auto" w:before="5"/>
        <w:rPr>
          <w:rFonts w:ascii="宋体" w:hAnsi="宋体" w:cs="宋体" w:eastAsia="宋体" w:hint="default"/>
          <w:sz w:val="22"/>
          <w:szCs w:val="22"/>
        </w:rPr>
      </w:pPr>
    </w:p>
    <w:p>
      <w:pPr>
        <w:pStyle w:val="BodyText"/>
        <w:spacing w:line="300" w:lineRule="auto"/>
        <w:ind w:right="0" w:firstLine="360"/>
        <w:jc w:val="left"/>
      </w:pPr>
      <w:r>
        <w:rPr>
          <w:spacing w:val="-2"/>
        </w:rPr>
        <w:t>石家庄常山纺织集团有限责任公司为本公司提供</w:t>
      </w:r>
      <w:r>
        <w:rPr>
          <w:rFonts w:ascii="Times New Roman" w:hAnsi="Times New Roman" w:cs="Times New Roman" w:eastAsia="Times New Roman" w:hint="default"/>
          <w:spacing w:val="-2"/>
        </w:rPr>
        <w:t>172,929,003.23</w:t>
      </w:r>
      <w:r>
        <w:rPr>
          <w:spacing w:val="-2"/>
        </w:rPr>
        <w:t>元的信用证保证担保，提供</w:t>
      </w:r>
      <w:r>
        <w:rPr>
          <w:rFonts w:ascii="Times New Roman" w:hAnsi="Times New Roman" w:cs="Times New Roman" w:eastAsia="Times New Roman" w:hint="default"/>
          <w:spacing w:val="-2"/>
        </w:rPr>
        <w:t>25,000,000.00</w:t>
      </w:r>
      <w:r>
        <w:rPr>
          <w:spacing w:val="-2"/>
        </w:rPr>
        <w:t>元银行承兑汇票</w:t>
      </w:r>
      <w:r>
        <w:rPr/>
        <w:t> 保证担保和设备融资租赁</w:t>
      </w:r>
      <w:r>
        <w:rPr>
          <w:rFonts w:ascii="Times New Roman" w:hAnsi="Times New Roman" w:cs="Times New Roman" w:eastAsia="Times New Roman" w:hint="default"/>
        </w:rPr>
        <w:t>103,562,500.00</w:t>
      </w:r>
      <w:r>
        <w:rPr/>
        <w:t>元提供保证担保。</w:t>
      </w:r>
    </w:p>
    <w:p>
      <w:pPr>
        <w:spacing w:line="240" w:lineRule="auto" w:before="7"/>
        <w:rPr>
          <w:rFonts w:ascii="宋体" w:hAnsi="宋体" w:cs="宋体" w:eastAsia="宋体" w:hint="default"/>
          <w:sz w:val="17"/>
          <w:szCs w:val="17"/>
        </w:rPr>
      </w:pPr>
    </w:p>
    <w:p>
      <w:pPr>
        <w:pStyle w:val="BodyText"/>
        <w:spacing w:line="316" w:lineRule="auto"/>
        <w:ind w:left="513" w:right="301" w:hanging="70"/>
        <w:jc w:val="left"/>
      </w:pPr>
      <w:r>
        <w:rPr/>
        <w:t>③为子公司担保 本公司为子公司石家庄常山恒新纺织有限公司流动资金借款</w:t>
      </w:r>
      <w:r>
        <w:rPr>
          <w:rFonts w:ascii="Times New Roman" w:hAnsi="Times New Roman" w:cs="Times New Roman" w:eastAsia="Times New Roman" w:hint="default"/>
        </w:rPr>
        <w:t>110,000,000.00</w:t>
      </w:r>
      <w:r>
        <w:rPr/>
        <w:t>元，信用证</w:t>
      </w:r>
      <w:r>
        <w:rPr>
          <w:rFonts w:ascii="Times New Roman" w:hAnsi="Times New Roman" w:cs="Times New Roman" w:eastAsia="Times New Roman" w:hint="default"/>
        </w:rPr>
        <w:t>140,750,000.00</w:t>
      </w:r>
      <w:r>
        <w:rPr/>
        <w:t>元和设备融资租赁</w:t>
      </w:r>
    </w:p>
    <w:p>
      <w:pPr>
        <w:pStyle w:val="BodyText"/>
        <w:spacing w:line="508" w:lineRule="auto"/>
        <w:ind w:left="513" w:right="2326" w:hanging="360"/>
        <w:jc w:val="left"/>
      </w:pPr>
      <w:r>
        <w:rPr>
          <w:rFonts w:ascii="Times New Roman" w:hAnsi="Times New Roman" w:cs="Times New Roman" w:eastAsia="Times New Roman" w:hint="default"/>
        </w:rPr>
        <w:t>64,956,111.10</w:t>
      </w:r>
      <w:r>
        <w:rPr/>
        <w:t>元保证担保。 本公司为子公司石家庄常山恒荣进出口贸易有限公司信用证</w:t>
      </w:r>
      <w:r>
        <w:rPr>
          <w:rFonts w:ascii="Times New Roman" w:hAnsi="Times New Roman" w:cs="Times New Roman" w:eastAsia="Times New Roman" w:hint="default"/>
        </w:rPr>
        <w:t>370,645,600.00</w:t>
      </w:r>
      <w:r>
        <w:rPr/>
        <w:t>元提供保证担保。</w:t>
      </w:r>
    </w:p>
    <w:p>
      <w:pPr>
        <w:pStyle w:val="BodyText"/>
        <w:spacing w:line="300" w:lineRule="auto" w:before="55"/>
        <w:ind w:right="0" w:firstLine="360"/>
        <w:jc w:val="left"/>
      </w:pPr>
      <w:r>
        <w:rPr>
          <w:spacing w:val="-1"/>
        </w:rPr>
        <w:t>本公司为子公司北明软件有限公司流动资金借款</w:t>
      </w:r>
      <w:r>
        <w:rPr>
          <w:rFonts w:ascii="Times New Roman" w:hAnsi="Times New Roman" w:cs="Times New Roman" w:eastAsia="Times New Roman" w:hint="default"/>
          <w:spacing w:val="-1"/>
        </w:rPr>
        <w:t>955,000,000.00</w:t>
      </w:r>
      <w:r>
        <w:rPr>
          <w:spacing w:val="-1"/>
        </w:rPr>
        <w:t>元，银行承兑</w:t>
      </w:r>
      <w:r>
        <w:rPr>
          <w:rFonts w:ascii="Times New Roman" w:hAnsi="Times New Roman" w:cs="Times New Roman" w:eastAsia="Times New Roman" w:hint="default"/>
          <w:spacing w:val="-1"/>
        </w:rPr>
        <w:t>22,480,798.51</w:t>
      </w:r>
      <w:r>
        <w:rPr>
          <w:spacing w:val="-1"/>
        </w:rPr>
        <w:t>元、银行保函</w:t>
      </w:r>
      <w:r>
        <w:rPr>
          <w:rFonts w:ascii="Times New Roman" w:hAnsi="Times New Roman" w:cs="Times New Roman" w:eastAsia="Times New Roman" w:hint="default"/>
          <w:spacing w:val="-1"/>
        </w:rPr>
        <w:t>70,862,191.82</w:t>
      </w:r>
      <w:r>
        <w:rPr>
          <w:spacing w:val="-1"/>
        </w:rPr>
        <w:t>元</w:t>
      </w:r>
      <w:r>
        <w:rPr/>
        <w:t> 提供保证担保。</w:t>
      </w:r>
    </w:p>
    <w:p>
      <w:pPr>
        <w:spacing w:line="240" w:lineRule="auto" w:before="12"/>
        <w:rPr>
          <w:rFonts w:ascii="宋体" w:hAnsi="宋体" w:cs="宋体" w:eastAsia="宋体" w:hint="default"/>
          <w:sz w:val="18"/>
          <w:szCs w:val="18"/>
        </w:rPr>
      </w:pPr>
    </w:p>
    <w:p>
      <w:pPr>
        <w:pStyle w:val="BodyText"/>
        <w:spacing w:line="240" w:lineRule="auto"/>
        <w:ind w:left="513" w:right="568"/>
        <w:jc w:val="left"/>
      </w:pPr>
      <w:r>
        <w:rPr/>
        <w:t>北明软件有限公司为其子公司北京天时前程自动化工程技术有限公司流动资金借款</w:t>
      </w:r>
      <w:r>
        <w:rPr>
          <w:rFonts w:ascii="Times New Roman" w:hAnsi="Times New Roman" w:cs="Times New Roman" w:eastAsia="Times New Roman" w:hint="default"/>
        </w:rPr>
        <w:t>20,000,000.00</w:t>
      </w:r>
      <w:r>
        <w:rPr/>
        <w:t>元提供保证担保。</w:t>
      </w:r>
    </w:p>
    <w:p>
      <w:pPr>
        <w:spacing w:line="240" w:lineRule="auto" w:before="12"/>
        <w:rPr>
          <w:rFonts w:ascii="宋体" w:hAnsi="宋体" w:cs="宋体" w:eastAsia="宋体" w:hint="default"/>
          <w:sz w:val="25"/>
          <w:szCs w:val="25"/>
        </w:rPr>
      </w:pPr>
    </w:p>
    <w:p>
      <w:pPr>
        <w:pStyle w:val="Heading3"/>
        <w:spacing w:line="240" w:lineRule="auto"/>
        <w:ind w:right="568"/>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31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5,949,300.00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4,721,600.00</w:t>
            </w:r>
          </w:p>
        </w:tc>
      </w:tr>
    </w:tbl>
    <w:p>
      <w:pPr>
        <w:spacing w:line="240" w:lineRule="auto" w:before="2"/>
        <w:rPr>
          <w:rFonts w:ascii="宋体" w:hAnsi="宋体" w:cs="宋体" w:eastAsia="宋体" w:hint="default"/>
          <w:sz w:val="19"/>
          <w:szCs w:val="19"/>
        </w:rPr>
      </w:pPr>
    </w:p>
    <w:p>
      <w:pPr>
        <w:pStyle w:val="Heading3"/>
        <w:spacing w:line="240" w:lineRule="auto" w:before="35"/>
        <w:ind w:right="568"/>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568"/>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1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00"/>
        <w:gridCol w:w="3780"/>
        <w:gridCol w:w="1260"/>
        <w:gridCol w:w="1260"/>
        <w:gridCol w:w="1260"/>
        <w:gridCol w:w="1260"/>
      </w:tblGrid>
      <w:tr>
        <w:trPr>
          <w:trHeight w:val="402" w:hRule="exact"/>
        </w:trPr>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00" w:type="dxa"/>
            <w:vMerge/>
            <w:tcBorders>
              <w:left w:val="single" w:sz="4" w:space="0" w:color="000000"/>
              <w:bottom w:val="single" w:sz="4" w:space="0" w:color="000000"/>
              <w:right w:val="single" w:sz="4" w:space="0" w:color="000000"/>
            </w:tcBorders>
            <w:shd w:val="clear" w:color="auto" w:fill="D3D3D3"/>
          </w:tcPr>
          <w:p>
            <w:pPr/>
          </w:p>
        </w:tc>
        <w:tc>
          <w:tcPr>
            <w:tcW w:w="3780"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3,544,491.80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335,439.65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8,985,043.00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89,850.43</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郑州郑热天时自动化工程技术有限公司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6,073,576.28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1,107,194.43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11,885,968.48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485,958.30</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12,440.00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3,276,248.00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32,762.48</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10,200.00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8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00"/>
        <w:gridCol w:w="3780"/>
        <w:gridCol w:w="1260"/>
        <w:gridCol w:w="1260"/>
        <w:gridCol w:w="1260"/>
        <w:gridCol w:w="1260"/>
      </w:tblGrid>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1,409,989.12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56,399.56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259,182.56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259,183.36</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4,092,376.86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2,015,189.70</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3,286,393.91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0"/>
        <w:gridCol w:w="4320"/>
        <w:gridCol w:w="1800"/>
        <w:gridCol w:w="1800"/>
      </w:tblGrid>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5,556,669.41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163,034.24</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44,064.77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272,778.02</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320,371.25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162,000.00</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1,556,179.24</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5,427,117.52</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10,112.58</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1,859,328.35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3,843,717.10</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1,396,587.00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1,396,587.00</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78,767.05</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3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560,000.00</w:t>
            </w:r>
          </w:p>
        </w:tc>
      </w:tr>
    </w:tbl>
    <w:p>
      <w:pPr>
        <w:spacing w:line="240" w:lineRule="auto" w:before="3"/>
        <w:rPr>
          <w:rFonts w:ascii="宋体" w:hAnsi="宋体" w:cs="宋体" w:eastAsia="宋体" w:hint="default"/>
          <w:sz w:val="18"/>
          <w:szCs w:val="18"/>
        </w:rPr>
      </w:pPr>
    </w:p>
    <w:p>
      <w:pPr>
        <w:spacing w:line="506" w:lineRule="auto" w:before="26"/>
        <w:ind w:left="154" w:right="7401" w:firstLine="0"/>
        <w:jc w:val="left"/>
        <w:rPr>
          <w:rFonts w:ascii="宋体" w:hAnsi="宋体" w:cs="宋体" w:eastAsia="宋体" w:hint="default"/>
          <w:sz w:val="18"/>
          <w:szCs w:val="18"/>
        </w:rPr>
      </w:pPr>
      <w:r>
        <w:rPr>
          <w:rFonts w:ascii="宋体" w:hAnsi="宋体" w:cs="宋体" w:eastAsia="宋体" w:hint="default"/>
          <w:b/>
          <w:bCs/>
          <w:sz w:val="24"/>
          <w:szCs w:val="24"/>
        </w:rPr>
        <w:t>十二、承诺及或有事项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
          <w:w w:val="99"/>
          <w:sz w:val="21"/>
          <w:szCs w:val="21"/>
        </w:rPr>
        <w:t> </w:t>
      </w:r>
      <w:r>
        <w:rPr>
          <w:rFonts w:ascii="宋体" w:hAnsi="宋体" w:cs="宋体" w:eastAsia="宋体" w:hint="default"/>
          <w:sz w:val="18"/>
          <w:szCs w:val="18"/>
        </w:rPr>
        <w:t>资产负债表日存在的重要承诺</w:t>
      </w:r>
    </w:p>
    <w:p>
      <w:pPr>
        <w:pStyle w:val="BodyText"/>
        <w:spacing w:line="300" w:lineRule="auto"/>
        <w:ind w:right="189"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日，公司第五届董事会第十八次会议审议通过《关于公司发行股份购买资产并募集配套资金暨关联交 </w:t>
      </w:r>
      <w:r>
        <w:rPr>
          <w:spacing w:val="-3"/>
        </w:rPr>
        <w:t>易的方案》，拟以发行股份的方式购买北京北明伟业控股有限公司</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北明控股</w:t>
      </w:r>
      <w:r>
        <w:rPr>
          <w:rFonts w:ascii="Times New Roman" w:hAnsi="Times New Roman" w:cs="Times New Roman" w:eastAsia="Times New Roman" w:hint="default"/>
          <w:spacing w:val="-3"/>
        </w:rPr>
        <w:t>”</w:t>
      </w:r>
      <w:r>
        <w:rPr>
          <w:spacing w:val="-3"/>
        </w:rPr>
        <w:t>）、北京万峰嘉晔投资管理中心（有</w:t>
      </w:r>
      <w:r>
        <w:rPr>
          <w:spacing w:val="-46"/>
        </w:rPr>
        <w:t> </w:t>
      </w:r>
      <w:r>
        <w:rPr>
          <w:spacing w:val="-46"/>
        </w:rPr>
      </w:r>
      <w:r>
        <w:rPr>
          <w:spacing w:val="-1"/>
        </w:rPr>
        <w:t>限合伙）（以下简称</w:t>
      </w:r>
      <w:r>
        <w:rPr>
          <w:rFonts w:ascii="Times New Roman" w:hAnsi="Times New Roman" w:cs="Times New Roman" w:eastAsia="Times New Roman" w:hint="default"/>
          <w:spacing w:val="-1"/>
        </w:rPr>
        <w:t>“</w:t>
      </w:r>
      <w:r>
        <w:rPr>
          <w:spacing w:val="-1"/>
        </w:rPr>
        <w:t>万峰嘉晔</w:t>
      </w:r>
      <w:r>
        <w:rPr>
          <w:rFonts w:ascii="Times New Roman" w:hAnsi="Times New Roman" w:cs="Times New Roman" w:eastAsia="Times New Roman" w:hint="default"/>
          <w:spacing w:val="-1"/>
        </w:rPr>
        <w:t>”</w:t>
      </w:r>
      <w:r>
        <w:rPr>
          <w:spacing w:val="-1"/>
        </w:rPr>
        <w:t>）、北京万峰嘉华投资管理中心（有限合伙）（以下简称</w:t>
      </w:r>
      <w:r>
        <w:rPr>
          <w:rFonts w:ascii="Times New Roman" w:hAnsi="Times New Roman" w:cs="Times New Roman" w:eastAsia="Times New Roman" w:hint="default"/>
          <w:spacing w:val="-1"/>
        </w:rPr>
        <w:t>“</w:t>
      </w:r>
      <w:r>
        <w:rPr>
          <w:spacing w:val="-1"/>
        </w:rPr>
        <w:t>万峰嘉华</w:t>
      </w:r>
      <w:r>
        <w:rPr>
          <w:rFonts w:ascii="Times New Roman" w:hAnsi="Times New Roman" w:cs="Times New Roman" w:eastAsia="Times New Roman" w:hint="default"/>
          <w:spacing w:val="-1"/>
        </w:rPr>
        <w:t>”</w:t>
      </w:r>
      <w:r>
        <w:rPr>
          <w:spacing w:val="-1"/>
        </w:rPr>
        <w:t>）、广发信德投资管理</w:t>
      </w:r>
      <w:r>
        <w:rPr>
          <w:spacing w:val="-79"/>
        </w:rPr>
        <w:t> </w:t>
      </w:r>
      <w:r>
        <w:rPr>
          <w:spacing w:val="-79"/>
        </w:rPr>
      </w:r>
      <w:r>
        <w:rPr>
          <w:spacing w:val="-1"/>
        </w:rPr>
        <w:t>有限公司（以下简称</w:t>
      </w:r>
      <w:r>
        <w:rPr>
          <w:rFonts w:ascii="Times New Roman" w:hAnsi="Times New Roman" w:cs="Times New Roman" w:eastAsia="Times New Roman" w:hint="default"/>
          <w:spacing w:val="-1"/>
        </w:rPr>
        <w:t>“</w:t>
      </w:r>
      <w:r>
        <w:rPr>
          <w:spacing w:val="-1"/>
        </w:rPr>
        <w:t>广发信德</w:t>
      </w:r>
      <w:r>
        <w:rPr>
          <w:rFonts w:ascii="Times New Roman" w:hAnsi="Times New Roman" w:cs="Times New Roman" w:eastAsia="Times New Roman" w:hint="default"/>
          <w:spacing w:val="-1"/>
        </w:rPr>
        <w:t>”</w:t>
      </w:r>
      <w:r>
        <w:rPr>
          <w:spacing w:val="-1"/>
        </w:rPr>
        <w:t>）、新疆合赢成长股权投资有限合伙企业（以下简称</w:t>
      </w:r>
      <w:r>
        <w:rPr>
          <w:rFonts w:ascii="Times New Roman" w:hAnsi="Times New Roman" w:cs="Times New Roman" w:eastAsia="Times New Roman" w:hint="default"/>
          <w:spacing w:val="-1"/>
        </w:rPr>
        <w:t>“</w:t>
      </w:r>
      <w:r>
        <w:rPr>
          <w:spacing w:val="-1"/>
        </w:rPr>
        <w:t>合赢成长</w:t>
      </w:r>
      <w:r>
        <w:rPr>
          <w:rFonts w:ascii="Times New Roman" w:hAnsi="Times New Roman" w:cs="Times New Roman" w:eastAsia="Times New Roman" w:hint="default"/>
          <w:spacing w:val="-1"/>
        </w:rPr>
        <w:t>”</w:t>
      </w:r>
      <w:r>
        <w:rPr>
          <w:spacing w:val="-1"/>
        </w:rPr>
        <w:t>）、广州西域至尚投资管理</w:t>
      </w:r>
      <w:r>
        <w:rPr>
          <w:spacing w:val="-82"/>
        </w:rPr>
        <w:t> </w:t>
      </w:r>
      <w:r>
        <w:rPr>
          <w:spacing w:val="-82"/>
        </w:rPr>
      </w:r>
      <w:r>
        <w:rPr/>
        <w:t>中心（有限合伙）（以下简称</w:t>
      </w:r>
      <w:r>
        <w:rPr>
          <w:rFonts w:ascii="Times New Roman" w:hAnsi="Times New Roman" w:cs="Times New Roman" w:eastAsia="Times New Roman" w:hint="default"/>
        </w:rPr>
        <w:t>“</w:t>
      </w:r>
      <w:r>
        <w:rPr/>
        <w:t>西域至尚</w:t>
      </w:r>
      <w:r>
        <w:rPr>
          <w:rFonts w:ascii="Times New Roman" w:hAnsi="Times New Roman" w:cs="Times New Roman" w:eastAsia="Times New Roman" w:hint="default"/>
        </w:rPr>
        <w:t>”</w:t>
      </w:r>
      <w:r>
        <w:rPr/>
        <w:t>）等</w:t>
      </w:r>
      <w:r>
        <w:rPr>
          <w:rFonts w:ascii="Times New Roman" w:hAnsi="Times New Roman" w:cs="Times New Roman" w:eastAsia="Times New Roman" w:hint="default"/>
        </w:rPr>
        <w:t>6</w:t>
      </w:r>
      <w:r>
        <w:rPr/>
        <w:t>家机构及李锋等</w:t>
      </w:r>
      <w:r>
        <w:rPr>
          <w:rFonts w:ascii="Times New Roman" w:hAnsi="Times New Roman" w:cs="Times New Roman" w:eastAsia="Times New Roman" w:hint="default"/>
        </w:rPr>
        <w:t>41</w:t>
      </w:r>
      <w:r>
        <w:rPr/>
        <w:t>名自然人持有的北明软件股份有限公司，现已更名为北明 软件有限公司（以下简称</w:t>
      </w:r>
      <w:r>
        <w:rPr>
          <w:rFonts w:ascii="Times New Roman" w:hAnsi="Times New Roman" w:cs="Times New Roman" w:eastAsia="Times New Roman" w:hint="default"/>
        </w:rPr>
        <w:t>“</w:t>
      </w:r>
      <w:r>
        <w:rPr/>
        <w:t>北明软件</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w:t>
      </w:r>
    </w:p>
    <w:p>
      <w:pPr>
        <w:pStyle w:val="BodyText"/>
        <w:spacing w:line="300" w:lineRule="auto" w:before="133"/>
        <w:ind w:left="154" w:right="198"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日，中国证券监督管理委员会出具《关于核准石家庄常山纺织股份有限公司向北京北明伟业控股有限公司 等发行股份购买资产并募集配套资金的批复》（证监许可</w:t>
      </w:r>
      <w:r>
        <w:rPr>
          <w:rFonts w:ascii="Times New Roman" w:hAnsi="Times New Roman" w:cs="Times New Roman" w:eastAsia="Times New Roman" w:hint="default"/>
        </w:rPr>
        <w:t>[2015]469</w:t>
      </w:r>
      <w:r>
        <w:rPr/>
        <w:t>号），核准本次交易。</w:t>
      </w:r>
    </w:p>
    <w:p>
      <w:pPr>
        <w:pStyle w:val="BodyText"/>
        <w:spacing w:line="300" w:lineRule="auto" w:before="133"/>
        <w:ind w:left="154" w:right="198" w:firstLine="360"/>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日，北明软件相关股权已过户至本公司名下，相关工商变更登记手续已办理完毕。变更后，本公司直 接持有北明软件</w:t>
      </w:r>
      <w:r>
        <w:rPr>
          <w:rFonts w:ascii="Times New Roman" w:hAnsi="Times New Roman" w:cs="Times New Roman" w:eastAsia="Times New Roman" w:hint="default"/>
        </w:rPr>
        <w:t>100%</w:t>
      </w:r>
      <w:r>
        <w:rPr/>
        <w:t>股权。</w:t>
      </w:r>
    </w:p>
    <w:p>
      <w:pPr>
        <w:pStyle w:val="BodyText"/>
        <w:spacing w:line="300" w:lineRule="auto" w:before="133"/>
        <w:ind w:left="154" w:right="215" w:firstLine="360"/>
        <w:jc w:val="both"/>
      </w:pPr>
      <w:r>
        <w:rPr/>
        <w:t>根据本公司与交易各方签署的《发行股份购买资产暨利润补偿协议》及其补充协议，业绩补偿方承诺北明软件</w:t>
      </w:r>
      <w:r>
        <w:rPr>
          <w:rFonts w:ascii="Times New Roman" w:hAnsi="Times New Roman" w:cs="Times New Roman" w:eastAsia="Times New Roman" w:hint="default"/>
        </w:rPr>
        <w:t>2017</w:t>
      </w:r>
      <w:r>
        <w:rPr>
          <w:rFonts w:ascii="Times New Roman" w:hAnsi="Times New Roman" w:cs="Times New Roman" w:eastAsia="Times New Roman" w:hint="default"/>
          <w:spacing w:val="28"/>
        </w:rPr>
        <w:t> </w:t>
      </w:r>
      <w:r>
        <w:rPr/>
        <w:t>年 度预测扣除非经常性损益的净利润为</w:t>
      </w:r>
      <w:r>
        <w:rPr>
          <w:rFonts w:ascii="Times New Roman" w:hAnsi="Times New Roman" w:cs="Times New Roman" w:eastAsia="Times New Roman" w:hint="default"/>
        </w:rPr>
        <w:t>25,377.00</w:t>
      </w:r>
      <w:r>
        <w:rPr/>
        <w:t>万元，当年实际扣非后净利润为</w:t>
      </w:r>
      <w:r>
        <w:rPr>
          <w:rFonts w:ascii="Times New Roman" w:hAnsi="Times New Roman" w:cs="Times New Roman" w:eastAsia="Times New Roman" w:hint="default"/>
        </w:rPr>
        <w:t>27,648.88</w:t>
      </w:r>
      <w:r>
        <w:rPr/>
        <w:t>万元，超额完成了业绩承诺。</w:t>
      </w:r>
    </w:p>
    <w:p>
      <w:pPr>
        <w:pStyle w:val="BodyText"/>
        <w:spacing w:line="240" w:lineRule="auto" w:before="133"/>
        <w:ind w:left="514" w:right="0"/>
        <w:jc w:val="left"/>
      </w:pPr>
      <w:r>
        <w:rPr>
          <w:rFonts w:ascii="Times New Roman" w:hAnsi="Times New Roman" w:cs="Times New Roman" w:eastAsia="Times New Roman" w:hint="default"/>
        </w:rPr>
        <w:t>2</w:t>
      </w:r>
      <w:r>
        <w:rPr/>
        <w:t>、经公司于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日召开的董事会六届二次会议审议通过，公司之全资子公司北明软件有限公司为了自身业务发</w:t>
      </w:r>
    </w:p>
    <w:p>
      <w:pPr>
        <w:spacing w:after="0" w:line="240"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9" w:lineRule="auto" w:before="44"/>
        <w:ind w:right="151"/>
        <w:jc w:val="both"/>
      </w:pPr>
      <w:r>
        <w:rPr>
          <w:spacing w:val="-2"/>
        </w:rPr>
        <w:t>展需要，以自有资金收购索科维尔（北京）软件系统有限公司、北京天时前程自动化工程技术有限公司、山东成功信息技术</w:t>
      </w:r>
      <w:r>
        <w:rPr>
          <w:spacing w:val="-66"/>
        </w:rPr>
        <w:t> </w:t>
      </w:r>
      <w:r>
        <w:rPr>
          <w:spacing w:val="-66"/>
        </w:rPr>
      </w:r>
      <w:r>
        <w:rPr/>
        <w:t>有限公司、北京明润华创科技有限责任公司四家公司股权，截至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日，上述交易完成，索科维尔、天时前程、山 东成功和明润华创成为北明软件的全资子公司。</w:t>
      </w:r>
    </w:p>
    <w:p>
      <w:pPr>
        <w:pStyle w:val="BodyText"/>
        <w:spacing w:line="304" w:lineRule="auto" w:before="144"/>
        <w:ind w:right="151" w:firstLine="360"/>
        <w:jc w:val="left"/>
      </w:pPr>
      <w:r>
        <w:rPr>
          <w:spacing w:val="-2"/>
        </w:rPr>
        <w:t>根据北明软件分别与各交易对手方签署的《股权转让协议》，北京明润华创科技有限责任公司、北京天时前程自动化工</w:t>
      </w:r>
      <w:r>
        <w:rPr/>
        <w:t> </w:t>
      </w:r>
      <w:r>
        <w:rPr>
          <w:spacing w:val="-2"/>
        </w:rPr>
        <w:t>程技术有限公司、索科维尔（北京）软件系统有限公司、山东成功信息技术有限公司分别承诺</w:t>
      </w:r>
      <w:r>
        <w:rPr>
          <w:rFonts w:ascii="Times New Roman" w:hAnsi="Times New Roman" w:cs="Times New Roman" w:eastAsia="Times New Roman" w:hint="default"/>
          <w:spacing w:val="-2"/>
        </w:rPr>
        <w:t>2017</w:t>
      </w:r>
      <w:r>
        <w:rPr>
          <w:spacing w:val="-2"/>
        </w:rPr>
        <w:t>年扣除非经常损益的净利</w:t>
      </w:r>
      <w:r>
        <w:rPr>
          <w:spacing w:val="-62"/>
        </w:rPr>
        <w:t> </w:t>
      </w:r>
      <w:r>
        <w:rPr/>
        <w:t>润完成</w:t>
      </w:r>
      <w:r>
        <w:rPr>
          <w:rFonts w:ascii="Times New Roman" w:hAnsi="Times New Roman" w:cs="Times New Roman" w:eastAsia="Times New Roman" w:hint="default"/>
        </w:rPr>
        <w:t>608.00</w:t>
      </w:r>
      <w:r>
        <w:rPr/>
        <w:t>万元、</w:t>
      </w:r>
      <w:r>
        <w:rPr>
          <w:rFonts w:ascii="Times New Roman" w:hAnsi="Times New Roman" w:cs="Times New Roman" w:eastAsia="Times New Roman" w:hint="default"/>
        </w:rPr>
        <w:t>2,813.00</w:t>
      </w:r>
      <w:r>
        <w:rPr/>
        <w:t>万元、</w:t>
      </w:r>
      <w:r>
        <w:rPr>
          <w:rFonts w:ascii="Times New Roman" w:hAnsi="Times New Roman" w:cs="Times New Roman" w:eastAsia="Times New Roman" w:hint="default"/>
        </w:rPr>
        <w:t>1,797.00</w:t>
      </w:r>
      <w:r>
        <w:rPr/>
        <w:t>万元和</w:t>
      </w:r>
      <w:r>
        <w:rPr>
          <w:rFonts w:ascii="Times New Roman" w:hAnsi="Times New Roman" w:cs="Times New Roman" w:eastAsia="Times New Roman" w:hint="default"/>
        </w:rPr>
        <w:t>625.00</w:t>
      </w:r>
      <w:r>
        <w:rPr/>
        <w:t>万元，上述四家公司当年实际扣非后净利润分别为</w:t>
      </w:r>
      <w:r>
        <w:rPr>
          <w:rFonts w:ascii="Times New Roman" w:hAnsi="Times New Roman" w:cs="Times New Roman" w:eastAsia="Times New Roman" w:hint="default"/>
        </w:rPr>
        <w:t>680.02</w:t>
      </w:r>
      <w:r>
        <w:rPr/>
        <w:t>万元、 </w:t>
      </w:r>
      <w:r>
        <w:rPr>
          <w:rFonts w:ascii="Times New Roman" w:hAnsi="Times New Roman" w:cs="Times New Roman" w:eastAsia="Times New Roman" w:hint="default"/>
          <w:spacing w:val="-1"/>
        </w:rPr>
        <w:t>2,910.66</w:t>
      </w:r>
      <w:r>
        <w:rPr>
          <w:spacing w:val="-1"/>
        </w:rPr>
        <w:t>万元、</w:t>
      </w:r>
      <w:r>
        <w:rPr>
          <w:rFonts w:ascii="Times New Roman" w:hAnsi="Times New Roman" w:cs="Times New Roman" w:eastAsia="Times New Roman" w:hint="default"/>
          <w:spacing w:val="-1"/>
        </w:rPr>
        <w:t>-74.84</w:t>
      </w:r>
      <w:r>
        <w:rPr>
          <w:spacing w:val="-1"/>
        </w:rPr>
        <w:t>万元和</w:t>
      </w:r>
      <w:r>
        <w:rPr>
          <w:rFonts w:ascii="Times New Roman" w:hAnsi="Times New Roman" w:cs="Times New Roman" w:eastAsia="Times New Roman" w:hint="default"/>
          <w:spacing w:val="-1"/>
        </w:rPr>
        <w:t>716.91</w:t>
      </w:r>
      <w:r>
        <w:rPr>
          <w:spacing w:val="-1"/>
        </w:rPr>
        <w:t>万元，其中北京明润华创科技有限责任公司、北京天时前程自动化工程技术有限公司、山</w:t>
      </w:r>
      <w:r>
        <w:rPr>
          <w:spacing w:val="-85"/>
        </w:rPr>
        <w:t> </w:t>
      </w:r>
      <w:r>
        <w:rPr>
          <w:spacing w:val="-85"/>
        </w:rPr>
      </w:r>
      <w:r>
        <w:rPr/>
        <w:t>东成功信息技术有限公司三家公司超额完成了业绩承诺，索科维尔（北京）软件系统有限公司没有完成业绩承诺。</w:t>
      </w:r>
    </w:p>
    <w:p>
      <w:pPr>
        <w:pStyle w:val="BodyText"/>
        <w:spacing w:line="300" w:lineRule="auto" w:before="148"/>
        <w:ind w:right="150" w:firstLine="360"/>
        <w:jc w:val="both"/>
      </w:pPr>
      <w:r>
        <w:rPr>
          <w:rFonts w:ascii="Times New Roman" w:hAnsi="Times New Roman" w:cs="Times New Roman" w:eastAsia="Times New Roman" w:hint="default"/>
          <w:spacing w:val="-2"/>
        </w:rPr>
        <w:t>3</w:t>
      </w:r>
      <w:r>
        <w:rPr>
          <w:spacing w:val="-2"/>
        </w:rPr>
        <w:t>、经公司于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日召开的董事会六届十次会议审议通过，公司之全资子公司北明软件有限公司为了自身业务发</w:t>
      </w:r>
      <w:r>
        <w:rPr/>
        <w:t> 展需要，以自有资金收购北京金实盈信科技有限公司股权，截至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日，上述交易完成北京金实盈信科技有限公司 成为北明软件的全资子公司。</w:t>
      </w:r>
    </w:p>
    <w:p>
      <w:pPr>
        <w:pStyle w:val="BodyText"/>
        <w:spacing w:line="300" w:lineRule="auto" w:before="151"/>
        <w:ind w:right="141" w:firstLine="360"/>
        <w:jc w:val="left"/>
      </w:pPr>
      <w:r>
        <w:rPr>
          <w:spacing w:val="-2"/>
        </w:rPr>
        <w:t>根据北明软件与交易对手方签署的《股权转让协议》，北京金实盈信科技有限公司承诺</w:t>
      </w:r>
      <w:r>
        <w:rPr>
          <w:rFonts w:ascii="Times New Roman" w:hAnsi="Times New Roman" w:cs="Times New Roman" w:eastAsia="Times New Roman" w:hint="default"/>
          <w:spacing w:val="-2"/>
        </w:rPr>
        <w:t>2017</w:t>
      </w:r>
      <w:r>
        <w:rPr>
          <w:spacing w:val="-2"/>
        </w:rPr>
        <w:t>年扣除非经常性损益的净利</w:t>
      </w:r>
      <w:r>
        <w:rPr/>
        <w:t> 润完成</w:t>
      </w:r>
      <w:r>
        <w:rPr>
          <w:rFonts w:ascii="Times New Roman" w:hAnsi="Times New Roman" w:cs="Times New Roman" w:eastAsia="Times New Roman" w:hint="default"/>
        </w:rPr>
        <w:t>1,750.00</w:t>
      </w:r>
      <w:r>
        <w:rPr/>
        <w:t>万元，当年实际扣非后净利润为</w:t>
      </w:r>
      <w:r>
        <w:rPr>
          <w:rFonts w:ascii="Times New Roman" w:hAnsi="Times New Roman" w:cs="Times New Roman" w:eastAsia="Times New Roman" w:hint="default"/>
        </w:rPr>
        <w:t>1,757.10</w:t>
      </w:r>
      <w:r>
        <w:rPr/>
        <w:t>万元，超额完成了业绩承诺。</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4976;top:14;width:2;height:392" coordorigin="4976,14" coordsize="2,392">
              <v:shape style="position:absolute;left:4976;top:14;width:2;height:392" coordorigin="4976,14" coordsize="0,392" path="m4976,14l4976,406e" filled="false" stroked="true" strokeweight="1.2pt" strokecolor="#d3d3d3">
                <v:path arrowok="t"/>
              </v:shape>
            </v:group>
            <v:group style="position:absolute;left:37;top:14;width:4928;height:392" coordorigin="37,14" coordsize="4928,392">
              <v:shape style="position:absolute;left:37;top:14;width:4928;height:392" coordorigin="37,14" coordsize="4928,392" path="m37,406l4964,406,4964,14,37,14,37,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7998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1;top:10;width:4973;height:402" type="#_x0000_t202" filled="false" stroked="false">
                <v:textbox inset="0,0,0,0">
                  <w:txbxContent>
                    <w:p>
                      <w:pPr>
                        <w:spacing w:before="56"/>
                        <w:ind w:left="16"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93;top:10;width:4584;height:402" type="#_x0000_t202" filled="false" stroked="false">
                <v:textbox inset="0,0,0,0">
                  <w:txbxContent>
                    <w:p>
                      <w:pPr>
                        <w:spacing w:before="96"/>
                        <w:ind w:left="0" w:right="25" w:firstLine="0"/>
                        <w:jc w:val="right"/>
                        <w:rPr>
                          <w:rFonts w:ascii="Times New Roman" w:hAnsi="Times New Roman" w:cs="Times New Roman" w:eastAsia="Times New Roman" w:hint="default"/>
                          <w:sz w:val="18"/>
                          <w:szCs w:val="18"/>
                        </w:rPr>
                      </w:pPr>
                      <w:r>
                        <w:rPr>
                          <w:rFonts w:ascii="Times New Roman"/>
                          <w:spacing w:val="-1"/>
                          <w:sz w:val="18"/>
                        </w:rPr>
                        <w:t>82,643,748.05</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141"/>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41"/>
        <w:jc w:val="left"/>
      </w:pPr>
      <w:r>
        <w:rPr>
          <w:rFonts w:ascii="Times New Roman" w:hAnsi="Times New Roman" w:cs="Times New Roman" w:eastAsia="Times New Roman" w:hint="default"/>
        </w:rPr>
        <w:t>1</w:t>
      </w:r>
      <w:r>
        <w:rPr/>
        <w:t>、部分股东承诺</w:t>
      </w:r>
    </w:p>
    <w:p>
      <w:pPr>
        <w:spacing w:line="240" w:lineRule="auto" w:before="13"/>
        <w:rPr>
          <w:rFonts w:ascii="宋体" w:hAnsi="宋体" w:cs="宋体" w:eastAsia="宋体" w:hint="default"/>
          <w:sz w:val="13"/>
          <w:szCs w:val="13"/>
        </w:rPr>
      </w:pPr>
    </w:p>
    <w:p>
      <w:pPr>
        <w:pStyle w:val="BodyText"/>
        <w:spacing w:line="300" w:lineRule="auto"/>
        <w:ind w:right="149"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7</w:t>
      </w:r>
      <w:r>
        <w:rPr>
          <w:spacing w:val="-2"/>
        </w:rPr>
        <w:t>日，公司收到公司第二大股东北京北明伟业控股有限公司以及北京万峰嘉晔投资管理中心（有限合伙）、北</w:t>
      </w:r>
      <w:r>
        <w:rPr/>
        <w:t> </w:t>
      </w:r>
      <w:r>
        <w:rPr>
          <w:spacing w:val="-5"/>
        </w:rPr>
        <w:t>京万峰嘉华投资管理中心（有限合伙）、李锋先生、应华江先生提交的《承诺书》，承诺其持有的对价股份自限售期满（</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8"/>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日）后六个月内不减持。</w:t>
      </w:r>
    </w:p>
    <w:p>
      <w:pPr>
        <w:pStyle w:val="BodyText"/>
        <w:spacing w:line="240" w:lineRule="auto" w:before="133"/>
        <w:ind w:left="514" w:right="141"/>
        <w:jc w:val="left"/>
      </w:pPr>
      <w:r>
        <w:rPr>
          <w:rFonts w:ascii="Times New Roman" w:hAnsi="Times New Roman" w:cs="Times New Roman" w:eastAsia="Times New Roman" w:hint="default"/>
        </w:rPr>
        <w:t>2</w:t>
      </w:r>
      <w:r>
        <w:rPr/>
        <w:t>、股权质押</w:t>
      </w:r>
    </w:p>
    <w:p>
      <w:pPr>
        <w:spacing w:line="240" w:lineRule="auto" w:before="13"/>
        <w:rPr>
          <w:rFonts w:ascii="宋体" w:hAnsi="宋体" w:cs="宋体" w:eastAsia="宋体" w:hint="default"/>
          <w:sz w:val="13"/>
          <w:szCs w:val="13"/>
        </w:rPr>
      </w:pPr>
    </w:p>
    <w:p>
      <w:pPr>
        <w:pStyle w:val="BodyText"/>
        <w:spacing w:line="240" w:lineRule="auto"/>
        <w:ind w:left="514" w:right="141"/>
        <w:jc w:val="left"/>
      </w:pPr>
      <w:r>
        <w:rPr/>
        <w:t>（</w:t>
      </w:r>
      <w:r>
        <w:rPr>
          <w:rFonts w:ascii="Times New Roman" w:hAnsi="Times New Roman" w:cs="Times New Roman" w:eastAsia="Times New Roman" w:hint="default"/>
        </w:rPr>
        <w:t>1</w:t>
      </w:r>
      <w:r>
        <w:rPr/>
        <w:t>）北京万峰嘉晔投资管理中心（有限合伙）（以下简称</w:t>
      </w:r>
      <w:r>
        <w:rPr>
          <w:rFonts w:ascii="Times New Roman" w:hAnsi="Times New Roman" w:cs="Times New Roman" w:eastAsia="Times New Roman" w:hint="default"/>
        </w:rPr>
        <w:t>“</w:t>
      </w:r>
      <w:r>
        <w:rPr/>
        <w:t>万峰嘉晔</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3"/>
          <w:szCs w:val="13"/>
        </w:rPr>
      </w:pPr>
    </w:p>
    <w:p>
      <w:pPr>
        <w:pStyle w:val="BodyText"/>
        <w:spacing w:line="300" w:lineRule="auto"/>
        <w:ind w:left="154" w:right="15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8</w:t>
      </w:r>
      <w:r>
        <w:rPr>
          <w:spacing w:val="-2"/>
        </w:rPr>
        <w:t>日，公司大股东万峰嘉晔将其持有的首发后机构类限售股</w:t>
      </w:r>
      <w:r>
        <w:rPr>
          <w:rFonts w:ascii="Times New Roman" w:hAnsi="Times New Roman" w:cs="Times New Roman" w:eastAsia="Times New Roman" w:hint="default"/>
          <w:spacing w:val="-2"/>
        </w:rPr>
        <w:t>4,700,000</w:t>
      </w:r>
      <w:r>
        <w:rPr>
          <w:spacing w:val="-2"/>
        </w:rPr>
        <w:t>股股票质押给广发证券股份有限公司，用</w:t>
      </w:r>
      <w:r>
        <w:rPr/>
        <w:t> 于办理股票质押式回购交易补充质押业务。</w:t>
      </w:r>
    </w:p>
    <w:p>
      <w:pPr>
        <w:spacing w:after="0" w:line="300" w:lineRule="auto"/>
        <w:jc w:val="both"/>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before="44"/>
        <w:ind w:left="173" w:right="184" w:firstLine="360"/>
        <w:jc w:val="both"/>
      </w:pPr>
      <w:r>
        <w:rPr/>
        <w:t>截止报告日，万峰嘉晔持有公司</w:t>
      </w:r>
      <w:r>
        <w:rPr>
          <w:rFonts w:ascii="Times New Roman" w:hAnsi="Times New Roman" w:cs="Times New Roman" w:eastAsia="Times New Roman" w:hint="default"/>
        </w:rPr>
        <w:t>82,644,361</w:t>
      </w:r>
      <w:r>
        <w:rPr/>
        <w:t>股，占公司股份总数的</w:t>
      </w:r>
      <w:r>
        <w:rPr>
          <w:rFonts w:ascii="Times New Roman" w:hAnsi="Times New Roman" w:cs="Times New Roman" w:eastAsia="Times New Roman" w:hint="default"/>
        </w:rPr>
        <w:t>5.00%</w:t>
      </w:r>
      <w:r>
        <w:rPr/>
        <w:t>。其所持有公司股份累计被质押</w:t>
      </w:r>
      <w:r>
        <w:rPr>
          <w:rFonts w:ascii="Times New Roman" w:hAnsi="Times New Roman" w:cs="Times New Roman" w:eastAsia="Times New Roman" w:hint="default"/>
        </w:rPr>
        <w:t>24,720,000</w:t>
      </w:r>
      <w:r>
        <w:rPr/>
        <w:t>股， 占公司股份总数的</w:t>
      </w:r>
      <w:r>
        <w:rPr>
          <w:rFonts w:ascii="Times New Roman" w:hAnsi="Times New Roman" w:cs="Times New Roman" w:eastAsia="Times New Roman" w:hint="default"/>
        </w:rPr>
        <w:t>1.50%</w:t>
      </w:r>
      <w:r>
        <w:rPr/>
        <w:t>。</w:t>
      </w:r>
    </w:p>
    <w:p>
      <w:pPr>
        <w:pStyle w:val="BodyText"/>
        <w:spacing w:line="240" w:lineRule="auto" w:before="133"/>
        <w:ind w:left="533" w:right="211"/>
        <w:jc w:val="left"/>
      </w:pPr>
      <w:r>
        <w:rPr/>
        <w:t>（</w:t>
      </w:r>
      <w:r>
        <w:rPr>
          <w:rFonts w:ascii="Times New Roman" w:hAnsi="Times New Roman" w:cs="Times New Roman" w:eastAsia="Times New Roman" w:hint="default"/>
        </w:rPr>
        <w:t>2</w:t>
      </w:r>
      <w:r>
        <w:rPr/>
        <w:t>）北京北明伟业控股有限公司（以下简称</w:t>
      </w:r>
      <w:r>
        <w:rPr>
          <w:rFonts w:ascii="Times New Roman" w:hAnsi="Times New Roman" w:cs="Times New Roman" w:eastAsia="Times New Roman" w:hint="default"/>
        </w:rPr>
        <w:t>“</w:t>
      </w:r>
      <w:r>
        <w:rPr/>
        <w:t>北明控股</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3"/>
          <w:szCs w:val="13"/>
        </w:rPr>
      </w:pPr>
    </w:p>
    <w:p>
      <w:pPr>
        <w:pStyle w:val="BodyText"/>
        <w:spacing w:line="300" w:lineRule="auto"/>
        <w:ind w:left="174" w:right="100" w:firstLine="360"/>
        <w:jc w:val="both"/>
      </w:pPr>
      <w:r>
        <w:rPr>
          <w:spacing w:val="-2"/>
        </w:rPr>
        <w:t>公司大股东北明控股于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日，将其持有的首发后机构类限售股</w:t>
      </w:r>
      <w:r>
        <w:rPr>
          <w:rFonts w:ascii="Times New Roman" w:hAnsi="Times New Roman" w:cs="Times New Roman" w:eastAsia="Times New Roman" w:hint="default"/>
          <w:spacing w:val="-2"/>
        </w:rPr>
        <w:t>3,240,000</w:t>
      </w:r>
      <w:r>
        <w:rPr>
          <w:spacing w:val="-2"/>
        </w:rPr>
        <w:t>股股票质押给广发证券股份有限公司，</w:t>
      </w:r>
      <w:r>
        <w:rPr/>
        <w:t> 用于办理股票质押式回购交易补充质押业务。</w:t>
      </w:r>
    </w:p>
    <w:p>
      <w:pPr>
        <w:pStyle w:val="BodyText"/>
        <w:spacing w:line="300" w:lineRule="auto" w:before="151"/>
        <w:ind w:left="174" w:right="198"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日，北明控股将其持有的首发后机构类限售股</w:t>
      </w:r>
      <w:r>
        <w:rPr>
          <w:rFonts w:ascii="Times New Roman" w:hAnsi="Times New Roman" w:cs="Times New Roman" w:eastAsia="Times New Roman" w:hint="default"/>
        </w:rPr>
        <w:t>40,000,000</w:t>
      </w:r>
      <w:r>
        <w:rPr/>
        <w:t>股股票分别质押给李健</w:t>
      </w:r>
      <w:r>
        <w:rPr>
          <w:rFonts w:ascii="Times New Roman" w:hAnsi="Times New Roman" w:cs="Times New Roman" w:eastAsia="Times New Roman" w:hint="default"/>
        </w:rPr>
        <w:t>27,500,000</w:t>
      </w:r>
      <w:r>
        <w:rPr/>
        <w:t>股、太证融资租 赁有限公司</w:t>
      </w:r>
      <w:r>
        <w:rPr>
          <w:rFonts w:ascii="Times New Roman" w:hAnsi="Times New Roman" w:cs="Times New Roman" w:eastAsia="Times New Roman" w:hint="default"/>
        </w:rPr>
        <w:t>12,500,000</w:t>
      </w:r>
      <w:r>
        <w:rPr/>
        <w:t>股，用于办理股票质押式回购交易业务。</w:t>
      </w:r>
    </w:p>
    <w:p>
      <w:pPr>
        <w:pStyle w:val="BodyText"/>
        <w:spacing w:line="300" w:lineRule="auto" w:before="133"/>
        <w:ind w:left="174" w:right="102" w:firstLine="360"/>
        <w:jc w:val="both"/>
      </w:pPr>
      <w:r>
        <w:rPr>
          <w:spacing w:val="-2"/>
        </w:rPr>
        <w:t>截止报告日，北明控股持有公司</w:t>
      </w:r>
      <w:r>
        <w:rPr>
          <w:rFonts w:ascii="Times New Roman" w:hAnsi="Times New Roman" w:cs="Times New Roman" w:eastAsia="Times New Roman" w:hint="default"/>
          <w:spacing w:val="-2"/>
        </w:rPr>
        <w:t>250,152,830</w:t>
      </w:r>
      <w:r>
        <w:rPr>
          <w:spacing w:val="-2"/>
        </w:rPr>
        <w:t>股，占公司股份总数的</w:t>
      </w:r>
      <w:r>
        <w:rPr>
          <w:rFonts w:ascii="Times New Roman" w:hAnsi="Times New Roman" w:cs="Times New Roman" w:eastAsia="Times New Roman" w:hint="default"/>
          <w:spacing w:val="-2"/>
        </w:rPr>
        <w:t>15.13%</w:t>
      </w:r>
      <w:r>
        <w:rPr>
          <w:spacing w:val="-2"/>
        </w:rPr>
        <w:t>。其所持有公司股份累计被质押</w:t>
      </w:r>
      <w:r>
        <w:rPr>
          <w:rFonts w:ascii="Times New Roman" w:hAnsi="Times New Roman" w:cs="Times New Roman" w:eastAsia="Times New Roman" w:hint="default"/>
          <w:spacing w:val="-2"/>
        </w:rPr>
        <w:t>89,724,000</w:t>
      </w:r>
      <w:r>
        <w:rPr>
          <w:spacing w:val="-2"/>
        </w:rPr>
        <w:t>股， </w:t>
      </w:r>
      <w:r>
        <w:rPr/>
        <w:t>占公司股份总数的</w:t>
      </w:r>
      <w:r>
        <w:rPr>
          <w:rFonts w:ascii="Times New Roman" w:hAnsi="Times New Roman" w:cs="Times New Roman" w:eastAsia="Times New Roman" w:hint="default"/>
        </w:rPr>
        <w:t>5.43%</w:t>
      </w:r>
      <w:r>
        <w:rPr/>
        <w:t>。</w:t>
      </w:r>
    </w:p>
    <w:p>
      <w:pPr>
        <w:pStyle w:val="BodyText"/>
        <w:spacing w:line="240" w:lineRule="auto" w:before="134"/>
        <w:ind w:left="590" w:right="211"/>
        <w:jc w:val="left"/>
      </w:pPr>
      <w:r>
        <w:rPr/>
        <w:t>3、担保</w:t>
      </w:r>
    </w:p>
    <w:p>
      <w:pPr>
        <w:spacing w:line="240" w:lineRule="auto" w:before="0"/>
        <w:rPr>
          <w:rFonts w:ascii="宋体" w:hAnsi="宋体" w:cs="宋体" w:eastAsia="宋体" w:hint="default"/>
          <w:sz w:val="18"/>
          <w:szCs w:val="18"/>
        </w:rPr>
      </w:pPr>
    </w:p>
    <w:p>
      <w:pPr>
        <w:pStyle w:val="BodyText"/>
        <w:spacing w:line="240" w:lineRule="auto" w:before="119"/>
        <w:ind w:left="469" w:right="111"/>
        <w:jc w:val="left"/>
      </w:pPr>
      <w:r>
        <w:rPr/>
        <w:t>公司于</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日召开的董事会六届二十五次会议决议通过，同意为全资子公司石家庄常山恒新纺织有限公司与</w:t>
      </w:r>
    </w:p>
    <w:p>
      <w:pPr>
        <w:pStyle w:val="BodyText"/>
        <w:spacing w:line="316" w:lineRule="auto" w:before="63"/>
        <w:ind w:left="109" w:right="173"/>
        <w:jc w:val="left"/>
      </w:pPr>
      <w:r>
        <w:rPr/>
        <w:t>交银租赁开展的融资租赁业务提供</w:t>
      </w:r>
      <w:r>
        <w:rPr>
          <w:spacing w:val="-54"/>
        </w:rPr>
        <w:t> </w:t>
      </w:r>
      <w:r>
        <w:rPr/>
        <w:t>1.1</w:t>
      </w:r>
      <w:r>
        <w:rPr>
          <w:spacing w:val="-54"/>
        </w:rPr>
        <w:t> </w:t>
      </w:r>
      <w:r>
        <w:rPr/>
        <w:t>亿元连带责任保证担保，担保期限自担保合同签署之日至租赁合同项下主债务履行期</w:t>
      </w:r>
      <w:r>
        <w:rPr/>
        <w:t> 届满之日起满两年的期间。</w:t>
      </w:r>
    </w:p>
    <w:p>
      <w:pPr>
        <w:pStyle w:val="BodyText"/>
        <w:spacing w:line="240" w:lineRule="auto" w:before="59"/>
        <w:ind w:left="469" w:right="211"/>
        <w:jc w:val="left"/>
      </w:pP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日，除上述事项外，本公司不存在其他应披露的资产负债表日后事项。</w:t>
      </w:r>
    </w:p>
    <w:p>
      <w:pPr>
        <w:spacing w:line="240" w:lineRule="auto" w:before="0"/>
        <w:rPr>
          <w:rFonts w:ascii="宋体" w:hAnsi="宋体" w:cs="宋体" w:eastAsia="宋体" w:hint="default"/>
          <w:sz w:val="24"/>
          <w:szCs w:val="24"/>
        </w:rPr>
      </w:pPr>
    </w:p>
    <w:p>
      <w:pPr>
        <w:pStyle w:val="Heading2"/>
        <w:spacing w:line="240" w:lineRule="auto"/>
        <w:ind w:left="174" w:right="211"/>
        <w:jc w:val="left"/>
        <w:rPr>
          <w:b w:val="0"/>
          <w:bCs w:val="0"/>
        </w:rPr>
      </w:pP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74" w:right="211"/>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74" w:right="211"/>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73" w:right="188" w:firstLine="360"/>
        <w:jc w:val="both"/>
      </w:pPr>
      <w:r>
        <w:rPr/>
        <w:t>根据本公司的内部组织结构、管理要求及内部报告制度，本公司的经营业务划分为</w:t>
      </w:r>
      <w:r>
        <w:rPr>
          <w:rFonts w:ascii="Times New Roman" w:hAnsi="Times New Roman" w:cs="Times New Roman" w:eastAsia="Times New Roman" w:hint="default"/>
        </w:rPr>
        <w:t>8</w:t>
      </w:r>
      <w:r>
        <w:rPr/>
        <w:t>个经营分部，本公司的管理层定期 评价这些分部的经营成果，以决定向其分配资源及评价其业绩。在经营分部的基础上本公司确定了</w:t>
      </w:r>
      <w:r>
        <w:rPr>
          <w:rFonts w:ascii="Times New Roman" w:hAnsi="Times New Roman" w:cs="Times New Roman" w:eastAsia="Times New Roman" w:hint="default"/>
        </w:rPr>
        <w:t>2</w:t>
      </w:r>
      <w:r>
        <w:rPr/>
        <w:t>个报告分部，分别为纺 </w:t>
      </w:r>
      <w:r>
        <w:rPr>
          <w:spacing w:val="-2"/>
        </w:rPr>
        <w:t>织分部、软件和信息技术服务业分部。这些报告分部是以收入为基础确定的。本公司各个报告分部提供的主要产品及劳务分</w:t>
      </w:r>
      <w:r>
        <w:rPr>
          <w:spacing w:val="-66"/>
        </w:rPr>
        <w:t> </w:t>
      </w:r>
      <w:r>
        <w:rPr>
          <w:spacing w:val="-66"/>
        </w:rPr>
      </w:r>
      <w:r>
        <w:rPr>
          <w:spacing w:val="-2"/>
        </w:rPr>
        <w:t>别为：纺织分部主要为棉纱、坯布、棉花、服装；软件和信息技术服务业分部主要为系统集成及行业解决方案、代理产品增</w:t>
      </w:r>
      <w:r>
        <w:rPr>
          <w:spacing w:val="-67"/>
        </w:rPr>
        <w:t> </w:t>
      </w:r>
      <w:r>
        <w:rPr>
          <w:spacing w:val="-67"/>
        </w:rPr>
      </w:r>
      <w:r>
        <w:rPr/>
        <w:t>值销售、定制软件及服务。</w:t>
      </w:r>
    </w:p>
    <w:p>
      <w:pPr>
        <w:pStyle w:val="BodyText"/>
        <w:spacing w:line="309" w:lineRule="auto" w:before="144"/>
        <w:ind w:left="173" w:right="191" w:firstLine="360"/>
        <w:jc w:val="both"/>
      </w:pPr>
      <w:r>
        <w:rPr>
          <w:spacing w:val="-2"/>
        </w:rPr>
        <w:t>分部报告信息根据各分部向管理层报告时采用的会计政策及计量标准披露，这些计量基础与编制财务报表时的会计与计</w:t>
      </w:r>
      <w:r>
        <w:rPr/>
        <w:t> </w:t>
      </w:r>
      <w:r>
        <w:rPr>
          <w:spacing w:val="-2"/>
        </w:rPr>
        <w:t>量基础保持一致。财务报表按照本附注五、</w:t>
      </w:r>
      <w:r>
        <w:rPr>
          <w:rFonts w:ascii="Times New Roman" w:hAnsi="Times New Roman" w:cs="Times New Roman" w:eastAsia="Times New Roman" w:hint="default"/>
          <w:spacing w:val="-2"/>
        </w:rPr>
        <w:t>24</w:t>
      </w:r>
      <w:r>
        <w:rPr>
          <w:spacing w:val="-2"/>
        </w:rPr>
        <w:t>所述的会计政策按权责发生制确认收入；分部报告信息仅包括各分部的营业收</w:t>
      </w:r>
      <w:r>
        <w:rPr>
          <w:spacing w:val="-64"/>
        </w:rPr>
        <w:t> </w:t>
      </w:r>
      <w:r>
        <w:rPr>
          <w:spacing w:val="-64"/>
        </w:rPr>
      </w:r>
      <w:r>
        <w:rPr/>
        <w:t>入及营业成本，未包括营业税金及附加、营业费用及其他费用及支出的分摊。</w:t>
      </w:r>
    </w:p>
    <w:p>
      <w:pPr>
        <w:spacing w:line="240" w:lineRule="auto" w:before="12"/>
        <w:rPr>
          <w:rFonts w:ascii="宋体" w:hAnsi="宋体" w:cs="宋体" w:eastAsia="宋体" w:hint="default"/>
          <w:sz w:val="22"/>
          <w:szCs w:val="22"/>
        </w:rPr>
      </w:pPr>
    </w:p>
    <w:p>
      <w:pPr>
        <w:pStyle w:val="Heading3"/>
        <w:spacing w:line="240" w:lineRule="auto"/>
        <w:ind w:left="174" w:right="211"/>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891"/>
        <w:gridCol w:w="1926"/>
        <w:gridCol w:w="1914"/>
        <w:gridCol w:w="1914"/>
        <w:gridCol w:w="1914"/>
      </w:tblGrid>
      <w:tr>
        <w:trPr>
          <w:trHeight w:val="402" w:hRule="exact"/>
        </w:trPr>
        <w:tc>
          <w:tcPr>
            <w:tcW w:w="1891" w:type="dxa"/>
            <w:tcBorders>
              <w:top w:val="single" w:sz="4" w:space="0" w:color="000000"/>
              <w:left w:val="single" w:sz="4" w:space="0" w:color="000000"/>
              <w:bottom w:val="single" w:sz="4" w:space="0" w:color="000000"/>
              <w:right w:val="single" w:sz="13" w:space="0" w:color="E1FFFF"/>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10" w:space="0" w:color="D3D3D3"/>
              <w:bottom w:val="single" w:sz="4" w:space="0" w:color="000000"/>
              <w:right w:val="single" w:sz="4" w:space="0" w:color="000000"/>
            </w:tcBorders>
            <w:shd w:val="clear" w:color="auto" w:fill="E1FFFF"/>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纺织分部</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软件和信息服务业分部</w:t>
            </w:r>
          </w:p>
        </w:tc>
        <w:tc>
          <w:tcPr>
            <w:tcW w:w="1914" w:type="dxa"/>
            <w:tcBorders>
              <w:top w:val="single" w:sz="4" w:space="0" w:color="000000"/>
              <w:left w:val="single" w:sz="10" w:space="0" w:color="E1FFFF"/>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6"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7,161,745,007.87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4,015,715,238.09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-4,621,358.98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11,172,838,886.98</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6"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7,166,102,565.85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3,234,125,988.65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-4,621,358.98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10,395,607,195.52</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9,375,429,838.89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4,681,737,834.01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-1,267,953,165.43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12,789,214,507.47</w:t>
            </w: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0" w:space="0" w:color="E1FFFF"/>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4,014,888,844.06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2,951,711,207.82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-189,976,476.43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6,776,623,575.45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60" w:right="940"/>
        </w:sectPr>
      </w:pPr>
    </w:p>
    <w:p>
      <w:pPr>
        <w:spacing w:line="240" w:lineRule="auto" w:before="10"/>
        <w:rPr>
          <w:rFonts w:ascii="宋体" w:hAnsi="宋体" w:cs="宋体" w:eastAsia="宋体" w:hint="default"/>
          <w:sz w:val="24"/>
          <w:szCs w:val="24"/>
        </w:rPr>
      </w:pPr>
    </w:p>
    <w:p>
      <w:pPr>
        <w:pStyle w:val="Heading3"/>
        <w:spacing w:line="240" w:lineRule="auto" w:before="35"/>
        <w:ind w:right="141"/>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41"/>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日，除上述事项外，本公司不存在应披露的其他重要事项。</w:t>
      </w:r>
    </w:p>
    <w:p>
      <w:pPr>
        <w:spacing w:line="240" w:lineRule="auto" w:before="1"/>
        <w:rPr>
          <w:rFonts w:ascii="宋体" w:hAnsi="宋体" w:cs="宋体" w:eastAsia="宋体" w:hint="default"/>
          <w:sz w:val="24"/>
          <w:szCs w:val="24"/>
        </w:rPr>
      </w:pPr>
    </w:p>
    <w:p>
      <w:pPr>
        <w:pStyle w:val="Heading2"/>
        <w:spacing w:line="240" w:lineRule="auto"/>
        <w:ind w:right="141"/>
        <w:jc w:val="left"/>
        <w:rPr>
          <w:b w:val="0"/>
          <w:bCs w:val="0"/>
        </w:rPr>
      </w:pP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2"/>
        <w:gridCol w:w="775"/>
        <w:gridCol w:w="762"/>
        <w:gridCol w:w="762"/>
        <w:gridCol w:w="762"/>
        <w:gridCol w:w="790"/>
        <w:gridCol w:w="654"/>
        <w:gridCol w:w="762"/>
        <w:gridCol w:w="812"/>
        <w:gridCol w:w="932"/>
        <w:gridCol w:w="932"/>
      </w:tblGrid>
      <w:tr>
        <w:trPr>
          <w:trHeight w:val="401"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22" w:type="dxa"/>
            <w:vMerge/>
            <w:tcBorders>
              <w:left w:val="single" w:sz="4" w:space="0" w:color="000000"/>
              <w:bottom w:val="single" w:sz="7"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1622" w:type="dxa"/>
            <w:vMerge w:val="restart"/>
            <w:tcBorders>
              <w:top w:val="single" w:sz="7" w:space="0" w:color="FFFFFF"/>
              <w:left w:val="single" w:sz="4" w:space="0" w:color="000000"/>
              <w:right w:val="single" w:sz="4" w:space="0" w:color="000000"/>
            </w:tcBorders>
            <w:shd w:val="clear" w:color="auto" w:fill="D3D3D3"/>
          </w:tcPr>
          <w:p>
            <w:pPr/>
          </w:p>
        </w:tc>
        <w:tc>
          <w:tcPr>
            <w:tcW w:w="775"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22"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310,771,</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182.06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7,734,13</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6.03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303,037,0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46.03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394,290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,282.06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98.53%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6,104,705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388,185,57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6.48</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5,871,02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5,871,02</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5,881,0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27.46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5,881,027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316,642,</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209.52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13,605,1</w:t>
            </w:r>
          </w:p>
          <w:p>
            <w:pPr>
              <w:pStyle w:val="TableParagraph"/>
              <w:spacing w:line="240" w:lineRule="auto" w:before="105"/>
              <w:ind w:left="322" w:right="0"/>
              <w:jc w:val="left"/>
              <w:rPr>
                <w:rFonts w:ascii="Times New Roman" w:hAnsi="Times New Roman" w:cs="Times New Roman" w:eastAsia="Times New Roman" w:hint="default"/>
                <w:sz w:val="18"/>
                <w:szCs w:val="18"/>
              </w:rPr>
            </w:pPr>
            <w:r>
              <w:rPr>
                <w:rFonts w:ascii="Times New Roman"/>
                <w:sz w:val="18"/>
              </w:rPr>
              <w:t>63.49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4.30%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303,037,0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46.03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400,171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,309.52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11,985,73</w:t>
            </w:r>
          </w:p>
          <w:p>
            <w:pPr>
              <w:pStyle w:val="TableParagraph"/>
              <w:spacing w:line="240" w:lineRule="auto" w:before="105"/>
              <w:ind w:left="464" w:right="0"/>
              <w:jc w:val="left"/>
              <w:rPr>
                <w:rFonts w:ascii="Times New Roman" w:hAnsi="Times New Roman" w:cs="Times New Roman" w:eastAsia="Times New Roman" w:hint="default"/>
                <w:sz w:val="18"/>
                <w:szCs w:val="18"/>
              </w:rPr>
            </w:pPr>
            <w:r>
              <w:rPr>
                <w:rFonts w:ascii="Times New Roman"/>
                <w:sz w:val="18"/>
              </w:rPr>
              <w:t>3.04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388,185,57</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6.48</w:t>
            </w:r>
          </w:p>
        </w:tc>
      </w:tr>
      <w:tr>
        <w:trPr>
          <w:trHeight w:val="391"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pStyle w:val="BodyText"/>
        <w:spacing w:line="240" w:lineRule="auto" w:before="51"/>
        <w:ind w:left="154" w:right="-20"/>
        <w:jc w:val="left"/>
      </w:pPr>
      <w:r>
        <w:rPr/>
        <w:t>期末单项金额重大并单项计提坏账准备的应收账款：</w:t>
      </w:r>
    </w:p>
    <w:p>
      <w:pPr>
        <w:pStyle w:val="BodyText"/>
        <w:spacing w:line="357" w:lineRule="auto" w:before="117"/>
        <w:ind w:right="161"/>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20,307,621.62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812,304.87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2,236,581.24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134,194.86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15,577,449.78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2,336,617.46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11,127,547.13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4,451,018.84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49,249,199.77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7,734,136.03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261,521,982.29</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41"/>
        <w:jc w:val="left"/>
      </w:pPr>
      <w:r>
        <w:rPr/>
        <w:t>确定该组合依据的说明：</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right="5451"/>
        <w:jc w:val="left"/>
      </w:pPr>
      <w:r>
        <w:rPr/>
        <w:t>组合中，采用余额百分比法计提坏账准备的应收账款： 组合中，采用余额百分比法计提坏账准备的应收账款：</w:t>
      </w:r>
    </w:p>
    <w:p>
      <w:pPr>
        <w:pStyle w:val="BodyText"/>
        <w:spacing w:line="338" w:lineRule="auto" w:before="29"/>
        <w:ind w:left="154"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14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8"/>
          <w:pgSz w:w="11910" w:h="16840"/>
          <w:pgMar w:footer="982" w:header="747" w:top="1060" w:bottom="1180" w:left="980" w:right="980"/>
          <w:pgNumType w:start="175"/>
        </w:sectPr>
      </w:pPr>
    </w:p>
    <w:p>
      <w:pPr>
        <w:pStyle w:val="BodyText"/>
        <w:spacing w:line="338" w:lineRule="auto" w:before="44"/>
        <w:ind w:left="154" w:right="-19"/>
        <w:jc w:val="left"/>
      </w:pPr>
      <w:r>
        <w:rPr/>
        <w:t>本期计提坏账准备金额</w:t>
      </w:r>
      <w:r>
        <w:rPr>
          <w:spacing w:val="-46"/>
        </w:rPr>
        <w:t> </w:t>
      </w:r>
      <w:r>
        <w:rPr>
          <w:rFonts w:ascii="Times New Roman" w:hAnsi="Times New Roman" w:cs="Times New Roman" w:eastAsia="Times New Roman" w:hint="default"/>
        </w:rPr>
        <w:t>1,619,430.45</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6049" w:space="277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辽宁宏丰印染有限公司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31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51"/>
        <w:jc w:val="right"/>
      </w:pPr>
      <w:r>
        <w:rPr>
          <w:spacing w:val="4"/>
        </w:rPr>
        <w:t>本报告期按欠款方归集的期末余额前五名应收账款汇总金额</w:t>
      </w:r>
      <w:r>
        <w:rPr>
          <w:rFonts w:ascii="Times New Roman" w:hAnsi="Times New Roman" w:cs="Times New Roman" w:eastAsia="Times New Roman" w:hint="default"/>
          <w:spacing w:val="4"/>
        </w:rPr>
        <w:t>277,444,613.80</w:t>
      </w:r>
      <w:r>
        <w:rPr>
          <w:spacing w:val="4"/>
        </w:rPr>
        <w:t>元，占应收账款期末余额合计数的比例</w:t>
      </w:r>
    </w:p>
    <w:p>
      <w:pPr>
        <w:pStyle w:val="BodyText"/>
        <w:spacing w:line="240" w:lineRule="auto" w:before="63"/>
        <w:ind w:left="154" w:right="141"/>
        <w:jc w:val="left"/>
      </w:pPr>
      <w:r>
        <w:rPr>
          <w:rFonts w:ascii="Times New Roman" w:hAnsi="Times New Roman" w:cs="Times New Roman" w:eastAsia="Times New Roman" w:hint="default"/>
        </w:rPr>
        <w:t>87.62%</w:t>
      </w:r>
      <w:r>
        <w:rPr/>
        <w:t>，相应计提的坏账准备期末余额汇总金额</w:t>
      </w:r>
      <w:r>
        <w:rPr>
          <w:rFonts w:ascii="Times New Roman" w:hAnsi="Times New Roman" w:cs="Times New Roman" w:eastAsia="Times New Roman" w:hint="default"/>
        </w:rPr>
        <w:t>2,371,382.97</w:t>
      </w:r>
      <w:r>
        <w:rPr/>
        <w:t>元。</w:t>
      </w:r>
    </w:p>
    <w:p>
      <w:pPr>
        <w:spacing w:line="240" w:lineRule="auto" w:before="11"/>
        <w:rPr>
          <w:rFonts w:ascii="宋体" w:hAnsi="宋体" w:cs="宋体" w:eastAsia="宋体" w:hint="default"/>
          <w:sz w:val="25"/>
          <w:szCs w:val="25"/>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77"/>
        <w:gridCol w:w="775"/>
        <w:gridCol w:w="762"/>
        <w:gridCol w:w="762"/>
        <w:gridCol w:w="763"/>
        <w:gridCol w:w="788"/>
        <w:gridCol w:w="654"/>
        <w:gridCol w:w="762"/>
        <w:gridCol w:w="814"/>
        <w:gridCol w:w="757"/>
        <w:gridCol w:w="932"/>
      </w:tblGrid>
      <w:tr>
        <w:trPr>
          <w:trHeight w:val="402" w:hRule="exact"/>
        </w:trPr>
        <w:tc>
          <w:tcPr>
            <w:tcW w:w="1777"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1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6" w:hRule="exact"/>
        </w:trPr>
        <w:tc>
          <w:tcPr>
            <w:tcW w:w="1777" w:type="dxa"/>
            <w:vMerge/>
            <w:tcBorders>
              <w:left w:val="single" w:sz="4" w:space="0" w:color="000000"/>
              <w:bottom w:val="nil" w:sz="6" w:space="0" w:color="auto"/>
              <w:right w:val="single" w:sz="4" w:space="0" w:color="000000"/>
            </w:tcBorders>
            <w:shd w:val="clear" w:color="auto" w:fill="D3D3D3"/>
          </w:tcPr>
          <w:p>
            <w:pPr/>
          </w:p>
        </w:tc>
        <w:tc>
          <w:tcPr>
            <w:tcW w:w="153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6" w:hRule="exact"/>
        </w:trPr>
        <w:tc>
          <w:tcPr>
            <w:tcW w:w="17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3D3D3"/>
          </w:tcPr>
          <w:p>
            <w:pPr/>
          </w:p>
        </w:tc>
        <w:tc>
          <w:tcPr>
            <w:tcW w:w="1525" w:type="dxa"/>
            <w:gridSpan w:val="2"/>
            <w:vMerge/>
            <w:tcBorders>
              <w:left w:val="single" w:sz="4" w:space="0" w:color="000000"/>
              <w:bottom w:val="single" w:sz="4" w:space="0" w:color="000000"/>
              <w:right w:val="single" w:sz="4" w:space="0" w:color="000000"/>
            </w:tcBorders>
            <w:shd w:val="clear" w:color="auto" w:fill="D3D3D3"/>
          </w:tcPr>
          <w:p>
            <w:pPr/>
          </w:p>
        </w:tc>
        <w:tc>
          <w:tcPr>
            <w:tcW w:w="788"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571"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777" w:type="dxa"/>
            <w:vMerge/>
            <w:tcBorders>
              <w:left w:val="single" w:sz="4" w:space="0" w:color="000000"/>
              <w:bottom w:val="single" w:sz="6" w:space="0" w:color="FFFFFF"/>
              <w:right w:val="single" w:sz="4" w:space="0" w:color="000000"/>
            </w:tcBorders>
            <w:shd w:val="clear" w:color="auto" w:fill="D3D3D3"/>
          </w:tcPr>
          <w:p>
            <w:pPr/>
          </w:p>
        </w:tc>
        <w:tc>
          <w:tcPr>
            <w:tcW w:w="775"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c>
          <w:tcPr>
            <w:tcW w:w="75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3" w:right="10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777" w:type="dxa"/>
            <w:vMerge w:val="restart"/>
            <w:tcBorders>
              <w:top w:val="single" w:sz="6" w:space="0" w:color="FFFFFF"/>
              <w:left w:val="single" w:sz="4" w:space="0" w:color="000000"/>
              <w:right w:val="single" w:sz="4" w:space="0" w:color="000000"/>
            </w:tcBorders>
            <w:shd w:val="clear" w:color="auto" w:fill="D3D3D3"/>
          </w:tcPr>
          <w:p>
            <w:pPr/>
          </w:p>
        </w:tc>
        <w:tc>
          <w:tcPr>
            <w:tcW w:w="775"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3D3D3"/>
          </w:tcPr>
          <w:p>
            <w:pPr/>
          </w:p>
        </w:tc>
        <w:tc>
          <w:tcPr>
            <w:tcW w:w="788" w:type="dxa"/>
            <w:vMerge/>
            <w:tcBorders>
              <w:left w:val="single" w:sz="4" w:space="0" w:color="000000"/>
              <w:bottom w:val="nil" w:sz="6" w:space="0" w:color="auto"/>
              <w:right w:val="single" w:sz="4" w:space="0" w:color="000000"/>
            </w:tcBorders>
            <w:shd w:val="clear" w:color="auto" w:fill="D3D3D3"/>
          </w:tcPr>
          <w:p>
            <w:pPr/>
          </w:p>
        </w:tc>
        <w:tc>
          <w:tcPr>
            <w:tcW w:w="6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5"/>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7" w:type="dxa"/>
            <w:vMerge/>
            <w:tcBorders>
              <w:left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8" w:hRule="exact"/>
        </w:trPr>
        <w:tc>
          <w:tcPr>
            <w:tcW w:w="1777" w:type="dxa"/>
            <w:vMerge/>
            <w:tcBorders>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3" w:type="dxa"/>
            <w:vMerge/>
            <w:tcBorders>
              <w:left w:val="single" w:sz="4" w:space="0" w:color="000000"/>
              <w:right w:val="single" w:sz="4" w:space="0" w:color="000000"/>
            </w:tcBorders>
            <w:shd w:val="clear" w:color="auto" w:fill="D3D3D3"/>
          </w:tcPr>
          <w:p>
            <w:pPr/>
          </w:p>
        </w:tc>
        <w:tc>
          <w:tcPr>
            <w:tcW w:w="788" w:type="dxa"/>
            <w:vMerge w:val="restart"/>
            <w:tcBorders>
              <w:top w:val="nil" w:sz="6" w:space="0" w:color="auto"/>
              <w:left w:val="single" w:sz="4" w:space="0" w:color="000000"/>
              <w:right w:val="single" w:sz="4" w:space="0" w:color="000000"/>
            </w:tcBorders>
            <w:shd w:val="clear" w:color="auto" w:fill="D3D3D3"/>
          </w:tcPr>
          <w:p>
            <w:pPr/>
          </w:p>
        </w:tc>
        <w:tc>
          <w:tcPr>
            <w:tcW w:w="65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c>
          <w:tcPr>
            <w:tcW w:w="757" w:type="dxa"/>
            <w:vMerge/>
            <w:tcBorders>
              <w:left w:val="single" w:sz="4" w:space="0" w:color="000000"/>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777"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vMerge/>
            <w:tcBorders>
              <w:left w:val="single" w:sz="4" w:space="0" w:color="000000"/>
              <w:bottom w:val="single" w:sz="4" w:space="0" w:color="000000"/>
              <w:right w:val="single" w:sz="4" w:space="0" w:color="000000"/>
            </w:tcBorders>
            <w:shd w:val="clear" w:color="auto" w:fill="D3D3D3"/>
          </w:tcPr>
          <w:p>
            <w:pPr/>
          </w:p>
        </w:tc>
        <w:tc>
          <w:tcPr>
            <w:tcW w:w="788"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c>
          <w:tcPr>
            <w:tcW w:w="757" w:type="dxa"/>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33"/>
              <w:jc w:val="both"/>
              <w:rPr>
                <w:rFonts w:ascii="宋体" w:hAnsi="宋体" w:cs="宋体" w:eastAsia="宋体" w:hint="default"/>
                <w:sz w:val="18"/>
                <w:szCs w:val="18"/>
              </w:rPr>
            </w:pPr>
            <w:r>
              <w:rPr>
                <w:rFonts w:ascii="宋体" w:hAnsi="宋体" w:cs="宋体" w:eastAsia="宋体" w:hint="default"/>
                <w:sz w:val="18"/>
                <w:szCs w:val="18"/>
              </w:rPr>
              <w:t>单项金额重大并单独 计提坏账准备的其他 应收款</w:t>
            </w:r>
          </w:p>
        </w:tc>
        <w:tc>
          <w:tcPr>
            <w:tcW w:w="775" w:type="dxa"/>
            <w:tcBorders>
              <w:top w:val="single" w:sz="4" w:space="0" w:color="000000"/>
              <w:left w:val="single" w:sz="10" w:space="0" w:color="D3D3D3"/>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33"/>
              <w:jc w:val="both"/>
              <w:rPr>
                <w:rFonts w:ascii="宋体" w:hAnsi="宋体" w:cs="宋体" w:eastAsia="宋体" w:hint="default"/>
                <w:sz w:val="18"/>
                <w:szCs w:val="18"/>
              </w:rPr>
            </w:pPr>
            <w:r>
              <w:rPr>
                <w:rFonts w:ascii="宋体" w:hAnsi="宋体" w:cs="宋体" w:eastAsia="宋体" w:hint="default"/>
                <w:sz w:val="18"/>
                <w:szCs w:val="18"/>
              </w:rPr>
              <w:t>按信用风险特征组合 计提坏账准备的其他 应收款</w:t>
            </w:r>
          </w:p>
        </w:tc>
        <w:tc>
          <w:tcPr>
            <w:tcW w:w="7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424,010,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819.85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423,677,7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77.76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36,320,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821.72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251,268.2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36,069,553.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r>
      <w:tr>
        <w:trPr>
          <w:trHeight w:val="1026" w:hRule="exact"/>
        </w:trPr>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33"/>
              <w:jc w:val="both"/>
              <w:rPr>
                <w:rFonts w:ascii="宋体" w:hAnsi="宋体" w:cs="宋体" w:eastAsia="宋体" w:hint="default"/>
                <w:sz w:val="18"/>
                <w:szCs w:val="18"/>
              </w:rPr>
            </w:pPr>
            <w:r>
              <w:rPr>
                <w:rFonts w:ascii="宋体" w:hAnsi="宋体" w:cs="宋体" w:eastAsia="宋体" w:hint="default"/>
                <w:sz w:val="18"/>
                <w:szCs w:val="18"/>
              </w:rPr>
              <w:t>单项金额不重大但单 独计提坏账准备的其 他应收款</w:t>
            </w:r>
          </w:p>
        </w:tc>
        <w:tc>
          <w:tcPr>
            <w:tcW w:w="77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749,229</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749,229.8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1777"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10" w:space="0" w:color="D3D3D3"/>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424,760,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049.65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1,082,27</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1.89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0.25%</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423,677,7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77.76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37,070,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051.52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5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2.70%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36,069,553.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r>
      <w:tr>
        <w:trPr>
          <w:trHeight w:val="393" w:hRule="exact"/>
        </w:trPr>
        <w:tc>
          <w:tcPr>
            <w:tcW w:w="17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75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0" w:hRule="exact"/>
        </w:trPr>
        <w:tc>
          <w:tcPr>
            <w:tcW w:w="1777"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75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141"/>
        <w:jc w:val="left"/>
      </w:pPr>
      <w:r>
        <w:rPr/>
        <w:t>期末单项金额重大并单项计提坏账准备的其他应收款：</w:t>
      </w:r>
    </w:p>
    <w:p>
      <w:pPr>
        <w:pStyle w:val="BodyText"/>
        <w:spacing w:line="240" w:lineRule="auto" w:before="117"/>
        <w:ind w:right="141"/>
        <w:jc w:val="left"/>
      </w:pPr>
      <w:r>
        <w:rPr/>
        <w:t>□ 适用 √ 不适用</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pStyle w:val="BodyText"/>
        <w:spacing w:line="240" w:lineRule="auto" w:before="44"/>
        <w:ind w:right="-19"/>
        <w:jc w:val="left"/>
      </w:pPr>
      <w:r>
        <w:rPr/>
        <w:t>组合中，按账龄分析法计提坏账准备的其他应收款：</w:t>
      </w:r>
    </w:p>
    <w:p>
      <w:pPr>
        <w:pStyle w:val="BodyText"/>
        <w:spacing w:line="240" w:lineRule="auto" w:before="11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4294" w:space="453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2302"/>
        <w:gridCol w:w="2389"/>
        <w:gridCol w:w="2183"/>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8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94" w:type="dxa"/>
            <w:vMerge/>
            <w:tcBorders>
              <w:left w:val="single" w:sz="4" w:space="0" w:color="000000"/>
              <w:bottom w:val="single" w:sz="4" w:space="0" w:color="000000"/>
              <w:right w:val="single" w:sz="4" w:space="0" w:color="000000"/>
            </w:tcBorders>
            <w:shd w:val="clear" w:color="auto" w:fill="D3D3D3"/>
          </w:tcPr>
          <w:p>
            <w:pP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02" w:type="dxa"/>
            <w:tcBorders>
              <w:top w:val="single" w:sz="4" w:space="0" w:color="000000"/>
              <w:left w:val="single" w:sz="10" w:space="0" w:color="C7EDCC"/>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3,004,047.68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120,161.89</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905,598.52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54,335.91</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2" w:type="dxa"/>
            <w:tcBorders>
              <w:top w:val="single" w:sz="4" w:space="0" w:color="000000"/>
              <w:left w:val="single" w:sz="10" w:space="0" w:color="C7EDCC"/>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396,360.72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158,544.29</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4,306,006.92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333,042.09</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02" w:type="dxa"/>
            <w:tcBorders>
              <w:top w:val="single" w:sz="4" w:space="0" w:color="000000"/>
              <w:left w:val="single" w:sz="10" w:space="0" w:color="C7EDCC"/>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1,062,312.93</w:t>
            </w:r>
          </w:p>
        </w:tc>
        <w:tc>
          <w:tcPr>
            <w:tcW w:w="2389"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新疆常山恒宏纺织科技有限公司</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22,902,000.00</w:t>
            </w:r>
          </w:p>
        </w:tc>
        <w:tc>
          <w:tcPr>
            <w:tcW w:w="2389"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365,500,000.00</w:t>
            </w:r>
          </w:p>
        </w:tc>
        <w:tc>
          <w:tcPr>
            <w:tcW w:w="2389"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240,500.00</w:t>
            </w:r>
          </w:p>
        </w:tc>
        <w:tc>
          <w:tcPr>
            <w:tcW w:w="2389"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光大幸福国际融资有限公司</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2389"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2"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419,704,812.93</w:t>
            </w:r>
          </w:p>
        </w:tc>
        <w:tc>
          <w:tcPr>
            <w:tcW w:w="2389" w:type="dxa"/>
            <w:tcBorders>
              <w:top w:val="single" w:sz="4" w:space="0" w:color="000000"/>
              <w:left w:val="single" w:sz="4" w:space="0" w:color="000000"/>
              <w:bottom w:val="single" w:sz="4" w:space="0" w:color="000000"/>
              <w:right w:val="single" w:sz="4" w:space="0" w:color="000000"/>
            </w:tcBorders>
          </w:tcPr>
          <w:p>
            <w:pPr/>
          </w:p>
        </w:tc>
        <w:tc>
          <w:tcPr>
            <w:tcW w:w="21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5271"/>
        <w:jc w:val="left"/>
      </w:pPr>
      <w:r>
        <w:rPr/>
        <w:t>确定该组合依据的说明： 组合中，采用余额百分比法计提坏账准备的其他应收款：</w:t>
      </w:r>
    </w:p>
    <w:p>
      <w:pPr>
        <w:pStyle w:val="BodyText"/>
        <w:spacing w:line="360" w:lineRule="auto" w:before="26"/>
        <w:ind w:right="5631"/>
        <w:jc w:val="left"/>
      </w:pPr>
      <w:r>
        <w:rPr/>
        <w:t>□ 适用 √ 不适用 组合中，采用其他方法计提坏账准备的其他应收款：</w:t>
      </w:r>
    </w:p>
    <w:p>
      <w:pPr>
        <w:pStyle w:val="BodyText"/>
        <w:spacing w:line="240" w:lineRule="auto" w:before="26"/>
        <w:ind w:right="141"/>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41"/>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before="44"/>
        <w:ind w:right="-17"/>
        <w:jc w:val="left"/>
      </w:pPr>
      <w:r>
        <w:rPr/>
        <w:t>本期计提坏账准备金额</w:t>
      </w:r>
      <w:r>
        <w:rPr>
          <w:spacing w:val="-46"/>
        </w:rPr>
        <w:t> </w:t>
      </w:r>
      <w:r>
        <w:rPr>
          <w:rFonts w:ascii="Times New Roman" w:hAnsi="Times New Roman" w:cs="Times New Roman" w:eastAsia="Times New Roman" w:hint="default"/>
        </w:rPr>
        <w:t>81,773.87</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80" w:left="980" w:right="980"/>
          <w:cols w:num="2" w:equalWidth="0">
            <w:col w:w="5825" w:space="300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57"/>
        <w:gridCol w:w="3100"/>
        <w:gridCol w:w="3100"/>
      </w:tblGrid>
      <w:tr>
        <w:trPr>
          <w:trHeight w:val="402" w:hRule="exact"/>
        </w:trPr>
        <w:tc>
          <w:tcPr>
            <w:tcW w:w="3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31,091,472.80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30,317,772.80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388,642,500.00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2,945,129.17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3,290,932.81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2,400,302.76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1,062,312.93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850,621.10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672,831.11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556,225.69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424,760,049.65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37,070,051.52</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00"/>
        <w:gridCol w:w="1620"/>
        <w:gridCol w:w="1265"/>
        <w:gridCol w:w="1260"/>
        <w:gridCol w:w="1615"/>
        <w:gridCol w:w="1080"/>
      </w:tblGrid>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365,500,000.00</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86.05%</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光大幸福国际租赁有限公司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新疆常山恒宏纺织科技有限公司</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22,902,000.00</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1,062,312.93</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3"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672,831.11</w:t>
            </w:r>
          </w:p>
        </w:tc>
        <w:tc>
          <w:tcPr>
            <w:tcW w:w="12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26,913.24</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420,137,144.04</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26,913.24</w:t>
            </w:r>
          </w:p>
        </w:tc>
      </w:tr>
    </w:tbl>
    <w:p>
      <w:pPr>
        <w:spacing w:line="240" w:lineRule="auto" w:before="3"/>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68"/>
        <w:gridCol w:w="1380"/>
        <w:gridCol w:w="1044"/>
        <w:gridCol w:w="1355"/>
        <w:gridCol w:w="1379"/>
        <w:gridCol w:w="1084"/>
        <w:gridCol w:w="1355"/>
      </w:tblGrid>
      <w:tr>
        <w:trPr>
          <w:trHeight w:val="201" w:hRule="exact"/>
        </w:trPr>
        <w:tc>
          <w:tcPr>
            <w:tcW w:w="19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7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79" w:type="dxa"/>
            <w:gridSpan w:val="3"/>
            <w:vMerge/>
            <w:tcBorders>
              <w:left w:val="single" w:sz="4" w:space="0" w:color="000000"/>
              <w:bottom w:val="single" w:sz="4" w:space="0" w:color="000000"/>
              <w:right w:val="single" w:sz="4" w:space="0" w:color="000000"/>
            </w:tcBorders>
            <w:shd w:val="clear" w:color="auto" w:fill="D3D3D3"/>
          </w:tcPr>
          <w:p>
            <w:pPr/>
          </w:p>
        </w:tc>
        <w:tc>
          <w:tcPr>
            <w:tcW w:w="3818"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68" w:type="dxa"/>
            <w:vMerge/>
            <w:tcBorders>
              <w:left w:val="single" w:sz="4" w:space="0" w:color="000000"/>
              <w:bottom w:val="nil" w:sz="6" w:space="0" w:color="auto"/>
              <w:right w:val="single" w:sz="4" w:space="0" w:color="000000"/>
            </w:tcBorders>
            <w:shd w:val="clear" w:color="auto" w:fill="D3D3D3"/>
          </w:tcPr>
          <w:p>
            <w:pPr/>
          </w:p>
        </w:tc>
        <w:tc>
          <w:tcPr>
            <w:tcW w:w="13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80" w:type="dxa"/>
            <w:vMerge/>
            <w:tcBorders>
              <w:left w:val="single" w:sz="4" w:space="0" w:color="000000"/>
              <w:bottom w:val="single" w:sz="4" w:space="0" w:color="000000"/>
              <w:right w:val="single" w:sz="4" w:space="0" w:color="000000"/>
            </w:tcBorders>
            <w:shd w:val="clear" w:color="auto" w:fill="D3D3D3"/>
          </w:tcPr>
          <w:p>
            <w:pPr/>
          </w:p>
        </w:tc>
        <w:tc>
          <w:tcPr>
            <w:tcW w:w="1044"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084"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3,143,541,373.19</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3,143,541,373.19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3,143,541,373.19</w:t>
            </w:r>
          </w:p>
        </w:tc>
        <w:tc>
          <w:tcPr>
            <w:tcW w:w="108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3,143,541,373.19</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14,596,414.81</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14,596,414.81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15,001,635.84</w:t>
            </w:r>
          </w:p>
        </w:tc>
        <w:tc>
          <w:tcPr>
            <w:tcW w:w="108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15,001,635.84</w:t>
            </w:r>
          </w:p>
        </w:tc>
      </w:tr>
      <w:tr>
        <w:trPr>
          <w:trHeight w:val="403"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3,158,137,788.00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3,158,137,788.00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3,158,543,009.03</w:t>
            </w:r>
          </w:p>
        </w:tc>
        <w:tc>
          <w:tcPr>
            <w:tcW w:w="1084"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3,158,543,009.03</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08"/>
        <w:gridCol w:w="1348"/>
        <w:gridCol w:w="817"/>
        <w:gridCol w:w="900"/>
        <w:gridCol w:w="1336"/>
        <w:gridCol w:w="824"/>
        <w:gridCol w:w="900"/>
      </w:tblGrid>
      <w:tr>
        <w:trPr>
          <w:trHeight w:val="714" w:hRule="exact"/>
        </w:trPr>
        <w:tc>
          <w:tcPr>
            <w:tcW w:w="3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6" w:right="47"/>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315,961,474.39</w:t>
            </w:r>
          </w:p>
        </w:tc>
        <w:tc>
          <w:tcPr>
            <w:tcW w:w="81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315,961,474.39</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81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10,500,000.00</w:t>
            </w:r>
          </w:p>
        </w:tc>
        <w:tc>
          <w:tcPr>
            <w:tcW w:w="81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348"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81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91"/>
        <w:gridCol w:w="1364"/>
        <w:gridCol w:w="817"/>
        <w:gridCol w:w="900"/>
        <w:gridCol w:w="1336"/>
        <w:gridCol w:w="824"/>
        <w:gridCol w:w="900"/>
      </w:tblGrid>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136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1,380,000.00</w:t>
            </w:r>
          </w:p>
        </w:tc>
        <w:tc>
          <w:tcPr>
            <w:tcW w:w="81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136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81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36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2,698,699,898.80</w:t>
            </w:r>
          </w:p>
        </w:tc>
        <w:tc>
          <w:tcPr>
            <w:tcW w:w="81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2,698,699,898.80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北京爱意生活电子商务有限公司</w:t>
            </w:r>
          </w:p>
        </w:tc>
        <w:tc>
          <w:tcPr>
            <w:tcW w:w="1364"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81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3,143,541,373.19</w:t>
            </w:r>
          </w:p>
        </w:tc>
        <w:tc>
          <w:tcPr>
            <w:tcW w:w="81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3,143,541,373.19</w:t>
            </w:r>
          </w:p>
        </w:tc>
        <w:tc>
          <w:tcPr>
            <w:tcW w:w="8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1184"/>
        <w:gridCol w:w="900"/>
        <w:gridCol w:w="540"/>
        <w:gridCol w:w="1080"/>
        <w:gridCol w:w="667"/>
        <w:gridCol w:w="589"/>
        <w:gridCol w:w="798"/>
        <w:gridCol w:w="613"/>
        <w:gridCol w:w="562"/>
        <w:gridCol w:w="1091"/>
        <w:gridCol w:w="720"/>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74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84" w:right="84"/>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4"/>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7" w:right="59"/>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9" w:right="10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 w:right="3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4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4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石家庄赛 孚纺织有 限公司</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15,001,635.84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232,079.55</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-637,300.58</w:t>
            </w:r>
          </w:p>
        </w:tc>
        <w:tc>
          <w:tcPr>
            <w:tcW w:w="66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14,596,414.81</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15,001,635.84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232,079.55</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-637,300.58</w:t>
            </w:r>
          </w:p>
        </w:tc>
        <w:tc>
          <w:tcPr>
            <w:tcW w:w="66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14,596,414.81</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15,001,635.84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232,079.55</w:t>
            </w: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-637,300.58</w:t>
            </w:r>
          </w:p>
        </w:tc>
        <w:tc>
          <w:tcPr>
            <w:tcW w:w="66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14,596,414.81</w:t>
            </w:r>
          </w:p>
        </w:tc>
        <w:tc>
          <w:tcPr>
            <w:tcW w:w="7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2"/>
        <w:gridCol w:w="1849"/>
        <w:gridCol w:w="1901"/>
        <w:gridCol w:w="1925"/>
        <w:gridCol w:w="1901"/>
      </w:tblGrid>
      <w:tr>
        <w:trPr>
          <w:trHeight w:val="201"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19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82" w:type="dxa"/>
            <w:vMerge/>
            <w:tcBorders>
              <w:left w:val="single" w:sz="4" w:space="0" w:color="000000"/>
              <w:bottom w:val="nil" w:sz="6" w:space="0" w:color="auto"/>
              <w:right w:val="single" w:sz="4" w:space="0" w:color="000000"/>
            </w:tcBorders>
            <w:shd w:val="clear" w:color="auto" w:fill="D3D3D3"/>
          </w:tcPr>
          <w:p>
            <w:pPr/>
          </w:p>
        </w:tc>
        <w:tc>
          <w:tcPr>
            <w:tcW w:w="18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849" w:type="dxa"/>
            <w:vMerge/>
            <w:tcBorders>
              <w:left w:val="single" w:sz="4" w:space="0" w:color="000000"/>
              <w:bottom w:val="single" w:sz="4" w:space="0" w:color="000000"/>
              <w:right w:val="single" w:sz="4" w:space="0" w:color="000000"/>
            </w:tcBorders>
            <w:shd w:val="clear" w:color="auto" w:fill="D3D3D3"/>
          </w:tcPr>
          <w:p>
            <w:pPr/>
          </w:p>
        </w:tc>
        <w:tc>
          <w:tcPr>
            <w:tcW w:w="1901" w:type="dxa"/>
            <w:vMerge/>
            <w:tcBorders>
              <w:left w:val="single" w:sz="4" w:space="0" w:color="000000"/>
              <w:bottom w:val="single" w:sz="4" w:space="0" w:color="000000"/>
              <w:right w:val="single" w:sz="4" w:space="0" w:color="000000"/>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D3D3D3"/>
          </w:tcPr>
          <w:p>
            <w:pPr/>
          </w:p>
        </w:tc>
        <w:tc>
          <w:tcPr>
            <w:tcW w:w="190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5,860,098,890.04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5,936,057,735.46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6,373,191,122.14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6,311,963,212.15</w:t>
            </w: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60,466,578.76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26,977,933.36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48,390,216.72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17,404,665.50</w:t>
            </w: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5,920,565,468.80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5,963,035,668.82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6,421,581,338.86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6,329,367,877.65</w:t>
            </w:r>
          </w:p>
        </w:tc>
      </w:tr>
    </w:tbl>
    <w:p>
      <w:pPr>
        <w:spacing w:line="240" w:lineRule="auto" w:before="2"/>
        <w:rPr>
          <w:rFonts w:ascii="宋体" w:hAnsi="宋体" w:cs="宋体" w:eastAsia="宋体" w:hint="default"/>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-637,300.58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-1,272,269.03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4,124,352.15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2,898,513.95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13,876,459.11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17,363,510.68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1,626,244.92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r>
        <w:rPr/>
        <w:pict>
          <v:group style="position:absolute;margin-left:353.940002pt;margin-top:265.019989pt;width:85.35pt;height:15.6pt;mso-position-horizontal-relative:page;mso-position-vertical-relative:page;z-index:-1221400" coordorigin="7079,5300" coordsize="1707,312">
            <v:shape style="position:absolute;left:7079;top:5300;width:1707;height:312" coordorigin="7079,5300" coordsize="1707,312" path="m7079,5612l8785,5612,8785,5300,7079,5300,7079,5612xe" filled="true" fillcolor="#ffffff" stroked="false">
              <v:path arrowok="t"/>
              <v:fill type="solid"/>
            </v:shape>
            <w10:wrap type="none"/>
          </v:group>
        </w:pict>
      </w:r>
    </w:p>
    <w:p>
      <w:pPr>
        <w:pStyle w:val="Heading2"/>
        <w:spacing w:line="240" w:lineRule="auto" w:before="26"/>
        <w:ind w:right="141"/>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41"/>
        <w:jc w:val="left"/>
      </w:pPr>
      <w:r>
        <w:rPr/>
        <w:t>√ 适用 □ 不适用</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17"/>
        <w:gridCol w:w="1728"/>
        <w:gridCol w:w="1884"/>
      </w:tblGrid>
      <w:tr>
        <w:trPr>
          <w:trHeight w:val="401"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-24,205,783.87</w:t>
            </w:r>
          </w:p>
        </w:tc>
        <w:tc>
          <w:tcPr>
            <w:tcW w:w="188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定量享受的政府补助除外）</w:t>
            </w:r>
          </w:p>
        </w:tc>
        <w:tc>
          <w:tcPr>
            <w:tcW w:w="17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607,857,291.03</w:t>
            </w:r>
          </w:p>
        </w:tc>
        <w:tc>
          <w:tcPr>
            <w:tcW w:w="18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其中：政府搬迁补助</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602,102,453.29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-52,874,957.55</w:t>
            </w:r>
          </w:p>
        </w:tc>
        <w:tc>
          <w:tcPr>
            <w:tcW w:w="18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1026"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w:t>
            </w:r>
            <w:r>
              <w:rPr>
                <w:rFonts w:ascii="宋体" w:hAnsi="宋体" w:cs="宋体" w:eastAsia="宋体" w:hint="default"/>
                <w:spacing w:val="-2"/>
                <w:sz w:val="18"/>
                <w:szCs w:val="18"/>
              </w:rPr>
              <w:t>交易性金融负债产生的公允价值变动损益，以及处置交易性金融资产、交易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性金融负债和可供出售金融资产取得的投资收益</w:t>
            </w:r>
          </w:p>
        </w:tc>
        <w:tc>
          <w:tcPr>
            <w:tcW w:w="17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2"/>
              <w:ind w:left="-15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651" w:right="0"/>
              <w:jc w:val="left"/>
              <w:rPr>
                <w:rFonts w:ascii="Times New Roman" w:hAnsi="Times New Roman" w:cs="Times New Roman" w:eastAsia="Times New Roman" w:hint="default"/>
                <w:sz w:val="18"/>
                <w:szCs w:val="18"/>
              </w:rPr>
            </w:pPr>
            <w:r>
              <w:rPr>
                <w:rFonts w:ascii="Times New Roman"/>
                <w:sz w:val="18"/>
              </w:rPr>
              <w:t>13,488,939.38</w:t>
            </w:r>
          </w:p>
        </w:tc>
        <w:tc>
          <w:tcPr>
            <w:tcW w:w="188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2,180,980.14</w:t>
            </w:r>
          </w:p>
        </w:tc>
        <w:tc>
          <w:tcPr>
            <w:tcW w:w="188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21,045,277.38</w:t>
            </w:r>
          </w:p>
        </w:tc>
        <w:tc>
          <w:tcPr>
            <w:tcW w:w="188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火灾损失</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2,996,256.82</w:t>
            </w:r>
          </w:p>
        </w:tc>
        <w:tc>
          <w:tcPr>
            <w:tcW w:w="188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-20,354.82</w:t>
            </w:r>
          </w:p>
        </w:tc>
        <w:tc>
          <w:tcPr>
            <w:tcW w:w="188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5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564,515,844.51</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left="154"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left="154" w:right="141"/>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141"/>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13"/>
      </w:tblGrid>
      <w:tr>
        <w:trPr>
          <w:trHeight w:val="201"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1"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1"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r>
    </w:tbl>
    <w:p>
      <w:pPr>
        <w:spacing w:line="240" w:lineRule="auto" w:before="2"/>
        <w:rPr>
          <w:rFonts w:ascii="宋体" w:hAnsi="宋体" w:cs="宋体" w:eastAsia="宋体" w:hint="default"/>
          <w:b/>
          <w:bCs/>
          <w:sz w:val="19"/>
          <w:szCs w:val="19"/>
        </w:rPr>
      </w:pPr>
    </w:p>
    <w:p>
      <w:pPr>
        <w:pStyle w:val="Heading3"/>
        <w:spacing w:line="240" w:lineRule="auto" w:before="35"/>
        <w:ind w:right="141"/>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41"/>
        <w:jc w:val="left"/>
      </w:pPr>
      <w:r>
        <w:rPr/>
        <w:t>□ 适用 √ 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141"/>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41"/>
        <w:jc w:val="left"/>
      </w:pPr>
      <w:r>
        <w:rPr/>
        <w:t>□ 适用 √ 不适用</w:t>
      </w:r>
    </w:p>
    <w:p>
      <w:pPr>
        <w:spacing w:line="240" w:lineRule="auto" w:before="10"/>
        <w:rPr>
          <w:rFonts w:ascii="宋体" w:hAnsi="宋体" w:cs="宋体" w:eastAsia="宋体" w:hint="default"/>
          <w:sz w:val="26"/>
          <w:szCs w:val="26"/>
        </w:rPr>
      </w:pPr>
    </w:p>
    <w:p>
      <w:pPr>
        <w:pStyle w:val="Heading3"/>
        <w:spacing w:line="259" w:lineRule="auto"/>
        <w:ind w:right="141"/>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41"/>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41"/>
        <w:jc w:val="left"/>
      </w:pPr>
      <w:r>
        <w:rPr/>
        <w:t>公司主要会计报表项目的异常情况及原因的说明：</w:t>
      </w:r>
    </w:p>
    <w:p>
      <w:pPr>
        <w:pStyle w:val="BodyText"/>
        <w:spacing w:line="240" w:lineRule="auto" w:before="117"/>
        <w:ind w:left="513" w:right="141"/>
        <w:jc w:val="left"/>
      </w:pPr>
      <w:r>
        <w:rPr>
          <w:rFonts w:ascii="Times New Roman" w:hAnsi="Times New Roman" w:cs="Times New Roman" w:eastAsia="Times New Roman" w:hint="default"/>
        </w:rPr>
        <w:t>1</w:t>
      </w:r>
      <w:r>
        <w:rPr/>
        <w:t>、应收票据较年初增加</w:t>
      </w:r>
      <w:r>
        <w:rPr>
          <w:rFonts w:ascii="Times New Roman" w:hAnsi="Times New Roman" w:cs="Times New Roman" w:eastAsia="Times New Roman" w:hint="default"/>
        </w:rPr>
        <w:t>77.26%</w:t>
      </w:r>
      <w:r>
        <w:rPr/>
        <w:t>，主要系本期公司以承兑汇票方式结算货款增加所致。</w:t>
      </w:r>
    </w:p>
    <w:p>
      <w:pPr>
        <w:pStyle w:val="BodyText"/>
        <w:spacing w:line="240" w:lineRule="auto" w:before="102"/>
        <w:ind w:left="513" w:right="141"/>
        <w:jc w:val="left"/>
      </w:pPr>
      <w:r>
        <w:rPr>
          <w:rFonts w:ascii="Times New Roman" w:hAnsi="Times New Roman" w:cs="Times New Roman" w:eastAsia="Times New Roman" w:hint="default"/>
        </w:rPr>
        <w:t>2</w:t>
      </w:r>
      <w:r>
        <w:rPr/>
        <w:t>、可供出售金融资产较年初减少</w:t>
      </w:r>
      <w:r>
        <w:rPr>
          <w:rFonts w:ascii="Times New Roman" w:hAnsi="Times New Roman" w:cs="Times New Roman" w:eastAsia="Times New Roman" w:hint="default"/>
        </w:rPr>
        <w:t>38.49%</w:t>
      </w:r>
      <w:r>
        <w:rPr/>
        <w:t>，主要系本期公司处置交通银行股权影响所致。</w:t>
      </w:r>
    </w:p>
    <w:p>
      <w:pPr>
        <w:pStyle w:val="BodyText"/>
        <w:spacing w:line="240" w:lineRule="auto" w:before="102"/>
        <w:ind w:left="514" w:right="141"/>
        <w:jc w:val="left"/>
      </w:pPr>
      <w:r>
        <w:rPr>
          <w:rFonts w:ascii="Times New Roman" w:hAnsi="Times New Roman" w:cs="Times New Roman" w:eastAsia="Times New Roman" w:hint="default"/>
        </w:rPr>
        <w:t>3</w:t>
      </w:r>
      <w:r>
        <w:rPr/>
        <w:t>、固定资产清理较年初减少</w:t>
      </w:r>
      <w:r>
        <w:rPr>
          <w:rFonts w:ascii="Times New Roman" w:hAnsi="Times New Roman" w:cs="Times New Roman" w:eastAsia="Times New Roman" w:hint="default"/>
        </w:rPr>
        <w:t>88.32%</w:t>
      </w:r>
      <w:r>
        <w:rPr/>
        <w:t>，主要系本期公司对固定资产清理计提减值准备影响所致。</w:t>
      </w:r>
    </w:p>
    <w:p>
      <w:pPr>
        <w:pStyle w:val="BodyText"/>
        <w:spacing w:line="302" w:lineRule="auto" w:before="102"/>
        <w:ind w:left="154" w:right="141" w:firstLine="360"/>
        <w:jc w:val="left"/>
      </w:pPr>
      <w:r>
        <w:rPr>
          <w:rFonts w:ascii="Times New Roman" w:hAnsi="Times New Roman" w:cs="Times New Roman" w:eastAsia="Times New Roman" w:hint="default"/>
          <w:spacing w:val="-1"/>
        </w:rPr>
        <w:t>4</w:t>
      </w:r>
      <w:r>
        <w:rPr>
          <w:spacing w:val="-1"/>
        </w:rPr>
        <w:t>、开发支出较年初增加</w:t>
      </w:r>
      <w:r>
        <w:rPr>
          <w:rFonts w:ascii="Times New Roman" w:hAnsi="Times New Roman" w:cs="Times New Roman" w:eastAsia="Times New Roman" w:hint="default"/>
          <w:spacing w:val="-1"/>
        </w:rPr>
        <w:t>59.06%</w:t>
      </w:r>
      <w:r>
        <w:rPr>
          <w:spacing w:val="-1"/>
        </w:rPr>
        <w:t>，主要系本期公司云中心管理平台建设项目及智慧城市行业解决方案建设项目的投入增</w:t>
      </w:r>
      <w:r>
        <w:rPr/>
        <w:t> 加所致。</w:t>
      </w:r>
    </w:p>
    <w:p>
      <w:pPr>
        <w:pStyle w:val="BodyText"/>
        <w:spacing w:line="240" w:lineRule="auto" w:before="69"/>
        <w:ind w:left="514" w:right="141"/>
        <w:jc w:val="left"/>
      </w:pPr>
      <w:r>
        <w:rPr>
          <w:rFonts w:ascii="Times New Roman" w:hAnsi="Times New Roman" w:cs="Times New Roman" w:eastAsia="Times New Roman" w:hint="default"/>
        </w:rPr>
        <w:t>5</w:t>
      </w:r>
      <w:r>
        <w:rPr/>
        <w:t>、长期待摊费用增加</w:t>
      </w:r>
      <w:r>
        <w:rPr>
          <w:rFonts w:ascii="Times New Roman" w:hAnsi="Times New Roman" w:cs="Times New Roman" w:eastAsia="Times New Roman" w:hint="default"/>
        </w:rPr>
        <w:t>110.86%</w:t>
      </w:r>
      <w:r>
        <w:rPr/>
        <w:t>，主要系本期公司房屋装修费增加所致。</w:t>
      </w:r>
    </w:p>
    <w:p>
      <w:pPr>
        <w:pStyle w:val="BodyText"/>
        <w:spacing w:line="240" w:lineRule="auto" w:before="102"/>
        <w:ind w:left="514" w:right="141"/>
        <w:jc w:val="left"/>
      </w:pPr>
      <w:r>
        <w:rPr>
          <w:rFonts w:ascii="Times New Roman" w:hAnsi="Times New Roman" w:cs="Times New Roman" w:eastAsia="Times New Roman" w:hint="default"/>
        </w:rPr>
        <w:t>6</w:t>
      </w:r>
      <w:r>
        <w:rPr/>
        <w:t>、递延所得税资产较年初增加</w:t>
      </w:r>
      <w:r>
        <w:rPr>
          <w:rFonts w:ascii="Times New Roman" w:hAnsi="Times New Roman" w:cs="Times New Roman" w:eastAsia="Times New Roman" w:hint="default"/>
        </w:rPr>
        <w:t>51.21%</w:t>
      </w:r>
      <w:r>
        <w:rPr/>
        <w:t>，主要系本期公司计提减值损失增加影响所致。</w:t>
      </w:r>
    </w:p>
    <w:p>
      <w:pPr>
        <w:pStyle w:val="BodyText"/>
        <w:spacing w:line="240" w:lineRule="auto" w:before="103"/>
        <w:ind w:left="514" w:right="141"/>
        <w:jc w:val="left"/>
      </w:pPr>
      <w:r>
        <w:rPr>
          <w:rFonts w:ascii="Times New Roman" w:hAnsi="Times New Roman" w:cs="Times New Roman" w:eastAsia="Times New Roman" w:hint="default"/>
        </w:rPr>
        <w:t>7</w:t>
      </w:r>
      <w:r>
        <w:rPr/>
        <w:t>、应付票据较年初增加</w:t>
      </w:r>
      <w:r>
        <w:rPr>
          <w:rFonts w:ascii="Times New Roman" w:hAnsi="Times New Roman" w:cs="Times New Roman" w:eastAsia="Times New Roman" w:hint="default"/>
        </w:rPr>
        <w:t>30.07%</w:t>
      </w:r>
      <w:r>
        <w:rPr/>
        <w:t>，主要系本期公司部分业务采用信用证结算增加所致。</w:t>
      </w:r>
    </w:p>
    <w:p>
      <w:pPr>
        <w:pStyle w:val="BodyText"/>
        <w:spacing w:line="240" w:lineRule="auto" w:before="102"/>
        <w:ind w:left="514" w:right="141"/>
        <w:jc w:val="left"/>
      </w:pPr>
      <w:r>
        <w:rPr>
          <w:rFonts w:ascii="Times New Roman" w:hAnsi="Times New Roman" w:cs="Times New Roman" w:eastAsia="Times New Roman" w:hint="default"/>
        </w:rPr>
        <w:t>8</w:t>
      </w:r>
      <w:r>
        <w:rPr/>
        <w:t>、一年内到期的非流动负债较年初增加</w:t>
      </w:r>
      <w:r>
        <w:rPr>
          <w:rFonts w:ascii="Times New Roman" w:hAnsi="Times New Roman" w:cs="Times New Roman" w:eastAsia="Times New Roman" w:hint="default"/>
        </w:rPr>
        <w:t>428%</w:t>
      </w:r>
      <w:r>
        <w:rPr/>
        <w:t>，主要系本期一年内到期的长期借款转入影响所致。</w:t>
      </w:r>
    </w:p>
    <w:p>
      <w:pPr>
        <w:pStyle w:val="BodyText"/>
        <w:spacing w:line="302" w:lineRule="auto" w:before="101"/>
        <w:ind w:left="154" w:right="141" w:firstLine="360"/>
        <w:jc w:val="left"/>
      </w:pPr>
      <w:r>
        <w:rPr>
          <w:rFonts w:ascii="Times New Roman" w:hAnsi="Times New Roman" w:cs="Times New Roman" w:eastAsia="Times New Roman" w:hint="default"/>
          <w:spacing w:val="-1"/>
        </w:rPr>
        <w:t>9</w:t>
      </w:r>
      <w:r>
        <w:rPr>
          <w:spacing w:val="-1"/>
        </w:rPr>
        <w:t>、长期应付款较年初减少</w:t>
      </w:r>
      <w:r>
        <w:rPr>
          <w:rFonts w:ascii="Times New Roman" w:hAnsi="Times New Roman" w:cs="Times New Roman" w:eastAsia="Times New Roman" w:hint="default"/>
          <w:spacing w:val="-1"/>
        </w:rPr>
        <w:t>75.19%</w:t>
      </w:r>
      <w:r>
        <w:rPr>
          <w:spacing w:val="-1"/>
        </w:rPr>
        <w:t>，主要系本期公司将按合同约定需在一年之内支付的融资租赁费用转入一年内到期的</w:t>
      </w:r>
      <w:r>
        <w:rPr/>
        <w:t> 非流动负债所致。</w:t>
      </w:r>
    </w:p>
    <w:p>
      <w:pPr>
        <w:pStyle w:val="BodyText"/>
        <w:spacing w:line="240" w:lineRule="auto" w:before="70"/>
        <w:ind w:left="514" w:right="141"/>
        <w:jc w:val="left"/>
      </w:pPr>
      <w:r>
        <w:rPr>
          <w:rFonts w:ascii="Times New Roman" w:hAnsi="Times New Roman" w:cs="Times New Roman" w:eastAsia="Times New Roman" w:hint="default"/>
        </w:rPr>
        <w:t>10</w:t>
      </w:r>
      <w:r>
        <w:rPr/>
        <w:t>、递延所得税负债较年初减少</w:t>
      </w:r>
      <w:r>
        <w:rPr>
          <w:rFonts w:ascii="Times New Roman" w:hAnsi="Times New Roman" w:cs="Times New Roman" w:eastAsia="Times New Roman" w:hint="default"/>
        </w:rPr>
        <w:t>47.02%</w:t>
      </w:r>
      <w:r>
        <w:rPr/>
        <w:t>，主要系本期公司处置交通银行股权相应递延所得税减少所致。</w:t>
      </w:r>
    </w:p>
    <w:p>
      <w:pPr>
        <w:pStyle w:val="BodyText"/>
        <w:spacing w:line="302" w:lineRule="auto" w:before="101"/>
        <w:ind w:left="154" w:right="141" w:firstLine="360"/>
        <w:jc w:val="left"/>
      </w:pPr>
      <w:r>
        <w:rPr>
          <w:rFonts w:ascii="Times New Roman" w:hAnsi="Times New Roman" w:cs="Times New Roman" w:eastAsia="Times New Roman" w:hint="default"/>
        </w:rPr>
        <w:t>11</w:t>
      </w:r>
      <w:r>
        <w:rPr/>
        <w:t>、股本较年初增加</w:t>
      </w:r>
      <w:r>
        <w:rPr>
          <w:rFonts w:ascii="Times New Roman" w:hAnsi="Times New Roman" w:cs="Times New Roman" w:eastAsia="Times New Roman" w:hint="default"/>
        </w:rPr>
        <w:t>30%</w:t>
      </w:r>
      <w:r>
        <w:rPr/>
        <w:t>，主要系本期公司实施</w:t>
      </w:r>
      <w:r>
        <w:rPr>
          <w:rFonts w:ascii="Times New Roman" w:hAnsi="Times New Roman" w:cs="Times New Roman" w:eastAsia="Times New Roman" w:hint="default"/>
        </w:rPr>
        <w:t>2016</w:t>
      </w:r>
      <w:r>
        <w:rPr/>
        <w:t>年度权益分派方案，以资本公积金转增股本，每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w:t>
      </w:r>
      <w:r>
        <w:rPr>
          <w:spacing w:val="1"/>
        </w:rPr>
        <w:t> </w:t>
      </w:r>
      <w:r>
        <w:rPr/>
        <w:t>增后公司总股本增至</w:t>
      </w:r>
      <w:r>
        <w:rPr>
          <w:rFonts w:ascii="Times New Roman" w:hAnsi="Times New Roman" w:cs="Times New Roman" w:eastAsia="Times New Roman" w:hint="default"/>
        </w:rPr>
        <w:t>1,652,874,961</w:t>
      </w:r>
      <w:r>
        <w:rPr/>
        <w:t>股影响所致。</w:t>
      </w:r>
    </w:p>
    <w:p>
      <w:pPr>
        <w:pStyle w:val="BodyText"/>
        <w:spacing w:line="240" w:lineRule="auto" w:before="50"/>
        <w:ind w:left="514" w:right="141"/>
        <w:jc w:val="left"/>
      </w:pPr>
      <w:r>
        <w:rPr>
          <w:rFonts w:ascii="Times New Roman" w:hAnsi="Times New Roman" w:cs="Times New Roman" w:eastAsia="Times New Roman" w:hint="default"/>
        </w:rPr>
        <w:t>12</w:t>
      </w:r>
      <w:r>
        <w:rPr/>
        <w:t>、资产减值损失较去年同期增加</w:t>
      </w:r>
      <w:r>
        <w:rPr>
          <w:rFonts w:ascii="Times New Roman" w:hAnsi="Times New Roman" w:cs="Times New Roman" w:eastAsia="Times New Roman" w:hint="default"/>
        </w:rPr>
        <w:t>39.10%</w:t>
      </w:r>
      <w:r>
        <w:rPr/>
        <w:t>，主要系本期公司计提固定资产减值准备及商誉减值准备影响所致。</w:t>
      </w:r>
    </w:p>
    <w:p>
      <w:pPr>
        <w:pStyle w:val="BodyText"/>
        <w:spacing w:line="240" w:lineRule="auto" w:before="103"/>
        <w:ind w:left="514" w:right="141"/>
        <w:jc w:val="left"/>
      </w:pPr>
      <w:r>
        <w:rPr>
          <w:rFonts w:ascii="Times New Roman" w:hAnsi="Times New Roman" w:cs="Times New Roman" w:eastAsia="Times New Roman" w:hint="default"/>
        </w:rPr>
        <w:t>13</w:t>
      </w:r>
      <w:r>
        <w:rPr/>
        <w:t>、投资收益较去年同期增加</w:t>
      </w:r>
      <w:r>
        <w:rPr>
          <w:rFonts w:ascii="Times New Roman" w:hAnsi="Times New Roman" w:cs="Times New Roman" w:eastAsia="Times New Roman" w:hint="default"/>
        </w:rPr>
        <w:t>325.15%</w:t>
      </w:r>
      <w:r>
        <w:rPr/>
        <w:t>，主要系本期公司处置交通银行股权影响所致。</w:t>
      </w:r>
    </w:p>
    <w:p>
      <w:pPr>
        <w:pStyle w:val="BodyText"/>
        <w:spacing w:line="240" w:lineRule="auto" w:before="102"/>
        <w:ind w:left="514" w:right="141"/>
        <w:jc w:val="left"/>
      </w:pPr>
      <w:r>
        <w:rPr>
          <w:rFonts w:ascii="Times New Roman" w:hAnsi="Times New Roman" w:cs="Times New Roman" w:eastAsia="Times New Roman" w:hint="default"/>
        </w:rPr>
        <w:t>14</w:t>
      </w:r>
      <w:r>
        <w:rPr/>
        <w:t>、其他收益同比增加</w:t>
      </w:r>
      <w:r>
        <w:rPr>
          <w:rFonts w:ascii="Times New Roman" w:hAnsi="Times New Roman" w:cs="Times New Roman" w:eastAsia="Times New Roman" w:hint="default"/>
        </w:rPr>
        <w:t>61,374.27</w:t>
      </w:r>
      <w:r>
        <w:rPr/>
        <w:t>万元，主要系公司本期公司确认政府搬迁补助影响所致。</w:t>
      </w:r>
    </w:p>
    <w:p>
      <w:pPr>
        <w:pStyle w:val="BodyText"/>
        <w:spacing w:line="240" w:lineRule="auto" w:before="102"/>
        <w:ind w:left="514" w:right="141"/>
        <w:jc w:val="left"/>
      </w:pPr>
      <w:r>
        <w:rPr>
          <w:rFonts w:ascii="Times New Roman" w:hAnsi="Times New Roman" w:cs="Times New Roman" w:eastAsia="Times New Roman" w:hint="default"/>
        </w:rPr>
        <w:t>15</w:t>
      </w:r>
      <w:r>
        <w:rPr/>
        <w:t>、资产处置收益较去年同期减少</w:t>
      </w:r>
      <w:r>
        <w:rPr>
          <w:rFonts w:ascii="Times New Roman" w:hAnsi="Times New Roman" w:cs="Times New Roman" w:eastAsia="Times New Roman" w:hint="default"/>
        </w:rPr>
        <w:t>7022.84%</w:t>
      </w:r>
      <w:r>
        <w:rPr/>
        <w:t>，主要系本期公司处置固定资产损失同比增加所致。</w:t>
      </w:r>
    </w:p>
    <w:p>
      <w:pPr>
        <w:pStyle w:val="BodyText"/>
        <w:spacing w:line="240" w:lineRule="auto" w:before="103"/>
        <w:ind w:left="514" w:right="141"/>
        <w:jc w:val="left"/>
      </w:pPr>
      <w:r>
        <w:rPr>
          <w:rFonts w:ascii="Times New Roman" w:hAnsi="Times New Roman" w:cs="Times New Roman" w:eastAsia="Times New Roman" w:hint="default"/>
        </w:rPr>
        <w:t>16</w:t>
      </w:r>
      <w:r>
        <w:rPr/>
        <w:t>、营业外收入较去年同期减少</w:t>
      </w:r>
      <w:r>
        <w:rPr>
          <w:rFonts w:ascii="Times New Roman" w:hAnsi="Times New Roman" w:cs="Times New Roman" w:eastAsia="Times New Roman" w:hint="default"/>
        </w:rPr>
        <w:t>94.31%</w:t>
      </w:r>
      <w:r>
        <w:rPr/>
        <w:t>，主要系本期公司将与企业日常经营有关的政府补助计入其他收益所致。</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141"/>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3111"/>
        <w:jc w:val="left"/>
      </w:pPr>
      <w:r>
        <w:rPr/>
        <w:t>一、载有公司法定代表人签字和公司盖章的本次年报摘要及全文。 二、载有公司法定代表人、总会计师、会计机构负责人签名并盖章的会计报表。 三、载有会计师事务所盖章、注册会计师签名并盖章的审计报告原件。 四、报告期内在中国证监会指定报纸上公开披露过的所有文件的正本及公告的原稿。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4723" w:right="1940"/>
        <w:jc w:val="center"/>
      </w:pPr>
      <w:r>
        <w:rPr/>
        <w:t>石家庄常山北明科技股份有限公司董事会</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left="4588" w:right="1940"/>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9 </w:t>
      </w:r>
      <w:r>
        <w:rPr/>
        <w:t>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222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22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22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22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2220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21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21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21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21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325325pt;width:222.5pt;height:11.5pt;mso-position-horizontal-relative:page;mso-position-vertical-relative:page;z-index:-1222120" type="#_x0000_t202" filled="false" stroked="false">
          <v:textbox inset="0,0,0,0">
            <w:txbxContent>
              <w:p>
                <w:pPr>
                  <w:pStyle w:val="BodyText"/>
                  <w:spacing w:line="214" w:lineRule="exact"/>
                  <w:ind w:left="20" w:right="0"/>
                  <w:jc w:val="left"/>
                </w:pPr>
                <w:r>
                  <w:rPr/>
                  <w:t>石家庄常山北明科技股份有限公司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3428"/>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changshantex.com/" TargetMode="External"/><Relationship Id="rId11" Type="http://schemas.openxmlformats.org/officeDocument/2006/relationships/hyperlink" Target="mailto:chshgf@heinfo.net" TargetMode="External"/><Relationship Id="rId12" Type="http://schemas.openxmlformats.org/officeDocument/2006/relationships/hyperlink" Target="mailto:chijunp52@sohu.com" TargetMode="External"/><Relationship Id="rId13" Type="http://schemas.openxmlformats.org/officeDocument/2006/relationships/hyperlink" Target="mailto:ally0629@sohu.com" TargetMode="External"/><Relationship Id="rId14" Type="http://schemas.openxmlformats.org/officeDocument/2006/relationships/hyperlink" Target="mailto:0629@sohu.com" TargetMode="Externa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&lt;4D6963726F736F667420576F7264202D2032303137C4EAC4EAB6C8B1A8B8E6C8ABCEC42E646F63&gt;</dc:title>
  <dcterms:created xsi:type="dcterms:W3CDTF">2020-05-02T19:26:40Z</dcterms:created>
  <dcterms:modified xsi:type="dcterms:W3CDTF">2020-05-02T19:26:40Z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2018-04-09T00:00:00Z</vt:filetime>
  </property>
  <property fmtid="{D5CDD505-2E9C-101B-9397-08002B2CF9AE}" pid="3" name="Creator">
    <vt:lpwstr>PScript5.dll Version 5.2.2</vt:lpwstr>
  </property>
  <property fmtid="{D5CDD505-2E9C-101B-9397-08002B2CF9AE}" pid="4" name="LastSaved">
    <vt:filetime>2020-05-02T00:00:00Z</vt:filetime>
  </property>
</Properties>
</file>