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石家庄常山北明科技股份有限公司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line="2205" w:lineRule="exact"/>
        <w:ind w:left="3934"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1409316" cy="1400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316" cy="140017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30"/>
          <w:szCs w:val="30"/>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41" w:top="1060" w:bottom="114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891"/>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公司负责人肖荣智、主管会计工作负责人曹金霞及会计机构负责人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before="147"/>
        <w:ind w:left="715" w:right="891"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23"/>
        <w:gridCol w:w="2222"/>
        <w:gridCol w:w="2212"/>
        <w:gridCol w:w="2210"/>
      </w:tblGrid>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22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22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r>
      <w:tr>
        <w:trPr>
          <w:trHeight w:val="403"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22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r>
    </w:tbl>
    <w:p>
      <w:pPr>
        <w:spacing w:line="240" w:lineRule="auto" w:before="2"/>
        <w:rPr>
          <w:rFonts w:ascii="宋体" w:hAnsi="宋体" w:cs="宋体" w:eastAsia="宋体" w:hint="default"/>
          <w:b/>
          <w:bCs/>
          <w:sz w:val="13"/>
          <w:szCs w:val="13"/>
        </w:rPr>
      </w:pPr>
    </w:p>
    <w:p>
      <w:pPr>
        <w:spacing w:line="391" w:lineRule="auto" w:before="13"/>
        <w:ind w:left="153" w:right="891" w:firstLine="842"/>
        <w:jc w:val="left"/>
        <w:rPr>
          <w:rFonts w:ascii="宋体" w:hAnsi="宋体" w:cs="宋体" w:eastAsia="宋体" w:hint="default"/>
          <w:sz w:val="28"/>
          <w:szCs w:val="28"/>
        </w:rPr>
      </w:pPr>
      <w:r>
        <w:rPr>
          <w:rFonts w:ascii="宋体" w:hAnsi="宋体" w:cs="宋体" w:eastAsia="宋体" w:hint="default"/>
          <w:b/>
          <w:bCs/>
          <w:spacing w:val="4"/>
          <w:sz w:val="28"/>
          <w:szCs w:val="28"/>
        </w:rPr>
        <w:t>公司已在本报告中详细描述可能存在的相关风险，敬请查阅第四节经营</w:t>
      </w:r>
      <w:r>
        <w:rPr>
          <w:rFonts w:ascii="宋体" w:hAnsi="宋体" w:cs="宋体" w:eastAsia="宋体" w:hint="default"/>
          <w:b/>
          <w:bCs/>
          <w:spacing w:val="4"/>
          <w:w w:val="99"/>
          <w:sz w:val="28"/>
          <w:szCs w:val="28"/>
        </w:rPr>
        <w:t> </w:t>
      </w:r>
      <w:r>
        <w:rPr>
          <w:rFonts w:ascii="宋体" w:hAnsi="宋体" w:cs="宋体" w:eastAsia="宋体" w:hint="default"/>
          <w:b/>
          <w:bCs/>
          <w:sz w:val="28"/>
          <w:szCs w:val="28"/>
        </w:rPr>
        <w:t>情况讨论与分析中公司未来发展的展望中</w:t>
      </w:r>
      <w:r>
        <w:rPr>
          <w:rFonts w:ascii="宋体" w:hAnsi="宋体" w:cs="宋体" w:eastAsia="宋体" w:hint="default"/>
          <w:b/>
          <w:bCs/>
          <w:spacing w:val="-102"/>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32"/>
          <w:sz w:val="28"/>
          <w:szCs w:val="28"/>
        </w:rPr>
        <w:t> </w:t>
      </w:r>
      <w:r>
        <w:rPr>
          <w:rFonts w:ascii="宋体" w:hAnsi="宋体" w:cs="宋体" w:eastAsia="宋体" w:hint="default"/>
          <w:b/>
          <w:bCs/>
          <w:sz w:val="28"/>
          <w:szCs w:val="28"/>
        </w:rPr>
        <w:t>年的经营计划及面对的风险部分</w:t>
      </w:r>
      <w:r>
        <w:rPr>
          <w:rFonts w:ascii="宋体" w:hAnsi="宋体" w:cs="宋体" w:eastAsia="宋体" w:hint="default"/>
          <w:b/>
          <w:bCs/>
          <w:spacing w:val="1"/>
          <w:w w:val="99"/>
          <w:sz w:val="28"/>
          <w:szCs w:val="28"/>
        </w:rPr>
        <w:t> </w:t>
      </w:r>
      <w:r>
        <w:rPr>
          <w:rFonts w:ascii="宋体" w:hAnsi="宋体" w:cs="宋体" w:eastAsia="宋体" w:hint="default"/>
          <w:b/>
          <w:bCs/>
          <w:spacing w:val="-13"/>
          <w:w w:val="99"/>
          <w:sz w:val="28"/>
          <w:szCs w:val="28"/>
        </w:rPr>
        <w:t>的内容。《中国证券报》、《证券时报》和巨潮资讯网（</w:t>
      </w:r>
      <w:hyperlink r:id="rId9">
        <w:r>
          <w:rPr>
            <w:rFonts w:ascii="Times New Roman" w:hAnsi="Times New Roman" w:cs="Times New Roman" w:eastAsia="Times New Roman" w:hint="default"/>
            <w:b/>
            <w:bCs/>
            <w:spacing w:val="-13"/>
            <w:w w:val="99"/>
            <w:sz w:val="28"/>
            <w:szCs w:val="28"/>
          </w:rPr>
          <w:t>http://www.cninfo.com.cn</w:t>
        </w:r>
      </w:hyperlink>
      <w:r>
        <w:rPr>
          <w:rFonts w:ascii="宋体" w:hAnsi="宋体" w:cs="宋体" w:eastAsia="宋体" w:hint="default"/>
          <w:b/>
          <w:bCs/>
          <w:spacing w:val="-13"/>
          <w:w w:val="99"/>
          <w:sz w:val="28"/>
          <w:szCs w:val="28"/>
        </w:rPr>
        <w:t>）</w:t>
      </w:r>
      <w:r>
        <w:rPr>
          <w:rFonts w:ascii="宋体" w:hAnsi="宋体" w:cs="宋体" w:eastAsia="宋体" w:hint="default"/>
          <w:b/>
          <w:bCs/>
          <w:spacing w:val="-96"/>
          <w:w w:val="99"/>
          <w:sz w:val="28"/>
          <w:szCs w:val="28"/>
        </w:rPr>
        <w:t> </w:t>
      </w:r>
      <w:r>
        <w:rPr>
          <w:rFonts w:ascii="宋体" w:hAnsi="宋体" w:cs="宋体" w:eastAsia="宋体" w:hint="default"/>
          <w:b/>
          <w:bCs/>
          <w:w w:val="99"/>
          <w:sz w:val="28"/>
          <w:szCs w:val="28"/>
        </w:rPr>
        <w:t>为本公司 </w:t>
      </w:r>
      <w:r>
        <w:rPr>
          <w:rFonts w:ascii="Times New Roman" w:hAnsi="Times New Roman" w:cs="Times New Roman" w:eastAsia="Times New Roman" w:hint="default"/>
          <w:b/>
          <w:bCs/>
          <w:w w:val="99"/>
          <w:sz w:val="28"/>
          <w:szCs w:val="28"/>
        </w:rPr>
        <w:t>2019 </w:t>
      </w:r>
      <w:r>
        <w:rPr>
          <w:rFonts w:ascii="宋体" w:hAnsi="宋体" w:cs="宋体" w:eastAsia="宋体" w:hint="default"/>
          <w:b/>
          <w:bCs/>
          <w:spacing w:val="-4"/>
          <w:w w:val="99"/>
          <w:sz w:val="28"/>
          <w:szCs w:val="28"/>
        </w:rPr>
        <w:t>年度选定的信息披露媒体，本公司所有信息均以在上述选定媒体</w:t>
      </w:r>
      <w:r>
        <w:rPr>
          <w:rFonts w:ascii="宋体" w:hAnsi="宋体" w:cs="宋体" w:eastAsia="宋体" w:hint="default"/>
          <w:b/>
          <w:bCs/>
          <w:spacing w:val="-123"/>
          <w:w w:val="99"/>
          <w:sz w:val="28"/>
          <w:szCs w:val="28"/>
        </w:rPr>
        <w:t> </w:t>
      </w:r>
      <w:r>
        <w:rPr>
          <w:rFonts w:ascii="宋体" w:hAnsi="宋体" w:cs="宋体" w:eastAsia="宋体" w:hint="default"/>
          <w:b/>
          <w:bCs/>
          <w:spacing w:val="-123"/>
          <w:w w:val="99"/>
          <w:sz w:val="28"/>
          <w:szCs w:val="28"/>
        </w:rPr>
      </w:r>
      <w:r>
        <w:rPr>
          <w:rFonts w:ascii="宋体" w:hAnsi="宋体" w:cs="宋体" w:eastAsia="宋体" w:hint="default"/>
          <w:b/>
          <w:bCs/>
          <w:sz w:val="28"/>
          <w:szCs w:val="28"/>
        </w:rPr>
        <w:t>刊登的信息为准，敬请投资者注意投资风险。</w:t>
      </w:r>
      <w:r>
        <w:rPr>
          <w:rFonts w:ascii="宋体" w:hAnsi="宋体" w:cs="宋体" w:eastAsia="宋体" w:hint="default"/>
          <w:sz w:val="28"/>
          <w:szCs w:val="28"/>
        </w:rPr>
      </w:r>
    </w:p>
    <w:p>
      <w:pPr>
        <w:spacing w:before="180"/>
        <w:ind w:left="715" w:right="891"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41" w:header="747" w:top="1060" w:bottom="114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660" w:val="left" w:leader="dot"/>
            </w:tabs>
            <w:spacing w:line="240" w:lineRule="auto" w:before="0"/>
            <w:ind w:left="154" w:right="891"/>
            <w:jc w:val="left"/>
            <w:rPr>
              <w:b w:val="0"/>
              <w:bCs w:val="0"/>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b w:val="0"/>
                <w:bCs w:val="0"/>
              </w:rPr>
              <w:tab/>
            </w:r>
            <w:r>
              <w:rPr/>
              <w:t>2</w:t>
            </w:r>
            <w:r>
              <w:rPr>
                <w:spacing w:val="-24"/>
              </w:rPr>
              <w:t> </w:t>
            </w:r>
            <w:r>
              <w:rPr>
                <w:b w:val="0"/>
                <w:bCs w:val="0"/>
              </w:rPr>
            </w:r>
          </w:hyperlink>
        </w:p>
        <w:p>
          <w:pPr>
            <w:pStyle w:val="TOC1"/>
            <w:tabs>
              <w:tab w:pos="9660" w:val="left" w:leader="dot"/>
            </w:tabs>
            <w:spacing w:line="240" w:lineRule="auto"/>
            <w:ind w:right="891"/>
            <w:jc w:val="left"/>
            <w:rPr>
              <w:b w:val="0"/>
              <w:bCs w:val="0"/>
            </w:rPr>
          </w:pPr>
          <w:hyperlink w:history="true" w:anchor="_TOC_250010">
            <w:r>
              <w:rPr/>
              <w:t>第二节 公司简介和主要财务指标</w:t>
            </w:r>
            <w:r>
              <w:rPr>
                <w:rFonts w:ascii="Times New Roman" w:hAnsi="Times New Roman" w:cs="Times New Roman" w:eastAsia="Times New Roman" w:hint="default"/>
                <w:b w:val="0"/>
                <w:bCs w:val="0"/>
              </w:rPr>
              <w:tab/>
            </w:r>
            <w:r>
              <w:rPr/>
              <w:t>5</w:t>
            </w:r>
            <w:r>
              <w:rPr>
                <w:b w:val="0"/>
                <w:bCs w:val="0"/>
              </w:rPr>
            </w:r>
          </w:hyperlink>
        </w:p>
        <w:p>
          <w:pPr>
            <w:pStyle w:val="TOC1"/>
            <w:tabs>
              <w:tab w:pos="9660" w:val="left" w:leader="dot"/>
            </w:tabs>
            <w:spacing w:line="240" w:lineRule="auto"/>
            <w:ind w:right="891"/>
            <w:jc w:val="left"/>
            <w:rPr>
              <w:b w:val="0"/>
              <w:bCs w:val="0"/>
            </w:rPr>
          </w:pPr>
          <w:hyperlink w:history="true" w:anchor="_TOC_250009">
            <w:r>
              <w:rPr/>
              <w:t>第三节 公司业务概要</w:t>
            </w:r>
            <w:r>
              <w:rPr>
                <w:rFonts w:ascii="Times New Roman" w:hAnsi="Times New Roman" w:cs="Times New Roman" w:eastAsia="Times New Roman" w:hint="default"/>
                <w:b w:val="0"/>
                <w:bCs w:val="0"/>
              </w:rPr>
              <w:tab/>
            </w:r>
            <w:r>
              <w:rPr/>
              <w:t>9</w:t>
            </w:r>
            <w:r>
              <w:rPr>
                <w:b w:val="0"/>
                <w:bCs w:val="0"/>
              </w:rPr>
            </w:r>
          </w:hyperlink>
        </w:p>
        <w:p>
          <w:pPr>
            <w:pStyle w:val="TOC1"/>
            <w:tabs>
              <w:tab w:pos="9539" w:val="left" w:leader="dot"/>
            </w:tabs>
            <w:spacing w:line="240" w:lineRule="auto"/>
            <w:ind w:right="891"/>
            <w:jc w:val="left"/>
            <w:rPr>
              <w:b w:val="0"/>
              <w:bCs w:val="0"/>
            </w:rPr>
          </w:pPr>
          <w:hyperlink w:history="true" w:anchor="_TOC_250008">
            <w:r>
              <w:rPr/>
              <w:t>第四节 经营情况讨论与分析</w:t>
            </w:r>
            <w:r>
              <w:rPr>
                <w:rFonts w:ascii="Times New Roman" w:hAnsi="Times New Roman" w:cs="Times New Roman" w:eastAsia="Times New Roman" w:hint="default"/>
                <w:b w:val="0"/>
                <w:bCs w:val="0"/>
              </w:rPr>
              <w:tab/>
            </w:r>
            <w:r>
              <w:rPr/>
              <w:t>12</w:t>
            </w:r>
            <w:r>
              <w:rPr>
                <w:b w:val="0"/>
                <w:bCs w:val="0"/>
              </w:rPr>
            </w:r>
          </w:hyperlink>
        </w:p>
        <w:p>
          <w:pPr>
            <w:pStyle w:val="TOC1"/>
            <w:tabs>
              <w:tab w:pos="9539" w:val="left" w:leader="dot"/>
            </w:tabs>
            <w:spacing w:line="240" w:lineRule="auto"/>
            <w:ind w:right="891"/>
            <w:jc w:val="left"/>
            <w:rPr>
              <w:b w:val="0"/>
              <w:bCs w:val="0"/>
            </w:rPr>
          </w:pPr>
          <w:hyperlink w:history="true" w:anchor="_TOC_250007">
            <w:r>
              <w:rPr/>
              <w:t>第五节 重要事项</w:t>
            </w:r>
            <w:r>
              <w:rPr>
                <w:rFonts w:ascii="Times New Roman" w:hAnsi="Times New Roman" w:cs="Times New Roman" w:eastAsia="Times New Roman" w:hint="default"/>
                <w:b w:val="0"/>
                <w:bCs w:val="0"/>
              </w:rPr>
              <w:tab/>
            </w:r>
            <w:r>
              <w:rPr/>
              <w:t>32</w:t>
            </w:r>
            <w:r>
              <w:rPr>
                <w:b w:val="0"/>
                <w:bCs w:val="0"/>
              </w:rPr>
            </w:r>
          </w:hyperlink>
        </w:p>
        <w:p>
          <w:pPr>
            <w:pStyle w:val="TOC1"/>
            <w:tabs>
              <w:tab w:pos="9539" w:val="left" w:leader="dot"/>
            </w:tabs>
            <w:spacing w:line="240" w:lineRule="auto"/>
            <w:ind w:right="891"/>
            <w:jc w:val="left"/>
            <w:rPr>
              <w:b w:val="0"/>
              <w:bCs w:val="0"/>
            </w:rPr>
          </w:pPr>
          <w:hyperlink w:history="true" w:anchor="_TOC_250006">
            <w:r>
              <w:rPr/>
              <w:t>第六节 股份变动及股东情况</w:t>
            </w:r>
            <w:r>
              <w:rPr>
                <w:rFonts w:ascii="Times New Roman" w:hAnsi="Times New Roman" w:cs="Times New Roman" w:eastAsia="Times New Roman" w:hint="default"/>
                <w:b w:val="0"/>
                <w:bCs w:val="0"/>
              </w:rPr>
              <w:tab/>
            </w:r>
            <w:r>
              <w:rPr/>
              <w:t>45</w:t>
            </w:r>
            <w:r>
              <w:rPr>
                <w:b w:val="0"/>
                <w:bCs w:val="0"/>
              </w:rPr>
            </w:r>
          </w:hyperlink>
        </w:p>
        <w:p>
          <w:pPr>
            <w:pStyle w:val="TOC1"/>
            <w:tabs>
              <w:tab w:pos="9539" w:val="left" w:leader="dot"/>
            </w:tabs>
            <w:spacing w:line="240" w:lineRule="auto"/>
            <w:ind w:right="891"/>
            <w:jc w:val="left"/>
            <w:rPr>
              <w:b w:val="0"/>
              <w:bCs w:val="0"/>
            </w:rPr>
          </w:pPr>
          <w:hyperlink w:history="true" w:anchor="_TOC_250005">
            <w:r>
              <w:rPr/>
              <w:t>第七节 优先股相关情况</w:t>
            </w:r>
            <w:r>
              <w:rPr>
                <w:rFonts w:ascii="Times New Roman" w:hAnsi="Times New Roman" w:cs="Times New Roman" w:eastAsia="Times New Roman" w:hint="default"/>
                <w:b w:val="0"/>
                <w:bCs w:val="0"/>
              </w:rPr>
              <w:tab/>
            </w:r>
            <w:r>
              <w:rPr/>
              <w:t>51</w:t>
            </w:r>
            <w:r>
              <w:rPr>
                <w:b w:val="0"/>
                <w:bCs w:val="0"/>
              </w:rPr>
            </w:r>
          </w:hyperlink>
        </w:p>
        <w:p>
          <w:pPr>
            <w:pStyle w:val="TOC1"/>
            <w:tabs>
              <w:tab w:pos="9539" w:val="left" w:leader="dot"/>
            </w:tabs>
            <w:spacing w:line="240" w:lineRule="auto"/>
            <w:ind w:right="891"/>
            <w:jc w:val="left"/>
            <w:rPr>
              <w:b w:val="0"/>
              <w:bCs w:val="0"/>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t>52</w:t>
            </w:r>
            <w:r>
              <w:rPr>
                <w:b w:val="0"/>
                <w:bCs w:val="0"/>
              </w:rPr>
            </w:r>
          </w:hyperlink>
        </w:p>
        <w:p>
          <w:pPr>
            <w:pStyle w:val="TOC1"/>
            <w:tabs>
              <w:tab w:pos="9539" w:val="left" w:leader="dot"/>
            </w:tabs>
            <w:spacing w:line="240" w:lineRule="auto"/>
            <w:ind w:right="891"/>
            <w:jc w:val="left"/>
            <w:rPr>
              <w:b w:val="0"/>
              <w:bCs w:val="0"/>
            </w:rPr>
          </w:pPr>
          <w:hyperlink w:history="true" w:anchor="_TOC_250003">
            <w:r>
              <w:rPr/>
              <w:t>第九节 公司治理</w:t>
            </w:r>
            <w:r>
              <w:rPr>
                <w:rFonts w:ascii="Times New Roman" w:hAnsi="Times New Roman" w:cs="Times New Roman" w:eastAsia="Times New Roman" w:hint="default"/>
                <w:b w:val="0"/>
                <w:bCs w:val="0"/>
              </w:rPr>
              <w:tab/>
            </w:r>
            <w:r>
              <w:rPr/>
              <w:t>60</w:t>
            </w:r>
            <w:r>
              <w:rPr>
                <w:b w:val="0"/>
                <w:bCs w:val="0"/>
              </w:rPr>
            </w:r>
          </w:hyperlink>
        </w:p>
        <w:p>
          <w:pPr>
            <w:pStyle w:val="TOC1"/>
            <w:tabs>
              <w:tab w:pos="9539" w:val="left" w:leader="dot"/>
            </w:tabs>
            <w:spacing w:line="240" w:lineRule="auto"/>
            <w:ind w:right="891"/>
            <w:jc w:val="left"/>
            <w:rPr>
              <w:b w:val="0"/>
              <w:bCs w:val="0"/>
            </w:rPr>
          </w:pPr>
          <w:hyperlink w:history="true" w:anchor="_TOC_250002">
            <w:r>
              <w:rPr/>
              <w:t>第十节 公司债券相关情况</w:t>
            </w:r>
            <w:r>
              <w:rPr>
                <w:rFonts w:ascii="Times New Roman" w:hAnsi="Times New Roman" w:cs="Times New Roman" w:eastAsia="Times New Roman" w:hint="default"/>
                <w:b w:val="0"/>
                <w:bCs w:val="0"/>
              </w:rPr>
              <w:tab/>
            </w:r>
            <w:r>
              <w:rPr/>
              <w:t>65</w:t>
            </w:r>
            <w:r>
              <w:rPr>
                <w:b w:val="0"/>
                <w:bCs w:val="0"/>
              </w:rPr>
            </w:r>
          </w:hyperlink>
        </w:p>
        <w:p>
          <w:pPr>
            <w:pStyle w:val="TOC1"/>
            <w:tabs>
              <w:tab w:pos="9539" w:val="left" w:leader="dot"/>
            </w:tabs>
            <w:spacing w:line="240" w:lineRule="auto"/>
            <w:ind w:right="891"/>
            <w:jc w:val="left"/>
            <w:rPr>
              <w:b w:val="0"/>
              <w:bCs w:val="0"/>
            </w:rPr>
          </w:pPr>
          <w:hyperlink w:history="true" w:anchor="_TOC_250001">
            <w:r>
              <w:rPr/>
              <w:t>第十一节 财务报告</w:t>
            </w:r>
            <w:r>
              <w:rPr>
                <w:rFonts w:ascii="Times New Roman" w:hAnsi="Times New Roman" w:cs="Times New Roman" w:eastAsia="Times New Roman" w:hint="default"/>
                <w:b w:val="0"/>
                <w:bCs w:val="0"/>
              </w:rPr>
              <w:tab/>
            </w:r>
            <w:r>
              <w:rPr/>
              <w:t>66</w:t>
            </w:r>
            <w:r>
              <w:rPr>
                <w:b w:val="0"/>
                <w:bCs w:val="0"/>
              </w:rPr>
            </w:r>
          </w:hyperlink>
        </w:p>
        <w:p>
          <w:pPr>
            <w:pStyle w:val="TOC1"/>
            <w:tabs>
              <w:tab w:pos="9417" w:val="left" w:leader="dot"/>
            </w:tabs>
            <w:spacing w:line="240" w:lineRule="auto"/>
            <w:ind w:right="891"/>
            <w:jc w:val="left"/>
            <w:rPr>
              <w:b w:val="0"/>
              <w:bCs w:val="0"/>
            </w:rPr>
          </w:pPr>
          <w:hyperlink w:history="true" w:anchor="_TOC_250000">
            <w:r>
              <w:rPr/>
              <w:t>第十二节 备查文件目录</w:t>
            </w:r>
            <w:r>
              <w:rPr>
                <w:rFonts w:ascii="Times New Roman" w:hAnsi="Times New Roman" w:cs="Times New Roman" w:eastAsia="Times New Roman" w:hint="default"/>
                <w:b w:val="0"/>
                <w:bCs w:val="0"/>
              </w:rPr>
              <w:tab/>
            </w:r>
            <w:r>
              <w:rPr/>
              <w:t>180</w:t>
            </w:r>
            <w:r>
              <w:rPr>
                <w:b w:val="0"/>
                <w:bCs w:val="0"/>
              </w:rPr>
            </w:r>
          </w:hyperlink>
        </w:p>
        <w:p>
          <w:pPr/>
          <w:r>
            <w:fldChar w:fldCharType="end"/>
          </w:r>
        </w:p>
      </w:sdtContent>
    </w:sdt>
    <w:p>
      <w:pPr>
        <w:spacing w:after="0"/>
        <w:sectPr>
          <w:pgSz w:w="11910" w:h="16840"/>
          <w:pgMar w:header="747" w:footer="941" w:top="1060" w:bottom="114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0"/>
        <w:gridCol w:w="614"/>
        <w:gridCol w:w="5435"/>
      </w:tblGrid>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公司、本公司或常山北明</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《石家庄常山北明科技股份有限公司章程》</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天时前程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明润华创</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金实盈信</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广州龙泰</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珠海震星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北明正实</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国智云鼎</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北明控股</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常山集团</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r>
      <w:tr>
        <w:trPr>
          <w:trHeight w:val="317" w:hRule="exact"/>
        </w:trPr>
        <w:tc>
          <w:tcPr>
            <w:tcW w:w="3520" w:type="dxa"/>
            <w:tcBorders>
              <w:top w:val="single" w:sz="4" w:space="0" w:color="000000"/>
              <w:left w:val="single" w:sz="4" w:space="0" w:color="000000"/>
              <w:bottom w:val="nil" w:sz="6" w:space="0" w:color="auto"/>
              <w:right w:val="single" w:sz="4" w:space="0" w:color="000000"/>
            </w:tcBorders>
            <w:shd w:val="clear" w:color="auto" w:fill="C7EDCC"/>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pacing w:val="-2"/>
                <w:sz w:val="18"/>
                <w:szCs w:val="18"/>
              </w:rPr>
              <w:t>指无法在一定时间内用常规软件工具对其内容进行抓取、管理和处理</w:t>
            </w:r>
          </w:p>
        </w:tc>
      </w:tr>
      <w:tr>
        <w:trPr>
          <w:trHeight w:val="392" w:hRule="exact"/>
        </w:trPr>
        <w:tc>
          <w:tcPr>
            <w:tcW w:w="3520" w:type="dxa"/>
            <w:tcBorders>
              <w:top w:val="nil" w:sz="6" w:space="0" w:color="auto"/>
              <w:left w:val="single" w:sz="4" w:space="0" w:color="000000"/>
              <w:bottom w:val="nil" w:sz="6" w:space="0" w:color="auto"/>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pacing w:val="-2"/>
                <w:sz w:val="18"/>
                <w:szCs w:val="18"/>
              </w:rPr>
              <w:t>的数据集合。大数据技术，是指从各种各样类型的数据中，快速获得</w:t>
            </w:r>
          </w:p>
        </w:tc>
      </w:tr>
      <w:tr>
        <w:trPr>
          <w:trHeight w:val="317" w:hRule="exact"/>
        </w:trPr>
        <w:tc>
          <w:tcPr>
            <w:tcW w:w="3520" w:type="dxa"/>
            <w:tcBorders>
              <w:top w:val="nil" w:sz="6" w:space="0" w:color="auto"/>
              <w:left w:val="single" w:sz="4" w:space="0" w:color="000000"/>
              <w:bottom w:val="single" w:sz="4" w:space="0" w:color="000000"/>
              <w:right w:val="single" w:sz="4" w:space="0" w:color="000000"/>
            </w:tcBorders>
            <w:shd w:val="clear" w:color="auto" w:fill="C7EDCC"/>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有价值信息的能力。</w:t>
            </w:r>
          </w:p>
        </w:tc>
      </w:tr>
      <w:tr>
        <w:trPr>
          <w:trHeight w:val="317" w:hRule="exact"/>
        </w:trPr>
        <w:tc>
          <w:tcPr>
            <w:tcW w:w="3520" w:type="dxa"/>
            <w:tcBorders>
              <w:top w:val="single" w:sz="4" w:space="0" w:color="000000"/>
              <w:left w:val="single" w:sz="4" w:space="0" w:color="000000"/>
              <w:bottom w:val="nil" w:sz="6" w:space="0" w:color="auto"/>
              <w:right w:val="single" w:sz="4" w:space="0" w:color="000000"/>
            </w:tcBorders>
            <w:shd w:val="clear" w:color="auto" w:fill="C7EDCC"/>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将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相关的能力以服务的方式提供给用户，允许用户在不了解提供</w:t>
            </w:r>
          </w:p>
        </w:tc>
      </w:tr>
      <w:tr>
        <w:trPr>
          <w:trHeight w:val="392" w:hRule="exact"/>
        </w:trPr>
        <w:tc>
          <w:tcPr>
            <w:tcW w:w="3520" w:type="dxa"/>
            <w:tcBorders>
              <w:top w:val="nil" w:sz="6" w:space="0" w:color="auto"/>
              <w:left w:val="single" w:sz="4" w:space="0" w:color="000000"/>
              <w:bottom w:val="nil" w:sz="6" w:space="0" w:color="auto"/>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pacing w:val="-2"/>
                <w:sz w:val="18"/>
                <w:szCs w:val="18"/>
              </w:rPr>
              <w:t>服务的技术、没有相关知识以及设备操作能力的情况下，通过网络获</w:t>
            </w:r>
          </w:p>
        </w:tc>
      </w:tr>
      <w:tr>
        <w:trPr>
          <w:trHeight w:val="317" w:hRule="exact"/>
        </w:trPr>
        <w:tc>
          <w:tcPr>
            <w:tcW w:w="3520" w:type="dxa"/>
            <w:tcBorders>
              <w:top w:val="nil" w:sz="6" w:space="0" w:color="auto"/>
              <w:left w:val="single" w:sz="4" w:space="0" w:color="000000"/>
              <w:bottom w:val="single" w:sz="4" w:space="0" w:color="000000"/>
              <w:right w:val="single" w:sz="4" w:space="0" w:color="000000"/>
            </w:tcBorders>
            <w:shd w:val="clear" w:color="auto" w:fill="C7EDCC"/>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取需要的服务。</w:t>
            </w:r>
          </w:p>
        </w:tc>
      </w:tr>
      <w:tr>
        <w:trPr>
          <w:trHeight w:val="317" w:hRule="exact"/>
        </w:trPr>
        <w:tc>
          <w:tcPr>
            <w:tcW w:w="3520" w:type="dxa"/>
            <w:tcBorders>
              <w:top w:val="single" w:sz="4" w:space="0" w:color="000000"/>
              <w:left w:val="single" w:sz="4" w:space="0" w:color="000000"/>
              <w:bottom w:val="nil" w:sz="6" w:space="0" w:color="auto"/>
              <w:right w:val="single" w:sz="4" w:space="0" w:color="000000"/>
            </w:tcBorders>
            <w:shd w:val="clear" w:color="auto" w:fill="C7EDCC"/>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pacing w:val="-2"/>
                <w:sz w:val="18"/>
                <w:szCs w:val="18"/>
              </w:rPr>
              <w:t>通过信息传感设备，按约定的协议，把相关物品与互联网相连接，进</w:t>
            </w:r>
          </w:p>
        </w:tc>
      </w:tr>
      <w:tr>
        <w:trPr>
          <w:trHeight w:val="392" w:hRule="exact"/>
        </w:trPr>
        <w:tc>
          <w:tcPr>
            <w:tcW w:w="3520" w:type="dxa"/>
            <w:tcBorders>
              <w:top w:val="nil" w:sz="6" w:space="0" w:color="auto"/>
              <w:left w:val="single" w:sz="4" w:space="0" w:color="000000"/>
              <w:bottom w:val="nil" w:sz="6" w:space="0" w:color="auto"/>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pacing w:val="-2"/>
                <w:sz w:val="18"/>
                <w:szCs w:val="18"/>
              </w:rPr>
              <w:t>行信息交换和通信，以实现对物品的智能化识别、定位、跟踪、监控</w:t>
            </w:r>
          </w:p>
        </w:tc>
      </w:tr>
      <w:tr>
        <w:trPr>
          <w:trHeight w:val="318" w:hRule="exact"/>
        </w:trPr>
        <w:tc>
          <w:tcPr>
            <w:tcW w:w="3520" w:type="dxa"/>
            <w:tcBorders>
              <w:top w:val="nil" w:sz="6" w:space="0" w:color="auto"/>
              <w:left w:val="single" w:sz="4" w:space="0" w:color="000000"/>
              <w:bottom w:val="single" w:sz="4" w:space="0" w:color="000000"/>
              <w:right w:val="single" w:sz="4" w:space="0" w:color="000000"/>
            </w:tcBorders>
            <w:shd w:val="clear" w:color="auto" w:fill="C7EDCC"/>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和管理的一种网络。</w:t>
            </w:r>
          </w:p>
        </w:tc>
      </w:tr>
    </w:tbl>
    <w:p>
      <w:pPr>
        <w:spacing w:after="0" w:line="207" w:lineRule="exact"/>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891"/>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91"/>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44"/>
        <w:gridCol w:w="2187"/>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常山北明</w:t>
            </w:r>
          </w:p>
        </w:tc>
        <w:tc>
          <w:tcPr>
            <w:tcW w:w="2144" w:type="dxa"/>
            <w:tcBorders>
              <w:top w:val="single" w:sz="4" w:space="0" w:color="000000"/>
              <w:left w:val="single" w:sz="9" w:space="0" w:color="C7EDCC"/>
              <w:bottom w:val="single" w:sz="4" w:space="0" w:color="000000"/>
              <w:right w:val="single" w:sz="4" w:space="0" w:color="000000"/>
            </w:tcBorders>
            <w:shd w:val="clear" w:color="auto" w:fill="D3D3D3"/>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000158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常山北明</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Shijiazhuang ChangShan BeiMing Technology</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89"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CSBM</w:t>
            </w:r>
            <w:r>
              <w:rPr>
                <w:rFonts w:ascii="Times New Roman" w:hAnsi="Times New Roman" w:cs="Times New Roman" w:eastAsia="Times New Roman" w:hint="default"/>
                <w:sz w:val="18"/>
                <w:szCs w:val="18"/>
              </w:rPr>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肖荣智</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http://www.csbmkj.com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chshgf@heinfo.net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91"/>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莉</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chijunp52@sohu.com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ally</w:t>
              </w:r>
            </w:hyperlink>
            <w:hyperlink r:id="rId14">
              <w:r>
                <w:rPr>
                  <w:rFonts w:ascii="Times New Roman"/>
                  <w:sz w:val="18"/>
                </w:rPr>
                <w:t>0629@sohu.com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91"/>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891"/>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统一社会信用代码为：</w:t>
            </w:r>
            <w:r>
              <w:rPr>
                <w:rFonts w:ascii="Times New Roman" w:hAnsi="Times New Roman" w:cs="Times New Roman" w:eastAsia="Times New Roman" w:hint="default"/>
                <w:sz w:val="18"/>
                <w:szCs w:val="18"/>
              </w:rPr>
              <w:t>91130100700715920E</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年度公司完成了重大资产重组，收购北明软件有限公司，公司主营业务由单 一的纺织业务新增软件和信息技术服务业。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891"/>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号万通新世界写字楼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王飞、王凤岐</w:t>
            </w:r>
          </w:p>
        </w:tc>
      </w:tr>
    </w:tbl>
    <w:p>
      <w:pPr>
        <w:pStyle w:val="BodyText"/>
        <w:spacing w:line="240" w:lineRule="auto" w:before="51"/>
        <w:ind w:right="891"/>
        <w:jc w:val="left"/>
      </w:pPr>
      <w:r>
        <w:rPr/>
        <w:t>公司聘请的报告期内履行持续督导职责的保荐机构</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91"/>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公司是否需追溯调整或重述以前年度会计数据</w:t>
      </w:r>
    </w:p>
    <w:p>
      <w:pPr>
        <w:pStyle w:val="BodyText"/>
        <w:spacing w:line="240" w:lineRule="auto" w:before="116"/>
        <w:ind w:left="153" w:right="8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7"/>
        <w:gridCol w:w="1751"/>
        <w:gridCol w:w="1736"/>
        <w:gridCol w:w="1738"/>
        <w:gridCol w:w="1735"/>
      </w:tblGrid>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9,656,109,155.27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11,254,467,684.79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10,974,323,090.74</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185,972,590.91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355,095,034.93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349,914,511.72</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-138,139,642.73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-209,420,809.58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-37,886,565.34</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867,710,334.61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382,788,193.92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436,577,038.61</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14,142,745,019.87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12,789,214,507.47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12,804,191,551.46</w:t>
            </w:r>
          </w:p>
        </w:tc>
      </w:tr>
      <w:tr>
        <w:trPr>
          <w:trHeight w:val="715"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6,084,461,167.59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6,008,086,488.76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5,739,262,570.37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91"/>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4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891"/>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7"/>
        <w:gridCol w:w="1752"/>
        <w:gridCol w:w="1739"/>
        <w:gridCol w:w="1740"/>
        <w:gridCol w:w="1729"/>
      </w:tblGrid>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1,806,584,865.52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1,949,496,029.56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1,795,985,948.90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4,104,042,311.29</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-21,691,701.09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51,685,553.76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9,726,502.10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146,252,236.14</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-113,311,773.26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1,693,533.52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-32,319,127.64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5,797,724.65</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-955,329,474.08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422,744,564.14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70,670,224.59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1,329,625,019.96</w:t>
            </w:r>
          </w:p>
        </w:tc>
      </w:tr>
    </w:tbl>
    <w:p>
      <w:pPr>
        <w:pStyle w:val="BodyText"/>
        <w:spacing w:line="240" w:lineRule="auto" w:before="51"/>
        <w:ind w:right="891"/>
        <w:jc w:val="left"/>
      </w:pPr>
      <w:r>
        <w:rPr/>
        <w:t>上述财务指标或其加总数是否与公司已披露季度报告、半年度报告相关财务指标存在重大差异</w:t>
      </w:r>
    </w:p>
    <w:p>
      <w:pPr>
        <w:pStyle w:val="BodyText"/>
        <w:spacing w:line="240" w:lineRule="auto" w:before="116"/>
        <w:ind w:left="153" w:right="8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891"/>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-4,214,205.94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-24,205,783.87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348,984.72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294,057,714.47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607,857,291.03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409,505,119.64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279,429,993.06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-14,293,530.04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-52,874,957.55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-29,109,434.94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13,488,939.38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2,767,256.58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8"/>
        <w:gridCol w:w="1548"/>
        <w:gridCol w:w="1520"/>
        <w:gridCol w:w="1522"/>
        <w:gridCol w:w="1710"/>
      </w:tblGrid>
      <w:tr>
        <w:trPr>
          <w:trHeight w:val="714"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48"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2,180,980.14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57,375,072.42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21,045,277.38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5,467,073.73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8,809,077.21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2,996,256.82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1,201,873.22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3,740.06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-20,354.82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-3,950.55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324,112,233.64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564,515,844.51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387,801,077.06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9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6"/>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891"/>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240" w:lineRule="auto" w:before="26"/>
        <w:ind w:left="153" w:right="891"/>
        <w:jc w:val="left"/>
      </w:pPr>
      <w:r>
        <w:rPr/>
        <w:t>软件与信息技术服务业</w:t>
      </w:r>
    </w:p>
    <w:p>
      <w:pPr>
        <w:pStyle w:val="BodyText"/>
        <w:spacing w:line="240" w:lineRule="auto" w:before="116"/>
        <w:ind w:left="153" w:right="8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57" w:lineRule="auto" w:before="103"/>
        <w:ind w:left="527" w:right="1197" w:hanging="228"/>
        <w:jc w:val="left"/>
      </w:pPr>
      <w:r>
        <w:rPr/>
        <w:t>（一）纺织板块 纺织业务包括纯棉纱、布和涤棉纱、布的生产销售；自产产品和技术的进出口业务；棉花批发、零售。公司根据订单</w:t>
      </w:r>
    </w:p>
    <w:p>
      <w:pPr>
        <w:pStyle w:val="BodyText"/>
        <w:spacing w:line="224" w:lineRule="exact"/>
        <w:ind w:right="891"/>
        <w:jc w:val="left"/>
      </w:pPr>
      <w:r>
        <w:rPr/>
        <w:t>需要，采购原料，组织生产，直接销售。纺织主业主导产品有环保型纱线、功能型面料以及高档品牌服装、家纺和产业用纺</w:t>
      </w:r>
    </w:p>
    <w:p>
      <w:pPr>
        <w:pStyle w:val="BodyText"/>
        <w:spacing w:line="240" w:lineRule="auto" w:before="77"/>
        <w:ind w:right="891"/>
        <w:jc w:val="left"/>
      </w:pPr>
      <w:r>
        <w:rPr/>
        <w:t>织品。</w:t>
      </w:r>
    </w:p>
    <w:p>
      <w:pPr>
        <w:pStyle w:val="BodyText"/>
        <w:spacing w:line="319" w:lineRule="auto" w:before="115"/>
        <w:ind w:right="891" w:firstLine="373"/>
        <w:jc w:val="left"/>
      </w:pPr>
      <w:r>
        <w:rPr/>
        <w:t>报告期内，纺织行业供给侧结构性改革成效逐步显现，供给结构调整优化，行业对需求变化的适应性和灵活性持续提 </w:t>
      </w:r>
      <w:r>
        <w:rPr>
          <w:spacing w:val="-2"/>
        </w:rPr>
        <w:t>升，内外销市场表现稳定，拉动投资和效益指标稳步回调。但纺织行业所面临的外部环境也发生了明显变化，我国经济处于</w:t>
      </w:r>
      <w:r>
        <w:rPr>
          <w:spacing w:val="-66"/>
        </w:rPr>
        <w:t> </w:t>
      </w:r>
      <w:r>
        <w:rPr>
          <w:spacing w:val="-66"/>
        </w:rPr>
      </w:r>
      <w:r>
        <w:rPr>
          <w:spacing w:val="-2"/>
        </w:rPr>
        <w:t>由高速增长阶段转向高质量发展阶段，部分宏观经济指标增速趋缓，国内需求增长有放缓趋势。与此同时，全球自由贸易体</w:t>
      </w:r>
      <w:r>
        <w:rPr>
          <w:spacing w:val="-66"/>
        </w:rPr>
        <w:t> </w:t>
      </w:r>
      <w:r>
        <w:rPr>
          <w:spacing w:val="-66"/>
        </w:rPr>
      </w:r>
      <w:r>
        <w:rPr/>
        <w:t>系遭受破坏，贸易环境恶化、消费信心下降、国际投资风险加大等问题也都是我国纺织行业所面临的风险和压力。</w:t>
      </w:r>
    </w:p>
    <w:p>
      <w:pPr>
        <w:pStyle w:val="BodyText"/>
        <w:spacing w:line="357" w:lineRule="auto" w:before="58"/>
        <w:ind w:left="527" w:right="1197" w:hanging="90"/>
        <w:jc w:val="left"/>
      </w:pPr>
      <w:r>
        <w:rPr/>
        <w:t>（二）软件板块 软件和信息技术服务业包括软件开发、软件服务；智能化安装工程服务，技术进出口；通信设备零售，计算机应用电</w:t>
      </w:r>
    </w:p>
    <w:p>
      <w:pPr>
        <w:pStyle w:val="BodyText"/>
        <w:spacing w:line="224" w:lineRule="exact"/>
        <w:ind w:right="891"/>
        <w:jc w:val="left"/>
      </w:pPr>
      <w:r>
        <w:rPr/>
        <w:t>子设备制造；环保技术开发服务，环保技术咨询、交流服务，环保技术转让服务；通信系统设备制造；信息系统集成服务等</w:t>
      </w:r>
    </w:p>
    <w:p>
      <w:pPr>
        <w:pStyle w:val="BodyText"/>
        <w:spacing w:line="302" w:lineRule="auto" w:before="76"/>
        <w:ind w:right="891"/>
        <w:jc w:val="left"/>
      </w:pPr>
      <w:r>
        <w:rPr>
          <w:spacing w:val="-2"/>
        </w:rPr>
        <w:t>等。公司子公司北明软件是一家提供新一代</w:t>
      </w:r>
      <w:r>
        <w:rPr>
          <w:rFonts w:ascii="Times New Roman" w:hAnsi="Times New Roman" w:cs="Times New Roman" w:eastAsia="Times New Roman" w:hint="default"/>
          <w:spacing w:val="-2"/>
        </w:rPr>
        <w:t>IT</w:t>
      </w:r>
      <w:r>
        <w:rPr>
          <w:spacing w:val="-2"/>
        </w:rPr>
        <w:t>技术和解决方案的综合服务商，在智慧城市建设领域、面向司法为民的在线社</w:t>
      </w:r>
      <w:r>
        <w:rPr>
          <w:spacing w:val="-52"/>
        </w:rPr>
        <w:t> </w:t>
      </w:r>
      <w:r>
        <w:rPr>
          <w:spacing w:val="-52"/>
        </w:rPr>
      </w:r>
      <w:r>
        <w:rPr/>
        <w:t>会矛盾纠纷多元化解领域、运用大数据和人工智能技术服务社会的领域都具有鲜明的特点。</w:t>
      </w:r>
    </w:p>
    <w:p>
      <w:pPr>
        <w:pStyle w:val="BodyText"/>
        <w:spacing w:line="307" w:lineRule="auto" w:before="68"/>
        <w:ind w:right="1126" w:firstLine="307"/>
        <w:jc w:val="both"/>
      </w:pPr>
      <w:r>
        <w:rPr/>
        <w:t>报告期内，软件与信息技术服务业既面临着《深化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先进制造业</w:t>
      </w:r>
      <w:r>
        <w:rPr>
          <w:rFonts w:ascii="Times New Roman" w:hAnsi="Times New Roman" w:cs="Times New Roman" w:eastAsia="Times New Roman" w:hint="default"/>
        </w:rPr>
        <w:t>”</w:t>
      </w:r>
      <w:r>
        <w:rPr/>
        <w:t>发展工业互联网的指导意见》、《云计算发展</w:t>
      </w:r>
      <w:r>
        <w:rPr>
          <w:spacing w:val="1"/>
        </w:rPr>
        <w:t> </w:t>
      </w:r>
      <w:r>
        <w:rPr/>
        <w:t>三年行动计划（</w:t>
      </w:r>
      <w:r>
        <w:rPr>
          <w:rFonts w:ascii="Times New Roman" w:hAnsi="Times New Roman" w:cs="Times New Roman" w:eastAsia="Times New Roman" w:hint="default"/>
        </w:rPr>
        <w:t>2017-2019</w:t>
      </w:r>
      <w:r>
        <w:rPr/>
        <w:t>年）》、《关于进一步扩大和升级信息消费持续释放内需潜力的指导意见》等政策红利释放、大</w:t>
      </w:r>
      <w:r>
        <w:rPr>
          <w:spacing w:val="-56"/>
        </w:rPr>
        <w:t> </w:t>
      </w:r>
      <w:r>
        <w:rPr>
          <w:spacing w:val="-56"/>
        </w:rPr>
      </w:r>
      <w:r>
        <w:rPr>
          <w:spacing w:val="-2"/>
        </w:rPr>
        <w:t>数据等新兴动能深层次拓展等发展机遇，同时也面临着国内经济持续放缓、产业加速转型调整等重大压力和挑战。云计算相</w:t>
      </w:r>
      <w:r>
        <w:rPr>
          <w:spacing w:val="-66"/>
        </w:rPr>
        <w:t> </w:t>
      </w:r>
      <w:r>
        <w:rPr>
          <w:spacing w:val="-66"/>
        </w:rPr>
      </w:r>
      <w:r>
        <w:rPr>
          <w:spacing w:val="-2"/>
        </w:rPr>
        <w:t>关的运营服务和电子商务平台技术服务成为产业增长的最重要动力来源。同时，云计算、大数据和人工智能技术也全面影响</w:t>
      </w:r>
      <w:r>
        <w:rPr>
          <w:spacing w:val="-66"/>
        </w:rPr>
        <w:t> </w:t>
      </w:r>
      <w:r>
        <w:rPr>
          <w:spacing w:val="-66"/>
        </w:rPr>
      </w:r>
      <w:r>
        <w:rPr>
          <w:spacing w:val="-2"/>
        </w:rPr>
        <w:t>到传统软件开发领域，使开发、交付和盈利等模式转型，引发计算平台重构并带来新的市场空间，使平台软件、</w:t>
      </w:r>
      <w:r>
        <w:rPr>
          <w:rFonts w:ascii="Times New Roman" w:hAnsi="Times New Roman" w:cs="Times New Roman" w:eastAsia="Times New Roman" w:hint="default"/>
          <w:spacing w:val="-2"/>
        </w:rPr>
        <w:t>APP</w:t>
      </w:r>
      <w:r>
        <w:rPr>
          <w:spacing w:val="-2"/>
        </w:rPr>
        <w:t>软件等</w:t>
      </w:r>
      <w:r>
        <w:rPr>
          <w:spacing w:val="-37"/>
        </w:rPr>
        <w:t> </w:t>
      </w:r>
      <w:r>
        <w:rPr>
          <w:spacing w:val="-37"/>
        </w:rPr>
      </w:r>
      <w:r>
        <w:rPr/>
        <w:t>快速兴起。</w:t>
      </w:r>
    </w:p>
    <w:p>
      <w:pPr>
        <w:spacing w:line="240" w:lineRule="auto" w:before="3"/>
        <w:rPr>
          <w:rFonts w:ascii="宋体" w:hAnsi="宋体" w:cs="宋体" w:eastAsia="宋体" w:hint="default"/>
          <w:sz w:val="21"/>
          <w:szCs w:val="21"/>
        </w:rPr>
      </w:pPr>
    </w:p>
    <w:p>
      <w:pPr>
        <w:pStyle w:val="Heading2"/>
        <w:spacing w:line="240" w:lineRule="auto"/>
        <w:ind w:right="891"/>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9"/>
          <w:szCs w:val="29"/>
        </w:rPr>
      </w:pPr>
    </w:p>
    <w:tbl>
      <w:tblPr>
        <w:tblW w:w="0" w:type="auto"/>
        <w:jc w:val="left"/>
        <w:tblInd w:w="160" w:type="dxa"/>
        <w:tblLayout w:type="fixed"/>
        <w:tblCellMar>
          <w:top w:w="0" w:type="dxa"/>
          <w:left w:w="0" w:type="dxa"/>
          <w:bottom w:w="0" w:type="dxa"/>
          <w:right w:w="0" w:type="dxa"/>
        </w:tblCellMar>
        <w:tblLook w:val="01E0"/>
      </w:tblPr>
      <w:tblGrid>
        <w:gridCol w:w="1080"/>
        <w:gridCol w:w="8449"/>
      </w:tblGrid>
      <w:tr>
        <w:trPr>
          <w:trHeight w:val="516"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62"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62" w:hRule="exact"/>
        </w:trPr>
        <w:tc>
          <w:tcPr>
            <w:tcW w:w="1080" w:type="dxa"/>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11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449" w:type="dxa"/>
            <w:tcBorders>
              <w:top w:val="single" w:sz="52" w:space="0" w:color="D3D3D3"/>
              <w:left w:val="single" w:sz="13" w:space="0" w:color="D3D3D3"/>
              <w:bottom w:val="single" w:sz="4" w:space="0" w:color="000000"/>
              <w:right w:val="single" w:sz="4" w:space="0" w:color="000000"/>
            </w:tcBorders>
            <w:shd w:val="clear" w:color="auto" w:fill="C7ED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43.21%</w:t>
            </w:r>
            <w:r>
              <w:rPr>
                <w:rFonts w:ascii="宋体" w:hAnsi="宋体" w:cs="宋体" w:eastAsia="宋体" w:hint="default"/>
                <w:sz w:val="18"/>
                <w:szCs w:val="18"/>
              </w:rPr>
              <w:t>，主要系本期公司为联营企业国智云鼎追加投资所致。</w:t>
            </w:r>
          </w:p>
        </w:tc>
      </w:tr>
      <w:tr>
        <w:trPr>
          <w:trHeight w:val="161" w:hRule="exact"/>
        </w:trPr>
        <w:tc>
          <w:tcPr>
            <w:tcW w:w="1080" w:type="dxa"/>
            <w:tcBorders>
              <w:top w:val="single" w:sz="4" w:space="0" w:color="000000"/>
              <w:left w:val="single" w:sz="4" w:space="0" w:color="000000"/>
              <w:bottom w:val="nil" w:sz="6" w:space="0" w:color="auto"/>
              <w:right w:val="single" w:sz="9" w:space="0" w:color="C7EDCC"/>
            </w:tcBorders>
            <w:shd w:val="clear" w:color="auto" w:fill="D3D3D3"/>
          </w:tcPr>
          <w:p>
            <w:pPr/>
          </w:p>
        </w:tc>
        <w:tc>
          <w:tcPr>
            <w:tcW w:w="8449" w:type="dxa"/>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2"/>
              <w:ind w:left="4" w:right="23"/>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222,795</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万元，较年初增加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37.52%</w:t>
            </w:r>
            <w:r>
              <w:rPr>
                <w:rFonts w:ascii="宋体" w:hAnsi="宋体" w:cs="宋体" w:eastAsia="宋体" w:hint="default"/>
                <w:sz w:val="18"/>
                <w:szCs w:val="18"/>
              </w:rPr>
              <w:t>，主要系本期公司高档服装及绿色环保服装面料等项目完工转入 固定资产所致。</w:t>
            </w:r>
          </w:p>
        </w:tc>
      </w:tr>
      <w:tr>
        <w:trPr>
          <w:trHeight w:val="392" w:hRule="exact"/>
        </w:trPr>
        <w:tc>
          <w:tcPr>
            <w:tcW w:w="1080"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49" w:type="dxa"/>
            <w:vMerge/>
            <w:tcBorders>
              <w:left w:val="single" w:sz="10" w:space="0" w:color="D3D3D3"/>
              <w:right w:val="single" w:sz="4" w:space="0" w:color="000000"/>
            </w:tcBorders>
            <w:shd w:val="clear" w:color="auto" w:fill="C7EDCC"/>
          </w:tcPr>
          <w:p>
            <w:pPr/>
          </w:p>
        </w:tc>
      </w:tr>
      <w:tr>
        <w:trPr>
          <w:trHeight w:val="161" w:hRule="exact"/>
        </w:trPr>
        <w:tc>
          <w:tcPr>
            <w:tcW w:w="1080" w:type="dxa"/>
            <w:tcBorders>
              <w:top w:val="nil" w:sz="6" w:space="0" w:color="auto"/>
              <w:left w:val="single" w:sz="4" w:space="0" w:color="000000"/>
              <w:bottom w:val="single" w:sz="4" w:space="0" w:color="000000"/>
              <w:right w:val="single" w:sz="9" w:space="0" w:color="C7EDCC"/>
            </w:tcBorders>
            <w:shd w:val="clear" w:color="auto" w:fill="D3D3D3"/>
          </w:tcPr>
          <w:p>
            <w:pPr/>
          </w:p>
        </w:tc>
        <w:tc>
          <w:tcPr>
            <w:tcW w:w="8449" w:type="dxa"/>
            <w:vMerge/>
            <w:tcBorders>
              <w:left w:val="single" w:sz="10" w:space="0" w:color="D3D3D3"/>
              <w:bottom w:val="single" w:sz="4" w:space="0" w:color="000000"/>
              <w:right w:val="single" w:sz="4" w:space="0" w:color="000000"/>
            </w:tcBorders>
            <w:shd w:val="clear" w:color="auto" w:fill="C7EDCC"/>
          </w:tcPr>
          <w:p>
            <w:pPr/>
          </w:p>
        </w:tc>
      </w:tr>
      <w:tr>
        <w:trPr>
          <w:trHeight w:val="161" w:hRule="exact"/>
        </w:trPr>
        <w:tc>
          <w:tcPr>
            <w:tcW w:w="1080" w:type="dxa"/>
            <w:tcBorders>
              <w:top w:val="single" w:sz="4" w:space="0" w:color="000000"/>
              <w:left w:val="single" w:sz="4" w:space="0" w:color="000000"/>
              <w:bottom w:val="nil" w:sz="6" w:space="0" w:color="auto"/>
              <w:right w:val="single" w:sz="9" w:space="0" w:color="C7EDCC"/>
            </w:tcBorders>
            <w:shd w:val="clear" w:color="auto" w:fill="D3D3D3"/>
          </w:tcPr>
          <w:p>
            <w:pPr/>
          </w:p>
        </w:tc>
        <w:tc>
          <w:tcPr>
            <w:tcW w:w="8449" w:type="dxa"/>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2"/>
              <w:ind w:left="4" w:right="41"/>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35.49%</w:t>
            </w:r>
            <w:r>
              <w:rPr>
                <w:rFonts w:ascii="宋体" w:hAnsi="宋体" w:cs="宋体" w:eastAsia="宋体" w:hint="default"/>
                <w:sz w:val="18"/>
                <w:szCs w:val="18"/>
              </w:rPr>
              <w:t>，主要系本期公司部分内部研究开发项目开发阶段完成由开发支 出转入无形资产所致。</w:t>
            </w:r>
          </w:p>
        </w:tc>
      </w:tr>
      <w:tr>
        <w:trPr>
          <w:trHeight w:val="392" w:hRule="exact"/>
        </w:trPr>
        <w:tc>
          <w:tcPr>
            <w:tcW w:w="1080"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49" w:type="dxa"/>
            <w:vMerge/>
            <w:tcBorders>
              <w:left w:val="single" w:sz="10" w:space="0" w:color="D3D3D3"/>
              <w:right w:val="single" w:sz="4" w:space="0" w:color="000000"/>
            </w:tcBorders>
            <w:shd w:val="clear" w:color="auto" w:fill="C7EDCC"/>
          </w:tcPr>
          <w:p>
            <w:pPr/>
          </w:p>
        </w:tc>
      </w:tr>
      <w:tr>
        <w:trPr>
          <w:trHeight w:val="161" w:hRule="exact"/>
        </w:trPr>
        <w:tc>
          <w:tcPr>
            <w:tcW w:w="1080" w:type="dxa"/>
            <w:tcBorders>
              <w:top w:val="nil" w:sz="6" w:space="0" w:color="auto"/>
              <w:left w:val="single" w:sz="4" w:space="0" w:color="000000"/>
              <w:bottom w:val="single" w:sz="4" w:space="0" w:color="000000"/>
              <w:right w:val="single" w:sz="9" w:space="0" w:color="C7EDCC"/>
            </w:tcBorders>
            <w:shd w:val="clear" w:color="auto" w:fill="D3D3D3"/>
          </w:tcPr>
          <w:p>
            <w:pPr/>
          </w:p>
        </w:tc>
        <w:tc>
          <w:tcPr>
            <w:tcW w:w="8449" w:type="dxa"/>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1080" w:type="dxa"/>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49"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22.16%</w:t>
            </w:r>
            <w:r>
              <w:rPr>
                <w:rFonts w:ascii="宋体" w:hAnsi="宋体" w:cs="宋体" w:eastAsia="宋体" w:hint="default"/>
                <w:sz w:val="18"/>
                <w:szCs w:val="18"/>
              </w:rPr>
              <w:t>，主要系本期在建工程完工转入固定资产所致。</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891"/>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240" w:lineRule="auto" w:before="29"/>
        <w:ind w:left="153" w:right="891"/>
        <w:jc w:val="left"/>
      </w:pPr>
      <w:r>
        <w:rPr/>
        <w:t>软件与信息技术服务业</w:t>
      </w:r>
    </w:p>
    <w:p>
      <w:pPr>
        <w:pStyle w:val="BodyText"/>
        <w:spacing w:line="240" w:lineRule="auto" w:before="116"/>
        <w:ind w:left="513" w:right="891"/>
        <w:jc w:val="left"/>
      </w:pPr>
      <w:r>
        <w:rPr/>
        <w:t>（一）纺织业务的优势：</w:t>
      </w:r>
    </w:p>
    <w:p>
      <w:pPr>
        <w:pStyle w:val="BodyText"/>
        <w:spacing w:line="300" w:lineRule="auto" w:before="115"/>
        <w:ind w:left="153" w:right="1138" w:firstLine="360"/>
        <w:jc w:val="both"/>
      </w:pPr>
      <w:r>
        <w:rPr>
          <w:rFonts w:ascii="Times New Roman" w:hAnsi="Times New Roman" w:cs="Times New Roman" w:eastAsia="Times New Roman" w:hint="default"/>
        </w:rPr>
        <w:t>1</w:t>
      </w:r>
      <w:r>
        <w:rPr/>
        <w:t>、人才优势。聘请中科院院士为公司技术顾问。有各类技术人员</w:t>
      </w:r>
      <w:r>
        <w:rPr>
          <w:rFonts w:ascii="Times New Roman" w:hAnsi="Times New Roman" w:cs="Times New Roman" w:eastAsia="Times New Roman" w:hint="default"/>
        </w:rPr>
        <w:t>311</w:t>
      </w:r>
      <w:r>
        <w:rPr/>
        <w:t>名，其中中华技能大奖</w:t>
      </w:r>
      <w:r>
        <w:rPr>
          <w:rFonts w:ascii="Times New Roman" w:hAnsi="Times New Roman" w:cs="Times New Roman" w:eastAsia="Times New Roman" w:hint="default"/>
        </w:rPr>
        <w:t>1</w:t>
      </w:r>
      <w:r>
        <w:rPr/>
        <w:t>名、省市级技术状元或技 术能手</w:t>
      </w:r>
      <w:r>
        <w:rPr>
          <w:rFonts w:ascii="Times New Roman" w:hAnsi="Times New Roman" w:cs="Times New Roman" w:eastAsia="Times New Roman" w:hint="default"/>
        </w:rPr>
        <w:t>150</w:t>
      </w:r>
      <w:r>
        <w:rPr/>
        <w:t>名。全国劳模</w:t>
      </w:r>
      <w:r>
        <w:rPr>
          <w:rFonts w:ascii="Times New Roman" w:hAnsi="Times New Roman" w:cs="Times New Roman" w:eastAsia="Times New Roman" w:hint="default"/>
        </w:rPr>
        <w:t>2</w:t>
      </w:r>
      <w:r>
        <w:rPr/>
        <w:t>名，全国五一劳动奖章</w:t>
      </w:r>
      <w:r>
        <w:rPr>
          <w:rFonts w:ascii="Times New Roman" w:hAnsi="Times New Roman" w:cs="Times New Roman" w:eastAsia="Times New Roman" w:hint="default"/>
        </w:rPr>
        <w:t>6</w:t>
      </w:r>
      <w:r>
        <w:rPr/>
        <w:t>名，全国五四青年奖章</w:t>
      </w:r>
      <w:r>
        <w:rPr>
          <w:rFonts w:ascii="Times New Roman" w:hAnsi="Times New Roman" w:cs="Times New Roman" w:eastAsia="Times New Roman" w:hint="default"/>
        </w:rPr>
        <w:t>1</w:t>
      </w:r>
      <w:r>
        <w:rPr/>
        <w:t>名，全国纺织工业劳动模范</w:t>
      </w:r>
      <w:r>
        <w:rPr>
          <w:rFonts w:ascii="Times New Roman" w:hAnsi="Times New Roman" w:cs="Times New Roman" w:eastAsia="Times New Roman" w:hint="default"/>
        </w:rPr>
        <w:t>8</w:t>
      </w:r>
      <w:r>
        <w:rPr/>
        <w:t>名，省市级劳模和五 一劳动奖章</w:t>
      </w:r>
      <w:r>
        <w:rPr>
          <w:rFonts w:ascii="Times New Roman" w:hAnsi="Times New Roman" w:cs="Times New Roman" w:eastAsia="Times New Roman" w:hint="default"/>
        </w:rPr>
        <w:t>93</w:t>
      </w:r>
      <w:r>
        <w:rPr/>
        <w:t>人，为公司的技术产品开发奠定了坚实的人才基础。</w:t>
      </w:r>
    </w:p>
    <w:p>
      <w:pPr>
        <w:pStyle w:val="BodyText"/>
        <w:spacing w:line="302" w:lineRule="auto" w:before="52"/>
        <w:ind w:left="153" w:right="1138" w:firstLine="360"/>
        <w:jc w:val="both"/>
      </w:pPr>
      <w:r>
        <w:rPr>
          <w:rFonts w:ascii="Times New Roman" w:hAnsi="Times New Roman" w:cs="Times New Roman" w:eastAsia="Times New Roman" w:hint="default"/>
        </w:rPr>
        <w:t>2</w:t>
      </w:r>
      <w:r>
        <w:rPr/>
        <w:t>、管理优势。公司不断加强质量、物耗、成本、安全、岗位职责等各项管理，基础管理在行业内始终保持先进水平。 同时，深入开展质量管理小组活动和对标行动，荣获全国纺织行业质量管理小组活动优秀企业。</w:t>
      </w:r>
    </w:p>
    <w:p>
      <w:pPr>
        <w:pStyle w:val="BodyText"/>
        <w:spacing w:line="302" w:lineRule="auto" w:before="68"/>
        <w:ind w:left="153" w:right="1138" w:firstLine="360"/>
        <w:jc w:val="both"/>
      </w:pPr>
      <w:r>
        <w:rPr>
          <w:rFonts w:ascii="Times New Roman" w:hAnsi="Times New Roman" w:cs="Times New Roman" w:eastAsia="Times New Roman" w:hint="default"/>
        </w:rPr>
        <w:t>3</w:t>
      </w:r>
      <w:r>
        <w:rPr/>
        <w:t>、研发优势。公司拥有国家认定的企业技术中心、国家认可实验室和国家级技能大师工作室等。公司每年投入大量研 发经费，为新技术和新产品的研发提供强有力的保障。公司纺织业务现有</w:t>
      </w:r>
      <w:r>
        <w:rPr>
          <w:rFonts w:ascii="Times New Roman" w:hAnsi="Times New Roman" w:cs="Times New Roman" w:eastAsia="Times New Roman" w:hint="default"/>
        </w:rPr>
        <w:t>85</w:t>
      </w:r>
      <w:r>
        <w:rPr/>
        <w:t>项专利，其中</w:t>
      </w:r>
      <w:r>
        <w:rPr>
          <w:rFonts w:ascii="Times New Roman" w:hAnsi="Times New Roman" w:cs="Times New Roman" w:eastAsia="Times New Roman" w:hint="default"/>
        </w:rPr>
        <w:t>13</w:t>
      </w:r>
      <w:r>
        <w:rPr/>
        <w:t>项发明专利。</w:t>
      </w:r>
    </w:p>
    <w:p>
      <w:pPr>
        <w:pStyle w:val="BodyText"/>
        <w:spacing w:line="302" w:lineRule="auto" w:before="49"/>
        <w:ind w:left="153" w:right="1130" w:firstLine="360"/>
        <w:jc w:val="both"/>
      </w:pPr>
      <w:r>
        <w:rPr>
          <w:rFonts w:ascii="Times New Roman" w:hAnsi="Times New Roman" w:cs="Times New Roman" w:eastAsia="Times New Roman" w:hint="default"/>
          <w:spacing w:val="-3"/>
        </w:rPr>
        <w:t>4</w:t>
      </w:r>
      <w:r>
        <w:rPr>
          <w:spacing w:val="-3"/>
        </w:rPr>
        <w:t>、质量优势。公司通过</w:t>
      </w:r>
      <w:r>
        <w:rPr>
          <w:rFonts w:ascii="Times New Roman" w:hAnsi="Times New Roman" w:cs="Times New Roman" w:eastAsia="Times New Roman" w:hint="default"/>
          <w:spacing w:val="-3"/>
        </w:rPr>
        <w:t>ISO9001</w:t>
      </w:r>
      <w:r>
        <w:rPr>
          <w:spacing w:val="-3"/>
        </w:rPr>
        <w:t>质量管理体系认证，获得了</w:t>
      </w:r>
      <w:r>
        <w:rPr>
          <w:rFonts w:ascii="Times New Roman" w:hAnsi="Times New Roman" w:cs="Times New Roman" w:eastAsia="Times New Roman" w:hint="default"/>
          <w:spacing w:val="-3"/>
        </w:rPr>
        <w:t>33</w:t>
      </w:r>
      <w:r>
        <w:rPr>
          <w:spacing w:val="-3"/>
        </w:rPr>
        <w:t>个国家和地区通认的</w:t>
      </w:r>
      <w:r>
        <w:rPr>
          <w:rFonts w:ascii="Times New Roman" w:hAnsi="Times New Roman" w:cs="Times New Roman" w:eastAsia="Times New Roman" w:hint="default"/>
          <w:spacing w:val="-3"/>
        </w:rPr>
        <w:t>IQNet</w:t>
      </w:r>
      <w:r>
        <w:rPr>
          <w:spacing w:val="-3"/>
        </w:rPr>
        <w:t>，国际环保纺织协会</w:t>
      </w:r>
      <w:r>
        <w:rPr>
          <w:rFonts w:ascii="Times New Roman" w:hAnsi="Times New Roman" w:cs="Times New Roman" w:eastAsia="Times New Roman" w:hint="default"/>
          <w:spacing w:val="-3"/>
        </w:rPr>
        <w:t>Oeko—Tex</w:t>
      </w:r>
      <w:r>
        <w:rPr>
          <w:rFonts w:ascii="Times New Roman" w:hAnsi="Times New Roman" w:cs="Times New Roman" w:eastAsia="Times New Roman" w:hint="default"/>
        </w:rPr>
        <w:t> Standard 100 I</w:t>
      </w:r>
      <w:r>
        <w:rPr>
          <w:rFonts w:ascii="Times New Roman" w:hAnsi="Times New Roman" w:cs="Times New Roman" w:eastAsia="Times New Roman" w:hint="default"/>
          <w:spacing w:val="25"/>
        </w:rPr>
        <w:t> </w:t>
      </w:r>
      <w:r>
        <w:rPr/>
        <w:t>级等证书。公司拥有中国棉纺织行业最具影响力产品品牌</w:t>
      </w:r>
      <w:r>
        <w:rPr>
          <w:rFonts w:ascii="Times New Roman" w:hAnsi="Times New Roman" w:cs="Times New Roman" w:eastAsia="Times New Roman" w:hint="default"/>
        </w:rPr>
        <w:t>4</w:t>
      </w:r>
      <w:r>
        <w:rPr/>
        <w:t>个，河北省名牌产品</w:t>
      </w:r>
      <w:r>
        <w:rPr>
          <w:rFonts w:ascii="Times New Roman" w:hAnsi="Times New Roman" w:cs="Times New Roman" w:eastAsia="Times New Roman" w:hint="default"/>
        </w:rPr>
        <w:t>4</w:t>
      </w:r>
      <w:r>
        <w:rPr/>
        <w:t>个，河北省著名商标</w:t>
      </w:r>
      <w:r>
        <w:rPr>
          <w:rFonts w:ascii="Times New Roman" w:hAnsi="Times New Roman" w:cs="Times New Roman" w:eastAsia="Times New Roman" w:hint="default"/>
        </w:rPr>
        <w:t>1</w:t>
      </w:r>
      <w:r>
        <w:rPr/>
        <w:t>个。</w:t>
      </w:r>
    </w:p>
    <w:p>
      <w:pPr>
        <w:pStyle w:val="BodyText"/>
        <w:spacing w:line="300" w:lineRule="auto" w:before="50"/>
        <w:ind w:left="153" w:right="1131" w:firstLine="360"/>
        <w:jc w:val="both"/>
      </w:pPr>
      <w:r>
        <w:rPr>
          <w:rFonts w:ascii="Times New Roman" w:hAnsi="Times New Roman" w:cs="Times New Roman" w:eastAsia="Times New Roman" w:hint="default"/>
        </w:rPr>
        <w:t>5</w:t>
      </w:r>
      <w:r>
        <w:rPr/>
        <w:t>、土地资源优势。公司拥有棉一、棉二、棉三、棉四和第五分公司等</w:t>
      </w:r>
      <w:r>
        <w:rPr>
          <w:rFonts w:ascii="Times New Roman" w:hAnsi="Times New Roman" w:cs="Times New Roman" w:eastAsia="Times New Roman" w:hint="default"/>
        </w:rPr>
        <w:t>5</w:t>
      </w:r>
      <w:r>
        <w:rPr/>
        <w:t>块地处市中心的黄金地块，占地</w:t>
      </w:r>
      <w:r>
        <w:rPr>
          <w:rFonts w:ascii="Times New Roman" w:hAnsi="Times New Roman" w:cs="Times New Roman" w:eastAsia="Times New Roman" w:hint="default"/>
        </w:rPr>
        <w:t>1,230</w:t>
      </w:r>
      <w:r>
        <w:rPr/>
        <w:t>亩，石家 </w:t>
      </w:r>
      <w:r>
        <w:rPr>
          <w:spacing w:val="-1"/>
        </w:rPr>
        <w:t>庄市政府</w:t>
      </w:r>
      <w:r>
        <w:rPr>
          <w:rFonts w:ascii="Times New Roman" w:hAnsi="Times New Roman" w:cs="Times New Roman" w:eastAsia="Times New Roman" w:hint="default"/>
          <w:spacing w:val="-1"/>
        </w:rPr>
        <w:t>2007</w:t>
      </w:r>
      <w:r>
        <w:rPr>
          <w:spacing w:val="-1"/>
        </w:rPr>
        <w:t>年第</w:t>
      </w:r>
      <w:r>
        <w:rPr>
          <w:rFonts w:ascii="Times New Roman" w:hAnsi="Times New Roman" w:cs="Times New Roman" w:eastAsia="Times New Roman" w:hint="default"/>
          <w:spacing w:val="-1"/>
        </w:rPr>
        <w:t>65</w:t>
      </w:r>
      <w:r>
        <w:rPr>
          <w:spacing w:val="-1"/>
        </w:rPr>
        <w:t>号常务会议纪要确定，常山股份市内厂区土地拍卖净收益的</w:t>
      </w:r>
      <w:r>
        <w:rPr>
          <w:rFonts w:ascii="Times New Roman" w:hAnsi="Times New Roman" w:cs="Times New Roman" w:eastAsia="Times New Roman" w:hint="default"/>
          <w:spacing w:val="-1"/>
        </w:rPr>
        <w:t>90%</w:t>
      </w:r>
      <w:r>
        <w:rPr>
          <w:spacing w:val="-1"/>
        </w:rPr>
        <w:t>返还公司。棉三和棉四两块土地分别以</w:t>
      </w:r>
      <w:r>
        <w:rPr>
          <w:spacing w:val="-86"/>
        </w:rPr>
        <w:t> </w:t>
      </w:r>
      <w:r>
        <w:rPr>
          <w:spacing w:val="-86"/>
        </w:rPr>
      </w:r>
      <w:r>
        <w:rPr>
          <w:rFonts w:ascii="Times New Roman" w:hAnsi="Times New Roman" w:cs="Times New Roman" w:eastAsia="Times New Roman" w:hint="default"/>
        </w:rPr>
        <w:t>28.91</w:t>
      </w:r>
      <w:r>
        <w:rPr/>
        <w:t>亿元和</w:t>
      </w:r>
      <w:r>
        <w:rPr>
          <w:rFonts w:ascii="Times New Roman" w:hAnsi="Times New Roman" w:cs="Times New Roman" w:eastAsia="Times New Roman" w:hint="default"/>
        </w:rPr>
        <w:t>35.5</w:t>
      </w:r>
      <w:r>
        <w:rPr/>
        <w:t>亿元成功拍卖，两地块的拍卖将大大增强公司的资金实力，</w:t>
      </w:r>
      <w:r>
        <w:rPr>
          <w:rFonts w:ascii="Times New Roman" w:hAnsi="Times New Roman" w:cs="Times New Roman" w:eastAsia="Times New Roman" w:hint="default"/>
        </w:rPr>
        <w:t>2018</w:t>
      </w:r>
      <w:r>
        <w:rPr/>
        <w:t>年度返还公司</w:t>
      </w:r>
      <w:r>
        <w:rPr>
          <w:rFonts w:ascii="Times New Roman" w:hAnsi="Times New Roman" w:cs="Times New Roman" w:eastAsia="Times New Roman" w:hint="default"/>
        </w:rPr>
        <w:t>3</w:t>
      </w:r>
      <w:r>
        <w:rPr/>
        <w:t>亿元。</w:t>
      </w:r>
    </w:p>
    <w:p>
      <w:pPr>
        <w:pStyle w:val="BodyText"/>
        <w:spacing w:line="240" w:lineRule="auto" w:before="52"/>
        <w:ind w:left="513" w:right="891"/>
        <w:jc w:val="left"/>
      </w:pPr>
      <w:r>
        <w:rPr/>
        <w:t>（二）软件业务的优势：</w:t>
      </w:r>
    </w:p>
    <w:p>
      <w:pPr>
        <w:pStyle w:val="BodyText"/>
        <w:spacing w:line="338" w:lineRule="auto" w:before="116"/>
        <w:ind w:left="437" w:right="1107"/>
        <w:jc w:val="left"/>
      </w:pPr>
      <w:r>
        <w:rPr>
          <w:rFonts w:ascii="Times New Roman" w:hAnsi="Times New Roman" w:cs="Times New Roman" w:eastAsia="Times New Roman" w:hint="default"/>
        </w:rPr>
        <w:t>1</w:t>
      </w:r>
      <w:r>
        <w:rPr/>
        <w:t>、客户端业务能力优势 公司产品在智慧城市领域、智能领域和大数据应用领域的出色技术实力及服务能力得到市场及客户的高度认可，树立了</w:t>
      </w:r>
    </w:p>
    <w:p>
      <w:pPr>
        <w:pStyle w:val="BodyText"/>
        <w:spacing w:line="319" w:lineRule="auto" w:before="2"/>
        <w:ind w:left="153" w:right="891"/>
        <w:jc w:val="left"/>
      </w:pPr>
      <w:r>
        <w:rPr>
          <w:spacing w:val="-2"/>
        </w:rPr>
        <w:t>良好的公司品牌和信誉。在业务发展过程中，公司在金融、交通、电力、数字政府、以及互联网等行业中积累了大量的优质</w:t>
      </w:r>
      <w:r>
        <w:rPr>
          <w:spacing w:val="-68"/>
        </w:rPr>
        <w:t> </w:t>
      </w:r>
      <w:r>
        <w:rPr>
          <w:spacing w:val="-68"/>
        </w:rPr>
      </w:r>
      <w:r>
        <w:rPr/>
        <w:t>客户资源。</w:t>
      </w:r>
    </w:p>
    <w:p>
      <w:pPr>
        <w:pStyle w:val="BodyText"/>
        <w:spacing w:line="312" w:lineRule="auto" w:before="55"/>
        <w:ind w:left="153" w:right="1031" w:firstLine="283"/>
        <w:jc w:val="left"/>
      </w:pPr>
      <w:r>
        <w:rPr/>
        <w:t>目前公司已形成覆盖广泛、稳定优质的客户资源，包括：金融行业（中国人寿、中国银行、中国农业银行等）、司法领 域（多级检察院、法院）以及国内首创的在线矛盾纠纷多元化解平台（ＯＤＲ）的实践（各地正在广泛落地）、电力行业、 能源行业（中石化、中石油）、交通领域（中国民航空管局、铁路总公司等）、数字政府</w:t>
      </w:r>
      <w:r>
        <w:rPr>
          <w:rFonts w:ascii="Times New Roman" w:hAnsi="Times New Roman" w:cs="Times New Roman" w:eastAsia="Times New Roman" w:hint="default"/>
        </w:rPr>
        <w:t>(</w:t>
      </w:r>
      <w:r>
        <w:rPr/>
        <w:t>多个智慧城市建设）、主流互联 </w:t>
      </w:r>
      <w:r>
        <w:rPr>
          <w:spacing w:val="-2"/>
        </w:rPr>
        <w:t>网企业（百度、滴滴、美团、</w:t>
      </w:r>
      <w:r>
        <w:rPr>
          <w:rFonts w:ascii="Times New Roman" w:hAnsi="Times New Roman" w:cs="Times New Roman" w:eastAsia="Times New Roman" w:hint="default"/>
          <w:spacing w:val="-2"/>
        </w:rPr>
        <w:t>ucloud</w:t>
      </w:r>
      <w:r>
        <w:rPr>
          <w:spacing w:val="-2"/>
        </w:rPr>
        <w:t>）等。公司的客户主要是具有</w:t>
      </w:r>
      <w:r>
        <w:rPr>
          <w:rFonts w:ascii="Times New Roman" w:hAnsi="Times New Roman" w:cs="Times New Roman" w:eastAsia="Times New Roman" w:hint="default"/>
          <w:spacing w:val="-2"/>
        </w:rPr>
        <w:t>IT</w:t>
      </w:r>
      <w:r>
        <w:rPr>
          <w:spacing w:val="-2"/>
        </w:rPr>
        <w:t>服务需求的（尤其是新型</w:t>
      </w:r>
      <w:r>
        <w:rPr>
          <w:rFonts w:ascii="Times New Roman" w:hAnsi="Times New Roman" w:cs="Times New Roman" w:eastAsia="Times New Roman" w:hint="default"/>
          <w:spacing w:val="-2"/>
        </w:rPr>
        <w:t>IT</w:t>
      </w:r>
      <w:r>
        <w:rPr>
          <w:spacing w:val="-2"/>
        </w:rPr>
        <w:t>技术的）大中型企事业单位，</w:t>
      </w:r>
      <w:r>
        <w:rPr>
          <w:spacing w:val="-81"/>
        </w:rPr>
        <w:t> </w:t>
      </w:r>
      <w:r>
        <w:rPr>
          <w:spacing w:val="-81"/>
        </w:rPr>
      </w:r>
      <w:r>
        <w:rPr>
          <w:spacing w:val="-2"/>
        </w:rPr>
        <w:t>企业规模较大、信誉度较高，是公司长期的合作伙伴。由于公司在人工智能、大数据分析和应用、统一信息平台、多活信息</w:t>
      </w:r>
      <w:r>
        <w:rPr>
          <w:spacing w:val="-68"/>
        </w:rPr>
        <w:t> </w:t>
      </w:r>
      <w:r>
        <w:rPr>
          <w:spacing w:val="-68"/>
        </w:rPr>
      </w:r>
      <w:r>
        <w:rPr>
          <w:spacing w:val="-2"/>
        </w:rPr>
        <w:t>技术等领域的快速技术发展，进一步衍生出众多在新技术领域与公司合作的优质用户，良好的客户基础是公司持续快速发展</w:t>
      </w:r>
      <w:r>
        <w:rPr>
          <w:spacing w:val="-64"/>
        </w:rPr>
        <w:t> </w:t>
      </w:r>
      <w:r>
        <w:rPr>
          <w:spacing w:val="-64"/>
        </w:rPr>
      </w:r>
      <w:r>
        <w:rPr/>
        <w:t>的重要因素。</w:t>
      </w:r>
    </w:p>
    <w:p>
      <w:pPr>
        <w:pStyle w:val="BodyText"/>
        <w:spacing w:line="338" w:lineRule="auto" w:before="62"/>
        <w:ind w:left="437" w:right="891"/>
        <w:jc w:val="left"/>
      </w:pPr>
      <w:r>
        <w:rPr>
          <w:rFonts w:ascii="Times New Roman" w:hAnsi="Times New Roman" w:cs="Times New Roman" w:eastAsia="Times New Roman" w:hint="default"/>
        </w:rPr>
        <w:t>2</w:t>
      </w:r>
      <w:r>
        <w:rPr/>
        <w:t>、行业经验和技术优势 </w:t>
      </w:r>
      <w:r>
        <w:rPr>
          <w:spacing w:val="-2"/>
        </w:rPr>
        <w:t>做为新型智慧城市的专家，公司基于新一代信息技术，结合行业领域的</w:t>
      </w:r>
      <w:r>
        <w:rPr>
          <w:rFonts w:ascii="Times New Roman" w:hAnsi="Times New Roman" w:cs="Times New Roman" w:eastAsia="Times New Roman" w:hint="default"/>
          <w:spacing w:val="-2"/>
        </w:rPr>
        <w:t>"</w:t>
      </w:r>
      <w:r>
        <w:rPr>
          <w:spacing w:val="-2"/>
        </w:rPr>
        <w:t>智慧化</w:t>
      </w:r>
      <w:r>
        <w:rPr>
          <w:rFonts w:ascii="Times New Roman" w:hAnsi="Times New Roman" w:cs="Times New Roman" w:eastAsia="Times New Roman" w:hint="default"/>
          <w:spacing w:val="-2"/>
        </w:rPr>
        <w:t>"</w:t>
      </w:r>
      <w:r>
        <w:rPr>
          <w:spacing w:val="-2"/>
        </w:rPr>
        <w:t>发展趋势，形成了智慧政务、智慧交通、</w:t>
      </w:r>
    </w:p>
    <w:p>
      <w:pPr>
        <w:pStyle w:val="BodyText"/>
        <w:spacing w:line="217" w:lineRule="exact"/>
        <w:ind w:right="891"/>
        <w:jc w:val="left"/>
      </w:pPr>
      <w:r>
        <w:rPr/>
        <w:t>智慧教育、智慧医疗、智慧旅游等解决方案，成为我国智慧城市建设领域领先的解决方案提供商。所涉及的智慧城市专业设</w:t>
      </w:r>
    </w:p>
    <w:p>
      <w:pPr>
        <w:pStyle w:val="BodyText"/>
        <w:spacing w:line="357" w:lineRule="auto" w:before="77"/>
        <w:ind w:left="437" w:right="891" w:hanging="284"/>
        <w:jc w:val="left"/>
      </w:pPr>
      <w:r>
        <w:rPr/>
        <w:t>计和建设包含： </w:t>
      </w:r>
      <w:r>
        <w:rPr>
          <w:spacing w:val="-1"/>
        </w:rPr>
        <w:t>数据资源体系、云计算中心、大数据平台（汇集和处理城市中的各类数据资源，提供数据共享、建模分析、可视化展现</w:t>
      </w:r>
    </w:p>
    <w:p>
      <w:pPr>
        <w:pStyle w:val="BodyText"/>
        <w:spacing w:line="224" w:lineRule="exact"/>
        <w:ind w:right="891"/>
        <w:jc w:val="left"/>
      </w:pPr>
      <w:r>
        <w:rPr/>
        <w:t>等功能，支撑各领域的精准服务、辅助决策、业务创新等活动，基于大数据管理的思想，规划城市未来的发展方向）、统一</w:t>
      </w:r>
    </w:p>
    <w:p>
      <w:pPr>
        <w:pStyle w:val="BodyText"/>
        <w:spacing w:line="357" w:lineRule="auto" w:before="77"/>
        <w:ind w:left="437" w:right="1107" w:hanging="284"/>
        <w:jc w:val="left"/>
      </w:pPr>
      <w:r>
        <w:rPr/>
        <w:t>服务平台、智慧应用、智慧政务、运行指挥中心、智能交通管理、信息惠民、精准扶贫、智能热网等等。 公司还利用资金优势与客户资源优势，参与智慧城市建设的投融资与运营，已成功实施广州市电子政务云、舞钢智慧城</w:t>
      </w:r>
    </w:p>
    <w:p>
      <w:pPr>
        <w:spacing w:after="0" w:line="357"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437" w:right="891" w:hanging="284"/>
        <w:jc w:val="left"/>
      </w:pPr>
      <w:r>
        <w:rPr/>
        <w:t>市等</w:t>
      </w:r>
      <w:r>
        <w:rPr>
          <w:rFonts w:ascii="Times New Roman" w:hAnsi="Times New Roman" w:cs="Times New Roman" w:eastAsia="Times New Roman" w:hint="default"/>
        </w:rPr>
        <w:t>ppp</w:t>
      </w:r>
      <w:r>
        <w:rPr/>
        <w:t>项目。 </w:t>
      </w:r>
      <w:r>
        <w:rPr>
          <w:spacing w:val="-1"/>
        </w:rPr>
        <w:t>而公司倾力打造的</w:t>
      </w:r>
      <w:r>
        <w:rPr>
          <w:rFonts w:ascii="Times New Roman" w:hAnsi="Times New Roman" w:cs="Times New Roman" w:eastAsia="Times New Roman" w:hint="default"/>
          <w:spacing w:val="-1"/>
        </w:rPr>
        <w:t>ODR</w:t>
      </w:r>
      <w:r>
        <w:rPr>
          <w:spacing w:val="-1"/>
        </w:rPr>
        <w:t>在线矛盾纠纷多元化解平台形成了创新型高效社会矛盾化解体系，打造了融合人工智能和大数据</w:t>
      </w:r>
    </w:p>
    <w:p>
      <w:pPr>
        <w:pStyle w:val="BodyText"/>
        <w:spacing w:line="230" w:lineRule="exact"/>
        <w:ind w:left="153" w:right="891"/>
        <w:jc w:val="left"/>
      </w:pPr>
      <w:r>
        <w:rPr/>
        <w:t>分析技术的互联网</w:t>
      </w:r>
      <w:r>
        <w:rPr>
          <w:rFonts w:ascii="Times New Roman" w:hAnsi="Times New Roman" w:cs="Times New Roman" w:eastAsia="Times New Roman" w:hint="default"/>
        </w:rPr>
        <w:t>+</w:t>
      </w:r>
      <w:r>
        <w:rPr/>
        <w:t>司法、互联网</w:t>
      </w:r>
      <w:r>
        <w:rPr>
          <w:rFonts w:ascii="Times New Roman" w:hAnsi="Times New Roman" w:cs="Times New Roman" w:eastAsia="Times New Roman" w:hint="default"/>
        </w:rPr>
        <w:t>+</w:t>
      </w:r>
      <w:r>
        <w:rPr/>
        <w:t>调解的新型民生司法模式和社会矛盾化解模式，形成化解司法问题和社会矛盾堰塞湖的</w:t>
      </w:r>
    </w:p>
    <w:p>
      <w:pPr>
        <w:pStyle w:val="BodyText"/>
        <w:spacing w:line="357" w:lineRule="auto" w:before="64"/>
        <w:ind w:left="437" w:right="891" w:hanging="284"/>
        <w:jc w:val="left"/>
      </w:pPr>
      <w:r>
        <w:rPr/>
        <w:t>突破，将会产生巨大的应用前景，形成面向社会运营服务的新的蓝海。 </w:t>
      </w:r>
      <w:r>
        <w:rPr>
          <w:spacing w:val="-1"/>
        </w:rPr>
        <w:t>在大数据领域，公司在交通大数据应用、基于大数据技术的数据治理、舆情分析、精准营销（客户画像）、金融风控领</w:t>
      </w:r>
    </w:p>
    <w:p>
      <w:pPr>
        <w:pStyle w:val="BodyText"/>
        <w:spacing w:line="224" w:lineRule="exact"/>
        <w:ind w:right="891"/>
        <w:jc w:val="left"/>
      </w:pPr>
      <w:r>
        <w:rPr/>
        <w:t>域等广泛耕耘，体现了公司在大数据分析和应用领域的深度研究，随着越来越多大数据应用项目的落地，在各个数据管理和</w:t>
      </w:r>
    </w:p>
    <w:p>
      <w:pPr>
        <w:pStyle w:val="BodyText"/>
        <w:spacing w:line="357" w:lineRule="auto" w:before="77"/>
        <w:ind w:left="437" w:right="891" w:hanging="284"/>
        <w:jc w:val="left"/>
      </w:pPr>
      <w:r>
        <w:rPr/>
        <w:t>分析领域，公司的大数据专家在不断地创造着数据的价值。 </w:t>
      </w:r>
      <w:r>
        <w:rPr>
          <w:spacing w:val="-1"/>
        </w:rPr>
        <w:t>通过承担不同行业信息化建设工程的设计和开发实施任务，公司积累成功实施的案例的同时也积累了丰富的行业实践经</w:t>
      </w:r>
    </w:p>
    <w:p>
      <w:pPr>
        <w:pStyle w:val="BodyText"/>
        <w:spacing w:line="224" w:lineRule="exact"/>
        <w:ind w:right="891"/>
        <w:jc w:val="left"/>
      </w:pPr>
      <w:r>
        <w:rPr>
          <w:spacing w:val="-4"/>
        </w:rPr>
        <w:t>验，培养了一大批行业专家，并积累了各类系统规划、实施和维护经验，促使公司系统规划能力和实施能力协同发展。同时，</w:t>
      </w:r>
    </w:p>
    <w:p>
      <w:pPr>
        <w:pStyle w:val="BodyText"/>
        <w:spacing w:line="319" w:lineRule="auto" w:before="76"/>
        <w:ind w:right="891"/>
        <w:jc w:val="left"/>
      </w:pPr>
      <w:r>
        <w:rPr>
          <w:spacing w:val="-2"/>
        </w:rPr>
        <w:t>随着公司典型性成功案例的增多，在行业内形成了一定的示范作用，积累了丰富的项目经验。这些都会建立客户对企业的信</w:t>
      </w:r>
      <w:r>
        <w:rPr>
          <w:spacing w:val="-66"/>
        </w:rPr>
        <w:t> </w:t>
      </w:r>
      <w:r>
        <w:rPr>
          <w:spacing w:val="-66"/>
        </w:rPr>
      </w:r>
      <w:r>
        <w:rPr/>
        <w:t>赖，从而为企业未来的发展打开了空间。</w:t>
      </w:r>
    </w:p>
    <w:p>
      <w:pPr>
        <w:pStyle w:val="BodyText"/>
        <w:spacing w:line="338" w:lineRule="auto" w:before="56"/>
        <w:ind w:left="437" w:right="891"/>
        <w:jc w:val="left"/>
      </w:pPr>
      <w:r>
        <w:rPr>
          <w:rFonts w:ascii="Times New Roman" w:hAnsi="Times New Roman" w:cs="Times New Roman" w:eastAsia="Times New Roman" w:hint="default"/>
        </w:rPr>
        <w:t>3</w:t>
      </w:r>
      <w:r>
        <w:rPr/>
        <w:t>、人才团队优势 </w:t>
      </w:r>
      <w:r>
        <w:rPr>
          <w:spacing w:val="-1"/>
        </w:rPr>
        <w:t>目前我国许多大型企业（包括银行、石化、电力、政府等）和全国性企业的总部在北京，针对这一规律，基于贴近客户</w:t>
      </w:r>
    </w:p>
    <w:p>
      <w:pPr>
        <w:pStyle w:val="BodyText"/>
        <w:spacing w:line="312" w:lineRule="auto" w:before="2"/>
        <w:ind w:right="1129"/>
        <w:jc w:val="both"/>
      </w:pPr>
      <w:r>
        <w:rPr>
          <w:spacing w:val="-2"/>
        </w:rPr>
        <w:t>的原则，公司建立了由全国性中心、区域性次中心及运维服务网点构成的三级营销和服务网络，能持续、及时、有效地为客</w:t>
      </w:r>
      <w:r>
        <w:rPr>
          <w:spacing w:val="-66"/>
        </w:rPr>
        <w:t> </w:t>
      </w:r>
      <w:r>
        <w:rPr>
          <w:spacing w:val="-66"/>
        </w:rPr>
      </w:r>
      <w:r>
        <w:rPr>
          <w:spacing w:val="-2"/>
        </w:rPr>
        <w:t>户提供前期规划设计、中期实施交互、后期技术及运维服务。公司将经营总部设在北京，在研发人才和销售人才培养方面都</w:t>
      </w:r>
      <w:r>
        <w:rPr>
          <w:spacing w:val="-66"/>
        </w:rPr>
        <w:t> </w:t>
      </w:r>
      <w:r>
        <w:rPr>
          <w:spacing w:val="-66"/>
        </w:rPr>
      </w:r>
      <w:r>
        <w:rPr>
          <w:spacing w:val="-2"/>
        </w:rPr>
        <w:t>具有一定的地缘优势。公司在多年的</w:t>
      </w:r>
      <w:r>
        <w:rPr>
          <w:rFonts w:ascii="Times New Roman" w:hAnsi="Times New Roman" w:cs="Times New Roman" w:eastAsia="Times New Roman" w:hint="default"/>
          <w:spacing w:val="-2"/>
        </w:rPr>
        <w:t>IT</w:t>
      </w:r>
      <w:r>
        <w:rPr>
          <w:spacing w:val="-2"/>
        </w:rPr>
        <w:t>基础设施服务过程中形成了一支稳定的、专业化水平较高的技术团队，且这些技术研</w:t>
      </w:r>
      <w:r>
        <w:rPr>
          <w:spacing w:val="-52"/>
        </w:rPr>
        <w:t> </w:t>
      </w:r>
      <w:r>
        <w:rPr>
          <w:spacing w:val="-52"/>
        </w:rPr>
      </w:r>
      <w:r>
        <w:rPr/>
        <w:t>发人员大多都具备丰富的</w:t>
      </w:r>
      <w:r>
        <w:rPr>
          <w:rFonts w:ascii="Times New Roman" w:hAnsi="Times New Roman" w:cs="Times New Roman" w:eastAsia="Times New Roman" w:hint="default"/>
        </w:rPr>
        <w:t>IT</w:t>
      </w:r>
      <w:r>
        <w:rPr/>
        <w:t>基础设施技术支持经验和项目管理经验。</w:t>
      </w:r>
    </w:p>
    <w:p>
      <w:pPr>
        <w:pStyle w:val="BodyText"/>
        <w:spacing w:line="309" w:lineRule="auto" w:before="41"/>
        <w:ind w:right="1131" w:firstLine="283"/>
        <w:jc w:val="both"/>
      </w:pPr>
      <w:r>
        <w:rPr/>
        <w:t>同时，公司管理团队稳定，具有较强的创新意识、学习能力和执行能力，多年来专注于</w:t>
      </w:r>
      <w:r>
        <w:rPr>
          <w:rFonts w:ascii="Times New Roman" w:hAnsi="Times New Roman" w:cs="Times New Roman" w:eastAsia="Times New Roman" w:hint="default"/>
        </w:rPr>
        <w:t>IT</w:t>
      </w:r>
      <w:r>
        <w:rPr/>
        <w:t>基础设施服务领域并积累了丰 </w:t>
      </w:r>
      <w:r>
        <w:rPr>
          <w:spacing w:val="-2"/>
        </w:rPr>
        <w:t>富的管理经验和行业经验，对市场发展有着前瞻性的把握，能够敏锐的捕捉到行业发展的机会。稳定的管理团队是公司稳定</w:t>
      </w:r>
      <w:r>
        <w:rPr>
          <w:spacing w:val="-66"/>
        </w:rPr>
        <w:t> </w:t>
      </w:r>
      <w:r>
        <w:rPr>
          <w:spacing w:val="-66"/>
        </w:rPr>
      </w:r>
      <w:r>
        <w:rPr/>
        <w:t>发展的有力保障。</w:t>
      </w:r>
    </w:p>
    <w:p>
      <w:pPr>
        <w:pStyle w:val="BodyText"/>
        <w:spacing w:line="338" w:lineRule="auto" w:before="64"/>
        <w:ind w:left="437" w:right="1107"/>
        <w:jc w:val="left"/>
      </w:pPr>
      <w:r>
        <w:rPr>
          <w:rFonts w:ascii="Times New Roman" w:hAnsi="Times New Roman" w:cs="Times New Roman" w:eastAsia="Times New Roman" w:hint="default"/>
        </w:rPr>
        <w:t>4</w:t>
      </w:r>
      <w:r>
        <w:rPr/>
        <w:t>、业务资质优势 业务资质一方面代表了一家软件服务商技术上的实力，另一方面同样是一种技术壁垒。公司拥有国家规划布局重点软件</w:t>
      </w:r>
    </w:p>
    <w:p>
      <w:pPr>
        <w:pStyle w:val="BodyText"/>
        <w:spacing w:line="309" w:lineRule="auto" w:before="2"/>
        <w:ind w:right="1050"/>
        <w:jc w:val="left"/>
      </w:pPr>
      <w:r>
        <w:rPr/>
        <w:t>企业资质、国家计算机信息系统集成资质（大型一级）称号；通过了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CMMI5</w:t>
      </w:r>
      <w:r>
        <w:rPr/>
        <w:t>级认证；国家信息安全服务（一级） </w:t>
      </w:r>
      <w:r>
        <w:rPr>
          <w:spacing w:val="-2"/>
        </w:rPr>
        <w:t>资质、涉及国家秘密的计算机信息系统集成资质（甲级）等多种重要资质。上述雄厚的资质条件为公司未来发展奠定了坚实</w:t>
      </w:r>
      <w:r>
        <w:rPr>
          <w:spacing w:val="-66"/>
        </w:rPr>
        <w:t> </w:t>
      </w:r>
      <w:r>
        <w:rPr>
          <w:spacing w:val="-66"/>
        </w:rPr>
      </w:r>
      <w:r>
        <w:rPr/>
        <w:t>的支撑。</w:t>
      </w:r>
    </w:p>
    <w:p>
      <w:pPr>
        <w:pStyle w:val="BodyText"/>
        <w:spacing w:line="348" w:lineRule="auto" w:before="64"/>
        <w:ind w:left="437" w:right="1177"/>
        <w:jc w:val="left"/>
      </w:pPr>
      <w:r>
        <w:rPr>
          <w:rFonts w:ascii="Times New Roman" w:hAnsi="Times New Roman" w:cs="Times New Roman" w:eastAsia="Times New Roman" w:hint="default"/>
        </w:rPr>
        <w:t>5</w:t>
      </w:r>
      <w:r>
        <w:rPr/>
        <w:t>、与行业巨头的战略合作 公司与华为、腾讯等业界巨头的战略合作也不断拓展着双赢的市场辐射，形成良性的发展动力。 公司从华为战略合作伙伴又成为华为</w:t>
      </w:r>
      <w:r>
        <w:rPr>
          <w:rFonts w:ascii="Times New Roman" w:hAnsi="Times New Roman" w:cs="Times New Roman" w:eastAsia="Times New Roman" w:hint="default"/>
        </w:rPr>
        <w:t>ISV</w:t>
      </w:r>
      <w:r>
        <w:rPr/>
        <w:t>（独立软件开发商）合作伙伴、云领先级合作伙伴，利用自身的解决方案与华</w:t>
      </w:r>
    </w:p>
    <w:p>
      <w:pPr>
        <w:pStyle w:val="BodyText"/>
        <w:spacing w:line="209" w:lineRule="exact"/>
        <w:ind w:right="891"/>
        <w:jc w:val="left"/>
      </w:pPr>
      <w:r>
        <w:rPr/>
        <w:t>为智能化、数字化转型的全面战略结合，成为华为生态体系的重要成员，共同打造企业云化服务、企业智能服务、面向企业</w:t>
      </w:r>
    </w:p>
    <w:p>
      <w:pPr>
        <w:pStyle w:val="BodyText"/>
        <w:spacing w:line="357" w:lineRule="auto" w:before="77"/>
        <w:ind w:left="371" w:right="891" w:hanging="218"/>
        <w:jc w:val="left"/>
      </w:pPr>
      <w:r>
        <w:rPr/>
        <w:t>的数字化平台服务，已经演变成互相推动的良性发展模式。 公司的内在价值也促成了与腾讯的战略合作。腾讯通过持有常山定向增发资产管理计划，形成对公司的间接持股，与公</w:t>
      </w:r>
    </w:p>
    <w:p>
      <w:pPr>
        <w:pStyle w:val="BodyText"/>
        <w:spacing w:line="224" w:lineRule="exact"/>
        <w:ind w:right="891"/>
        <w:jc w:val="left"/>
      </w:pPr>
      <w:r>
        <w:rPr/>
        <w:t>司形成了紧密的产品融合、解决方案融合，公司依托腾讯的强大平台和赋能，在多个解决方案形成了融合和互相依托，呈现</w:t>
      </w:r>
    </w:p>
    <w:p>
      <w:pPr>
        <w:pStyle w:val="BodyText"/>
        <w:spacing w:line="240" w:lineRule="auto" w:before="77"/>
        <w:ind w:right="891"/>
        <w:jc w:val="left"/>
      </w:pPr>
      <w:r>
        <w:rPr/>
        <w:t>了良好的共同拓展势头。</w:t>
      </w:r>
    </w:p>
    <w:p>
      <w:pPr>
        <w:spacing w:after="0" w:line="240"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891"/>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891" w:firstLine="360"/>
        <w:jc w:val="left"/>
      </w:pPr>
      <w:r>
        <w:rPr>
          <w:rFonts w:ascii="Times New Roman" w:hAnsi="Times New Roman" w:cs="Times New Roman" w:eastAsia="Times New Roman" w:hint="default"/>
          <w:spacing w:val="-2"/>
        </w:rPr>
        <w:t>2018</w:t>
      </w:r>
      <w:r>
        <w:rPr>
          <w:spacing w:val="-2"/>
        </w:rPr>
        <w:t>年，我国经济运行稳中有变、变中有忧，外部环境复杂严峻，经济面临下行压力。公司积极应对复杂多变的市场环</w:t>
      </w:r>
      <w:r>
        <w:rPr/>
        <w:t> </w:t>
      </w:r>
      <w:r>
        <w:rPr>
          <w:spacing w:val="-2"/>
        </w:rPr>
        <w:t>境，迎难而上，以人才引领为根本，以创新驱动为支撑，抢抓机遇、合理布局，在纺织和软件两主业运营、项目推进、资金</w:t>
      </w:r>
      <w:r>
        <w:rPr>
          <w:spacing w:val="-67"/>
        </w:rPr>
        <w:t> </w:t>
      </w:r>
      <w:r>
        <w:rPr>
          <w:spacing w:val="-67"/>
        </w:rPr>
      </w:r>
      <w:r>
        <w:rPr/>
        <w:t>保障等方面取得较好的成效。报告期公司营业收入</w:t>
      </w:r>
      <w:r>
        <w:rPr>
          <w:rFonts w:ascii="Times New Roman" w:hAnsi="Times New Roman" w:cs="Times New Roman" w:eastAsia="Times New Roman" w:hint="default"/>
        </w:rPr>
        <w:t>965,610.92</w:t>
      </w:r>
      <w:r>
        <w:rPr/>
        <w:t>万元，比上年降低</w:t>
      </w:r>
      <w:r>
        <w:rPr>
          <w:rFonts w:ascii="Times New Roman" w:hAnsi="Times New Roman" w:cs="Times New Roman" w:eastAsia="Times New Roman" w:hint="default"/>
        </w:rPr>
        <w:t>14.20%</w:t>
      </w:r>
      <w:r>
        <w:rPr/>
        <w:t>；营业成本</w:t>
      </w:r>
      <w:r>
        <w:rPr>
          <w:rFonts w:ascii="Times New Roman" w:hAnsi="Times New Roman" w:cs="Times New Roman" w:eastAsia="Times New Roman" w:hint="default"/>
        </w:rPr>
        <w:t>876,415.20</w:t>
      </w:r>
      <w:r>
        <w:rPr/>
        <w:t>万元，比上年 </w:t>
      </w:r>
      <w:r>
        <w:rPr>
          <w:spacing w:val="-4"/>
        </w:rPr>
        <w:t>降低</w:t>
      </w:r>
      <w:r>
        <w:rPr>
          <w:rFonts w:ascii="Times New Roman" w:hAnsi="Times New Roman" w:cs="Times New Roman" w:eastAsia="Times New Roman" w:hint="default"/>
          <w:spacing w:val="-4"/>
        </w:rPr>
        <w:t>16.04%</w:t>
      </w:r>
      <w:r>
        <w:rPr>
          <w:spacing w:val="-4"/>
        </w:rPr>
        <w:t>。营业利润</w:t>
      </w:r>
      <w:r>
        <w:rPr>
          <w:rFonts w:ascii="Times New Roman" w:hAnsi="Times New Roman" w:cs="Times New Roman" w:eastAsia="Times New Roman" w:hint="default"/>
          <w:spacing w:val="-4"/>
        </w:rPr>
        <w:t>21,587.17</w:t>
      </w:r>
      <w:r>
        <w:rPr>
          <w:spacing w:val="-4"/>
        </w:rPr>
        <w:t>万元，比上年降低</w:t>
      </w:r>
      <w:r>
        <w:rPr>
          <w:rFonts w:ascii="Times New Roman" w:hAnsi="Times New Roman" w:cs="Times New Roman" w:eastAsia="Times New Roman" w:hint="default"/>
          <w:spacing w:val="-4"/>
        </w:rPr>
        <w:t>33.55%</w:t>
      </w:r>
      <w:r>
        <w:rPr>
          <w:spacing w:val="-4"/>
        </w:rPr>
        <w:t>，归属于母公司所有者的净利润</w:t>
      </w:r>
      <w:r>
        <w:rPr>
          <w:rFonts w:ascii="Times New Roman" w:hAnsi="Times New Roman" w:cs="Times New Roman" w:eastAsia="Times New Roman" w:hint="default"/>
          <w:spacing w:val="-4"/>
        </w:rPr>
        <w:t>18,597.26</w:t>
      </w:r>
      <w:r>
        <w:rPr>
          <w:spacing w:val="-4"/>
        </w:rPr>
        <w:t>万元，比上年降低</w:t>
      </w:r>
      <w:r>
        <w:rPr>
          <w:rFonts w:ascii="Times New Roman" w:hAnsi="Times New Roman" w:cs="Times New Roman" w:eastAsia="Times New Roman" w:hint="default"/>
          <w:spacing w:val="-4"/>
        </w:rPr>
        <w:t>47.63%</w:t>
      </w:r>
      <w:r>
        <w:rPr>
          <w:spacing w:val="-4"/>
        </w:rPr>
        <w:t>；</w:t>
      </w:r>
      <w:r>
        <w:rPr>
          <w:spacing w:val="-20"/>
        </w:rPr>
        <w:t> </w:t>
      </w:r>
      <w:r>
        <w:rPr/>
        <w:t>基本每股收益为</w:t>
      </w:r>
      <w:r>
        <w:rPr>
          <w:rFonts w:ascii="Times New Roman" w:hAnsi="Times New Roman" w:cs="Times New Roman" w:eastAsia="Times New Roman" w:hint="default"/>
        </w:rPr>
        <w:t>0.11</w:t>
      </w:r>
      <w:r>
        <w:rPr/>
        <w:t>元，比上年减少</w:t>
      </w:r>
      <w:r>
        <w:rPr>
          <w:rFonts w:ascii="Times New Roman" w:hAnsi="Times New Roman" w:cs="Times New Roman" w:eastAsia="Times New Roman" w:hint="default"/>
        </w:rPr>
        <w:t>47.62%</w:t>
      </w:r>
      <w:r>
        <w:rPr/>
        <w:t>。</w:t>
      </w:r>
    </w:p>
    <w:p>
      <w:pPr>
        <w:pStyle w:val="BodyText"/>
        <w:spacing w:line="300" w:lineRule="auto" w:before="47"/>
        <w:ind w:left="153" w:right="1130" w:firstLine="360"/>
        <w:jc w:val="both"/>
      </w:pPr>
      <w:r>
        <w:rPr/>
        <w:t>公司营业收入比上年下降主要原因是，纺织板块由于贸易收入减少使该板块收入较上年下降</w:t>
      </w:r>
      <w:r>
        <w:rPr>
          <w:rFonts w:ascii="Times New Roman" w:hAnsi="Times New Roman" w:cs="Times New Roman" w:eastAsia="Times New Roman" w:hint="default"/>
        </w:rPr>
        <w:t>33.98%</w:t>
      </w:r>
      <w:r>
        <w:rPr/>
        <w:t>。而软件板块市场 </w:t>
      </w:r>
      <w:r>
        <w:rPr>
          <w:spacing w:val="-2"/>
        </w:rPr>
        <w:t>拓展成果显现，收入实现大额增长，较上年增长21.50%，该板块收入占公司营业总收入的比重由2017年的</w:t>
      </w:r>
      <w:r>
        <w:rPr>
          <w:rFonts w:ascii="Times New Roman" w:hAnsi="Times New Roman" w:cs="Times New Roman" w:eastAsia="Times New Roman" w:hint="default"/>
          <w:spacing w:val="-2"/>
        </w:rPr>
        <w:t>35.64%</w:t>
      </w:r>
      <w:r>
        <w:rPr>
          <w:spacing w:val="-2"/>
        </w:rPr>
        <w:t>增长到2018</w:t>
      </w:r>
      <w:r>
        <w:rPr>
          <w:spacing w:val="-63"/>
        </w:rPr>
        <w:t> </w:t>
      </w:r>
      <w:r>
        <w:rPr>
          <w:spacing w:val="-63"/>
        </w:rPr>
      </w:r>
      <w:r>
        <w:rPr/>
        <w:t>年的</w:t>
      </w:r>
      <w:r>
        <w:rPr>
          <w:rFonts w:ascii="Times New Roman" w:hAnsi="Times New Roman" w:cs="Times New Roman" w:eastAsia="Times New Roman" w:hint="default"/>
        </w:rPr>
        <w:t>50.47%</w:t>
      </w:r>
      <w:r>
        <w:rPr/>
        <w:t>。</w:t>
      </w:r>
    </w:p>
    <w:p>
      <w:pPr>
        <w:pStyle w:val="BodyText"/>
        <w:spacing w:line="312" w:lineRule="auto" w:before="51"/>
        <w:ind w:left="153" w:right="1130" w:firstLine="360"/>
        <w:jc w:val="both"/>
      </w:pPr>
      <w:r>
        <w:rPr>
          <w:spacing w:val="-2"/>
        </w:rPr>
        <w:t>公司归属于母公司的净利润比上年下降主要原因是，纺织板块</w:t>
      </w:r>
      <w:r>
        <w:rPr>
          <w:rFonts w:ascii="Times New Roman" w:hAnsi="Times New Roman" w:cs="Times New Roman" w:eastAsia="Times New Roman" w:hint="default"/>
          <w:spacing w:val="-2"/>
        </w:rPr>
        <w:t>2017</w:t>
      </w:r>
      <w:r>
        <w:rPr>
          <w:spacing w:val="-2"/>
        </w:rPr>
        <w:t>年处置交行股权使本期投资收益较上年减少，及本期</w:t>
      </w:r>
      <w:r>
        <w:rPr/>
        <w:t> </w:t>
      </w:r>
      <w:r>
        <w:rPr>
          <w:spacing w:val="-2"/>
        </w:rPr>
        <w:t>销售库存商品、处置固定资产转销前期计提的减值准备，使递延所得税费用同比增加减少了当期净利润；软件板块本期增加</w:t>
      </w:r>
      <w:r>
        <w:rPr>
          <w:spacing w:val="-66"/>
        </w:rPr>
        <w:t> </w:t>
      </w:r>
      <w:r>
        <w:rPr>
          <w:spacing w:val="-66"/>
        </w:rPr>
      </w:r>
      <w:r>
        <w:rPr>
          <w:spacing w:val="-2"/>
        </w:rPr>
        <w:t>市场拓展力度等原因使管理费用、销售费用同比增加，以及受借款增加、融资成本上涨等因素影响使财务费用同比增加，对</w:t>
      </w:r>
      <w:r>
        <w:rPr>
          <w:spacing w:val="-66"/>
        </w:rPr>
        <w:t> </w:t>
      </w:r>
      <w:r>
        <w:rPr>
          <w:spacing w:val="-66"/>
        </w:rPr>
      </w:r>
      <w:r>
        <w:rPr/>
        <w:t>当期净利润造成了一定影响。</w:t>
      </w:r>
    </w:p>
    <w:p>
      <w:pPr>
        <w:pStyle w:val="BodyText"/>
        <w:spacing w:line="357" w:lineRule="auto" w:before="63"/>
        <w:ind w:left="527" w:right="891" w:hanging="14"/>
        <w:jc w:val="left"/>
      </w:pPr>
      <w:r>
        <w:rPr/>
        <w:t>报告期内，公司重点做了以下工作： </w:t>
      </w:r>
      <w:r>
        <w:rPr>
          <w:spacing w:val="-2"/>
        </w:rPr>
        <w:t>一是纺织主业按照</w:t>
      </w:r>
      <w:r>
        <w:rPr>
          <w:rFonts w:ascii="Times New Roman" w:hAnsi="Times New Roman" w:cs="Times New Roman" w:eastAsia="Times New Roman" w:hint="default"/>
          <w:spacing w:val="-2"/>
        </w:rPr>
        <w:t>“</w:t>
      </w:r>
      <w:r>
        <w:rPr>
          <w:spacing w:val="-2"/>
        </w:rPr>
        <w:t>增品种、提品质、创品牌</w:t>
      </w:r>
      <w:r>
        <w:rPr>
          <w:rFonts w:ascii="Times New Roman" w:hAnsi="Times New Roman" w:cs="Times New Roman" w:eastAsia="Times New Roman" w:hint="default"/>
          <w:spacing w:val="-2"/>
        </w:rPr>
        <w:t>”</w:t>
      </w:r>
      <w:r>
        <w:rPr>
          <w:spacing w:val="-2"/>
        </w:rPr>
        <w:t>的要求，以色纺产品和新型纤维产品为主攻方向，优化客户结构和市场布</w:t>
      </w:r>
    </w:p>
    <w:p>
      <w:pPr>
        <w:pStyle w:val="BodyText"/>
        <w:spacing w:line="214" w:lineRule="exact"/>
        <w:ind w:left="153" w:right="0"/>
        <w:jc w:val="both"/>
      </w:pPr>
      <w:r>
        <w:rPr/>
        <w:t>局；以服装家纺等高档终端产品为重点，以</w:t>
      </w:r>
      <w:r>
        <w:rPr>
          <w:rFonts w:ascii="Times New Roman" w:hAnsi="Times New Roman" w:cs="Times New Roman" w:eastAsia="Times New Roman" w:hint="default"/>
        </w:rPr>
        <w:t>“</w:t>
      </w:r>
      <w:r>
        <w:rPr/>
        <w:t>爱意生活</w:t>
      </w:r>
      <w:r>
        <w:rPr>
          <w:rFonts w:ascii="Times New Roman" w:hAnsi="Times New Roman" w:cs="Times New Roman" w:eastAsia="Times New Roman" w:hint="default"/>
        </w:rPr>
        <w:t>”</w:t>
      </w:r>
      <w:r>
        <w:rPr/>
        <w:t>互联网家纺业务为突破口，整合市场资源，打造自主品牌，延伸产业</w:t>
      </w:r>
    </w:p>
    <w:p>
      <w:pPr>
        <w:pStyle w:val="BodyText"/>
        <w:spacing w:line="307" w:lineRule="auto" w:before="63"/>
        <w:ind w:left="153" w:right="1128"/>
        <w:jc w:val="both"/>
      </w:pPr>
      <w:r>
        <w:rPr>
          <w:spacing w:val="-2"/>
        </w:rPr>
        <w:t>链条。组织技术攻关，优化品种结构。公司色纺品种产量大幅提高，成功开发了软凉席、提花布等多个新品种；以质量管理</w:t>
      </w:r>
      <w:r>
        <w:rPr>
          <w:spacing w:val="-68"/>
        </w:rPr>
        <w:t> </w:t>
      </w:r>
      <w:r>
        <w:rPr>
          <w:spacing w:val="-68"/>
        </w:rPr>
      </w:r>
      <w:r>
        <w:rPr/>
        <w:t>小组为抓手，推进精细管理上台阶。公司多个</w:t>
      </w:r>
      <w:r>
        <w:rPr>
          <w:rFonts w:ascii="Times New Roman" w:hAnsi="Times New Roman" w:cs="Times New Roman" w:eastAsia="Times New Roman" w:hint="default"/>
        </w:rPr>
        <w:t>QC</w:t>
      </w:r>
      <w:r>
        <w:rPr/>
        <w:t>小组分别荣获全国优秀质量管理小组、全国纺织行业质量管理小组成果一 等奖、河北省质量管理小组成果一等奖和二等奖。公司再次荣获</w:t>
      </w:r>
      <w:r>
        <w:rPr>
          <w:rFonts w:ascii="Times New Roman" w:hAnsi="Times New Roman" w:cs="Times New Roman" w:eastAsia="Times New Roman" w:hint="default"/>
        </w:rPr>
        <w:t>“</w:t>
      </w:r>
      <w:r>
        <w:rPr/>
        <w:t>全国纺织行业质量奖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中国纺织工业联合会产品开发贡 献奖</w:t>
      </w:r>
      <w:r>
        <w:rPr>
          <w:rFonts w:ascii="Times New Roman" w:hAnsi="Times New Roman" w:cs="Times New Roman" w:eastAsia="Times New Roman" w:hint="default"/>
        </w:rPr>
        <w:t>”</w:t>
      </w:r>
      <w:r>
        <w:rPr/>
        <w:t>，被评为中国棉纺织行业</w:t>
      </w:r>
      <w:r>
        <w:rPr>
          <w:rFonts w:ascii="Times New Roman" w:hAnsi="Times New Roman" w:cs="Times New Roman" w:eastAsia="Times New Roman" w:hint="default"/>
        </w:rPr>
        <w:t>“</w:t>
      </w:r>
      <w:r>
        <w:rPr/>
        <w:t>节能减排创新型棉纺织企业</w:t>
      </w:r>
      <w:r>
        <w:rPr>
          <w:rFonts w:ascii="Times New Roman" w:hAnsi="Times New Roman" w:cs="Times New Roman" w:eastAsia="Times New Roman" w:hint="default"/>
        </w:rPr>
        <w:t>”</w:t>
      </w:r>
      <w:r>
        <w:rPr/>
        <w:t>和省、市</w:t>
      </w:r>
      <w:r>
        <w:rPr>
          <w:rFonts w:ascii="Times New Roman" w:hAnsi="Times New Roman" w:cs="Times New Roman" w:eastAsia="Times New Roman" w:hint="default"/>
        </w:rPr>
        <w:t>“</w:t>
      </w:r>
      <w:r>
        <w:rPr/>
        <w:t>质量管理成果优秀企业</w:t>
      </w:r>
      <w:r>
        <w:rPr>
          <w:rFonts w:ascii="Times New Roman" w:hAnsi="Times New Roman" w:cs="Times New Roman" w:eastAsia="Times New Roman" w:hint="default"/>
        </w:rPr>
        <w:t>”</w:t>
      </w:r>
      <w:r>
        <w:rPr/>
        <w:t>。</w:t>
      </w:r>
    </w:p>
    <w:p>
      <w:pPr>
        <w:pStyle w:val="BodyText"/>
        <w:spacing w:line="307" w:lineRule="auto" w:before="45"/>
        <w:ind w:right="891" w:firstLine="373"/>
        <w:jc w:val="left"/>
      </w:pPr>
      <w:r>
        <w:rPr/>
        <w:t>二是软件主业聚焦市场需求，努力捕捉新商机，新客户，在巩固软件与信息服务等传统业务的同时，在多个智慧城市 </w:t>
      </w:r>
      <w:r>
        <w:rPr>
          <w:spacing w:val="-2"/>
        </w:rPr>
        <w:t>建设项目、雪亮工程社会综合防控体系、大型银行和保险公司的数据中心建设、在各地纷纷落地的基于大数据和人工智能的</w:t>
      </w:r>
      <w:r>
        <w:rPr>
          <w:spacing w:val="-66"/>
        </w:rPr>
        <w:t> </w:t>
      </w:r>
      <w:r>
        <w:rPr>
          <w:spacing w:val="-66"/>
        </w:rPr>
      </w:r>
      <w:r>
        <w:rPr>
          <w:spacing w:val="-2"/>
        </w:rPr>
        <w:t>在线矛盾纠纷多元化解平台（简称</w:t>
      </w:r>
      <w:r>
        <w:rPr>
          <w:rFonts w:ascii="Times New Roman" w:hAnsi="Times New Roman" w:cs="Times New Roman" w:eastAsia="Times New Roman" w:hint="default"/>
          <w:spacing w:val="-2"/>
        </w:rPr>
        <w:t>“ODR</w:t>
      </w:r>
      <w:r>
        <w:rPr>
          <w:spacing w:val="-2"/>
        </w:rPr>
        <w:t>平台</w:t>
      </w:r>
      <w:r>
        <w:rPr>
          <w:rFonts w:ascii="Times New Roman" w:hAnsi="Times New Roman" w:cs="Times New Roman" w:eastAsia="Times New Roman" w:hint="default"/>
          <w:spacing w:val="-2"/>
        </w:rPr>
        <w:t>”</w:t>
      </w:r>
      <w:r>
        <w:rPr>
          <w:spacing w:val="-2"/>
        </w:rPr>
        <w:t>）建设、多家著名互联网公司的大型系统建设、以及大数据分析在各个行业的</w:t>
      </w:r>
      <w:r>
        <w:rPr>
          <w:spacing w:val="-67"/>
        </w:rPr>
        <w:t> </w:t>
      </w:r>
      <w:r>
        <w:rPr>
          <w:spacing w:val="-67"/>
        </w:rPr>
      </w:r>
      <w:r>
        <w:rPr/>
        <w:t>应用等等都取得了较大突破。截止报告期末，</w:t>
      </w:r>
      <w:r>
        <w:rPr>
          <w:rFonts w:ascii="Times New Roman" w:hAnsi="Times New Roman" w:cs="Times New Roman" w:eastAsia="Times New Roman" w:hint="default"/>
        </w:rPr>
        <w:t>ODR</w:t>
      </w:r>
      <w:r>
        <w:rPr/>
        <w:t>平台在浙江、北京和云南等地上线运行，成功开拓了司法为民、化解社 </w:t>
      </w:r>
      <w:r>
        <w:rPr>
          <w:spacing w:val="-2"/>
        </w:rPr>
        <w:t>会矛盾的新实践。舞钢、青岛等智慧城市项目有序推进，整合应用新兴信息技术，研发城市智脑解决方案，实施</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1"/>
        </w:rPr>
        <w:t> </w:t>
      </w:r>
      <w:r>
        <w:rPr/>
        <w:t>智慧城市</w:t>
      </w:r>
      <w:r>
        <w:rPr>
          <w:rFonts w:ascii="Times New Roman" w:hAnsi="Times New Roman" w:cs="Times New Roman" w:eastAsia="Times New Roman" w:hint="default"/>
        </w:rPr>
        <w:t>”</w:t>
      </w:r>
      <w:r>
        <w:rPr/>
        <w:t>建设，成为新型智慧城市领域的领航者。云计算解决方案及服务业务，以云计算系统设计、云环境下多数据中心 管理、云管控平台、虚拟化及桌面云等为重点，理技融合、研用结合，达到了行业领先水平。</w:t>
      </w:r>
    </w:p>
    <w:p>
      <w:pPr>
        <w:pStyle w:val="BodyText"/>
        <w:spacing w:line="309" w:lineRule="auto" w:before="65"/>
        <w:ind w:right="1131" w:firstLine="373"/>
        <w:jc w:val="both"/>
      </w:pPr>
      <w:r>
        <w:rPr>
          <w:spacing w:val="-8"/>
        </w:rPr>
        <w:t>北明软件拥有国家规划布局重点软件企业资质、国家计算机信息系统集成资质（大型一级）称号；通过了</w:t>
      </w:r>
      <w:r>
        <w:rPr>
          <w:rFonts w:ascii="Times New Roman" w:hAnsi="Times New Roman" w:cs="Times New Roman" w:eastAsia="Times New Roman" w:hint="default"/>
          <w:spacing w:val="-8"/>
        </w:rPr>
        <w:t>ISO9001</w:t>
      </w:r>
      <w:r>
        <w:rPr>
          <w:spacing w:val="-8"/>
        </w:rPr>
        <w:t>、</w:t>
      </w:r>
      <w:r>
        <w:rPr>
          <w:rFonts w:ascii="Times New Roman" w:hAnsi="Times New Roman" w:cs="Times New Roman" w:eastAsia="Times New Roman" w:hint="default"/>
          <w:spacing w:val="-8"/>
        </w:rPr>
        <w:t>CMMI5</w:t>
      </w:r>
      <w:r>
        <w:rPr>
          <w:rFonts w:ascii="Times New Roman" w:hAnsi="Times New Roman" w:cs="Times New Roman" w:eastAsia="Times New Roman" w:hint="default"/>
        </w:rPr>
        <w:t> </w:t>
      </w:r>
      <w:r>
        <w:rPr>
          <w:spacing w:val="-2"/>
        </w:rPr>
        <w:t>级认证；国家信息安全服务（一级）资质、涉及国家秘密的计算机信息系统集成资质（甲级）等多种重要资质。另外，报告</w:t>
      </w:r>
      <w:r>
        <w:rPr>
          <w:spacing w:val="-68"/>
        </w:rPr>
        <w:t> </w:t>
      </w:r>
      <w:r>
        <w:rPr>
          <w:spacing w:val="-68"/>
        </w:rPr>
      </w:r>
      <w:r>
        <w:rPr/>
        <w:t>期内，北明软件还取得了国家计算机信息系统集成大型骨干企业的称号。</w:t>
      </w:r>
    </w:p>
    <w:p>
      <w:pPr>
        <w:pStyle w:val="BodyText"/>
        <w:spacing w:line="309" w:lineRule="auto" w:before="62"/>
        <w:ind w:right="891" w:firstLine="373"/>
        <w:jc w:val="left"/>
      </w:pPr>
      <w:r>
        <w:rPr/>
        <w:t>三是项目建设稳步推进。云数据中心项目机房楼、动力楼完成了土建工程，正在进行设备安装调试及系统测试验证， </w:t>
      </w:r>
      <w:r>
        <w:rPr>
          <w:spacing w:val="-2"/>
        </w:rPr>
        <w:t>双路供水供电系统、联通和电信的网络光纤已经接入，配套管网、道路建设正在进行。软件信息研发中心一号楼主体工程基</w:t>
      </w:r>
      <w:r>
        <w:rPr>
          <w:spacing w:val="-66"/>
        </w:rPr>
        <w:t> </w:t>
      </w:r>
      <w:r>
        <w:rPr>
          <w:spacing w:val="-66"/>
        </w:rPr>
      </w:r>
      <w:r>
        <w:rPr>
          <w:spacing w:val="-2"/>
        </w:rPr>
        <w:t>本完工，正在进行内外装修及水电安装。</w:t>
      </w:r>
      <w:r>
        <w:rPr>
          <w:rFonts w:ascii="Times New Roman" w:hAnsi="Times New Roman" w:cs="Times New Roman" w:eastAsia="Times New Roman" w:hint="default"/>
          <w:spacing w:val="-2"/>
        </w:rPr>
        <w:t>10</w:t>
      </w:r>
      <w:r>
        <w:rPr>
          <w:spacing w:val="-2"/>
        </w:rPr>
        <w:t>栋智能物流仓库主体工程完工，正在加紧配套管网、道路建设。纺织智能制造项</w:t>
      </w:r>
      <w:r>
        <w:rPr>
          <w:spacing w:val="-64"/>
        </w:rPr>
        <w:t> </w:t>
      </w:r>
      <w:r>
        <w:rPr>
          <w:spacing w:val="-64"/>
        </w:rPr>
      </w:r>
      <w:r>
        <w:rPr>
          <w:spacing w:val="-2"/>
        </w:rPr>
        <w:t>目的</w:t>
      </w:r>
      <w:r>
        <w:rPr>
          <w:rFonts w:ascii="Times New Roman" w:hAnsi="Times New Roman" w:cs="Times New Roman" w:eastAsia="Times New Roman" w:hint="default"/>
          <w:spacing w:val="-2"/>
        </w:rPr>
        <w:t>IT</w:t>
      </w:r>
      <w:r>
        <w:rPr>
          <w:spacing w:val="-2"/>
        </w:rPr>
        <w:t>基础设施、数据采集系统、主数据系统和行业情报系统已经上线，企业资源系统和生产制造执行系统部分上线，完成</w:t>
      </w:r>
      <w:r>
        <w:rPr>
          <w:spacing w:val="-52"/>
        </w:rPr>
        <w:t> </w:t>
      </w:r>
      <w:r>
        <w:rPr>
          <w:spacing w:val="-52"/>
        </w:rPr>
      </w:r>
      <w:r>
        <w:rPr>
          <w:spacing w:val="-2"/>
        </w:rPr>
        <w:t>了原纱库存的全面盘点和赋码，新设立的储纱间也开始工作，实现了线上调拨和领用功能。互联网家纺家居项目由北京爱意</w:t>
      </w:r>
      <w:r>
        <w:rPr>
          <w:spacing w:val="-66"/>
        </w:rPr>
        <w:t> </w:t>
      </w:r>
      <w:r>
        <w:rPr>
          <w:spacing w:val="-66"/>
        </w:rPr>
      </w:r>
      <w:r>
        <w:rPr>
          <w:spacing w:val="-2"/>
        </w:rPr>
        <w:t>生活有限公司与石家庄爱意科技有限公司协同实施。</w:t>
      </w:r>
      <w:r>
        <w:rPr>
          <w:rFonts w:ascii="Times New Roman" w:hAnsi="Times New Roman" w:cs="Times New Roman" w:eastAsia="Times New Roman" w:hint="default"/>
          <w:spacing w:val="-2"/>
        </w:rPr>
        <w:t>“</w:t>
      </w:r>
      <w:r>
        <w:rPr>
          <w:spacing w:val="-2"/>
        </w:rPr>
        <w:t>爱意生活</w:t>
      </w:r>
      <w:r>
        <w:rPr>
          <w:rFonts w:ascii="Times New Roman" w:hAnsi="Times New Roman" w:cs="Times New Roman" w:eastAsia="Times New Roman" w:hint="default"/>
          <w:spacing w:val="-2"/>
        </w:rPr>
        <w:t>”</w:t>
      </w:r>
      <w:r>
        <w:rPr>
          <w:spacing w:val="-2"/>
        </w:rPr>
        <w:t>电商平台（</w:t>
      </w:r>
      <w:hyperlink r:id="rId15">
        <w:r>
          <w:rPr>
            <w:rFonts w:ascii="Times New Roman" w:hAnsi="Times New Roman" w:cs="Times New Roman" w:eastAsia="Times New Roman" w:hint="default"/>
            <w:spacing w:val="-2"/>
          </w:rPr>
          <w:t>www.ielife.com</w:t>
        </w:r>
      </w:hyperlink>
      <w:r>
        <w:rPr>
          <w:spacing w:val="-2"/>
        </w:rPr>
        <w:t>）自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月上线运行以来，自</w:t>
      </w:r>
      <w:r>
        <w:rPr>
          <w:spacing w:val="-28"/>
        </w:rPr>
        <w:t> </w:t>
      </w:r>
      <w:r>
        <w:rPr>
          <w:spacing w:val="-28"/>
        </w:rPr>
      </w:r>
      <w:r>
        <w:rPr/>
        <w:t>主设计开发、生产制造的床品、鹅绒被、毛巾、浴巾、袜子等高端家纺家居用品受到用户的广泛青睐。</w:t>
      </w:r>
    </w:p>
    <w:p>
      <w:pPr>
        <w:spacing w:after="0" w:line="309" w:lineRule="auto"/>
        <w:jc w:val="left"/>
        <w:sectPr>
          <w:pgSz w:w="11910" w:h="16840"/>
          <w:pgMar w:header="747" w:footer="941" w:top="1060" w:bottom="114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891"/>
        <w:jc w:val="left"/>
        <w:rPr>
          <w:b w:val="0"/>
          <w:bCs w:val="0"/>
        </w:rPr>
      </w:pPr>
      <w:r>
        <w:rPr/>
        <w:t>二、主营业务分析</w:t>
      </w:r>
      <w:r>
        <w:rPr>
          <w:b w:val="0"/>
          <w:bCs w:val="0"/>
        </w:rPr>
      </w:r>
    </w:p>
    <w:p>
      <w:pPr>
        <w:spacing w:line="240" w:lineRule="auto" w:before="0"/>
        <w:rPr>
          <w:rFonts w:ascii="宋体" w:hAnsi="宋体" w:cs="宋体" w:eastAsia="宋体" w:hint="default"/>
          <w:b/>
          <w:bCs/>
          <w:sz w:val="20"/>
          <w:szCs w:val="20"/>
        </w:rPr>
      </w:pPr>
    </w:p>
    <w:p>
      <w:pPr>
        <w:spacing w:line="396" w:lineRule="auto" w:before="0"/>
        <w:ind w:left="154" w:right="60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参见“经营情况讨论与分析”中的“一、概述”相关内容。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81" w:lineRule="exact"/>
        <w:ind w:right="891"/>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0"/>
        <w:gridCol w:w="1598"/>
        <w:gridCol w:w="1591"/>
        <w:gridCol w:w="1598"/>
      </w:tblGrid>
      <w:tr>
        <w:trPr>
          <w:trHeight w:val="20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3184" w:type="dxa"/>
            <w:gridSpan w:val="2"/>
            <w:vMerge/>
            <w:tcBorders>
              <w:left w:val="single" w:sz="4" w:space="0" w:color="000000"/>
              <w:bottom w:val="single" w:sz="4" w:space="0" w:color="000000"/>
              <w:right w:val="single" w:sz="4" w:space="0" w:color="000000"/>
            </w:tcBorders>
            <w:shd w:val="clear" w:color="auto" w:fill="D3D3D3"/>
          </w:tcPr>
          <w:p>
            <w:pPr/>
          </w:p>
        </w:tc>
        <w:tc>
          <w:tcPr>
            <w:tcW w:w="3189" w:type="dxa"/>
            <w:gridSpan w:val="2"/>
            <w:vMerge/>
            <w:tcBorders>
              <w:left w:val="single" w:sz="4" w:space="0" w:color="000000"/>
              <w:bottom w:val="single" w:sz="4" w:space="0" w:color="000000"/>
              <w:right w:val="single" w:sz="4" w:space="0" w:color="000000"/>
            </w:tcBorders>
            <w:shd w:val="clear" w:color="auto" w:fill="D3D3D3"/>
          </w:tcPr>
          <w:p>
            <w:pPr/>
          </w:p>
        </w:tc>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1"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0" w:type="dxa"/>
            <w:vMerge/>
            <w:tcBorders>
              <w:left w:val="single" w:sz="4" w:space="0" w:color="000000"/>
              <w:bottom w:val="single" w:sz="4" w:space="0" w:color="000000"/>
              <w:right w:val="single" w:sz="4" w:space="0" w:color="000000"/>
            </w:tcBorders>
            <w:shd w:val="clear" w:color="auto" w:fill="D3D3D3"/>
          </w:tcPr>
          <w:p>
            <w:pPr/>
          </w:p>
        </w:tc>
        <w:tc>
          <w:tcPr>
            <w:tcW w:w="1598" w:type="dxa"/>
            <w:vMerge/>
            <w:tcBorders>
              <w:left w:val="single" w:sz="4" w:space="0" w:color="000000"/>
              <w:bottom w:val="single" w:sz="4" w:space="0" w:color="000000"/>
              <w:right w:val="single" w:sz="4" w:space="0" w:color="000000"/>
            </w:tcBorders>
            <w:shd w:val="clear" w:color="auto" w:fill="D3D3D3"/>
          </w:tcPr>
          <w:p>
            <w:pPr/>
          </w:p>
        </w:tc>
        <w:tc>
          <w:tcPr>
            <w:tcW w:w="1591" w:type="dxa"/>
            <w:vMerge/>
            <w:tcBorders>
              <w:left w:val="single" w:sz="4" w:space="0" w:color="000000"/>
              <w:bottom w:val="single" w:sz="4" w:space="0" w:color="000000"/>
              <w:right w:val="single" w:sz="4" w:space="0" w:color="000000"/>
            </w:tcBorders>
            <w:shd w:val="clear" w:color="auto" w:fill="D3D3D3"/>
          </w:tcPr>
          <w:p>
            <w:pPr/>
          </w:p>
        </w:tc>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9,656,109,155.27</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11,254,467,684.79</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4,782,279,490.04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7,242,957,574.90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4,873,829,665.23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4,011,510,109.89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667,406,545.87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887,672,167.81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771,557,772.31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807,340,525.81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2,748,515,809.05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4,540,915,300.49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系统集成及行业解 决方案服务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3,556,499,938.58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2,732,332,318.47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392,404,025.63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522,268,563.73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924,925,701.02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756,909,227.69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594,799,362.81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1,007,029,580.79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9,613,840,616.02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11,046,049,209.28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42,268,539.25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208,418,475.51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-79.72%</w:t>
            </w:r>
          </w:p>
        </w:tc>
      </w:tr>
    </w:tbl>
    <w:p>
      <w:pPr>
        <w:spacing w:line="240" w:lineRule="auto" w:before="3"/>
        <w:rPr>
          <w:rFonts w:ascii="宋体" w:hAnsi="宋体" w:cs="宋体" w:eastAsia="宋体" w:hint="default"/>
          <w:sz w:val="6"/>
          <w:szCs w:val="6"/>
        </w:rPr>
      </w:pPr>
    </w:p>
    <w:p>
      <w:pPr>
        <w:pStyle w:val="BodyText"/>
        <w:spacing w:line="336" w:lineRule="auto" w:before="44"/>
        <w:ind w:left="244" w:right="1121" w:firstLine="360"/>
        <w:jc w:val="left"/>
      </w:pPr>
      <w:r>
        <w:rPr>
          <w:rFonts w:ascii="Times New Roman" w:hAnsi="Times New Roman" w:cs="Times New Roman" w:eastAsia="Times New Roman" w:hint="default"/>
          <w:spacing w:val="-1"/>
        </w:rPr>
        <w:t>2018</w:t>
      </w:r>
      <w:r>
        <w:rPr>
          <w:spacing w:val="-1"/>
        </w:rPr>
        <w:t>年公司棉花业务收入金额为</w:t>
      </w:r>
      <w:r>
        <w:rPr>
          <w:rFonts w:ascii="Times New Roman" w:hAnsi="Times New Roman" w:cs="Times New Roman" w:eastAsia="Times New Roman" w:hint="default"/>
          <w:spacing w:val="-1"/>
        </w:rPr>
        <w:t>27.48</w:t>
      </w:r>
      <w:r>
        <w:rPr>
          <w:spacing w:val="-1"/>
        </w:rPr>
        <w:t>亿元，同比下降</w:t>
      </w:r>
      <w:r>
        <w:rPr>
          <w:rFonts w:ascii="Times New Roman" w:hAnsi="Times New Roman" w:cs="Times New Roman" w:eastAsia="Times New Roman" w:hint="default"/>
          <w:spacing w:val="-1"/>
        </w:rPr>
        <w:t>39.47%</w:t>
      </w:r>
      <w:r>
        <w:rPr>
          <w:spacing w:val="-1"/>
        </w:rPr>
        <w:t>，主要原因为</w:t>
      </w:r>
      <w:r>
        <w:rPr>
          <w:rFonts w:ascii="Times New Roman" w:hAnsi="Times New Roman" w:cs="Times New Roman" w:eastAsia="Times New Roman" w:hint="default"/>
          <w:spacing w:val="-1"/>
        </w:rPr>
        <w:t>2018</w:t>
      </w:r>
      <w:r>
        <w:rPr>
          <w:spacing w:val="-1"/>
        </w:rPr>
        <w:t>年棉花价格走势变化较快，价格预判难</w:t>
      </w:r>
      <w:r>
        <w:rPr/>
        <w:t> 度较大，棉花贸易业务复杂性有所提升，风险因素有所增多，因此公司减少了全年的棉花业务贸易量。</w:t>
      </w:r>
    </w:p>
    <w:p>
      <w:pPr>
        <w:pStyle w:val="BodyText"/>
        <w:spacing w:line="338" w:lineRule="auto" w:before="43"/>
        <w:ind w:left="243" w:right="1061" w:firstLine="360"/>
        <w:jc w:val="left"/>
      </w:pPr>
      <w:r>
        <w:rPr/>
        <w:t>系统集成及行业解决方案服务业务收入金额为</w:t>
      </w:r>
      <w:r>
        <w:rPr>
          <w:rFonts w:ascii="Times New Roman" w:hAnsi="Times New Roman" w:cs="Times New Roman" w:eastAsia="Times New Roman" w:hint="default"/>
        </w:rPr>
        <w:t>35.56</w:t>
      </w:r>
      <w:r>
        <w:rPr/>
        <w:t>亿元，同比增长</w:t>
      </w:r>
      <w:r>
        <w:rPr>
          <w:rFonts w:ascii="Times New Roman" w:hAnsi="Times New Roman" w:cs="Times New Roman" w:eastAsia="Times New Roman" w:hint="default"/>
        </w:rPr>
        <w:t>30.16%</w:t>
      </w:r>
      <w:r>
        <w:rPr/>
        <w:t>，主要原因是软件板块市场拓展成果显现， 金融、互联网、交通行业等系统集成及行业解决方案合同占比增幅较大，收入确认较同期有明显增长。</w:t>
      </w:r>
    </w:p>
    <w:p>
      <w:pPr>
        <w:pStyle w:val="BodyText"/>
        <w:spacing w:line="338" w:lineRule="auto" w:before="41"/>
        <w:ind w:left="243" w:right="891" w:firstLine="360"/>
        <w:jc w:val="left"/>
      </w:pPr>
      <w:r>
        <w:rPr>
          <w:spacing w:val="-1"/>
        </w:rPr>
        <w:t>其他业务收入同比下降</w:t>
      </w:r>
      <w:r>
        <w:rPr>
          <w:rFonts w:ascii="Times New Roman" w:hAnsi="Times New Roman" w:cs="Times New Roman" w:eastAsia="Times New Roman" w:hint="default"/>
          <w:spacing w:val="-1"/>
        </w:rPr>
        <w:t>40.94%</w:t>
      </w:r>
      <w:r>
        <w:rPr>
          <w:spacing w:val="-1"/>
        </w:rPr>
        <w:t>，主要原因是</w:t>
      </w:r>
      <w:r>
        <w:rPr>
          <w:rFonts w:ascii="Times New Roman" w:hAnsi="Times New Roman" w:cs="Times New Roman" w:eastAsia="Times New Roman" w:hint="default"/>
          <w:spacing w:val="-1"/>
        </w:rPr>
        <w:t>2018</w:t>
      </w:r>
      <w:r>
        <w:rPr>
          <w:spacing w:val="-1"/>
        </w:rPr>
        <w:t>年公司为进一步优化业务结构，专注主业经营，实现业务整合，对非</w:t>
      </w:r>
      <w:r>
        <w:rPr/>
        <w:t> 主业的钢材、电解铜贸易业务进行了收缩，钢材、电解铜本期贸易收入减少</w:t>
      </w:r>
      <w:r>
        <w:rPr>
          <w:rFonts w:ascii="Times New Roman" w:hAnsi="Times New Roman" w:cs="Times New Roman" w:eastAsia="Times New Roman" w:hint="default"/>
        </w:rPr>
        <w:t>4.09</w:t>
      </w:r>
      <w:r>
        <w:rPr/>
        <w:t>亿元。</w:t>
      </w:r>
    </w:p>
    <w:p>
      <w:pPr>
        <w:pStyle w:val="BodyText"/>
        <w:spacing w:line="240" w:lineRule="auto" w:before="100"/>
        <w:ind w:left="153" w:right="8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0"/>
        <w:gridCol w:w="1012"/>
        <w:gridCol w:w="1003"/>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3D3D3"/>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3" w:hRule="exact"/>
        </w:trPr>
        <w:tc>
          <w:tcPr>
            <w:tcW w:w="1518" w:type="dxa"/>
            <w:vMerge/>
            <w:tcBorders>
              <w:left w:val="single" w:sz="4" w:space="0" w:color="000000"/>
              <w:bottom w:val="single" w:sz="4" w:space="0" w:color="000000"/>
              <w:right w:val="single" w:sz="4" w:space="0" w:color="000000"/>
            </w:tcBorders>
            <w:shd w:val="clear" w:color="auto" w:fill="D3D3D3"/>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0"/>
        <w:gridCol w:w="1012"/>
        <w:gridCol w:w="1003"/>
        <w:gridCol w:w="1004"/>
        <w:gridCol w:w="1002"/>
        <w:gridCol w:w="1002"/>
      </w:tblGrid>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1,806,584,86</w:t>
            </w:r>
          </w:p>
          <w:p>
            <w:pPr>
              <w:pStyle w:val="TableParagraph"/>
              <w:spacing w:line="240" w:lineRule="auto" w:before="105"/>
              <w:ind w:left="658" w:right="0"/>
              <w:jc w:val="left"/>
              <w:rPr>
                <w:rFonts w:ascii="Times New Roman" w:hAnsi="Times New Roman" w:cs="Times New Roman" w:eastAsia="Times New Roman" w:hint="default"/>
                <w:sz w:val="18"/>
                <w:szCs w:val="18"/>
              </w:rPr>
            </w:pPr>
            <w:r>
              <w:rPr>
                <w:rFonts w:ascii="Times New Roman"/>
                <w:sz w:val="18"/>
              </w:rPr>
              <w:t>5.52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1,949,496,02</w:t>
            </w:r>
          </w:p>
          <w:p>
            <w:pPr>
              <w:pStyle w:val="TableParagraph"/>
              <w:spacing w:line="240" w:lineRule="auto" w:before="105"/>
              <w:ind w:left="661" w:right="0"/>
              <w:jc w:val="left"/>
              <w:rPr>
                <w:rFonts w:ascii="Times New Roman" w:hAnsi="Times New Roman" w:cs="Times New Roman" w:eastAsia="Times New Roman" w:hint="default"/>
                <w:sz w:val="18"/>
                <w:szCs w:val="18"/>
              </w:rPr>
            </w:pPr>
            <w:r>
              <w:rPr>
                <w:rFonts w:ascii="Times New Roman"/>
                <w:sz w:val="18"/>
              </w:rPr>
              <w:t>9.56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1,795,985,94</w:t>
            </w:r>
          </w:p>
          <w:p>
            <w:pPr>
              <w:pStyle w:val="TableParagraph"/>
              <w:spacing w:line="240" w:lineRule="auto" w:before="105"/>
              <w:ind w:left="662" w:right="0"/>
              <w:jc w:val="left"/>
              <w:rPr>
                <w:rFonts w:ascii="Times New Roman" w:hAnsi="Times New Roman" w:cs="Times New Roman" w:eastAsia="Times New Roman" w:hint="default"/>
                <w:sz w:val="18"/>
                <w:szCs w:val="18"/>
              </w:rPr>
            </w:pPr>
            <w:r>
              <w:rPr>
                <w:rFonts w:ascii="Times New Roman"/>
                <w:sz w:val="18"/>
              </w:rPr>
              <w:t>8.90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4,104,042,31</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1.29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1,954,769,73</w:t>
            </w:r>
          </w:p>
          <w:p>
            <w:pPr>
              <w:pStyle w:val="TableParagraph"/>
              <w:spacing w:line="240" w:lineRule="auto" w:before="105"/>
              <w:ind w:left="655" w:right="0"/>
              <w:jc w:val="left"/>
              <w:rPr>
                <w:rFonts w:ascii="Times New Roman" w:hAnsi="Times New Roman" w:cs="Times New Roman" w:eastAsia="Times New Roman" w:hint="default"/>
                <w:sz w:val="18"/>
                <w:szCs w:val="18"/>
              </w:rPr>
            </w:pPr>
            <w:r>
              <w:rPr>
                <w:rFonts w:ascii="Times New Roman"/>
                <w:sz w:val="18"/>
              </w:rPr>
              <w:t>5.37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2,590,161,90</w:t>
            </w:r>
          </w:p>
          <w:p>
            <w:pPr>
              <w:pStyle w:val="TableParagraph"/>
              <w:spacing w:line="240" w:lineRule="auto" w:before="105"/>
              <w:ind w:left="656" w:right="0"/>
              <w:jc w:val="left"/>
              <w:rPr>
                <w:rFonts w:ascii="Times New Roman" w:hAnsi="Times New Roman" w:cs="Times New Roman" w:eastAsia="Times New Roman" w:hint="default"/>
                <w:sz w:val="18"/>
                <w:szCs w:val="18"/>
              </w:rPr>
            </w:pPr>
            <w:r>
              <w:rPr>
                <w:rFonts w:ascii="Times New Roman"/>
                <w:sz w:val="18"/>
              </w:rPr>
              <w:t>6.89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1,472,271,17</w:t>
            </w:r>
          </w:p>
          <w:p>
            <w:pPr>
              <w:pStyle w:val="TableParagraph"/>
              <w:spacing w:line="240" w:lineRule="auto" w:before="105"/>
              <w:ind w:left="652" w:right="0"/>
              <w:jc w:val="left"/>
              <w:rPr>
                <w:rFonts w:ascii="Times New Roman" w:hAnsi="Times New Roman" w:cs="Times New Roman" w:eastAsia="Times New Roman" w:hint="default"/>
                <w:sz w:val="18"/>
                <w:szCs w:val="18"/>
              </w:rPr>
            </w:pPr>
            <w:r>
              <w:rPr>
                <w:rFonts w:ascii="Times New Roman"/>
                <w:sz w:val="18"/>
              </w:rPr>
              <w:t>0.77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5,237,264,87</w:t>
            </w:r>
          </w:p>
          <w:p>
            <w:pPr>
              <w:pStyle w:val="TableParagraph"/>
              <w:spacing w:line="240" w:lineRule="auto" w:before="105"/>
              <w:ind w:left="652" w:right="0"/>
              <w:jc w:val="left"/>
              <w:rPr>
                <w:rFonts w:ascii="Times New Roman" w:hAnsi="Times New Roman" w:cs="Times New Roman" w:eastAsia="Times New Roman" w:hint="default"/>
                <w:sz w:val="18"/>
                <w:szCs w:val="18"/>
              </w:rPr>
            </w:pPr>
            <w:r>
              <w:rPr>
                <w:rFonts w:ascii="Times New Roman"/>
                <w:sz w:val="18"/>
              </w:rPr>
              <w:t>1.76</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-21,691,701.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51,685,553.7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9,726,502.10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146,252,236.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63,641,146.8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14,179,552.8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289,683,117.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31</w:t>
            </w:r>
          </w:p>
        </w:tc>
      </w:tr>
    </w:tbl>
    <w:p>
      <w:pPr>
        <w:pStyle w:val="BodyText"/>
        <w:spacing w:line="357" w:lineRule="auto" w:before="51"/>
        <w:ind w:left="444" w:right="891" w:hanging="291"/>
        <w:jc w:val="left"/>
      </w:pPr>
      <w:r>
        <w:rPr/>
        <w:t>说明经营季节性（或周期性）发生的原因及波动风险 </w:t>
      </w:r>
      <w:r>
        <w:rPr>
          <w:spacing w:val="-1"/>
        </w:rPr>
        <w:t>公司季度性经营活动波动主要与公司软业板块行业周期特点和客户需求节奏相关。由于公司主要客户为银行、石化、电</w:t>
      </w:r>
    </w:p>
    <w:p>
      <w:pPr>
        <w:pStyle w:val="BodyText"/>
        <w:spacing w:line="224" w:lineRule="exact"/>
        <w:ind w:left="153" w:right="891"/>
        <w:jc w:val="left"/>
      </w:pPr>
      <w:r>
        <w:rPr/>
        <w:t>力、政府等行业用户，客户通常在一季度启动全年采购计划及履行申请、审批等程序。二、三季度陆续进行项目的招标、谈</w:t>
      </w:r>
    </w:p>
    <w:p>
      <w:pPr>
        <w:pStyle w:val="BodyText"/>
        <w:spacing w:line="240" w:lineRule="auto" w:before="76"/>
        <w:ind w:left="153" w:right="891"/>
        <w:jc w:val="left"/>
      </w:pPr>
      <w:r>
        <w:rPr/>
        <w:t>判、签约、实施等。四季度完成交付并付款，因此相对前三季度，公司第四季度产品交付、验收、确认收入较为集中。</w:t>
      </w:r>
    </w:p>
    <w:p>
      <w:pPr>
        <w:spacing w:line="240" w:lineRule="auto" w:before="1"/>
        <w:rPr>
          <w:rFonts w:ascii="宋体" w:hAnsi="宋体" w:cs="宋体" w:eastAsia="宋体" w:hint="default"/>
          <w:sz w:val="13"/>
          <w:szCs w:val="13"/>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7" w:footer="941" w:top="1060" w:bottom="114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6"/>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4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11"/>
        <w:gridCol w:w="1375"/>
        <w:gridCol w:w="1367"/>
        <w:gridCol w:w="761"/>
        <w:gridCol w:w="1187"/>
        <w:gridCol w:w="1260"/>
        <w:gridCol w:w="1046"/>
      </w:tblGrid>
      <w:tr>
        <w:trPr>
          <w:trHeight w:val="714" w:hRule="exact"/>
        </w:trPr>
        <w:tc>
          <w:tcPr>
            <w:tcW w:w="25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8" w:right="4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4" w:right="84"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340" w:hRule="exact"/>
        </w:trPr>
        <w:tc>
          <w:tcPr>
            <w:tcW w:w="950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37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4,782,279,490.04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4,685,679,767.00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w:t>
            </w:r>
          </w:p>
        </w:tc>
      </w:tr>
      <w:tr>
        <w:trPr>
          <w:trHeight w:val="340"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37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4,873,829,665.23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4,078,472,272.41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w:t>
            </w:r>
          </w:p>
        </w:tc>
      </w:tr>
      <w:tr>
        <w:trPr>
          <w:trHeight w:val="340" w:hRule="exact"/>
        </w:trPr>
        <w:tc>
          <w:tcPr>
            <w:tcW w:w="950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7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2,748,515,809.05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2,745,049,180.57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系统集成及行业解决方案服务</w:t>
            </w:r>
          </w:p>
        </w:tc>
        <w:tc>
          <w:tcPr>
            <w:tcW w:w="137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3,556,499,938.58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3,114,721,396.85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w:t>
            </w:r>
          </w:p>
        </w:tc>
      </w:tr>
      <w:tr>
        <w:trPr>
          <w:trHeight w:val="340" w:hRule="exact"/>
        </w:trPr>
        <w:tc>
          <w:tcPr>
            <w:tcW w:w="950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7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3,449,272,415.86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2,890,032,232.13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-4.98%</w:t>
            </w:r>
          </w:p>
        </w:tc>
      </w:tr>
    </w:tbl>
    <w:p>
      <w:pPr>
        <w:pStyle w:val="BodyText"/>
        <w:spacing w:line="240" w:lineRule="auto" w:before="51"/>
        <w:ind w:right="89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156"/>
        <w:ind w:right="891"/>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pStyle w:val="BodyText"/>
        <w:spacing w:line="240" w:lineRule="auto" w:before="168"/>
        <w:ind w:right="8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1"/>
        <w:gridCol w:w="1587"/>
        <w:gridCol w:w="1606"/>
        <w:gridCol w:w="1594"/>
        <w:gridCol w:w="1594"/>
        <w:gridCol w:w="1595"/>
      </w:tblGrid>
      <w:tr>
        <w:trPr>
          <w:trHeight w:val="340"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1"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-28.54%</w:t>
            </w:r>
          </w:p>
        </w:tc>
      </w:tr>
      <w:tr>
        <w:trPr>
          <w:trHeight w:val="340"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-26.80%</w:t>
            </w:r>
          </w:p>
        </w:tc>
      </w:tr>
      <w:tr>
        <w:trPr>
          <w:trHeight w:val="340"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w:t>
            </w:r>
          </w:p>
        </w:tc>
      </w:tr>
      <w:tr>
        <w:trPr>
          <w:trHeight w:val="341"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售纱</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w:t>
            </w:r>
          </w:p>
        </w:tc>
      </w:tr>
      <w:tr>
        <w:trPr>
          <w:trHeight w:val="340"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w:t>
            </w:r>
          </w:p>
        </w:tc>
      </w:tr>
      <w:tr>
        <w:trPr>
          <w:trHeight w:val="341"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w:t>
            </w:r>
          </w:p>
        </w:tc>
      </w:tr>
    </w:tbl>
    <w:p>
      <w:pPr>
        <w:pStyle w:val="BodyText"/>
        <w:spacing w:line="240" w:lineRule="auto" w:before="51"/>
        <w:ind w:right="89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41" w:top="1060" w:bottom="1140" w:left="980" w:right="0"/>
        </w:sectPr>
      </w:pPr>
    </w:p>
    <w:p>
      <w:pPr>
        <w:pStyle w:val="BodyText"/>
        <w:spacing w:line="338" w:lineRule="auto" w:before="44"/>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4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3,900,671,362.79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3,099,755,049.77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177,800,909.62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130,165,810.68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w:t>
            </w:r>
          </w:p>
        </w:tc>
      </w:tr>
    </w:tbl>
    <w:p>
      <w:pPr>
        <w:pStyle w:val="BodyText"/>
        <w:spacing w:line="240" w:lineRule="auto" w:before="51"/>
        <w:ind w:right="891"/>
        <w:jc w:val="left"/>
      </w:pPr>
      <w:r>
        <w:rPr/>
        <w:t>行业和产品分类</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0"/>
        <w:gridCol w:w="900"/>
        <w:gridCol w:w="1367"/>
        <w:gridCol w:w="1367"/>
        <w:gridCol w:w="1368"/>
        <w:gridCol w:w="1367"/>
        <w:gridCol w:w="1192"/>
      </w:tblGrid>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1,032,896,783.15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1,274,356,735.62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140,351,910.91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181,876,499.19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-22.83%</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90,493,922.27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127,754,552.50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130,879,446.41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129,109,719.90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3,920,969.04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2,947,792.37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3,900,671,362.79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3,099,755,049.77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177,800,909.62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130,165,810.68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w:t>
            </w:r>
          </w:p>
        </w:tc>
      </w:tr>
    </w:tbl>
    <w:p>
      <w:pPr>
        <w:pStyle w:val="BodyText"/>
        <w:spacing w:line="240" w:lineRule="auto" w:before="5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1151"/>
        <w:gridCol w:w="1367"/>
        <w:gridCol w:w="1368"/>
        <w:gridCol w:w="1367"/>
        <w:gridCol w:w="1367"/>
        <w:gridCol w:w="1367"/>
      </w:tblGrid>
      <w:tr>
        <w:trPr>
          <w:trHeight w:val="402" w:hRule="exact"/>
        </w:trPr>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20" w:type="dxa"/>
            <w:vMerge/>
            <w:tcBorders>
              <w:left w:val="single" w:sz="4" w:space="0" w:color="000000"/>
              <w:bottom w:val="single" w:sz="4" w:space="0" w:color="000000"/>
              <w:right w:val="single" w:sz="4" w:space="0" w:color="000000"/>
            </w:tcBorders>
            <w:shd w:val="clear" w:color="auto" w:fill="D3D3D3"/>
          </w:tcPr>
          <w:p>
            <w:pPr/>
          </w:p>
        </w:tc>
        <w:tc>
          <w:tcPr>
            <w:tcW w:w="1151"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710,699,018.98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996,459,722.86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687,844,012.80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719,585,576.72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2,745,049,180.57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4,534,836,079.29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-39.47%</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542,087,554.65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957,089,299.05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系统集成及行业解 决方案服务</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3,114,721,396.85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2,331,844,780.13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33.57%</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370,117,113.88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448,092,886.38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593,633,761.68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449,983,193.94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pStyle w:val="BodyText"/>
        <w:spacing w:line="240" w:lineRule="auto" w:before="168"/>
        <w:ind w:right="8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01"/>
        <w:ind w:right="891" w:firstLine="360"/>
        <w:jc w:val="left"/>
      </w:pPr>
      <w:r>
        <w:rPr>
          <w:spacing w:val="-2"/>
        </w:rPr>
        <w:t>本报告期新增舞钢智慧城市科技发展有限公司、石家庄爱意科技有限公司、青岛北明智慧城市科技有限公司、北京北明</w:t>
      </w:r>
      <w:r>
        <w:rPr/>
        <w:t> 数科信息技术有限公司</w:t>
      </w:r>
      <w:r>
        <w:rPr>
          <w:rFonts w:ascii="Times New Roman" w:hAnsi="Times New Roman" w:cs="Times New Roman" w:eastAsia="Times New Roman" w:hint="default"/>
        </w:rPr>
        <w:t>4</w:t>
      </w:r>
      <w:r>
        <w:rPr/>
        <w:t>家子公司。</w:t>
      </w:r>
    </w:p>
    <w:p>
      <w:pPr>
        <w:spacing w:line="240" w:lineRule="auto" w:before="4"/>
        <w:rPr>
          <w:rFonts w:ascii="宋体" w:hAnsi="宋体" w:cs="宋体" w:eastAsia="宋体" w:hint="default"/>
          <w:sz w:val="16"/>
          <w:szCs w:val="16"/>
        </w:rPr>
      </w:pPr>
    </w:p>
    <w:p>
      <w:pPr>
        <w:pStyle w:val="Heading3"/>
        <w:spacing w:line="240" w:lineRule="auto"/>
        <w:ind w:right="891"/>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891"/>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89"/>
        <w:gridCol w:w="4140"/>
      </w:tblGrid>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2,254,803,161.72</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23.35%</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2"/>
        <w:ind w:right="89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天津纺织集团（控股）有限公司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996,569,705.42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中国民用航空局空中交通管理局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409,714,336.72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湖北华中棉纺交易中心有限公司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300,338,195.69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百度在线网络技术（北京）有限公司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295,297,697.72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中国国投国际贸易广州有限公司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252,883,226.17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2,254,803,161.72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w:t>
            </w:r>
          </w:p>
        </w:tc>
      </w:tr>
    </w:tbl>
    <w:p>
      <w:pPr>
        <w:pStyle w:val="BodyText"/>
        <w:spacing w:line="240" w:lineRule="auto" w:before="51"/>
        <w:ind w:right="891"/>
        <w:jc w:val="left"/>
      </w:pPr>
      <w:r>
        <w:rPr/>
        <w:t>主要客户其他情况说明</w:t>
      </w:r>
    </w:p>
    <w:p>
      <w:pPr>
        <w:pStyle w:val="BodyText"/>
        <w:spacing w:line="357" w:lineRule="auto" w:before="117"/>
        <w:ind w:left="153" w:right="9131"/>
        <w:jc w:val="left"/>
      </w:pPr>
      <w:r>
        <w:rPr/>
        <w:t>□ 适用 √ 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5400"/>
        <w:gridCol w:w="4204"/>
      </w:tblGrid>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4,577,196,171.43</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48.24%</w:t>
            </w:r>
          </w:p>
        </w:tc>
      </w:tr>
      <w:tr>
        <w:trPr>
          <w:trHeight w:val="403"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right="89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2,021,805,546.90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天津纺织集团（控股）有限公司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1,564,619,292.96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三林万业（上海）企业集团有限公司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389,299,064.75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中华棉花集团有限公司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366,767,719.63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重庆市棉麻集团有限公司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234,704,547.19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4,577,196,171.43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91"/>
        <w:jc w:val="left"/>
      </w:pPr>
      <w:r>
        <w:rPr/>
        <w:t>主要供应商其他情况说明</w:t>
      </w:r>
    </w:p>
    <w:p>
      <w:pPr>
        <w:pStyle w:val="BodyText"/>
        <w:spacing w:line="240" w:lineRule="auto" w:before="116"/>
        <w:ind w:right="891"/>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8"/>
        <w:gridCol w:w="1452"/>
        <w:gridCol w:w="1440"/>
        <w:gridCol w:w="1091"/>
        <w:gridCol w:w="4477"/>
      </w:tblGrid>
      <w:tr>
        <w:trPr>
          <w:trHeight w:val="401" w:hRule="exact"/>
        </w:trPr>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227,904,951.31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212,029,475.95</w:t>
            </w:r>
          </w:p>
        </w:tc>
        <w:tc>
          <w:tcPr>
            <w:tcW w:w="1091" w:type="dxa"/>
            <w:vMerge w:val="restart"/>
            <w:tcBorders>
              <w:top w:val="single" w:sz="4" w:space="0" w:color="000000"/>
              <w:left w:val="single" w:sz="4" w:space="0" w:color="000000"/>
              <w:right w:val="single" w:sz="13" w:space="0" w:color="C7EDC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7.49%</w:t>
            </w:r>
          </w:p>
        </w:tc>
        <w:tc>
          <w:tcPr>
            <w:tcW w:w="447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11" w:right="133"/>
              <w:jc w:val="left"/>
              <w:rPr>
                <w:rFonts w:ascii="宋体" w:hAnsi="宋体" w:cs="宋体" w:eastAsia="宋体" w:hint="default"/>
                <w:sz w:val="18"/>
                <w:szCs w:val="18"/>
              </w:rPr>
            </w:pPr>
            <w:r>
              <w:rPr>
                <w:rFonts w:ascii="宋体" w:hAnsi="宋体" w:cs="宋体" w:eastAsia="宋体" w:hint="default"/>
                <w:sz w:val="18"/>
                <w:szCs w:val="18"/>
              </w:rPr>
              <w:t>主要系公司软件板块因增加市场拓展和推广力度等原因 使销售费用同比增加。</w:t>
            </w:r>
          </w:p>
        </w:tc>
      </w:tr>
      <w:tr>
        <w:trPr>
          <w:trHeight w:val="391" w:hRule="exact"/>
        </w:trPr>
        <w:tc>
          <w:tcPr>
            <w:tcW w:w="1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52"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1091" w:type="dxa"/>
            <w:vMerge/>
            <w:tcBorders>
              <w:left w:val="single" w:sz="4" w:space="0" w:color="000000"/>
              <w:right w:val="single" w:sz="13" w:space="0" w:color="C7EDCC"/>
            </w:tcBorders>
          </w:tcPr>
          <w:p>
            <w:pPr/>
          </w:p>
        </w:tc>
        <w:tc>
          <w:tcPr>
            <w:tcW w:w="4477" w:type="dxa"/>
            <w:vMerge/>
            <w:tcBorders>
              <w:left w:val="single" w:sz="4" w:space="0" w:color="000000"/>
              <w:right w:val="single" w:sz="4" w:space="0" w:color="000000"/>
            </w:tcBorders>
            <w:shd w:val="clear" w:color="auto" w:fill="C7EDCC"/>
          </w:tcPr>
          <w:p>
            <w:pPr/>
          </w:p>
        </w:tc>
      </w:tr>
      <w:tr>
        <w:trPr>
          <w:trHeight w:val="162" w:hRule="exact"/>
        </w:trPr>
        <w:tc>
          <w:tcPr>
            <w:tcW w:w="1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2"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13" w:space="0" w:color="C7EDCC"/>
            </w:tcBorders>
          </w:tcPr>
          <w:p>
            <w:pPr/>
          </w:p>
        </w:tc>
        <w:tc>
          <w:tcPr>
            <w:tcW w:w="4477"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292,797,506.34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276,023,417.02</w:t>
            </w:r>
          </w:p>
        </w:tc>
        <w:tc>
          <w:tcPr>
            <w:tcW w:w="1091" w:type="dxa"/>
            <w:vMerge w:val="restart"/>
            <w:tcBorders>
              <w:top w:val="single" w:sz="4" w:space="0" w:color="000000"/>
              <w:left w:val="single" w:sz="4" w:space="0" w:color="000000"/>
              <w:right w:val="single" w:sz="13" w:space="0" w:color="C7EDC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6.08%</w:t>
            </w:r>
          </w:p>
        </w:tc>
        <w:tc>
          <w:tcPr>
            <w:tcW w:w="447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133"/>
              <w:jc w:val="left"/>
              <w:rPr>
                <w:rFonts w:ascii="宋体" w:hAnsi="宋体" w:cs="宋体" w:eastAsia="宋体" w:hint="default"/>
                <w:sz w:val="18"/>
                <w:szCs w:val="18"/>
              </w:rPr>
            </w:pPr>
            <w:r>
              <w:rPr>
                <w:rFonts w:ascii="宋体" w:hAnsi="宋体" w:cs="宋体" w:eastAsia="宋体" w:hint="default"/>
                <w:sz w:val="18"/>
                <w:szCs w:val="18"/>
              </w:rPr>
              <w:t>主要系公司软件板块因增加市场拓展和推广力度等原因 使管理费用同比增加。</w:t>
            </w:r>
          </w:p>
        </w:tc>
      </w:tr>
      <w:tr>
        <w:trPr>
          <w:trHeight w:val="391" w:hRule="exact"/>
        </w:trPr>
        <w:tc>
          <w:tcPr>
            <w:tcW w:w="1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2"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1091" w:type="dxa"/>
            <w:vMerge/>
            <w:tcBorders>
              <w:left w:val="single" w:sz="4" w:space="0" w:color="000000"/>
              <w:right w:val="single" w:sz="13" w:space="0" w:color="C7EDCC"/>
            </w:tcBorders>
          </w:tcPr>
          <w:p>
            <w:pPr/>
          </w:p>
        </w:tc>
        <w:tc>
          <w:tcPr>
            <w:tcW w:w="4477" w:type="dxa"/>
            <w:vMerge/>
            <w:tcBorders>
              <w:left w:val="single" w:sz="4" w:space="0" w:color="000000"/>
              <w:right w:val="single" w:sz="4" w:space="0" w:color="000000"/>
            </w:tcBorders>
            <w:shd w:val="clear" w:color="auto" w:fill="C7EDCC"/>
          </w:tcPr>
          <w:p>
            <w:pPr/>
          </w:p>
        </w:tc>
      </w:tr>
      <w:tr>
        <w:trPr>
          <w:trHeight w:val="162" w:hRule="exact"/>
        </w:trPr>
        <w:tc>
          <w:tcPr>
            <w:tcW w:w="1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2"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13" w:space="0" w:color="C7EDCC"/>
            </w:tcBorders>
          </w:tcPr>
          <w:p>
            <w:pPr/>
          </w:p>
        </w:tc>
        <w:tc>
          <w:tcPr>
            <w:tcW w:w="4477"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260,725,175.13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221,506,407.02</w:t>
            </w:r>
          </w:p>
        </w:tc>
        <w:tc>
          <w:tcPr>
            <w:tcW w:w="1091" w:type="dxa"/>
            <w:vMerge w:val="restart"/>
            <w:tcBorders>
              <w:top w:val="single" w:sz="4" w:space="0" w:color="000000"/>
              <w:left w:val="single" w:sz="4" w:space="0" w:color="000000"/>
              <w:right w:val="single" w:sz="13" w:space="0" w:color="C7EDC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17.71%</w:t>
            </w:r>
          </w:p>
        </w:tc>
        <w:tc>
          <w:tcPr>
            <w:tcW w:w="447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主要系本期公司银行借款增加、融资成本增加使利息支出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增加，及票据贴现利息同比增加所致。</w:t>
            </w:r>
          </w:p>
        </w:tc>
      </w:tr>
      <w:tr>
        <w:trPr>
          <w:trHeight w:val="391" w:hRule="exact"/>
        </w:trPr>
        <w:tc>
          <w:tcPr>
            <w:tcW w:w="1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52"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1091" w:type="dxa"/>
            <w:vMerge/>
            <w:tcBorders>
              <w:left w:val="single" w:sz="4" w:space="0" w:color="000000"/>
              <w:right w:val="single" w:sz="13" w:space="0" w:color="C7EDCC"/>
            </w:tcBorders>
          </w:tcPr>
          <w:p>
            <w:pPr/>
          </w:p>
        </w:tc>
        <w:tc>
          <w:tcPr>
            <w:tcW w:w="4477" w:type="dxa"/>
            <w:vMerge/>
            <w:tcBorders>
              <w:left w:val="single" w:sz="4" w:space="0" w:color="000000"/>
              <w:right w:val="single" w:sz="4" w:space="0" w:color="000000"/>
            </w:tcBorders>
            <w:shd w:val="clear" w:color="auto" w:fill="C7EDCC"/>
          </w:tcPr>
          <w:p>
            <w:pPr/>
          </w:p>
        </w:tc>
      </w:tr>
      <w:tr>
        <w:trPr>
          <w:trHeight w:val="162" w:hRule="exact"/>
        </w:trPr>
        <w:tc>
          <w:tcPr>
            <w:tcW w:w="1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2"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13" w:space="0" w:color="C7EDCC"/>
            </w:tcBorders>
          </w:tcPr>
          <w:p>
            <w:pPr/>
          </w:p>
        </w:tc>
        <w:tc>
          <w:tcPr>
            <w:tcW w:w="4477" w:type="dxa"/>
            <w:vMerge/>
            <w:tcBorders>
              <w:left w:val="single" w:sz="4" w:space="0" w:color="000000"/>
              <w:bottom w:val="single" w:sz="4" w:space="0" w:color="000000"/>
              <w:right w:val="single" w:sz="4" w:space="0" w:color="000000"/>
            </w:tcBorders>
            <w:shd w:val="clear" w:color="auto" w:fill="C7EDCC"/>
          </w:tcPr>
          <w:p>
            <w:pPr/>
          </w:p>
        </w:tc>
      </w:tr>
      <w:tr>
        <w:trPr>
          <w:trHeight w:val="401" w:hRule="exact"/>
        </w:trPr>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46,048,176.15</w:t>
            </w:r>
          </w:p>
        </w:tc>
        <w:tc>
          <w:tcPr>
            <w:tcW w:w="1440"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62,287,701.89</w:t>
            </w:r>
          </w:p>
        </w:tc>
        <w:tc>
          <w:tcPr>
            <w:tcW w:w="10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-26.07%</w:t>
            </w:r>
          </w:p>
        </w:tc>
        <w:tc>
          <w:tcPr>
            <w:tcW w:w="44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本期研发项目数量及投入减少。</w:t>
            </w:r>
          </w:p>
        </w:tc>
      </w:tr>
    </w:tbl>
    <w:p>
      <w:pPr>
        <w:spacing w:line="240" w:lineRule="auto" w:before="3"/>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适用 □ 不适用</w:t>
      </w:r>
    </w:p>
    <w:p>
      <w:pPr>
        <w:pStyle w:val="BodyText"/>
        <w:spacing w:line="338" w:lineRule="auto" w:before="116"/>
        <w:ind w:left="514" w:right="891" w:firstLine="73"/>
        <w:jc w:val="left"/>
      </w:pPr>
      <w:r>
        <w:rPr>
          <w:rFonts w:ascii="Times New Roman" w:hAnsi="Times New Roman" w:cs="Times New Roman" w:eastAsia="Times New Roman" w:hint="default"/>
        </w:rPr>
        <w:t>1</w:t>
      </w:r>
      <w:r>
        <w:rPr/>
        <w:t>、北明城市智脑平台的研发 </w:t>
      </w:r>
      <w:r>
        <w:rPr>
          <w:spacing w:val="-4"/>
        </w:rPr>
        <w:t>项目目的：为了实现新型智慧城市的五大目标，推进新一代信息技术与城市现代化深度融合，提升政府管理与服务能力，</w:t>
      </w:r>
    </w:p>
    <w:p>
      <w:pPr>
        <w:pStyle w:val="BodyText"/>
        <w:spacing w:line="307" w:lineRule="auto" w:before="2"/>
        <w:ind w:left="153" w:right="891"/>
        <w:jc w:val="left"/>
      </w:pPr>
      <w:r>
        <w:rPr>
          <w:spacing w:val="-3"/>
        </w:rPr>
        <w:t>破解城市发展难题，城市智脑将成为新型智慧城市建设的核心，人工智能技术将成为城市智脑的引擎。北明城市智脑包括</w:t>
      </w:r>
      <w:r>
        <w:rPr>
          <w:rFonts w:ascii="Times New Roman" w:hAnsi="Times New Roman" w:cs="Times New Roman" w:eastAsia="Times New Roman" w:hint="default"/>
          <w:spacing w:val="-3"/>
        </w:rPr>
        <w:t>“</w:t>
      </w:r>
      <w:r>
        <w:rPr>
          <w:spacing w:val="-3"/>
        </w:rPr>
        <w:t>一</w:t>
      </w:r>
      <w:r>
        <w:rPr>
          <w:spacing w:val="-88"/>
        </w:rPr>
        <w:t> </w:t>
      </w:r>
      <w:r>
        <w:rPr>
          <w:spacing w:val="-2"/>
        </w:rPr>
        <w:t>中心三平台</w:t>
      </w:r>
      <w:r>
        <w:rPr>
          <w:rFonts w:ascii="Times New Roman" w:hAnsi="Times New Roman" w:cs="Times New Roman" w:eastAsia="Times New Roman" w:hint="default"/>
          <w:spacing w:val="-2"/>
        </w:rPr>
        <w:t>”</w:t>
      </w:r>
      <w:r>
        <w:rPr>
          <w:spacing w:val="-2"/>
        </w:rPr>
        <w:t>：云计算中心提供计算存储安全网络资源，实现按需分配、动态调整；大数据平台负责数据采集、存储、运算、</w:t>
      </w:r>
      <w:r>
        <w:rPr>
          <w:spacing w:val="-52"/>
        </w:rPr>
        <w:t> </w:t>
      </w:r>
      <w:r>
        <w:rPr>
          <w:spacing w:val="-52"/>
        </w:rPr>
      </w:r>
      <w:r>
        <w:rPr>
          <w:spacing w:val="-4"/>
        </w:rPr>
        <w:t>挖掘分析辅助决策、交换共享等；统一服务平台实现业务融合、协同运作；人工智能平台提供经过业务数据训练、深度学习、</w:t>
      </w:r>
      <w:r>
        <w:rPr>
          <w:spacing w:val="-44"/>
        </w:rPr>
        <w:t> </w:t>
      </w:r>
      <w:r>
        <w:rPr>
          <w:spacing w:val="-44"/>
        </w:rPr>
      </w:r>
      <w:r>
        <w:rPr/>
        <w:t>机器学习的算法模型和业务智能组件群。</w:t>
      </w:r>
    </w:p>
    <w:p>
      <w:pPr>
        <w:pStyle w:val="BodyText"/>
        <w:spacing w:line="357" w:lineRule="auto" w:before="27"/>
        <w:ind w:left="513" w:right="891"/>
        <w:jc w:val="left"/>
      </w:pPr>
      <w:r>
        <w:rPr/>
        <w:t>拟达到的目标： </w:t>
      </w:r>
      <w:r>
        <w:rPr>
          <w:spacing w:val="-2"/>
        </w:rPr>
        <w:t>研发人工智能平台，开发典型政务业务应用系统，为实现人工智能平台的应用，对统一服务平台和大数据平台进行功能</w:t>
      </w:r>
    </w:p>
    <w:p>
      <w:pPr>
        <w:pStyle w:val="BodyText"/>
        <w:spacing w:line="224" w:lineRule="exact"/>
        <w:ind w:left="153" w:right="891"/>
        <w:jc w:val="left"/>
      </w:pPr>
      <w:r>
        <w:rPr/>
        <w:t>升级改造，最终实现智慧城市的业务应用，包括政务、教育、医疗等重要领域的业务协同和人机智能一体化，实现业务、数</w:t>
      </w:r>
    </w:p>
    <w:p>
      <w:pPr>
        <w:pStyle w:val="BodyText"/>
        <w:spacing w:line="316" w:lineRule="auto" w:before="76"/>
        <w:ind w:left="153" w:right="891"/>
        <w:jc w:val="left"/>
      </w:pPr>
      <w:r>
        <w:rPr>
          <w:spacing w:val="-2"/>
        </w:rPr>
        <w:t>据和技术融合，为智慧政务、智慧教育、智慧旅游、智慧民政、智慧交通、公共信用、智慧医疗、智慧税务、城市一卡通等</w:t>
      </w:r>
      <w:r>
        <w:rPr>
          <w:spacing w:val="-69"/>
        </w:rPr>
        <w:t> </w:t>
      </w:r>
      <w:r>
        <w:rPr>
          <w:spacing w:val="-69"/>
        </w:rPr>
      </w:r>
      <w:r>
        <w:rPr/>
        <w:t>主要应用领域提供支撑。</w:t>
      </w:r>
    </w:p>
    <w:p>
      <w:pPr>
        <w:pStyle w:val="BodyText"/>
        <w:spacing w:line="357" w:lineRule="auto" w:before="20"/>
        <w:ind w:left="559" w:right="1142" w:hanging="406"/>
        <w:jc w:val="left"/>
      </w:pPr>
      <w:r>
        <w:rPr/>
        <w:t>预计对未来发展影响： 项目完成后，将增强公司在城市智能运营中心项目、人工智能平台项目、人工智能</w:t>
      </w:r>
      <w:r>
        <w:rPr>
          <w:rFonts w:ascii="Times New Roman" w:hAnsi="Times New Roman" w:cs="Times New Roman" w:eastAsia="Times New Roman" w:hint="default"/>
        </w:rPr>
        <w:t>+</w:t>
      </w:r>
      <w:r>
        <w:rPr/>
        <w:t>政务服务项目、人工智能</w:t>
      </w:r>
      <w:r>
        <w:rPr>
          <w:rFonts w:ascii="Times New Roman" w:hAnsi="Times New Roman" w:cs="Times New Roman" w:eastAsia="Times New Roman" w:hint="default"/>
        </w:rPr>
        <w:t>+</w:t>
      </w:r>
      <w:r>
        <w:rPr/>
        <w:t>公安警</w:t>
      </w:r>
    </w:p>
    <w:p>
      <w:pPr>
        <w:pStyle w:val="BodyText"/>
        <w:spacing w:line="214" w:lineRule="exact"/>
        <w:ind w:left="153" w:right="891"/>
        <w:jc w:val="left"/>
      </w:pPr>
      <w:r>
        <w:rPr/>
        <w:t>务服务项目、人工智能</w:t>
      </w:r>
      <w:r>
        <w:rPr>
          <w:rFonts w:ascii="Times New Roman" w:hAnsi="Times New Roman" w:cs="Times New Roman" w:eastAsia="Times New Roman" w:hint="default"/>
        </w:rPr>
        <w:t>+</w:t>
      </w:r>
      <w:r>
        <w:rPr/>
        <w:t>公共信用服务项目、人工智能</w:t>
      </w:r>
      <w:r>
        <w:rPr>
          <w:rFonts w:ascii="Times New Roman" w:hAnsi="Times New Roman" w:cs="Times New Roman" w:eastAsia="Times New Roman" w:hint="default"/>
        </w:rPr>
        <w:t>+</w:t>
      </w:r>
      <w:r>
        <w:rPr/>
        <w:t>旅游服务项目、人工智能</w:t>
      </w:r>
      <w:r>
        <w:rPr>
          <w:rFonts w:ascii="Times New Roman" w:hAnsi="Times New Roman" w:cs="Times New Roman" w:eastAsia="Times New Roman" w:hint="default"/>
        </w:rPr>
        <w:t>+</w:t>
      </w:r>
      <w:r>
        <w:rPr/>
        <w:t>其他智慧城市服务项目等领域的竞争力，</w:t>
      </w:r>
    </w:p>
    <w:p>
      <w:pPr>
        <w:pStyle w:val="BodyText"/>
        <w:spacing w:line="240" w:lineRule="auto" w:before="64"/>
        <w:ind w:right="891"/>
        <w:jc w:val="left"/>
      </w:pPr>
      <w:r>
        <w:rPr/>
        <w:t>形成新的利润增长点，增加企业效益。</w:t>
      </w:r>
    </w:p>
    <w:p>
      <w:pPr>
        <w:pStyle w:val="BodyText"/>
        <w:spacing w:line="338" w:lineRule="auto" w:before="117"/>
        <w:ind w:left="514" w:right="119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ODR</w:t>
      </w:r>
      <w:r>
        <w:rPr/>
        <w:t>在线矛盾纠纷多元化解平台的</w:t>
      </w:r>
      <w:r>
        <w:rPr>
          <w:rFonts w:ascii="Times New Roman" w:hAnsi="Times New Roman" w:cs="Times New Roman" w:eastAsia="Times New Roman" w:hint="default"/>
        </w:rPr>
        <w:t>AI</w:t>
      </w:r>
      <w:r>
        <w:rPr/>
        <w:t>技术研发 项目目的：利用人工智能技术促进公司在</w:t>
      </w:r>
      <w:r>
        <w:rPr>
          <w:rFonts w:ascii="Times New Roman" w:hAnsi="Times New Roman" w:cs="Times New Roman" w:eastAsia="Times New Roman" w:hint="default"/>
        </w:rPr>
        <w:t>ODR</w:t>
      </w:r>
      <w:r>
        <w:rPr/>
        <w:t>在线矛盾纠纷多元化解领域的大规模应用和推广，在法律科技领域孵化</w:t>
      </w:r>
    </w:p>
    <w:p>
      <w:pPr>
        <w:pStyle w:val="BodyText"/>
        <w:spacing w:line="230" w:lineRule="exact"/>
        <w:ind w:right="891"/>
        <w:jc w:val="left"/>
      </w:pPr>
      <w:r>
        <w:rPr/>
        <w:t>多个产品，尤其是</w:t>
      </w:r>
      <w:r>
        <w:rPr>
          <w:rFonts w:ascii="Times New Roman" w:hAnsi="Times New Roman" w:cs="Times New Roman" w:eastAsia="Times New Roman" w:hint="default"/>
        </w:rPr>
        <w:t>AI</w:t>
      </w:r>
      <w:r>
        <w:rPr/>
        <w:t>技术的研发和应用，促进司法为民实践，这些产品为核心在公检法司安、监察委等部门和行业也将形</w:t>
      </w:r>
    </w:p>
    <w:p>
      <w:pPr>
        <w:pStyle w:val="BodyText"/>
        <w:spacing w:line="319" w:lineRule="auto" w:before="63"/>
        <w:ind w:left="514" w:right="8770" w:hanging="360"/>
        <w:jc w:val="left"/>
      </w:pPr>
      <w:r>
        <w:rPr/>
        <w:t>成日臻成熟的解决方案。 拟达到的目标：</w:t>
      </w:r>
    </w:p>
    <w:p>
      <w:pPr>
        <w:pStyle w:val="BodyText"/>
        <w:spacing w:line="300" w:lineRule="auto" w:before="55"/>
        <w:ind w:left="153" w:right="1130" w:firstLine="360"/>
        <w:jc w:val="both"/>
      </w:pPr>
      <w:r>
        <w:rPr/>
        <w:t>开发流程机器人，这是</w:t>
      </w:r>
      <w:r>
        <w:rPr>
          <w:rFonts w:ascii="Times New Roman" w:hAnsi="Times New Roman" w:cs="Times New Roman" w:eastAsia="Times New Roman" w:hint="default"/>
        </w:rPr>
        <w:t>ODR</w:t>
      </w:r>
      <w:r>
        <w:rPr/>
        <w:t>法律科技的核心产品，主要应用于对接法院和司法的核心办案系统，提升系统对接效率。 该产品可以在不需要对方应用系统厂商配合的情况下快速实现系统对接。面向实现</w:t>
      </w:r>
      <w:r>
        <w:rPr>
          <w:rFonts w:ascii="Times New Roman" w:hAnsi="Times New Roman" w:cs="Times New Roman" w:eastAsia="Times New Roman" w:hint="default"/>
        </w:rPr>
        <w:t>BS</w:t>
      </w:r>
      <w:r>
        <w:rPr/>
        <w:t>，</w:t>
      </w:r>
      <w:r>
        <w:rPr>
          <w:rFonts w:ascii="Times New Roman" w:hAnsi="Times New Roman" w:cs="Times New Roman" w:eastAsia="Times New Roman" w:hint="default"/>
        </w:rPr>
        <w:t>CS</w:t>
      </w:r>
      <w:r>
        <w:rPr/>
        <w:t>，移动三类主要应用平台的自动 </w:t>
      </w:r>
      <w:r>
        <w:rPr>
          <w:spacing w:val="-1"/>
        </w:rPr>
        <w:t>化操作，中控平台的集群技术可以稳定支持</w:t>
      </w:r>
      <w:r>
        <w:rPr>
          <w:rFonts w:ascii="Times New Roman" w:hAnsi="Times New Roman" w:cs="Times New Roman" w:eastAsia="Times New Roman" w:hint="default"/>
          <w:spacing w:val="-1"/>
        </w:rPr>
        <w:t>500-1000</w:t>
      </w:r>
      <w:r>
        <w:rPr>
          <w:spacing w:val="-1"/>
        </w:rPr>
        <w:t>个机器人同时操作并对大规模机器人集群实现群集智能的优化。以流程</w:t>
      </w:r>
      <w:r>
        <w:rPr>
          <w:spacing w:val="-86"/>
        </w:rPr>
        <w:t> </w:t>
      </w:r>
      <w:r>
        <w:rPr>
          <w:spacing w:val="-86"/>
        </w:rPr>
      </w:r>
      <w:r>
        <w:rPr>
          <w:spacing w:val="-2"/>
        </w:rPr>
        <w:t>机器人为核心的解决方案可以大大减少一线办案人员的工作量，减少重复数据填录工作。流程机器人也可以带动多种智能应</w:t>
      </w:r>
    </w:p>
    <w:p>
      <w:pPr>
        <w:spacing w:after="0" w:line="300"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891"/>
        <w:jc w:val="left"/>
      </w:pPr>
      <w:r>
        <w:rPr>
          <w:spacing w:val="-2"/>
        </w:rPr>
        <w:t>用，如法律自然语言处理产品，桌面图像分析引擎，前端桌面感知平台，知识规则引擎等，建立新一代的基于人工智能和流</w:t>
      </w:r>
      <w:r>
        <w:rPr>
          <w:spacing w:val="-66"/>
        </w:rPr>
        <w:t> </w:t>
      </w:r>
      <w:r>
        <w:rPr>
          <w:spacing w:val="-66"/>
        </w:rPr>
      </w:r>
      <w:r>
        <w:rPr/>
        <w:t>程自动化的增强型流程系统。</w:t>
      </w:r>
    </w:p>
    <w:p>
      <w:pPr>
        <w:pStyle w:val="BodyText"/>
        <w:spacing w:line="302" w:lineRule="auto" w:before="19"/>
        <w:ind w:right="1131" w:firstLine="361"/>
        <w:jc w:val="both"/>
      </w:pPr>
      <w:r>
        <w:rPr>
          <w:spacing w:val="-1"/>
        </w:rPr>
        <w:t>开发法律问答机器人，也是</w:t>
      </w:r>
      <w:r>
        <w:rPr>
          <w:rFonts w:ascii="Times New Roman" w:hAnsi="Times New Roman" w:cs="Times New Roman" w:eastAsia="Times New Roman" w:hint="default"/>
          <w:spacing w:val="-1"/>
        </w:rPr>
        <w:t>ODR</w:t>
      </w:r>
      <w:r>
        <w:rPr>
          <w:spacing w:val="-1"/>
        </w:rPr>
        <w:t>的核心应用。采用第</w:t>
      </w:r>
      <w:r>
        <w:rPr>
          <w:rFonts w:ascii="Times New Roman" w:hAnsi="Times New Roman" w:cs="Times New Roman" w:eastAsia="Times New Roman" w:hint="default"/>
          <w:spacing w:val="-1"/>
        </w:rPr>
        <w:t>2</w:t>
      </w:r>
      <w:r>
        <w:rPr>
          <w:spacing w:val="-1"/>
        </w:rPr>
        <w:t>代智能问答技术，在短文本相似性评价方面具有特色。建立知识</w:t>
      </w:r>
      <w:r>
        <w:rPr/>
        <w:t> 加工厂、文书标注平台、法律语义理解引擎，构成法律问答机器人的基础支持平台。</w:t>
      </w:r>
    </w:p>
    <w:p>
      <w:pPr>
        <w:pStyle w:val="BodyText"/>
        <w:spacing w:line="302" w:lineRule="auto" w:before="68"/>
        <w:ind w:right="1207" w:firstLine="360"/>
        <w:jc w:val="both"/>
      </w:pPr>
      <w:r>
        <w:rPr/>
        <w:t>利用区块链技术执行悬赏应用区块链匿名认证，在</w:t>
      </w:r>
      <w:r>
        <w:rPr>
          <w:rFonts w:ascii="Times New Roman" w:hAnsi="Times New Roman" w:cs="Times New Roman" w:eastAsia="Times New Roman" w:hint="default"/>
        </w:rPr>
        <w:t>ODR</w:t>
      </w:r>
      <w:r>
        <w:rPr/>
        <w:t>平台应用区块链司法存证，在破产系统应用区块链清分和资金 监管。</w:t>
      </w:r>
    </w:p>
    <w:p>
      <w:pPr>
        <w:pStyle w:val="BodyText"/>
        <w:spacing w:line="357" w:lineRule="auto" w:before="70"/>
        <w:ind w:left="514" w:right="1190"/>
        <w:jc w:val="left"/>
      </w:pPr>
      <w:r>
        <w:rPr/>
        <w:t>预计对未来发展影响： 我们设想未来</w:t>
      </w:r>
      <w:r>
        <w:rPr>
          <w:rFonts w:ascii="Times New Roman" w:hAnsi="Times New Roman" w:cs="Times New Roman" w:eastAsia="Times New Roman" w:hint="default"/>
        </w:rPr>
        <w:t>ODR</w:t>
      </w:r>
      <w:r>
        <w:rPr/>
        <w:t>机制将成为国内纠纷解决的主要机制，法律科技产品的开发将会大幅提升公司在全国矛盾纠纷多元</w:t>
      </w:r>
    </w:p>
    <w:p>
      <w:pPr>
        <w:pStyle w:val="BodyText"/>
        <w:spacing w:line="202" w:lineRule="exact"/>
        <w:ind w:right="891"/>
        <w:jc w:val="left"/>
      </w:pPr>
      <w:r>
        <w:rPr/>
        <w:t>化解领域的核心地位，大幅增加市场占有率，提升企业效益。</w:t>
      </w:r>
    </w:p>
    <w:p>
      <w:pPr>
        <w:pStyle w:val="BodyText"/>
        <w:spacing w:line="340" w:lineRule="auto" w:before="116"/>
        <w:ind w:left="514" w:right="8500"/>
        <w:jc w:val="left"/>
      </w:pPr>
      <w:r>
        <w:rPr>
          <w:rFonts w:ascii="Times New Roman" w:hAnsi="Times New Roman" w:cs="Times New Roman" w:eastAsia="Times New Roman" w:hint="default"/>
        </w:rPr>
        <w:t>3</w:t>
      </w:r>
      <w:r>
        <w:rPr/>
        <w:t>、数据治理平台的研发 项目目的：</w:t>
      </w:r>
    </w:p>
    <w:p>
      <w:pPr>
        <w:pStyle w:val="BodyText"/>
        <w:spacing w:line="319" w:lineRule="auto" w:before="39"/>
        <w:ind w:right="1128" w:firstLine="360"/>
        <w:jc w:val="both"/>
      </w:pPr>
      <w:r>
        <w:rPr>
          <w:spacing w:val="-2"/>
        </w:rPr>
        <w:t>建立数据治理平台，帮助企业绘制数据地图，统一数据标准，标明数据方位，分析数据关系，规范数据开发，管理数据</w:t>
      </w:r>
      <w:r>
        <w:rPr/>
        <w:t> </w:t>
      </w:r>
      <w:r>
        <w:rPr>
          <w:spacing w:val="-2"/>
        </w:rPr>
        <w:t>使用，监控质量变化。以达到数据可查、数据可信、数据可用、数据可控的效果，从而更加有效的发掘和利用数据资产的价</w:t>
      </w:r>
      <w:r>
        <w:rPr>
          <w:spacing w:val="-68"/>
        </w:rPr>
        <w:t> </w:t>
      </w:r>
      <w:r>
        <w:rPr>
          <w:spacing w:val="-68"/>
        </w:rPr>
      </w:r>
      <w:r>
        <w:rPr/>
        <w:t>值，实现精准高效的分析和决策。</w:t>
      </w:r>
    </w:p>
    <w:p>
      <w:pPr>
        <w:pStyle w:val="BodyText"/>
        <w:spacing w:line="357" w:lineRule="auto" w:before="56"/>
        <w:ind w:left="514" w:right="1030"/>
        <w:jc w:val="left"/>
      </w:pPr>
      <w:r>
        <w:rPr/>
        <w:t>拟达到的目标： 通过数据治理平台，解决目前数据行业存在大量问题，如缺乏统一数据标准，数据周期规划混乱，难以统筹业务管理，</w:t>
      </w:r>
    </w:p>
    <w:p>
      <w:pPr>
        <w:pStyle w:val="BodyText"/>
        <w:spacing w:line="224" w:lineRule="exact"/>
        <w:ind w:right="891"/>
        <w:jc w:val="left"/>
      </w:pPr>
      <w:r>
        <w:rPr/>
        <w:t>数据处理效率低下，数据质量参差不齐，数据垃圾亟待解决，数据价值难以评估等问题 。通过数据治理平台，帮助企业实</w:t>
      </w:r>
    </w:p>
    <w:p>
      <w:pPr>
        <w:pStyle w:val="BodyText"/>
        <w:spacing w:line="319" w:lineRule="auto" w:before="76"/>
        <w:ind w:right="891"/>
        <w:jc w:val="left"/>
      </w:pPr>
      <w:r>
        <w:rPr>
          <w:spacing w:val="-2"/>
        </w:rPr>
        <w:t>现数据资产的运营，实现数据的易用，让数据更加准确、一致、完整、透明、安全，没有歧义，方便获取，来源统一，降低</w:t>
      </w:r>
      <w:r>
        <w:rPr>
          <w:spacing w:val="-71"/>
        </w:rPr>
        <w:t> </w:t>
      </w:r>
      <w:r>
        <w:rPr>
          <w:spacing w:val="-71"/>
        </w:rPr>
      </w:r>
      <w:r>
        <w:rPr/>
        <w:t>采集、开发、管理、沟通和使用成本。</w:t>
      </w:r>
    </w:p>
    <w:p>
      <w:pPr>
        <w:pStyle w:val="BodyText"/>
        <w:spacing w:line="319" w:lineRule="auto" w:before="55"/>
        <w:ind w:right="1041" w:firstLine="360"/>
        <w:jc w:val="both"/>
      </w:pPr>
      <w:r>
        <w:rPr/>
        <w:t>预期对未来的影响： </w:t>
      </w:r>
      <w:r>
        <w:rPr>
          <w:spacing w:val="-4"/>
        </w:rPr>
        <w:t>数据治理行业正在迅速发展。数据治理平台预计将会使公司今后在企业的数据市场形成特色，拓展数据治理领域的市场占有。</w:t>
      </w:r>
    </w:p>
    <w:p>
      <w:pPr>
        <w:pStyle w:val="BodyText"/>
        <w:spacing w:line="340" w:lineRule="auto" w:before="56"/>
        <w:ind w:left="514" w:right="8500"/>
        <w:jc w:val="left"/>
      </w:pPr>
      <w:r>
        <w:rPr>
          <w:rFonts w:ascii="Times New Roman" w:hAnsi="Times New Roman" w:cs="Times New Roman" w:eastAsia="Times New Roman" w:hint="default"/>
        </w:rPr>
        <w:t>4</w:t>
      </w:r>
      <w:r>
        <w:rPr/>
        <w:t>、保险智慧反欺诈平台 项目目的：</w:t>
      </w:r>
    </w:p>
    <w:p>
      <w:pPr>
        <w:pStyle w:val="BodyText"/>
        <w:spacing w:line="319" w:lineRule="auto" w:before="39"/>
        <w:ind w:right="1129" w:firstLine="360"/>
        <w:jc w:val="both"/>
      </w:pPr>
      <w:r>
        <w:rPr>
          <w:spacing w:val="-2"/>
        </w:rPr>
        <w:t>随着经济快速发展，人们收入水平逐步提高，汽车需求量不断增加，车险需求也在不断增加。然而，车险领域的违法犯</w:t>
      </w:r>
      <w:r>
        <w:rPr/>
        <w:t> </w:t>
      </w:r>
      <w:r>
        <w:rPr>
          <w:spacing w:val="-2"/>
        </w:rPr>
        <w:t>罪活动日益频繁，成为保险犯罪的高发区，且呈现团伙化、专业化和职业化等特征，因车险欺诈而导致的支出比例在不断攀</w:t>
      </w:r>
      <w:r>
        <w:rPr>
          <w:spacing w:val="-66"/>
        </w:rPr>
        <w:t> </w:t>
      </w:r>
      <w:r>
        <w:rPr>
          <w:spacing w:val="-66"/>
        </w:rPr>
      </w:r>
      <w:r>
        <w:rPr/>
        <w:t>升。</w:t>
      </w:r>
    </w:p>
    <w:p>
      <w:pPr>
        <w:pStyle w:val="BodyText"/>
        <w:spacing w:line="319" w:lineRule="auto" w:before="55"/>
        <w:ind w:right="1131" w:firstLine="360"/>
        <w:jc w:val="both"/>
      </w:pPr>
      <w:r>
        <w:rPr>
          <w:spacing w:val="-2"/>
        </w:rPr>
        <w:t>公司开发保险智慧反欺诈平台项目属于嵌入业务流程的大数据智慧应用，供反欺诈作业人员使用。促进各保险业务中车</w:t>
      </w:r>
      <w:r>
        <w:rPr/>
        <w:t> 险业务的稳定健康发展，提高反欺诈团队作业效率，提高检出率；减少公司欺诈损失；震慑社会欺诈团伙。</w:t>
      </w:r>
    </w:p>
    <w:p>
      <w:pPr>
        <w:pStyle w:val="BodyText"/>
        <w:spacing w:line="357" w:lineRule="auto" w:before="58"/>
        <w:ind w:left="514" w:right="1030"/>
        <w:jc w:val="left"/>
      </w:pPr>
      <w:r>
        <w:rPr/>
        <w:t>拟达到的目标： 以车险数据为中心对可疑关联案件进行检索、追踪。保险智慧反欺诈平台将围绕报案号、涉案人员、涉案车辆、账号、</w:t>
      </w:r>
    </w:p>
    <w:p>
      <w:pPr>
        <w:pStyle w:val="BodyText"/>
        <w:spacing w:line="224" w:lineRule="exact"/>
        <w:ind w:right="891"/>
        <w:jc w:val="left"/>
      </w:pPr>
      <w:r>
        <w:rPr/>
        <w:t>电话等数据以及它们之间的关联进行可疑性分析与排查，将可疑性更高的可疑案件推荐给反欺诈业务人员，以提高检出率以</w:t>
      </w:r>
    </w:p>
    <w:p>
      <w:pPr>
        <w:pStyle w:val="BodyText"/>
        <w:spacing w:line="319" w:lineRule="auto" w:before="76"/>
        <w:ind w:right="891"/>
        <w:jc w:val="left"/>
      </w:pPr>
      <w:r>
        <w:rPr>
          <w:spacing w:val="-2"/>
        </w:rPr>
        <w:t>及反欺诈业务的工作效率，丰富展现内容和展现形式，并能对实时的触点数据形成一些分析结果推送给用户，积极学习先行</w:t>
      </w:r>
      <w:r>
        <w:rPr>
          <w:spacing w:val="-66"/>
        </w:rPr>
        <w:t> </w:t>
      </w:r>
      <w:r>
        <w:rPr>
          <w:spacing w:val="-66"/>
        </w:rPr>
      </w:r>
      <w:r>
        <w:rPr/>
        <w:t>者的成功案例，并能快速应用上线提升数据质量尤其保额的数据质量。</w:t>
      </w:r>
    </w:p>
    <w:p>
      <w:pPr>
        <w:pStyle w:val="BodyText"/>
        <w:spacing w:line="319" w:lineRule="auto" w:before="55"/>
        <w:ind w:right="1131" w:firstLine="360"/>
        <w:jc w:val="both"/>
      </w:pPr>
      <w:r>
        <w:rPr>
          <w:spacing w:val="-2"/>
        </w:rPr>
        <w:t>产品模块将包括高效方便的图谱检索与探查框架、图谱管理与交互功能、基于机器学习的模型计算等，构建新型反欺诈</w:t>
      </w:r>
      <w:r>
        <w:rPr/>
        <w:t> 模式，提升了客户的体验度，提高反欺诈作业效率和欺诈案件检出率。</w:t>
      </w:r>
    </w:p>
    <w:p>
      <w:pPr>
        <w:pStyle w:val="BodyText"/>
        <w:spacing w:line="357" w:lineRule="auto" w:before="58"/>
        <w:ind w:left="514" w:right="891"/>
        <w:jc w:val="left"/>
      </w:pPr>
      <w:r>
        <w:rPr/>
        <w:t>预期对未来的影响： </w:t>
      </w:r>
      <w:r>
        <w:rPr>
          <w:spacing w:val="-2"/>
        </w:rPr>
        <w:t>保险智慧反欺诈平台的定位在于加强对保险数据的专业应用分析。从业务的角度而言，大部分保险公司为营销活动进行</w:t>
      </w:r>
    </w:p>
    <w:p>
      <w:pPr>
        <w:pStyle w:val="BodyText"/>
        <w:spacing w:line="224" w:lineRule="exact"/>
        <w:ind w:right="891"/>
        <w:jc w:val="left"/>
      </w:pPr>
      <w:r>
        <w:rPr/>
        <w:t>的客群分析及客户名单提出还是手动，相对落后。从这一点看，保险智慧反欺诈平台将加强我公司在保险行业的优势地位，</w:t>
      </w:r>
    </w:p>
    <w:p>
      <w:pPr>
        <w:pStyle w:val="BodyText"/>
        <w:spacing w:line="240" w:lineRule="auto" w:before="77"/>
        <w:ind w:right="891"/>
        <w:jc w:val="left"/>
      </w:pPr>
      <w:r>
        <w:rPr/>
        <w:t>提升公司在保险行业的市场竞争力，从而增加市场份额，拓展这一“蓝海”市场。</w:t>
      </w:r>
    </w:p>
    <w:p>
      <w:pPr>
        <w:pStyle w:val="BodyText"/>
        <w:spacing w:line="338" w:lineRule="auto" w:before="116"/>
        <w:ind w:left="514" w:right="891"/>
        <w:jc w:val="left"/>
      </w:pPr>
      <w:r>
        <w:rPr>
          <w:rFonts w:ascii="Times New Roman" w:hAnsi="Times New Roman" w:cs="Times New Roman" w:eastAsia="Times New Roman" w:hint="default"/>
        </w:rPr>
        <w:t>5</w:t>
      </w:r>
      <w:r>
        <w:rPr/>
        <w:t>、雅赛尔床品面料的开发</w:t>
      </w:r>
      <w:r>
        <w:rPr>
          <w:spacing w:val="-1"/>
        </w:rPr>
        <w:t> </w:t>
      </w:r>
      <w:r>
        <w:rPr/>
        <w:t>项目目的：雅赛尔纤维是我国自主研发的新型强力生物基纤维，</w:t>
      </w:r>
      <w:r>
        <w:rPr>
          <w:spacing w:val="-69"/>
        </w:rPr>
        <w:t> </w:t>
      </w:r>
      <w:r>
        <w:rPr/>
        <w:t>以</w:t>
      </w:r>
      <w:r>
        <w:rPr>
          <w:rFonts w:ascii="Times New Roman" w:hAnsi="Times New Roman" w:cs="Times New Roman" w:eastAsia="Times New Roman" w:hint="default"/>
        </w:rPr>
        <w:t>100%</w:t>
      </w:r>
      <w:r>
        <w:rPr/>
        <w:t>天然生物基材料为原料，具有柔软性、吸水性、</w:t>
      </w:r>
    </w:p>
    <w:p>
      <w:pPr>
        <w:pStyle w:val="BodyText"/>
        <w:spacing w:line="230" w:lineRule="exact"/>
        <w:ind w:right="891"/>
        <w:jc w:val="left"/>
      </w:pPr>
      <w:r>
        <w:rPr/>
        <w:t>透气性、亲肤性等特点。与普通生物基短纤维相比雅赛尔纤维的强度可提高</w:t>
      </w:r>
      <w:r>
        <w:rPr>
          <w:rFonts w:ascii="Times New Roman" w:hAnsi="Times New Roman" w:cs="Times New Roman" w:eastAsia="Times New Roman" w:hint="default"/>
        </w:rPr>
        <w:t>35-40%</w:t>
      </w:r>
      <w:r>
        <w:rPr/>
        <w:t>，纺纱效率提升</w:t>
      </w:r>
      <w:r>
        <w:rPr>
          <w:rFonts w:ascii="Times New Roman" w:hAnsi="Times New Roman" w:cs="Times New Roman" w:eastAsia="Times New Roman" w:hint="default"/>
        </w:rPr>
        <w:t>20-30%</w:t>
      </w:r>
      <w:r>
        <w:rPr/>
        <w:t>，纱线强度提升</w:t>
      </w:r>
    </w:p>
    <w:p>
      <w:pPr>
        <w:spacing w:after="0" w:line="230" w:lineRule="exact"/>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041"/>
        <w:jc w:val="left"/>
      </w:pPr>
      <w:r>
        <w:rPr>
          <w:rFonts w:ascii="Times New Roman" w:hAnsi="Times New Roman" w:cs="Times New Roman" w:eastAsia="Times New Roman" w:hint="default"/>
        </w:rPr>
        <w:t>15-20%</w:t>
      </w:r>
      <w:r>
        <w:rPr/>
        <w:t>，针织与梭织织布效率</w:t>
      </w:r>
      <w:r>
        <w:rPr>
          <w:rFonts w:ascii="Times New Roman" w:hAnsi="Times New Roman" w:cs="Times New Roman" w:eastAsia="Times New Roman" w:hint="default"/>
        </w:rPr>
        <w:t>15-20%</w:t>
      </w:r>
      <w:r>
        <w:rPr/>
        <w:t>，针织面料的顶破强力提升</w:t>
      </w:r>
      <w:r>
        <w:rPr>
          <w:rFonts w:ascii="Times New Roman" w:hAnsi="Times New Roman" w:cs="Times New Roman" w:eastAsia="Times New Roman" w:hint="default"/>
        </w:rPr>
        <w:t>30-40%</w:t>
      </w:r>
      <w:r>
        <w:rPr/>
        <w:t>；伸度可降低</w:t>
      </w:r>
      <w:r>
        <w:rPr>
          <w:rFonts w:ascii="Times New Roman" w:hAnsi="Times New Roman" w:cs="Times New Roman" w:eastAsia="Times New Roman" w:hint="default"/>
        </w:rPr>
        <w:t>30%</w:t>
      </w:r>
      <w:r>
        <w:rPr/>
        <w:t>，在针织、家纺领域应用，尺寸</w:t>
      </w:r>
      <w:r>
        <w:rPr>
          <w:spacing w:val="-59"/>
        </w:rPr>
        <w:t> </w:t>
      </w:r>
      <w:r>
        <w:rPr>
          <w:spacing w:val="-59"/>
        </w:rPr>
      </w:r>
      <w:r>
        <w:rPr>
          <w:spacing w:val="-2"/>
        </w:rPr>
        <w:t>稳定性更好、不易变形；纤维表面的锯齿形结构和超细纤维的特性使得织物更加丝滑柔顺；径向水澎润度指标可达到</w:t>
      </w:r>
      <w:r>
        <w:rPr>
          <w:rFonts w:ascii="Times New Roman" w:hAnsi="Times New Roman" w:cs="Times New Roman" w:eastAsia="Times New Roman" w:hint="default"/>
          <w:spacing w:val="-2"/>
        </w:rPr>
        <w:t>22-26%</w:t>
      </w:r>
      <w:r>
        <w:rPr>
          <w:rFonts w:ascii="Times New Roman" w:hAnsi="Times New Roman" w:cs="Times New Roman" w:eastAsia="Times New Roman" w:hint="default"/>
        </w:rPr>
        <w:t> </w:t>
      </w:r>
      <w:r>
        <w:rPr/>
        <w:t>以上，良好的吸湿透气性赋予亲肤性的同时可以更好的防止静电带来的不适感；耐水沾色牢度达</w:t>
      </w:r>
      <w:r>
        <w:rPr>
          <w:rFonts w:ascii="Times New Roman" w:hAnsi="Times New Roman" w:cs="Times New Roman" w:eastAsia="Times New Roman" w:hint="default"/>
        </w:rPr>
        <w:t>4-5</w:t>
      </w:r>
      <w:r>
        <w:rPr/>
        <w:t>级，良好的上色率和染</w:t>
      </w:r>
      <w:r>
        <w:rPr>
          <w:spacing w:val="-58"/>
        </w:rPr>
        <w:t> </w:t>
      </w:r>
      <w:r>
        <w:rPr>
          <w:spacing w:val="-58"/>
        </w:rPr>
      </w:r>
      <w:r>
        <w:rPr>
          <w:spacing w:val="-1"/>
        </w:rPr>
        <w:t>色均匀性使产品颜色更加靓丽。在价格比较上，雅赛尔纤维价格比莫代尔纤维低</w:t>
      </w:r>
      <w:r>
        <w:rPr>
          <w:rFonts w:ascii="Times New Roman" w:hAnsi="Times New Roman" w:cs="Times New Roman" w:eastAsia="Times New Roman" w:hint="default"/>
          <w:spacing w:val="-1"/>
        </w:rPr>
        <w:t>5000</w:t>
      </w:r>
      <w:r>
        <w:rPr>
          <w:spacing w:val="-1"/>
        </w:rPr>
        <w:t>元</w:t>
      </w:r>
      <w:r>
        <w:rPr>
          <w:rFonts w:ascii="Times New Roman" w:hAnsi="Times New Roman" w:cs="Times New Roman" w:eastAsia="Times New Roman" w:hint="default"/>
          <w:spacing w:val="-1"/>
        </w:rPr>
        <w:t>/</w:t>
      </w:r>
      <w:r>
        <w:rPr>
          <w:spacing w:val="-1"/>
        </w:rPr>
        <w:t>吨左右，相比莫代尔，成本更经济，</w:t>
      </w:r>
      <w:r>
        <w:rPr>
          <w:spacing w:val="-77"/>
        </w:rPr>
        <w:t> </w:t>
      </w:r>
      <w:r>
        <w:rPr>
          <w:spacing w:val="-77"/>
        </w:rPr>
      </w:r>
      <w:r>
        <w:rPr/>
        <w:t>指标更优化，能为下游客户带来更多的超额利润。</w:t>
      </w:r>
    </w:p>
    <w:p>
      <w:pPr>
        <w:pStyle w:val="BodyText"/>
        <w:spacing w:line="360" w:lineRule="auto" w:before="71"/>
        <w:ind w:left="513" w:right="1211"/>
        <w:jc w:val="left"/>
      </w:pPr>
      <w:r>
        <w:rPr/>
        <w:t>该项目以节能环保、舒适亲肤的床品面料为研发方向，通过各大指标的大幅度提升，开发雅赛尔纤维系列床品面料。 项目进展：该项目属于研究试验阶段。</w:t>
      </w:r>
    </w:p>
    <w:p>
      <w:pPr>
        <w:pStyle w:val="BodyText"/>
        <w:spacing w:line="357" w:lineRule="auto" w:before="26"/>
        <w:ind w:left="513" w:right="891" w:firstLine="64"/>
        <w:jc w:val="left"/>
      </w:pPr>
      <w:r>
        <w:rPr/>
        <w:t>拟达到目标：该项目是公司自主研发科技项目，完成后可达到国内先进水平。 预计对未来发展影响：随着社会的发展，人们越来越崇尚自然、绿色、健康的生活方式，以</w:t>
      </w:r>
      <w:r>
        <w:rPr>
          <w:rFonts w:ascii="Times New Roman" w:hAnsi="Times New Roman" w:cs="Times New Roman" w:eastAsia="Times New Roman" w:hint="default"/>
        </w:rPr>
        <w:t>100%</w:t>
      </w:r>
      <w:r>
        <w:rPr/>
        <w:t>纯木浆制成的雅赛尔</w:t>
      </w:r>
    </w:p>
    <w:p>
      <w:pPr>
        <w:pStyle w:val="BodyText"/>
        <w:spacing w:line="214" w:lineRule="exact"/>
        <w:ind w:left="153" w:right="0"/>
        <w:jc w:val="both"/>
      </w:pPr>
      <w:r>
        <w:rPr/>
        <w:t>纤维，可完全降解，对自然环境的负荷小。雅赛尔纤维通过了</w:t>
      </w:r>
      <w:r>
        <w:rPr>
          <w:rFonts w:ascii="Times New Roman" w:hAnsi="Times New Roman" w:cs="Times New Roman" w:eastAsia="Times New Roman" w:hint="default"/>
        </w:rPr>
        <w:t>Oeko-Tex  Standard</w:t>
      </w:r>
      <w:r>
        <w:rPr>
          <w:rFonts w:ascii="Times New Roman" w:hAnsi="Times New Roman" w:cs="Times New Roman" w:eastAsia="Times New Roman" w:hint="default"/>
          <w:spacing w:val="-33"/>
        </w:rPr>
        <w:t> </w:t>
      </w:r>
      <w:r>
        <w:rPr>
          <w:rFonts w:ascii="Times New Roman" w:hAnsi="Times New Roman" w:cs="Times New Roman" w:eastAsia="Times New Roman" w:hint="default"/>
        </w:rPr>
        <w:t>100</w:t>
      </w:r>
      <w:r>
        <w:rPr>
          <w:color w:val="6C6C6C"/>
        </w:rPr>
      </w:r>
      <w:r>
        <w:rPr>
          <w:color w:val="6C6C6C"/>
          <w:u w:val="single" w:color="6C6C6C"/>
        </w:rPr>
        <w:t>环保</w:t>
      </w:r>
      <w:r>
        <w:rPr>
          <w:color w:val="6C6C6C"/>
        </w:rPr>
      </w:r>
      <w:r>
        <w:rPr/>
        <w:t>认证，获得</w:t>
      </w:r>
      <w:r>
        <w:rPr>
          <w:rFonts w:ascii="Times New Roman" w:hAnsi="Times New Roman" w:cs="Times New Roman" w:eastAsia="Times New Roman" w:hint="default"/>
        </w:rPr>
        <w:t>FSC</w:t>
      </w:r>
      <w:r>
        <w:rPr/>
        <w:t>全球森林管理产销</w:t>
      </w:r>
    </w:p>
    <w:p>
      <w:pPr>
        <w:pStyle w:val="BodyText"/>
        <w:spacing w:line="300" w:lineRule="auto" w:before="63"/>
        <w:ind w:left="153" w:right="1128"/>
        <w:jc w:val="both"/>
      </w:pPr>
      <w:r>
        <w:rPr/>
        <w:t>监管链认证，而且可以节约染色成本</w:t>
      </w:r>
      <w:r>
        <w:rPr>
          <w:rFonts w:ascii="Times New Roman" w:hAnsi="Times New Roman" w:cs="Times New Roman" w:eastAsia="Times New Roman" w:hint="default"/>
        </w:rPr>
        <w:t>5-15%</w:t>
      </w:r>
      <w:r>
        <w:rPr/>
        <w:t>，让生活更加安全健康。雅赛尔纤维作为新型</w:t>
      </w:r>
      <w:r>
        <w:rPr>
          <w:rFonts w:ascii="Times New Roman" w:hAnsi="Times New Roman" w:cs="Times New Roman" w:eastAsia="Times New Roman" w:hint="default"/>
        </w:rPr>
        <w:t>“</w:t>
      </w:r>
      <w:r>
        <w:rPr/>
        <w:t>高强低伸</w:t>
      </w:r>
      <w:r>
        <w:rPr>
          <w:rFonts w:ascii="Times New Roman" w:hAnsi="Times New Roman" w:cs="Times New Roman" w:eastAsia="Times New Roman" w:hint="default"/>
        </w:rPr>
        <w:t>”</w:t>
      </w:r>
      <w:r>
        <w:rPr/>
        <w:t>的强力生物基纤维，使 制成品具有手感柔软、保形性好、抗起毛起球、染色鲜艳亮丽等优点。 </w:t>
      </w:r>
      <w:r>
        <w:rPr>
          <w:rFonts w:ascii="Times New Roman" w:hAnsi="Times New Roman" w:cs="Times New Roman" w:eastAsia="Times New Roman" w:hint="default"/>
        </w:rPr>
        <w:t>“</w:t>
      </w:r>
      <w:r>
        <w:rPr/>
        <w:t>雅赛尔</w:t>
      </w:r>
      <w:r>
        <w:rPr>
          <w:rFonts w:ascii="Times New Roman" w:hAnsi="Times New Roman" w:cs="Times New Roman" w:eastAsia="Times New Roman" w:hint="default"/>
        </w:rPr>
        <w:t>”</w:t>
      </w:r>
      <w:r>
        <w:rPr/>
        <w:t>系列产品更柔、更轻、更艳、应用更广泛</w:t>
      </w:r>
      <w:r>
        <w:rPr>
          <w:spacing w:val="-71"/>
        </w:rPr>
        <w:t> </w:t>
      </w:r>
      <w:r>
        <w:rPr>
          <w:spacing w:val="-71"/>
        </w:rPr>
      </w:r>
      <w:r>
        <w:rPr/>
        <w:t>等四大特点能够与莫代尔共舞。至推出以来其高强超柔、如丝如绒的显著特性得到广大客户的青睐。</w:t>
      </w:r>
    </w:p>
    <w:p>
      <w:pPr>
        <w:pStyle w:val="BodyText"/>
        <w:spacing w:line="300" w:lineRule="auto" w:before="71"/>
        <w:ind w:left="461" w:right="891" w:firstLine="52"/>
        <w:jc w:val="left"/>
      </w:pPr>
      <w:r>
        <w:rPr>
          <w:rFonts w:ascii="Times New Roman" w:hAnsi="Times New Roman" w:cs="Times New Roman" w:eastAsia="Times New Roman" w:hint="default"/>
        </w:rPr>
        <w:t>6</w:t>
      </w:r>
      <w:r>
        <w:rPr/>
        <w:t>、色纺纱的研究与开发 </w:t>
      </w:r>
      <w:r>
        <w:rPr>
          <w:spacing w:val="-1"/>
        </w:rPr>
        <w:t>项目目的：色纺纱是我国纺纱领域的一类特色纱线，产品附加值较高。颠覆原来先纺纱后染色工艺，采用纤维先染色后</w:t>
      </w:r>
    </w:p>
    <w:p>
      <w:pPr>
        <w:pStyle w:val="BodyText"/>
        <w:spacing w:line="319" w:lineRule="auto" w:before="31"/>
        <w:ind w:left="153" w:right="1131"/>
        <w:jc w:val="both"/>
      </w:pPr>
      <w:r>
        <w:rPr>
          <w:spacing w:val="-2"/>
        </w:rPr>
        <w:t>纺纱，并采用多种颜色纤维混合纺纱，使纱线呈现出五彩缤纷的自然色彩。用色纺纱织成的面料具有朦胧的立体效果，深受</w:t>
      </w:r>
      <w:r>
        <w:rPr>
          <w:spacing w:val="-66"/>
        </w:rPr>
        <w:t> </w:t>
      </w:r>
      <w:r>
        <w:rPr>
          <w:spacing w:val="-66"/>
        </w:rPr>
      </w:r>
      <w:r>
        <w:rPr>
          <w:spacing w:val="-2"/>
        </w:rPr>
        <w:t>国内外消费者喜爱。同时用色纺纱制成的针棉织物不需要再经染色即可直接用于针织物和机织物使用，大大减轻了对环境的</w:t>
      </w:r>
      <w:r>
        <w:rPr>
          <w:spacing w:val="-64"/>
        </w:rPr>
        <w:t> </w:t>
      </w:r>
      <w:r>
        <w:rPr>
          <w:spacing w:val="-64"/>
        </w:rPr>
      </w:r>
      <w:r>
        <w:rPr/>
        <w:t>污染，符合环保要求，深受后道加工企业的欢迎。</w:t>
      </w:r>
    </w:p>
    <w:p>
      <w:pPr>
        <w:pStyle w:val="BodyText"/>
        <w:spacing w:line="319" w:lineRule="auto" w:before="55"/>
        <w:ind w:left="153" w:right="1131" w:firstLine="360"/>
        <w:jc w:val="both"/>
      </w:pPr>
      <w:r>
        <w:rPr>
          <w:spacing w:val="-2"/>
        </w:rPr>
        <w:t>由于色纺纱的产品附加值远高于常规本色纱线，且多数用于中高端服饰用纱线，故用户对纱线质量要求较高。在传统环</w:t>
      </w:r>
      <w:r>
        <w:rPr/>
        <w:t> </w:t>
      </w:r>
      <w:r>
        <w:rPr>
          <w:spacing w:val="-2"/>
        </w:rPr>
        <w:t>锭纺设备上生产色纺纱与本色纱相比，存在着加工工序设备生产效率低、用工多的问题，尤其是万锭用工要比生产本色纱多</w:t>
      </w:r>
      <w:r>
        <w:rPr>
          <w:spacing w:val="-66"/>
        </w:rPr>
        <w:t> </w:t>
      </w:r>
      <w:r>
        <w:rPr>
          <w:spacing w:val="-66"/>
        </w:rPr>
      </w:r>
      <w:r>
        <w:rPr>
          <w:rFonts w:ascii="Times New Roman" w:hAnsi="Times New Roman" w:cs="Times New Roman" w:eastAsia="Times New Roman" w:hint="default"/>
        </w:rPr>
        <w:t>1</w:t>
      </w:r>
      <w:r>
        <w:rPr/>
        <w:t>倍以上。项目从原料选配、工艺优化和设备管理上采取措施，不断提高纺纱效率、减少用工。</w:t>
      </w:r>
    </w:p>
    <w:p>
      <w:pPr>
        <w:pStyle w:val="BodyText"/>
        <w:spacing w:line="302" w:lineRule="auto" w:before="35"/>
        <w:ind w:left="513" w:right="891"/>
        <w:jc w:val="left"/>
      </w:pPr>
      <w:r>
        <w:rPr/>
        <w:t>项目进展：目前公司已开发出浅粉、浅花绿、花玫红等多种色彩棉</w:t>
      </w:r>
      <w:r>
        <w:rPr>
          <w:rFonts w:ascii="Times New Roman" w:hAnsi="Times New Roman" w:cs="Times New Roman" w:eastAsia="Times New Roman" w:hint="default"/>
        </w:rPr>
        <w:t>/</w:t>
      </w:r>
      <w:r>
        <w:rPr/>
        <w:t>羊毛针织纱线、赛络紧密纺纱线。 拟达到目标：可根据订单进行批量生产。</w:t>
      </w:r>
    </w:p>
    <w:p>
      <w:pPr>
        <w:pStyle w:val="BodyText"/>
        <w:spacing w:line="300" w:lineRule="auto" w:before="69"/>
        <w:ind w:left="153" w:right="1126" w:firstLine="360"/>
        <w:jc w:val="both"/>
      </w:pPr>
      <w:r>
        <w:rPr/>
        <w:t>预计对未来发展影响：作为纺织业中的朝阳产业，目前色纺尚处在起步阶段，整体产量只占纱线总产量的</w:t>
      </w:r>
      <w:r>
        <w:rPr>
          <w:rFonts w:ascii="Times New Roman" w:hAnsi="Times New Roman" w:cs="Times New Roman" w:eastAsia="Times New Roman" w:hint="default"/>
        </w:rPr>
        <w:t>4%</w:t>
      </w:r>
      <w:r>
        <w:rPr/>
        <w:t>，按全国</w:t>
      </w:r>
      <w:r>
        <w:rPr>
          <w:spacing w:val="1"/>
        </w:rPr>
        <w:t> </w:t>
      </w:r>
      <w:r>
        <w:rPr>
          <w:spacing w:val="-5"/>
        </w:rPr>
        <w:t>纺纱产能一亿多锭规模计算，如果未来纱线产业形成色织、布染色、色纺三分天下的格局，那么，色纺纱产业规模将超过</w:t>
      </w:r>
      <w:r>
        <w:rPr>
          <w:rFonts w:ascii="Times New Roman" w:hAnsi="Times New Roman" w:cs="Times New Roman" w:eastAsia="Times New Roman" w:hint="default"/>
          <w:spacing w:val="-5"/>
        </w:rPr>
        <w:t>2000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万纱锭，未来产业前景非常广阔，发展空间巨大。</w:t>
      </w:r>
    </w:p>
    <w:p>
      <w:pPr>
        <w:pStyle w:val="BodyText"/>
        <w:spacing w:line="300" w:lineRule="auto" w:before="70"/>
        <w:ind w:left="461" w:right="891" w:firstLine="52"/>
        <w:jc w:val="left"/>
      </w:pPr>
      <w:r>
        <w:rPr>
          <w:rFonts w:ascii="Times New Roman" w:hAnsi="Times New Roman" w:cs="Times New Roman" w:eastAsia="Times New Roman" w:hint="default"/>
        </w:rPr>
        <w:t>7</w:t>
      </w:r>
      <w:r>
        <w:rPr/>
        <w:t>、织造智能制造系统软件开发 </w:t>
      </w:r>
      <w:r>
        <w:rPr>
          <w:spacing w:val="-2"/>
        </w:rPr>
        <w:t>项目目的：当前，国家正在大力推进</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和</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行动计划，公司迎来软件业务做大做强、纺织业务转型</w:t>
      </w:r>
    </w:p>
    <w:p>
      <w:pPr>
        <w:pStyle w:val="BodyText"/>
        <w:spacing w:line="309" w:lineRule="auto" w:before="13"/>
        <w:ind w:right="1129"/>
        <w:jc w:val="both"/>
      </w:pPr>
      <w:r>
        <w:rPr>
          <w:spacing w:val="-2"/>
        </w:rPr>
        <w:t>升级的重大机遇。新一代信息技术的普及和应用，给软件产业带来广阔的发展空间，大力实施网络强国战略、国家大数据战</w:t>
      </w:r>
      <w:r>
        <w:rPr>
          <w:spacing w:val="-66"/>
        </w:rPr>
        <w:t> </w:t>
      </w:r>
      <w:r>
        <w:rPr>
          <w:spacing w:val="-66"/>
        </w:rPr>
      </w:r>
      <w:r>
        <w:rPr/>
        <w:t>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行动计划和</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，以及智慧城市和金融行业</w:t>
      </w:r>
      <w:r>
        <w:rPr>
          <w:rFonts w:ascii="Times New Roman" w:hAnsi="Times New Roman" w:cs="Times New Roman" w:eastAsia="Times New Roman" w:hint="default"/>
        </w:rPr>
        <w:t>IT</w:t>
      </w:r>
      <w:r>
        <w:rPr/>
        <w:t>向云架构转型，电力行业的数字化，政府和企业对</w:t>
      </w:r>
      <w:r>
        <w:rPr>
          <w:spacing w:val="-55"/>
        </w:rPr>
        <w:t> </w:t>
      </w:r>
      <w:r>
        <w:rPr>
          <w:spacing w:val="-55"/>
        </w:rPr>
      </w:r>
      <w:r>
        <w:rPr>
          <w:spacing w:val="-2"/>
        </w:rPr>
        <w:t>云计算服务的需求等，都是重要的战略机会。深化工业化、信息化</w:t>
      </w:r>
      <w:r>
        <w:rPr>
          <w:rFonts w:ascii="Times New Roman" w:hAnsi="Times New Roman" w:cs="Times New Roman" w:eastAsia="Times New Roman" w:hint="default"/>
          <w:spacing w:val="-2"/>
        </w:rPr>
        <w:t>“</w:t>
      </w:r>
      <w:r>
        <w:rPr>
          <w:spacing w:val="-2"/>
        </w:rPr>
        <w:t>两化</w:t>
      </w:r>
      <w:r>
        <w:rPr>
          <w:rFonts w:ascii="Times New Roman" w:hAnsi="Times New Roman" w:cs="Times New Roman" w:eastAsia="Times New Roman" w:hint="default"/>
          <w:spacing w:val="-2"/>
        </w:rPr>
        <w:t>”</w:t>
      </w:r>
      <w:r>
        <w:rPr>
          <w:spacing w:val="-2"/>
        </w:rPr>
        <w:t>融合，积极推进纺织智能制造项目，对现有纺纱织</w:t>
      </w:r>
      <w:r>
        <w:rPr>
          <w:spacing w:val="-43"/>
        </w:rPr>
        <w:t> </w:t>
      </w:r>
      <w:r>
        <w:rPr>
          <w:spacing w:val="-43"/>
        </w:rPr>
      </w:r>
      <w:r>
        <w:rPr>
          <w:spacing w:val="-2"/>
        </w:rPr>
        <w:t>造生产线进行智能化、信息化、自动化改造，实现智能生产、智能物流、智能节能、智能运营、智能管理，提高纺纱织造的</w:t>
      </w:r>
      <w:r>
        <w:rPr>
          <w:spacing w:val="-67"/>
        </w:rPr>
        <w:t> </w:t>
      </w:r>
      <w:r>
        <w:rPr>
          <w:spacing w:val="-67"/>
        </w:rPr>
      </w:r>
      <w:r>
        <w:rPr>
          <w:spacing w:val="-2"/>
        </w:rPr>
        <w:t>高端化、智能化、精细化、绿色化水平。在这一形势下，公司提出了在</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期间建设智能制造项目的计划，以深化纺织</w:t>
      </w:r>
      <w:r>
        <w:rPr>
          <w:spacing w:val="-45"/>
        </w:rPr>
        <w:t> </w:t>
      </w:r>
      <w:r>
        <w:rPr>
          <w:spacing w:val="-45"/>
        </w:rPr>
      </w:r>
      <w:r>
        <w:rPr>
          <w:spacing w:val="-2"/>
        </w:rPr>
        <w:t>业主两化融合，加快向绿色低碳、数字化、智能化和柔性化的方向发展，加大用现代信息技术改造提升纺织主业的力度，推</w:t>
      </w:r>
      <w:r>
        <w:rPr>
          <w:spacing w:val="-66"/>
        </w:rPr>
        <w:t> </w:t>
      </w:r>
      <w:r>
        <w:rPr>
          <w:spacing w:val="-66"/>
        </w:rPr>
      </w:r>
      <w:r>
        <w:rPr/>
        <w:t>进工业化、信息化在纺织主业上的深度融合；在生产上，提高生产线的网络化、数字化、智能化水平，推进生产流程数 控</w:t>
      </w:r>
      <w:r>
        <w:rPr>
          <w:spacing w:val="-88"/>
        </w:rPr>
        <w:t> </w:t>
      </w:r>
      <w:r>
        <w:rPr>
          <w:spacing w:val="-88"/>
        </w:rPr>
      </w:r>
      <w:r>
        <w:rPr/>
        <w:t>化运行、设备和工艺参数在线监控和工艺数据库管理，实现智能化、柔性化生产。</w:t>
      </w:r>
    </w:p>
    <w:p>
      <w:pPr>
        <w:pStyle w:val="BodyText"/>
        <w:spacing w:line="300" w:lineRule="auto" w:before="24"/>
        <w:ind w:right="1131" w:firstLine="380"/>
        <w:jc w:val="both"/>
      </w:pPr>
      <w:r>
        <w:rPr>
          <w:spacing w:val="-2"/>
        </w:rPr>
        <w:t>项目进展：该项目的</w:t>
      </w:r>
      <w:r>
        <w:rPr>
          <w:rFonts w:ascii="Times New Roman" w:hAnsi="Times New Roman" w:cs="Times New Roman" w:eastAsia="Times New Roman" w:hint="default"/>
          <w:spacing w:val="-2"/>
        </w:rPr>
        <w:t>IT</w:t>
      </w:r>
      <w:r>
        <w:rPr>
          <w:spacing w:val="-2"/>
        </w:rPr>
        <w:t>基础设施、数据采集系统、主数据管理系统和行业情报系统已经上线，企业资源</w:t>
      </w:r>
      <w:r>
        <w:rPr>
          <w:rFonts w:ascii="Times New Roman" w:hAnsi="Times New Roman" w:cs="Times New Roman" w:eastAsia="Times New Roman" w:hint="default"/>
          <w:spacing w:val="-2"/>
        </w:rPr>
        <w:t>ERP</w:t>
      </w:r>
      <w:r>
        <w:rPr>
          <w:spacing w:val="-2"/>
        </w:rPr>
        <w:t>系统和生产</w:t>
      </w:r>
      <w:r>
        <w:rPr/>
        <w:t> 制造执行系统部分上线。</w:t>
      </w:r>
    </w:p>
    <w:p>
      <w:pPr>
        <w:pStyle w:val="BodyText"/>
        <w:spacing w:line="300" w:lineRule="auto" w:before="31"/>
        <w:ind w:left="153" w:right="1127" w:firstLine="382"/>
        <w:jc w:val="both"/>
      </w:pPr>
      <w:r>
        <w:rPr/>
        <w:t>拟达到目标：本项目节能环保，预计项目完成后制造周期缩短</w:t>
      </w:r>
      <w:r>
        <w:rPr>
          <w:rFonts w:ascii="Times New Roman" w:hAnsi="Times New Roman" w:cs="Times New Roman" w:eastAsia="Times New Roman" w:hint="default"/>
        </w:rPr>
        <w:t>10%</w:t>
      </w:r>
      <w:r>
        <w:rPr/>
        <w:t>，整体劳动率提升</w:t>
      </w:r>
      <w:r>
        <w:rPr>
          <w:rFonts w:ascii="Times New Roman" w:hAnsi="Times New Roman" w:cs="Times New Roman" w:eastAsia="Times New Roman" w:hint="default"/>
        </w:rPr>
        <w:t>8%</w:t>
      </w:r>
      <w:r>
        <w:rPr/>
        <w:t>，回款时间缩短，节省电能降 低能耗。该项目完成后可达到国内领先水平。</w:t>
      </w:r>
    </w:p>
    <w:p>
      <w:pPr>
        <w:pStyle w:val="BodyText"/>
        <w:spacing w:line="319" w:lineRule="auto" w:before="31"/>
        <w:ind w:left="153" w:right="1031" w:firstLine="334"/>
        <w:jc w:val="left"/>
      </w:pPr>
      <w:r>
        <w:rPr/>
        <w:t>预计对未来发展影响：本项目将深化纺织主业两化融合，加快向绿色低碳、数字化、智能化和柔性化的方向发展，加大 </w:t>
      </w:r>
      <w:r>
        <w:rPr>
          <w:spacing w:val="-4"/>
        </w:rPr>
        <w:t>用现代信息技术改造提升纺织主业的力度，推进工业化、信息化在纺织主业上的深度融合；在生产上，提高生产线的网络化、</w:t>
      </w:r>
      <w:r>
        <w:rPr>
          <w:spacing w:val="-46"/>
        </w:rPr>
        <w:t> </w:t>
      </w:r>
      <w:r>
        <w:rPr>
          <w:spacing w:val="-46"/>
        </w:rPr>
      </w:r>
      <w:r>
        <w:rPr/>
        <w:t>数字化、智能化水平，推进生产流程数控化运行、设备和工艺参数在线监控和工艺数据库管理，实现智能化、柔性化生产。</w:t>
      </w:r>
    </w:p>
    <w:p>
      <w:pPr>
        <w:spacing w:after="0" w:line="319"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91"/>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17"/>
        <w:gridCol w:w="2172"/>
        <w:gridCol w:w="2160"/>
        <w:gridCol w:w="198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142,782,749.98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115,050,155.88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96,734,573.83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52,762,453.99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83.34%</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45.86%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21.89%</w:t>
            </w:r>
          </w:p>
        </w:tc>
      </w:tr>
    </w:tbl>
    <w:p>
      <w:pPr>
        <w:pStyle w:val="BodyText"/>
        <w:spacing w:line="240" w:lineRule="auto" w:before="51"/>
        <w:ind w:right="891"/>
        <w:jc w:val="left"/>
      </w:pPr>
      <w:r>
        <w:rPr/>
        <w:t>研发投入总额占营业收入的比重较上年发生显著变化的原因</w:t>
      </w:r>
    </w:p>
    <w:p>
      <w:pPr>
        <w:pStyle w:val="BodyText"/>
        <w:spacing w:line="360" w:lineRule="auto" w:before="116"/>
        <w:ind w:left="153" w:right="6791"/>
        <w:jc w:val="left"/>
      </w:pPr>
      <w:r>
        <w:rPr/>
        <w:t>□ 适用 √ 不适用 研发投入资本化率大幅变动的原因及其合理性说明</w:t>
      </w:r>
    </w:p>
    <w:p>
      <w:pPr>
        <w:pStyle w:val="BodyText"/>
        <w:spacing w:line="357" w:lineRule="auto" w:before="26"/>
        <w:ind w:left="513" w:right="1231" w:hanging="360"/>
        <w:jc w:val="left"/>
      </w:pPr>
      <w:r>
        <w:rPr/>
        <w:t>√ 适用 □ 不适用 研发投入资本化金额同比增加83.34%，主要系本期公司</w:t>
      </w:r>
      <w:r>
        <w:rPr>
          <w:rFonts w:ascii="Times New Roman" w:hAnsi="Times New Roman" w:cs="Times New Roman" w:eastAsia="Times New Roman" w:hint="default"/>
        </w:rPr>
        <w:t>”</w:t>
      </w:r>
      <w:r>
        <w:rPr/>
        <w:t>矛盾纠纷多元化解一体化网络平台</w:t>
      </w:r>
      <w:r>
        <w:rPr>
          <w:rFonts w:ascii="Times New Roman" w:hAnsi="Times New Roman" w:cs="Times New Roman" w:eastAsia="Times New Roman" w:hint="default"/>
        </w:rPr>
        <w:t>”</w:t>
      </w:r>
      <w:r>
        <w:rPr/>
        <w:t>项目研发投入较大所致。</w:t>
      </w:r>
    </w:p>
    <w:p>
      <w:pPr>
        <w:spacing w:line="240" w:lineRule="auto" w:before="12"/>
        <w:rPr>
          <w:rFonts w:ascii="宋体" w:hAnsi="宋体" w:cs="宋体" w:eastAsia="宋体" w:hint="default"/>
          <w:sz w:val="23"/>
          <w:szCs w:val="23"/>
        </w:rPr>
      </w:pPr>
    </w:p>
    <w:p>
      <w:pPr>
        <w:pStyle w:val="BodyText"/>
        <w:spacing w:line="240" w:lineRule="auto" w:before="44"/>
        <w:ind w:right="8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left="0" w:right="112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0"/>
        <w:gridCol w:w="1648"/>
        <w:gridCol w:w="5192"/>
        <w:gridCol w:w="1260"/>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3"/>
                <w:sz w:val="18"/>
                <w:szCs w:val="18"/>
              </w:rPr>
              <w:t>云中心管理平台是一个统一、自助、自动化部署云（资源）管理平</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41"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云中心管理平台 建设项目</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8"/>
              <w:jc w:val="right"/>
              <w:rPr>
                <w:rFonts w:ascii="Times New Roman" w:hAnsi="Times New Roman" w:cs="Times New Roman" w:eastAsia="Times New Roman" w:hint="default"/>
                <w:sz w:val="18"/>
                <w:szCs w:val="18"/>
              </w:rPr>
            </w:pPr>
            <w:r>
              <w:rPr>
                <w:rFonts w:ascii="Times New Roman"/>
                <w:spacing w:val="-1"/>
                <w:sz w:val="18"/>
              </w:rPr>
              <w:t>1,432,321.51</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0"/>
              <w:jc w:val="both"/>
              <w:rPr>
                <w:rFonts w:ascii="宋体" w:hAnsi="宋体" w:cs="宋体" w:eastAsia="宋体" w:hint="default"/>
                <w:sz w:val="18"/>
                <w:szCs w:val="18"/>
              </w:rPr>
            </w:pPr>
            <w:r>
              <w:rPr>
                <w:rFonts w:ascii="宋体" w:hAnsi="宋体" w:cs="宋体" w:eastAsia="宋体" w:hint="default"/>
                <w:spacing w:val="-2"/>
                <w:sz w:val="18"/>
                <w:szCs w:val="18"/>
              </w:rPr>
              <w:t>台软件，实现了对云计算体系建设的核心体系的支持，形成对于公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司云计算服务业务的全面支撑。同时，针对云数据中心环境下的运</w:t>
            </w:r>
            <w:r>
              <w:rPr>
                <w:rFonts w:ascii="宋体" w:hAnsi="宋体" w:cs="宋体" w:eastAsia="宋体" w:hint="default"/>
                <w:sz w:val="18"/>
                <w:szCs w:val="18"/>
              </w:rPr>
              <w:t> 维和监控体系，该平台实现对涵盖全面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和环境架构下云环境监</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控环境的支持。</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3"/>
                <w:sz w:val="18"/>
                <w:szCs w:val="18"/>
              </w:rPr>
              <w:t>本研发项目研发智慧城市行业解决方案，制定开发、运行、维护和</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2"/>
                <w:sz w:val="18"/>
                <w:szCs w:val="18"/>
              </w:rPr>
              <w:t>安全规范；开发业务协同和数据共享核心服务功能；开发或整合以</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30"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45"/>
              <w:jc w:val="left"/>
              <w:rPr>
                <w:rFonts w:ascii="宋体" w:hAnsi="宋体" w:cs="宋体" w:eastAsia="宋体" w:hint="default"/>
                <w:sz w:val="18"/>
                <w:szCs w:val="18"/>
              </w:rPr>
            </w:pPr>
            <w:r>
              <w:rPr>
                <w:rFonts w:ascii="宋体" w:hAnsi="宋体" w:cs="宋体" w:eastAsia="宋体" w:hint="default"/>
                <w:sz w:val="18"/>
                <w:szCs w:val="18"/>
              </w:rPr>
              <w:t>智慧城市行业解 决方案建设项目</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1,966,832.35</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0"/>
              <w:jc w:val="left"/>
              <w:rPr>
                <w:rFonts w:ascii="宋体" w:hAnsi="宋体" w:cs="宋体" w:eastAsia="宋体" w:hint="default"/>
                <w:sz w:val="18"/>
                <w:szCs w:val="18"/>
              </w:rPr>
            </w:pPr>
            <w:r>
              <w:rPr>
                <w:rFonts w:ascii="宋体" w:hAnsi="宋体" w:cs="宋体" w:eastAsia="宋体" w:hint="default"/>
                <w:spacing w:val="-3"/>
                <w:sz w:val="18"/>
                <w:szCs w:val="18"/>
              </w:rPr>
              <w:t>大数据分析子平台、空间地理信息子平台、市民卡子系统、终端管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理子系统、城市管理视频云服务平台、城市运营服务系统等扩展服</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w:t>
            </w: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2"/>
                <w:sz w:val="18"/>
                <w:szCs w:val="18"/>
              </w:rPr>
              <w:t>务，为智慧教育、智慧政务、智慧医疗和智慧交通等部门主要应用</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领域提供支撑。</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2"/>
                <w:sz w:val="18"/>
                <w:szCs w:val="18"/>
              </w:rPr>
              <w:t>本项目针对于我国电子政务的业务特点和应用需求，建设省、市级</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电子政务公共服</w:t>
            </w: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2"/>
                <w:sz w:val="18"/>
                <w:szCs w:val="18"/>
              </w:rPr>
              <w:t>统一的电子政务公共服务云平台，实现对基础设施的统一建设和管</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6"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务云平台</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部</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before="51"/>
              <w:ind w:right="38"/>
              <w:jc w:val="right"/>
              <w:rPr>
                <w:rFonts w:ascii="Times New Roman" w:hAnsi="Times New Roman" w:cs="Times New Roman" w:eastAsia="Times New Roman" w:hint="default"/>
                <w:sz w:val="18"/>
                <w:szCs w:val="18"/>
              </w:rPr>
            </w:pPr>
            <w:r>
              <w:rPr>
                <w:rFonts w:ascii="Times New Roman"/>
                <w:spacing w:val="-1"/>
                <w:sz w:val="18"/>
              </w:rPr>
              <w:t>2,549,430.75</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3"/>
                <w:sz w:val="18"/>
                <w:szCs w:val="18"/>
              </w:rPr>
              <w:t>理，在此之上提供一个集约管理、动态调整、弹性扩展、按需服务</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13"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32"/>
              <w:jc w:val="left"/>
              <w:rPr>
                <w:rFonts w:ascii="宋体" w:hAnsi="宋体" w:cs="宋体" w:eastAsia="宋体" w:hint="default"/>
                <w:sz w:val="18"/>
                <w:szCs w:val="18"/>
              </w:rPr>
            </w:pPr>
            <w:r>
              <w:rPr>
                <w:rFonts w:ascii="宋体" w:hAnsi="宋体" w:cs="宋体" w:eastAsia="宋体" w:hint="default"/>
                <w:sz w:val="18"/>
                <w:szCs w:val="18"/>
              </w:rPr>
              <w:t>的平台。主要研究开发内容：</w:t>
            </w:r>
            <w:r>
              <w:rPr>
                <w:rFonts w:ascii="Times New Roman" w:hAnsi="Times New Roman" w:cs="Times New Roman" w:eastAsia="Times New Roman" w:hint="default"/>
                <w:sz w:val="18"/>
                <w:szCs w:val="18"/>
              </w:rPr>
              <w:t>1</w:t>
            </w:r>
            <w:r>
              <w:rPr>
                <w:rFonts w:ascii="宋体" w:hAnsi="宋体" w:cs="宋体" w:eastAsia="宋体" w:hint="default"/>
                <w:sz w:val="18"/>
                <w:szCs w:val="18"/>
              </w:rPr>
              <w:t>、管理平台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、应用支撑子平台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统一信息服务子平台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、应用开发子平台。</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智慧城市跨领域</w:t>
            </w: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3"/>
                <w:sz w:val="18"/>
                <w:szCs w:val="18"/>
              </w:rPr>
              <w:t>本项目采用大数据技术，汇集各个领域、各种格式的数据源，进行</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624"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协同的云服务平 台研发及示范应</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9,161.22</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0"/>
              <w:jc w:val="left"/>
              <w:rPr>
                <w:rFonts w:ascii="宋体" w:hAnsi="宋体" w:cs="宋体" w:eastAsia="宋体" w:hint="default"/>
                <w:sz w:val="18"/>
                <w:szCs w:val="18"/>
              </w:rPr>
            </w:pPr>
            <w:r>
              <w:rPr>
                <w:rFonts w:ascii="宋体" w:hAnsi="宋体" w:cs="宋体" w:eastAsia="宋体" w:hint="default"/>
                <w:spacing w:val="-2"/>
                <w:sz w:val="18"/>
                <w:szCs w:val="18"/>
              </w:rPr>
              <w:t>统一的采集、处理、存储、交换和共享。在此基础上，广泛对接城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市各种信息资源，形成城市级信息互联互通和事件联动处理，并在</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7"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其上开发创新型的业务应用。</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704"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1"/>
              <w:ind w:left="22" w:right="145"/>
              <w:jc w:val="left"/>
              <w:rPr>
                <w:rFonts w:ascii="宋体" w:hAnsi="宋体" w:cs="宋体" w:eastAsia="宋体" w:hint="default"/>
                <w:sz w:val="18"/>
                <w:szCs w:val="18"/>
              </w:rPr>
            </w:pPr>
            <w:r>
              <w:rPr>
                <w:rFonts w:ascii="宋体" w:hAnsi="宋体" w:cs="宋体" w:eastAsia="宋体" w:hint="default"/>
                <w:sz w:val="18"/>
                <w:szCs w:val="18"/>
              </w:rPr>
              <w:t>面向科技创新服 务的大数据技术</w:t>
            </w:r>
          </w:p>
        </w:tc>
        <w:tc>
          <w:tcPr>
            <w:tcW w:w="1648"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49,837.08</w:t>
            </w:r>
          </w:p>
        </w:tc>
        <w:tc>
          <w:tcPr>
            <w:tcW w:w="5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1"/>
              <w:ind w:left="-5" w:right="23"/>
              <w:jc w:val="left"/>
              <w:rPr>
                <w:rFonts w:ascii="宋体" w:hAnsi="宋体" w:cs="宋体" w:eastAsia="宋体" w:hint="default"/>
                <w:sz w:val="18"/>
                <w:szCs w:val="18"/>
              </w:rPr>
            </w:pPr>
            <w:r>
              <w:rPr>
                <w:rFonts w:ascii="宋体" w:hAnsi="宋体" w:cs="宋体" w:eastAsia="宋体" w:hint="default"/>
                <w:spacing w:val="-2"/>
                <w:sz w:val="18"/>
                <w:szCs w:val="18"/>
              </w:rPr>
              <w:t>本项目采集互联网文献资源和科技项目申报、评估数据，构建基于</w:t>
            </w:r>
            <w:r>
              <w:rPr>
                <w:rFonts w:ascii="宋体" w:hAnsi="宋体" w:cs="宋体" w:eastAsia="宋体" w:hint="default"/>
                <w:sz w:val="18"/>
                <w:szCs w:val="18"/>
              </w:rPr>
              <w:t> </w:t>
            </w:r>
            <w:r>
              <w:rPr>
                <w:rFonts w:ascii="宋体" w:hAnsi="宋体" w:cs="宋体" w:eastAsia="宋体" w:hint="default"/>
                <w:spacing w:val="-2"/>
                <w:sz w:val="18"/>
                <w:szCs w:val="18"/>
              </w:rPr>
              <w:t>语义的结构化分布式科研资源大数据中心；针对于科技管理领域的</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0"/>
        <w:gridCol w:w="1648"/>
        <w:gridCol w:w="5192"/>
        <w:gridCol w:w="1260"/>
      </w:tblGrid>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研发及示范应用</w:t>
            </w:r>
          </w:p>
        </w:tc>
        <w:tc>
          <w:tcPr>
            <w:tcW w:w="1648" w:type="dxa"/>
            <w:tcBorders>
              <w:top w:val="single" w:sz="4" w:space="0" w:color="000000"/>
              <w:left w:val="single" w:sz="4" w:space="0" w:color="000000"/>
              <w:bottom w:val="single" w:sz="4" w:space="0" w:color="000000"/>
              <w:right w:val="single" w:sz="13" w:space="0" w:color="C7EDCC"/>
            </w:tcBorders>
          </w:tcPr>
          <w:p>
            <w:pPr/>
          </w:p>
        </w:tc>
        <w:tc>
          <w:tcPr>
            <w:tcW w:w="5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5" w:right="20"/>
              <w:jc w:val="both"/>
              <w:rPr>
                <w:rFonts w:ascii="宋体" w:hAnsi="宋体" w:cs="宋体" w:eastAsia="宋体" w:hint="default"/>
                <w:sz w:val="18"/>
                <w:szCs w:val="18"/>
              </w:rPr>
            </w:pPr>
            <w:r>
              <w:rPr>
                <w:rFonts w:ascii="宋体" w:hAnsi="宋体" w:cs="宋体" w:eastAsia="宋体" w:hint="default"/>
                <w:spacing w:val="-2"/>
                <w:sz w:val="18"/>
                <w:szCs w:val="18"/>
              </w:rPr>
              <w:t>业务应用需求，基于大数据的分布式计算、语义分析和文本挖掘技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术，建立基于机器学习的智能科技资源专家系统；协助科技项目的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评审、项目执行的评价、成果绩效评估、科技金融评估等工作。</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本项目主要研发工作和建设任务：</w:t>
            </w:r>
            <w:r>
              <w:rPr>
                <w:rFonts w:ascii="Times New Roman" w:hAnsi="Times New Roman" w:cs="Times New Roman" w:eastAsia="Times New Roman" w:hint="default"/>
                <w:sz w:val="18"/>
                <w:szCs w:val="18"/>
              </w:rPr>
              <w:t>1.</w:t>
            </w:r>
            <w:r>
              <w:rPr>
                <w:rFonts w:ascii="宋体" w:hAnsi="宋体" w:cs="宋体" w:eastAsia="宋体" w:hint="default"/>
                <w:sz w:val="18"/>
                <w:szCs w:val="18"/>
              </w:rPr>
              <w:t>建立政务大数据的整合平台，</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实现大数据的采集、存储、处理、利用等功能；</w:t>
            </w:r>
            <w:r>
              <w:rPr>
                <w:rFonts w:ascii="Times New Roman" w:hAnsi="Times New Roman" w:cs="Times New Roman" w:eastAsia="Times New Roman" w:hint="default"/>
                <w:sz w:val="18"/>
                <w:szCs w:val="18"/>
              </w:rPr>
              <w:t>2.</w:t>
            </w:r>
            <w:r>
              <w:rPr>
                <w:rFonts w:ascii="宋体" w:hAnsi="宋体" w:cs="宋体" w:eastAsia="宋体" w:hint="default"/>
                <w:sz w:val="18"/>
                <w:szCs w:val="18"/>
              </w:rPr>
              <w:t>解决来自主要政</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5"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45"/>
              <w:jc w:val="left"/>
              <w:rPr>
                <w:rFonts w:ascii="宋体" w:hAnsi="宋体" w:cs="宋体" w:eastAsia="宋体" w:hint="default"/>
                <w:sz w:val="18"/>
                <w:szCs w:val="18"/>
              </w:rPr>
            </w:pPr>
            <w:r>
              <w:rPr>
                <w:rFonts w:ascii="宋体" w:hAnsi="宋体" w:cs="宋体" w:eastAsia="宋体" w:hint="default"/>
                <w:sz w:val="18"/>
                <w:szCs w:val="18"/>
              </w:rPr>
              <w:t>玉溪政务大数据 平台研发项目</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1,454,149.07</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
              <w:ind w:left="-5" w:right="22"/>
              <w:jc w:val="left"/>
              <w:rPr>
                <w:rFonts w:ascii="宋体" w:hAnsi="宋体" w:cs="宋体" w:eastAsia="宋体" w:hint="default"/>
                <w:sz w:val="18"/>
                <w:szCs w:val="18"/>
              </w:rPr>
            </w:pPr>
            <w:r>
              <w:rPr>
                <w:rFonts w:ascii="宋体" w:hAnsi="宋体" w:cs="宋体" w:eastAsia="宋体" w:hint="default"/>
                <w:spacing w:val="-3"/>
                <w:sz w:val="18"/>
                <w:szCs w:val="18"/>
              </w:rPr>
              <w:t>府机构的业务数据、传感器、</w:t>
            </w:r>
            <w:r>
              <w:rPr>
                <w:rFonts w:ascii="Times New Roman" w:hAnsi="Times New Roman" w:cs="Times New Roman" w:eastAsia="Times New Roman" w:hint="default"/>
                <w:spacing w:val="-3"/>
                <w:sz w:val="18"/>
                <w:szCs w:val="18"/>
              </w:rPr>
              <w:t>Web2.0</w:t>
            </w:r>
            <w:r>
              <w:rPr>
                <w:rFonts w:ascii="宋体" w:hAnsi="宋体" w:cs="宋体" w:eastAsia="宋体" w:hint="default"/>
                <w:spacing w:val="-3"/>
                <w:sz w:val="18"/>
                <w:szCs w:val="18"/>
              </w:rPr>
              <w:t>、社交网络等的多源异构数据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的采集、存储、处理和定向发布，重点是解决海量数据的处理性能</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w:t>
            </w: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问题；</w:t>
            </w:r>
            <w:r>
              <w:rPr>
                <w:rFonts w:ascii="Times New Roman" w:hAnsi="Times New Roman" w:cs="Times New Roman" w:eastAsia="Times New Roman" w:hint="default"/>
                <w:sz w:val="18"/>
                <w:szCs w:val="18"/>
              </w:rPr>
              <w:t>3.</w:t>
            </w:r>
            <w:r>
              <w:rPr>
                <w:rFonts w:ascii="宋体" w:hAnsi="宋体" w:cs="宋体" w:eastAsia="宋体" w:hint="default"/>
                <w:sz w:val="18"/>
                <w:szCs w:val="18"/>
              </w:rPr>
              <w:t>针对我国城市运行机制，开发支撑</w:t>
            </w:r>
            <w:r>
              <w:rPr>
                <w:rFonts w:ascii="宋体" w:hAnsi="宋体" w:cs="宋体" w:eastAsia="宋体" w:hint="default"/>
                <w:spacing w:val="-2"/>
                <w:sz w:val="18"/>
                <w:szCs w:val="18"/>
              </w:rPr>
              <w:t> </w:t>
            </w:r>
            <w:r>
              <w:rPr>
                <w:rFonts w:ascii="宋体" w:hAnsi="宋体" w:cs="宋体" w:eastAsia="宋体" w:hint="default"/>
                <w:sz w:val="18"/>
                <w:szCs w:val="18"/>
              </w:rPr>
              <w:t>智慧城市的大数据资</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源整合解决方案。</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338"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基于大数据的保 险客户智能数据 服务平台</w:t>
            </w:r>
          </w:p>
        </w:tc>
        <w:tc>
          <w:tcPr>
            <w:tcW w:w="1648"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8"/>
              <w:jc w:val="right"/>
              <w:rPr>
                <w:rFonts w:ascii="Times New Roman" w:hAnsi="Times New Roman" w:cs="Times New Roman" w:eastAsia="Times New Roman" w:hint="default"/>
                <w:sz w:val="18"/>
                <w:szCs w:val="18"/>
              </w:rPr>
            </w:pPr>
            <w:r>
              <w:rPr>
                <w:rFonts w:ascii="Times New Roman"/>
                <w:spacing w:val="-1"/>
                <w:sz w:val="18"/>
              </w:rPr>
              <w:t>1,668,612.73</w:t>
            </w:r>
          </w:p>
        </w:tc>
        <w:tc>
          <w:tcPr>
            <w:tcW w:w="5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5" w:right="20"/>
              <w:jc w:val="both"/>
              <w:rPr>
                <w:rFonts w:ascii="宋体" w:hAnsi="宋体" w:cs="宋体" w:eastAsia="宋体" w:hint="default"/>
                <w:sz w:val="18"/>
                <w:szCs w:val="18"/>
              </w:rPr>
            </w:pPr>
            <w:r>
              <w:rPr>
                <w:rFonts w:ascii="宋体" w:hAnsi="宋体" w:cs="宋体" w:eastAsia="宋体" w:hint="default"/>
                <w:spacing w:val="-2"/>
                <w:sz w:val="18"/>
                <w:szCs w:val="18"/>
              </w:rPr>
              <w:t>基于大数据的保险客户智能数据平台通过对目标客户进行分类，进</w:t>
            </w:r>
            <w:r>
              <w:rPr>
                <w:rFonts w:ascii="宋体" w:hAnsi="宋体" w:cs="宋体" w:eastAsia="宋体" w:hint="default"/>
                <w:sz w:val="18"/>
                <w:szCs w:val="18"/>
              </w:rPr>
              <w:t> </w:t>
            </w:r>
            <w:r>
              <w:rPr>
                <w:rFonts w:ascii="宋体" w:hAnsi="宋体" w:cs="宋体" w:eastAsia="宋体" w:hint="default"/>
                <w:spacing w:val="-2"/>
                <w:sz w:val="18"/>
                <w:szCs w:val="18"/>
              </w:rPr>
              <w:t>行分类客户分析。通过使用不同的客户标签条件组合，了解不同分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类客户的情况，为客户经营决策、市场营销决策提供精准有力的数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据支持和服务。</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685"/>
              <w:jc w:val="right"/>
              <w:rPr>
                <w:rFonts w:ascii="宋体" w:hAnsi="宋体" w:cs="宋体" w:eastAsia="宋体" w:hint="default"/>
                <w:sz w:val="18"/>
                <w:szCs w:val="18"/>
              </w:rPr>
            </w:pPr>
            <w:r>
              <w:rPr>
                <w:rFonts w:ascii="宋体" w:hAnsi="宋体" w:cs="宋体" w:eastAsia="宋体" w:hint="default"/>
                <w:sz w:val="18"/>
                <w:szCs w:val="18"/>
              </w:rPr>
              <w:t>已完成</w:t>
            </w: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北明大数据平台产品及行业解决方案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覆盖对传统结构化数据、网</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北明大数据平台</w:t>
            </w: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6"/>
                <w:sz w:val="18"/>
                <w:szCs w:val="18"/>
              </w:rPr>
              <w:t>络流量数据、日志行为数据、内容文本及新媒体数据的存储、关联</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6"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产品及行业解决</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before="51"/>
              <w:ind w:right="38"/>
              <w:jc w:val="right"/>
              <w:rPr>
                <w:rFonts w:ascii="Times New Roman" w:hAnsi="Times New Roman" w:cs="Times New Roman" w:eastAsia="Times New Roman" w:hint="default"/>
                <w:sz w:val="18"/>
                <w:szCs w:val="18"/>
              </w:rPr>
            </w:pPr>
            <w:r>
              <w:rPr>
                <w:rFonts w:ascii="Times New Roman"/>
                <w:spacing w:val="-1"/>
                <w:sz w:val="18"/>
              </w:rPr>
              <w:t>1,751,834.90</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分析及深度挖掘；提供</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层存储管理、</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层分析计算以及业</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685"/>
              <w:jc w:val="right"/>
              <w:rPr>
                <w:rFonts w:ascii="宋体" w:hAnsi="宋体" w:cs="宋体" w:eastAsia="宋体" w:hint="default"/>
                <w:sz w:val="18"/>
                <w:szCs w:val="18"/>
              </w:rPr>
            </w:pPr>
            <w:r>
              <w:rPr>
                <w:rFonts w:ascii="宋体" w:hAnsi="宋体" w:cs="宋体" w:eastAsia="宋体" w:hint="default"/>
                <w:sz w:val="18"/>
                <w:szCs w:val="18"/>
              </w:rPr>
              <w:t>已完成</w:t>
            </w:r>
          </w:p>
        </w:tc>
      </w:tr>
      <w:tr>
        <w:trPr>
          <w:trHeight w:val="308"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方案研发项目</w:t>
            </w: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2"/>
                <w:sz w:val="18"/>
                <w:szCs w:val="18"/>
              </w:rPr>
              <w:t>务场景深耦合的解决方案。助力用户实现既有业务与大数据技术的</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链接，使分析能力闭环到生产，实现业务增值。</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基于云计算的智</w:t>
            </w: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Times New Roman" w:hAnsi="Times New Roman" w:cs="Times New Roman" w:eastAsia="Times New Roman" w:hint="default"/>
                <w:sz w:val="18"/>
                <w:szCs w:val="18"/>
              </w:rPr>
              <w:t>"</w:t>
            </w:r>
            <w:r>
              <w:rPr>
                <w:rFonts w:ascii="宋体" w:hAnsi="宋体" w:cs="宋体" w:eastAsia="宋体" w:hint="default"/>
                <w:sz w:val="18"/>
                <w:szCs w:val="18"/>
              </w:rPr>
              <w:t>智慧政务</w:t>
            </w:r>
            <w:r>
              <w:rPr>
                <w:rFonts w:ascii="Times New Roman" w:hAnsi="Times New Roman" w:cs="Times New Roman" w:eastAsia="Times New Roman" w:hint="default"/>
                <w:sz w:val="18"/>
                <w:szCs w:val="18"/>
              </w:rPr>
              <w:t>"</w:t>
            </w:r>
            <w:r>
              <w:rPr>
                <w:rFonts w:ascii="宋体" w:hAnsi="宋体" w:cs="宋体" w:eastAsia="宋体" w:hint="default"/>
                <w:sz w:val="18"/>
                <w:szCs w:val="18"/>
              </w:rPr>
              <w:t>协同服务及应用项目通过对政务信息资</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1"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5"/>
              <w:ind w:left="22" w:right="85"/>
              <w:jc w:val="both"/>
              <w:rPr>
                <w:rFonts w:ascii="宋体" w:hAnsi="宋体" w:cs="宋体" w:eastAsia="宋体" w:hint="default"/>
                <w:sz w:val="18"/>
                <w:szCs w:val="18"/>
              </w:rPr>
            </w:pPr>
            <w:r>
              <w:rPr>
                <w:rFonts w:ascii="宋体" w:hAnsi="宋体" w:cs="宋体" w:eastAsia="宋体" w:hint="default"/>
                <w:sz w:val="18"/>
                <w:szCs w:val="18"/>
              </w:rPr>
              <w:t>慧政务协同及应 用</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智慧城市行业 解决方案系列项</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38"/>
              <w:jc w:val="right"/>
              <w:rPr>
                <w:rFonts w:ascii="Times New Roman" w:hAnsi="Times New Roman" w:cs="Times New Roman" w:eastAsia="Times New Roman" w:hint="default"/>
                <w:sz w:val="18"/>
                <w:szCs w:val="18"/>
              </w:rPr>
            </w:pPr>
            <w:r>
              <w:rPr>
                <w:rFonts w:ascii="Times New Roman"/>
                <w:sz w:val="18"/>
              </w:rPr>
              <w:t>229,899.90</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5"/>
              <w:ind w:left="-5" w:right="20"/>
              <w:jc w:val="left"/>
              <w:rPr>
                <w:rFonts w:ascii="宋体" w:hAnsi="宋体" w:cs="宋体" w:eastAsia="宋体" w:hint="default"/>
                <w:sz w:val="18"/>
                <w:szCs w:val="18"/>
              </w:rPr>
            </w:pPr>
            <w:r>
              <w:rPr>
                <w:rFonts w:ascii="宋体" w:hAnsi="宋体" w:cs="宋体" w:eastAsia="宋体" w:hint="default"/>
                <w:sz w:val="18"/>
                <w:szCs w:val="18"/>
              </w:rPr>
              <w:t>源进行统一管理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为电子政务的集中建设和整合应用提供统一的应 </w:t>
            </w:r>
            <w:r>
              <w:rPr>
                <w:rFonts w:ascii="宋体" w:hAnsi="宋体" w:cs="宋体" w:eastAsia="宋体" w:hint="default"/>
                <w:spacing w:val="-3"/>
                <w:sz w:val="18"/>
                <w:szCs w:val="18"/>
              </w:rPr>
              <w:t>用环境，实现跨部门、跨领域数据交换、信息共享、业务协同和对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外服务，提高政府机关的信息资源整体管理和服务水平，进而推动</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服务型政府的建设。</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2"/>
                <w:sz w:val="18"/>
                <w:szCs w:val="18"/>
              </w:rPr>
              <w:t>本项目汇集电子政务共享数据中心的基础数据、城市的物联网信息</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248"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智慧城管大数据 服务平台和示范 应用</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8"/>
              <w:jc w:val="right"/>
              <w:rPr>
                <w:rFonts w:ascii="Times New Roman" w:hAnsi="Times New Roman" w:cs="Times New Roman" w:eastAsia="Times New Roman" w:hint="default"/>
                <w:sz w:val="18"/>
                <w:szCs w:val="18"/>
              </w:rPr>
            </w:pPr>
            <w:r>
              <w:rPr>
                <w:rFonts w:ascii="Times New Roman"/>
                <w:sz w:val="18"/>
              </w:rPr>
              <w:t>506,161.32</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33"/>
              <w:jc w:val="both"/>
              <w:rPr>
                <w:rFonts w:ascii="宋体" w:hAnsi="宋体" w:cs="宋体" w:eastAsia="宋体" w:hint="default"/>
                <w:sz w:val="18"/>
                <w:szCs w:val="18"/>
              </w:rPr>
            </w:pPr>
            <w:r>
              <w:rPr>
                <w:rFonts w:ascii="宋体" w:hAnsi="宋体" w:cs="宋体" w:eastAsia="宋体" w:hint="default"/>
                <w:sz w:val="18"/>
                <w:szCs w:val="18"/>
              </w:rPr>
              <w:t>资源、互联网社交网络信息，通过对数据的加工处理和融合应用， </w:t>
            </w:r>
            <w:r>
              <w:rPr>
                <w:rFonts w:ascii="宋体" w:hAnsi="宋体" w:cs="宋体" w:eastAsia="宋体" w:hint="default"/>
                <w:spacing w:val="-2"/>
                <w:sz w:val="18"/>
                <w:szCs w:val="18"/>
              </w:rPr>
              <w:t>为城市管理的业务联动提供大数据应用环境，并引入社会资源参与</w:t>
            </w:r>
            <w:r>
              <w:rPr>
                <w:rFonts w:ascii="宋体" w:hAnsi="宋体" w:cs="宋体" w:eastAsia="宋体" w:hint="default"/>
                <w:sz w:val="18"/>
                <w:szCs w:val="18"/>
              </w:rPr>
              <w:t> </w:t>
            </w:r>
            <w:r>
              <w:rPr>
                <w:rFonts w:ascii="宋体" w:hAnsi="宋体" w:cs="宋体" w:eastAsia="宋体" w:hint="default"/>
                <w:spacing w:val="-2"/>
                <w:sz w:val="18"/>
                <w:szCs w:val="18"/>
              </w:rPr>
              <w:t>城市管理的运行过程，为政府与社会信息资源的融合创新、政府与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市民之间双向互动提供技术支撑，促进城市管理业务模式的转型升</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级。</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2"/>
                <w:sz w:val="18"/>
                <w:szCs w:val="18"/>
              </w:rPr>
              <w:t>北明城市智脑研发项目针对新型智慧城市建设的需求，制定组件开</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6"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北明城市智脑研 发项目</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
              <w:jc w:val="right"/>
              <w:rPr>
                <w:rFonts w:ascii="Times New Roman" w:hAnsi="Times New Roman" w:cs="Times New Roman" w:eastAsia="Times New Roman" w:hint="default"/>
                <w:sz w:val="18"/>
                <w:szCs w:val="18"/>
              </w:rPr>
            </w:pPr>
            <w:r>
              <w:rPr>
                <w:rFonts w:ascii="Times New Roman"/>
                <w:spacing w:val="-1"/>
                <w:sz w:val="18"/>
              </w:rPr>
              <w:t>3,031,091.05</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0"/>
              <w:jc w:val="both"/>
              <w:rPr>
                <w:rFonts w:ascii="宋体" w:hAnsi="宋体" w:cs="宋体" w:eastAsia="宋体" w:hint="default"/>
                <w:sz w:val="18"/>
                <w:szCs w:val="18"/>
              </w:rPr>
            </w:pPr>
            <w:r>
              <w:rPr>
                <w:rFonts w:ascii="宋体" w:hAnsi="宋体" w:cs="宋体" w:eastAsia="宋体" w:hint="default"/>
                <w:spacing w:val="-2"/>
                <w:sz w:val="18"/>
                <w:szCs w:val="18"/>
              </w:rPr>
              <w:t>发规范、服务接口规范和系统集成规范。本期项目重点在于研发人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工智能平台，开发典型政务业务应用演示系统；为实现人工智能平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台的应用，对统一服务平台和大数据平台进行功能升级改造，最终</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实现智慧城市的业务应用。</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651"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基于神经网络的 海量文档相似性 分析技术及示范 应用</w:t>
            </w:r>
          </w:p>
        </w:tc>
        <w:tc>
          <w:tcPr>
            <w:tcW w:w="1648"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49,773.44</w:t>
            </w:r>
          </w:p>
        </w:tc>
        <w:tc>
          <w:tcPr>
            <w:tcW w:w="5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5" w:right="20"/>
              <w:jc w:val="both"/>
              <w:rPr>
                <w:rFonts w:ascii="宋体" w:hAnsi="宋体" w:cs="宋体" w:eastAsia="宋体" w:hint="default"/>
                <w:sz w:val="18"/>
                <w:szCs w:val="18"/>
              </w:rPr>
            </w:pPr>
            <w:r>
              <w:rPr>
                <w:rFonts w:ascii="宋体" w:hAnsi="宋体" w:cs="宋体" w:eastAsia="宋体" w:hint="default"/>
                <w:spacing w:val="-2"/>
                <w:sz w:val="18"/>
                <w:szCs w:val="18"/>
              </w:rPr>
              <w:t>本项目针对目前文档分析应用的需求，利用机器学习方法改进海量</w:t>
            </w:r>
            <w:r>
              <w:rPr>
                <w:rFonts w:ascii="宋体" w:hAnsi="宋体" w:cs="宋体" w:eastAsia="宋体" w:hint="default"/>
                <w:sz w:val="18"/>
                <w:szCs w:val="18"/>
              </w:rPr>
              <w:t> </w:t>
            </w:r>
            <w:r>
              <w:rPr>
                <w:rFonts w:ascii="宋体" w:hAnsi="宋体" w:cs="宋体" w:eastAsia="宋体" w:hint="default"/>
                <w:spacing w:val="-2"/>
                <w:sz w:val="18"/>
                <w:szCs w:val="18"/>
              </w:rPr>
              <w:t>文档相似性分析的处理效率和准确性，形成的研发成果可以应用在</w:t>
            </w:r>
            <w:r>
              <w:rPr>
                <w:rFonts w:ascii="宋体" w:hAnsi="宋体" w:cs="宋体" w:eastAsia="宋体" w:hint="default"/>
                <w:sz w:val="18"/>
                <w:szCs w:val="18"/>
              </w:rPr>
              <w:t> </w:t>
            </w:r>
            <w:r>
              <w:rPr>
                <w:rFonts w:ascii="宋体" w:hAnsi="宋体" w:cs="宋体" w:eastAsia="宋体" w:hint="default"/>
                <w:spacing w:val="-3"/>
                <w:sz w:val="18"/>
                <w:szCs w:val="18"/>
              </w:rPr>
              <w:t>政府部门、法院、检察院、公安、科研管理、高校等行业领域，实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现从文档中自动提取文档信息、快速进行文档匹配、精准推荐相似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文档等功能。</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1016"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城市管理中的智 能视频分析技术 和示范应用</w:t>
            </w:r>
          </w:p>
        </w:tc>
        <w:tc>
          <w:tcPr>
            <w:tcW w:w="1648"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728,660.35</w:t>
            </w:r>
          </w:p>
        </w:tc>
        <w:tc>
          <w:tcPr>
            <w:tcW w:w="5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1"/>
              <w:ind w:left="-5" w:right="20"/>
              <w:jc w:val="left"/>
              <w:rPr>
                <w:rFonts w:ascii="宋体" w:hAnsi="宋体" w:cs="宋体" w:eastAsia="宋体" w:hint="default"/>
                <w:sz w:val="18"/>
                <w:szCs w:val="18"/>
              </w:rPr>
            </w:pPr>
            <w:r>
              <w:rPr>
                <w:rFonts w:ascii="宋体" w:hAnsi="宋体" w:cs="宋体" w:eastAsia="宋体" w:hint="default"/>
                <w:sz w:val="18"/>
                <w:szCs w:val="18"/>
              </w:rPr>
              <w:t>本课题设计并建立部署统一的智能视频分析云服务与城市管理业 </w:t>
            </w:r>
            <w:r>
              <w:rPr>
                <w:rFonts w:ascii="宋体" w:hAnsi="宋体" w:cs="宋体" w:eastAsia="宋体" w:hint="default"/>
                <w:spacing w:val="-2"/>
                <w:sz w:val="18"/>
                <w:szCs w:val="18"/>
              </w:rPr>
              <w:t>务综合系统，形成算法与系统的集成与迭代优化能力。项目面向城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市管理的典型业务，开展图像视频内容分析关键技术研究，完成针</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按进度实施，已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0"/>
        <w:gridCol w:w="1648"/>
        <w:gridCol w:w="5192"/>
        <w:gridCol w:w="1260"/>
      </w:tblGrid>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48" w:type="dxa"/>
            <w:tcBorders>
              <w:top w:val="single" w:sz="4" w:space="0" w:color="000000"/>
              <w:left w:val="single" w:sz="4" w:space="0" w:color="000000"/>
              <w:bottom w:val="single" w:sz="4" w:space="0" w:color="000000"/>
              <w:right w:val="single" w:sz="13" w:space="0" w:color="C7EDCC"/>
            </w:tcBorders>
          </w:tcPr>
          <w:p>
            <w:pPr/>
          </w:p>
        </w:tc>
        <w:tc>
          <w:tcPr>
            <w:tcW w:w="5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5" w:right="23"/>
              <w:jc w:val="left"/>
              <w:rPr>
                <w:rFonts w:ascii="宋体" w:hAnsi="宋体" w:cs="宋体" w:eastAsia="宋体" w:hint="default"/>
                <w:sz w:val="18"/>
                <w:szCs w:val="18"/>
              </w:rPr>
            </w:pPr>
            <w:r>
              <w:rPr>
                <w:rFonts w:ascii="宋体" w:hAnsi="宋体" w:cs="宋体" w:eastAsia="宋体" w:hint="default"/>
                <w:spacing w:val="-2"/>
                <w:sz w:val="18"/>
                <w:szCs w:val="18"/>
              </w:rPr>
              <w:t>对性的算法设计及优化，提高准确率以使系统能达到城市管理的实</w:t>
            </w:r>
            <w:r>
              <w:rPr>
                <w:rFonts w:ascii="宋体" w:hAnsi="宋体" w:cs="宋体" w:eastAsia="宋体" w:hint="default"/>
                <w:sz w:val="18"/>
                <w:szCs w:val="18"/>
              </w:rPr>
              <w:t> 战性要求。</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保险智慧反欺诈平台项目可实现将可疑性更高的可疑案件推荐给</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6"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保险智慧反欺诈 平台研发项目</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
              <w:jc w:val="right"/>
              <w:rPr>
                <w:rFonts w:ascii="Times New Roman" w:hAnsi="Times New Roman" w:cs="Times New Roman" w:eastAsia="Times New Roman" w:hint="default"/>
                <w:sz w:val="18"/>
                <w:szCs w:val="18"/>
              </w:rPr>
            </w:pPr>
            <w:r>
              <w:rPr>
                <w:rFonts w:ascii="Times New Roman"/>
                <w:spacing w:val="-1"/>
                <w:sz w:val="18"/>
              </w:rPr>
              <w:t>4,900,050.17</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0"/>
              <w:jc w:val="both"/>
              <w:rPr>
                <w:rFonts w:ascii="宋体" w:hAnsi="宋体" w:cs="宋体" w:eastAsia="宋体" w:hint="default"/>
                <w:sz w:val="18"/>
                <w:szCs w:val="18"/>
              </w:rPr>
            </w:pPr>
            <w:r>
              <w:rPr>
                <w:rFonts w:ascii="宋体" w:hAnsi="宋体" w:cs="宋体" w:eastAsia="宋体" w:hint="default"/>
                <w:spacing w:val="-2"/>
                <w:sz w:val="18"/>
                <w:szCs w:val="18"/>
              </w:rPr>
              <w:t>反欺诈业务人员，以提高检出率以及反欺诈业务的工作效率，丰富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展现内容和展现形式，并能对实时的触点数据形成一些分析结果推</w:t>
            </w:r>
            <w:r>
              <w:rPr>
                <w:rFonts w:ascii="宋体" w:hAnsi="宋体" w:cs="宋体" w:eastAsia="宋体" w:hint="default"/>
                <w:sz w:val="18"/>
                <w:szCs w:val="18"/>
              </w:rPr>
              <w:t> </w:t>
            </w:r>
            <w:r>
              <w:rPr>
                <w:rFonts w:ascii="宋体" w:hAnsi="宋体" w:cs="宋体" w:eastAsia="宋体" w:hint="default"/>
                <w:spacing w:val="-2"/>
                <w:sz w:val="18"/>
                <w:szCs w:val="18"/>
              </w:rPr>
              <w:t>送给用户，积极学习先行者的成功案例，并能快速应用上线提升数</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据质量尤其保额的数据质量。</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2"/>
                <w:sz w:val="18"/>
                <w:szCs w:val="18"/>
              </w:rPr>
              <w:t>数据治理平台可以帮助企业绘制数据地图、统一数据标准、标明数</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6"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大数据治理平台 研发项目</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
              <w:jc w:val="right"/>
              <w:rPr>
                <w:rFonts w:ascii="Times New Roman" w:hAnsi="Times New Roman" w:cs="Times New Roman" w:eastAsia="Times New Roman" w:hint="default"/>
                <w:sz w:val="18"/>
                <w:szCs w:val="18"/>
              </w:rPr>
            </w:pPr>
            <w:r>
              <w:rPr>
                <w:rFonts w:ascii="Times New Roman"/>
                <w:spacing w:val="-1"/>
                <w:sz w:val="18"/>
              </w:rPr>
              <w:t>6,769,494.20</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3"/>
              <w:jc w:val="both"/>
              <w:rPr>
                <w:rFonts w:ascii="宋体" w:hAnsi="宋体" w:cs="宋体" w:eastAsia="宋体" w:hint="default"/>
                <w:sz w:val="18"/>
                <w:szCs w:val="18"/>
              </w:rPr>
            </w:pPr>
            <w:r>
              <w:rPr>
                <w:rFonts w:ascii="宋体" w:hAnsi="宋体" w:cs="宋体" w:eastAsia="宋体" w:hint="default"/>
                <w:spacing w:val="-3"/>
                <w:sz w:val="18"/>
                <w:szCs w:val="18"/>
              </w:rPr>
              <w:t>据方位、分析数据关系、规范数据开发、管理数据使用、监控质量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变化以达到数据可查，数据可信，数据可用，数据可控的效果。从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而更加有效的发掘和利用数据资产的价值，实现精准高效的分析和</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6"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决策。</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OD</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平台以</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的模式</w:t>
            </w:r>
            <w:r>
              <w:rPr>
                <w:rFonts w:ascii="宋体" w:hAnsi="宋体" w:cs="宋体" w:eastAsia="宋体" w:hint="default"/>
                <w:spacing w:val="-90"/>
                <w:sz w:val="18"/>
                <w:szCs w:val="18"/>
              </w:rPr>
              <w:t>，</w:t>
            </w:r>
            <w:r>
              <w:rPr>
                <w:rFonts w:ascii="宋体" w:hAnsi="宋体" w:cs="宋体" w:eastAsia="宋体" w:hint="default"/>
                <w:sz w:val="18"/>
                <w:szCs w:val="18"/>
              </w:rPr>
              <w:t>面向社会公众提供社会化解纷服务</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矛盾纠纷多元化</w:t>
            </w: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3"/>
                <w:sz w:val="18"/>
                <w:szCs w:val="18"/>
              </w:rPr>
              <w:t>通过整合政法委、法院、司法、律协、人社、公安、保险及行业协</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解一体化网络平</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before="51"/>
              <w:ind w:right="38"/>
              <w:jc w:val="right"/>
              <w:rPr>
                <w:rFonts w:ascii="Times New Roman" w:hAnsi="Times New Roman" w:cs="Times New Roman" w:eastAsia="Times New Roman" w:hint="default"/>
                <w:sz w:val="18"/>
                <w:szCs w:val="18"/>
              </w:rPr>
            </w:pPr>
            <w:r>
              <w:rPr>
                <w:rFonts w:ascii="Times New Roman"/>
                <w:spacing w:val="-1"/>
                <w:sz w:val="18"/>
              </w:rPr>
              <w:t>67,789,008.91</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2"/>
                <w:sz w:val="18"/>
                <w:szCs w:val="18"/>
              </w:rPr>
              <w:t>会等多个行业的解纷资源和社会化资源，为纠纷当事人提供在线法</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已完成约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p>
        </w:tc>
      </w:tr>
      <w:tr>
        <w:trPr>
          <w:trHeight w:val="312"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648" w:type="dxa"/>
            <w:tcBorders>
              <w:top w:val="nil" w:sz="6" w:space="0" w:color="auto"/>
              <w:left w:val="single" w:sz="4" w:space="0" w:color="000000"/>
              <w:bottom w:val="nil" w:sz="6" w:space="0" w:color="auto"/>
              <w:right w:val="single" w:sz="13" w:space="0" w:color="C7EDCC"/>
            </w:tcBorders>
          </w:tcPr>
          <w:p>
            <w:pP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pacing w:val="-1"/>
                <w:sz w:val="18"/>
                <w:szCs w:val="18"/>
              </w:rPr>
              <w:t>律咨询、在线协商、在线调解、在线仲裁、网上诉讼的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一站式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服</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1"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5"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8" w:type="dxa"/>
            <w:tcBorders>
              <w:top w:val="single" w:sz="4" w:space="0" w:color="000000"/>
              <w:left w:val="single" w:sz="4" w:space="0" w:color="000000"/>
              <w:bottom w:val="nil" w:sz="6" w:space="0" w:color="auto"/>
              <w:right w:val="single" w:sz="13" w:space="0" w:color="C7EDCC"/>
            </w:tcBorders>
          </w:tcPr>
          <w:p>
            <w:pPr/>
          </w:p>
        </w:tc>
        <w:tc>
          <w:tcPr>
            <w:tcW w:w="5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pacing w:val="-2"/>
                <w:sz w:val="18"/>
                <w:szCs w:val="18"/>
              </w:rPr>
              <w:t>该项目主要功能为：核心计算引擎，支持对常见金融产品进行现金</w:t>
            </w: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6" w:hRule="exact"/>
        </w:trPr>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流动性风险管理 系统</w:t>
            </w:r>
          </w:p>
        </w:tc>
        <w:tc>
          <w:tcPr>
            <w:tcW w:w="1648"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8"/>
              <w:jc w:val="right"/>
              <w:rPr>
                <w:rFonts w:ascii="Times New Roman" w:hAnsi="Times New Roman" w:cs="Times New Roman" w:eastAsia="Times New Roman" w:hint="default"/>
                <w:sz w:val="18"/>
                <w:szCs w:val="18"/>
              </w:rPr>
            </w:pPr>
            <w:r>
              <w:rPr>
                <w:rFonts w:ascii="Times New Roman"/>
                <w:spacing w:val="-1"/>
                <w:sz w:val="18"/>
              </w:rPr>
              <w:t>1,848,254.88</w:t>
            </w:r>
          </w:p>
        </w:tc>
        <w:tc>
          <w:tcPr>
            <w:tcW w:w="5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5" w:right="23"/>
              <w:jc w:val="both"/>
              <w:rPr>
                <w:rFonts w:ascii="宋体" w:hAnsi="宋体" w:cs="宋体" w:eastAsia="宋体" w:hint="default"/>
                <w:sz w:val="18"/>
                <w:szCs w:val="18"/>
              </w:rPr>
            </w:pPr>
            <w:r>
              <w:rPr>
                <w:rFonts w:ascii="宋体" w:hAnsi="宋体" w:cs="宋体" w:eastAsia="宋体" w:hint="default"/>
                <w:sz w:val="18"/>
                <w:szCs w:val="18"/>
              </w:rPr>
              <w:t>流测算；客户行为模型，支持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CPR</w:t>
            </w:r>
            <w:r>
              <w:rPr>
                <w:rFonts w:ascii="宋体" w:hAnsi="宋体" w:cs="宋体" w:eastAsia="宋体" w:hint="default"/>
                <w:sz w:val="18"/>
                <w:szCs w:val="18"/>
              </w:rPr>
              <w:t>，</w:t>
            </w:r>
            <w:r>
              <w:rPr>
                <w:rFonts w:ascii="Times New Roman" w:hAnsi="Times New Roman" w:cs="Times New Roman" w:eastAsia="Times New Roman" w:hint="default"/>
                <w:sz w:val="18"/>
                <w:szCs w:val="18"/>
              </w:rPr>
              <w:t>SMM</w:t>
            </w:r>
            <w:r>
              <w:rPr>
                <w:rFonts w:ascii="宋体" w:hAnsi="宋体" w:cs="宋体" w:eastAsia="宋体" w:hint="default"/>
                <w:sz w:val="18"/>
                <w:szCs w:val="18"/>
              </w:rPr>
              <w:t>，</w:t>
            </w:r>
            <w:r>
              <w:rPr>
                <w:rFonts w:ascii="Times New Roman" w:hAnsi="Times New Roman" w:cs="Times New Roman" w:eastAsia="Times New Roman" w:hint="default"/>
                <w:sz w:val="18"/>
                <w:szCs w:val="18"/>
              </w:rPr>
              <w:t>PSA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等提前偿付模型 </w:t>
            </w:r>
            <w:r>
              <w:rPr>
                <w:rFonts w:ascii="宋体" w:hAnsi="宋体" w:cs="宋体" w:eastAsia="宋体" w:hint="default"/>
                <w:spacing w:val="-2"/>
                <w:sz w:val="18"/>
                <w:szCs w:val="18"/>
              </w:rPr>
              <w:t>的参数维护和现金流影响测算；业务假设，支持对各类金融产品进</w:t>
            </w:r>
            <w:r>
              <w:rPr>
                <w:rFonts w:ascii="宋体" w:hAnsi="宋体" w:cs="宋体" w:eastAsia="宋体" w:hint="default"/>
                <w:sz w:val="18"/>
                <w:szCs w:val="18"/>
              </w:rPr>
              <w:t> </w:t>
            </w:r>
            <w:r>
              <w:rPr>
                <w:rFonts w:ascii="宋体" w:hAnsi="宋体" w:cs="宋体" w:eastAsia="宋体" w:hint="default"/>
                <w:spacing w:val="-3"/>
                <w:sz w:val="18"/>
                <w:szCs w:val="18"/>
              </w:rPr>
              <w:t>行业务机构、期限结构、利率结构的新业务假设；市场数据，支持</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7" w:hRule="exact"/>
        </w:trPr>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8" w:type="dxa"/>
            <w:tcBorders>
              <w:top w:val="nil" w:sz="6" w:space="0" w:color="auto"/>
              <w:left w:val="single" w:sz="4" w:space="0" w:color="000000"/>
              <w:bottom w:val="single" w:sz="4" w:space="0" w:color="000000"/>
              <w:right w:val="single" w:sz="13" w:space="0" w:color="C7EDCC"/>
            </w:tcBorders>
          </w:tcPr>
          <w:p>
            <w:pPr/>
          </w:p>
        </w:tc>
        <w:tc>
          <w:tcPr>
            <w:tcW w:w="5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收益率曲线构造，支持多币种；其他系统平台功能。</w:t>
            </w: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2120"/>
        <w:gridCol w:w="2160"/>
        <w:gridCol w:w="2160"/>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11,180,208,815.20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12,378,280,759.71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10,312,498,480.59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11,995,492,565.79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867,710,334.61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382,788,193.92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126.68%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11,391,709.56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44,119,627.09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-74.18%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495,927,168.56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314,653,389.36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57.61%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-484,535,459.00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-270,533,762.27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-79.10%</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4,327,620,687.06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3,497,651,085.99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23.73%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4,175,681,529.21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4,201,461,129.11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151,939,157.85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-703,810,043.12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121.59%</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535,388,818.14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-591,659,409.33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190.49%</w:t>
            </w:r>
          </w:p>
        </w:tc>
      </w:tr>
    </w:tbl>
    <w:p>
      <w:pPr>
        <w:pStyle w:val="BodyText"/>
        <w:spacing w:line="240" w:lineRule="auto" w:before="51"/>
        <w:ind w:right="891"/>
        <w:jc w:val="left"/>
      </w:pPr>
      <w:r>
        <w:rPr/>
        <w:t>相关数据同比发生重大变动的主要影响因素说明</w:t>
      </w:r>
    </w:p>
    <w:p>
      <w:pPr>
        <w:pStyle w:val="BodyText"/>
        <w:spacing w:line="240" w:lineRule="auto" w:before="116"/>
        <w:ind w:left="153"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038" w:firstLine="360"/>
        <w:jc w:val="left"/>
      </w:pPr>
      <w:r>
        <w:rPr>
          <w:spacing w:val="-2"/>
        </w:rPr>
        <w:t>经营活动产生的现金流量净额同比增加</w:t>
      </w:r>
      <w:r>
        <w:rPr>
          <w:rFonts w:ascii="Times New Roman" w:hAnsi="Times New Roman" w:cs="Times New Roman" w:eastAsia="Times New Roman" w:hint="default"/>
          <w:spacing w:val="-2"/>
        </w:rPr>
        <w:t>126.68%</w:t>
      </w:r>
      <w:r>
        <w:rPr>
          <w:spacing w:val="-2"/>
        </w:rPr>
        <w:t>，主要系本期软件业务营业收入增加带动销售回款增加，以及购买商品、</w:t>
      </w:r>
      <w:r>
        <w:rPr/>
        <w:t> 接受劳务支付的现金比上年减少所致。</w:t>
      </w:r>
    </w:p>
    <w:p>
      <w:pPr>
        <w:pStyle w:val="BodyText"/>
        <w:spacing w:line="300" w:lineRule="auto" w:before="31"/>
        <w:ind w:left="513" w:right="891"/>
        <w:jc w:val="left"/>
      </w:pPr>
      <w:r>
        <w:rPr/>
        <w:t>投资活动现金流入小计同比减少</w:t>
      </w:r>
      <w:r>
        <w:rPr>
          <w:rFonts w:ascii="Times New Roman" w:hAnsi="Times New Roman" w:cs="Times New Roman" w:eastAsia="Times New Roman" w:hint="default"/>
        </w:rPr>
        <w:t>74.18%</w:t>
      </w:r>
      <w:r>
        <w:rPr/>
        <w:t>，主要系上年收到处置交行股权款所致。 投资活动现金流出小计同比增加</w:t>
      </w:r>
      <w:r>
        <w:rPr>
          <w:rFonts w:ascii="Times New Roman" w:hAnsi="Times New Roman" w:cs="Times New Roman" w:eastAsia="Times New Roman" w:hint="default"/>
        </w:rPr>
        <w:t>57.61%</w:t>
      </w:r>
      <w:r>
        <w:rPr/>
        <w:t>，本期项目建设支付的现金比上年增加所致。 投资活动产生的现金流量净额同比减少</w:t>
      </w:r>
      <w:r>
        <w:rPr>
          <w:rFonts w:ascii="Times New Roman" w:hAnsi="Times New Roman" w:cs="Times New Roman" w:eastAsia="Times New Roman" w:hint="default"/>
        </w:rPr>
        <w:t>79.10%</w:t>
      </w:r>
      <w:r>
        <w:rPr/>
        <w:t>，主要系本期投资活动现金流出比上年增加所致。 筹资活动产生的现金流量净额同比增加</w:t>
      </w:r>
      <w:r>
        <w:rPr>
          <w:rFonts w:ascii="Times New Roman" w:hAnsi="Times New Roman" w:cs="Times New Roman" w:eastAsia="Times New Roman" w:hint="default"/>
        </w:rPr>
        <w:t>121.59%</w:t>
      </w:r>
      <w:r>
        <w:rPr/>
        <w:t>，主要系本期取得银行借款及融资租赁款比上年增加所致。 </w:t>
      </w:r>
      <w:r>
        <w:rPr>
          <w:spacing w:val="-1"/>
        </w:rPr>
        <w:t>现金及现金等价物净增加额同比增加</w:t>
      </w:r>
      <w:r>
        <w:rPr>
          <w:rFonts w:ascii="Times New Roman" w:hAnsi="Times New Roman" w:cs="Times New Roman" w:eastAsia="Times New Roman" w:hint="default"/>
          <w:spacing w:val="-1"/>
        </w:rPr>
        <w:t>190.49%</w:t>
      </w:r>
      <w:r>
        <w:rPr>
          <w:spacing w:val="-1"/>
        </w:rPr>
        <w:t>，主要系本期取得银行借款增加，及采购货物时使用信用证和商业信用方</w:t>
      </w:r>
    </w:p>
    <w:p>
      <w:pPr>
        <w:pStyle w:val="BodyText"/>
        <w:spacing w:line="360" w:lineRule="auto" w:before="13"/>
        <w:ind w:left="153" w:right="4271"/>
        <w:jc w:val="left"/>
      </w:pPr>
      <w:r>
        <w:rPr/>
        <w:t>式结算增加使应付票据及应付账款增加。 报告期内公司经营活动产生的现金净流量与本年度净利润存在重大差异的原因说明</w:t>
      </w:r>
    </w:p>
    <w:p>
      <w:pPr>
        <w:pStyle w:val="BodyText"/>
        <w:spacing w:line="357" w:lineRule="auto" w:before="27"/>
        <w:ind w:left="444" w:right="891" w:hanging="291"/>
        <w:jc w:val="left"/>
      </w:pPr>
      <w:r>
        <w:rPr/>
        <w:t>√ 适用 □ 不适用 </w:t>
      </w:r>
      <w:r>
        <w:rPr>
          <w:spacing w:val="-2"/>
        </w:rPr>
        <w:t>报告期内公司经营活动产生的现金流量净额为</w:t>
      </w:r>
      <w:r>
        <w:rPr>
          <w:rFonts w:ascii="Times New Roman" w:hAnsi="Times New Roman" w:cs="Times New Roman" w:eastAsia="Times New Roman" w:hint="default"/>
          <w:spacing w:val="-2"/>
        </w:rPr>
        <w:t>86,771</w:t>
      </w:r>
      <w:r>
        <w:rPr>
          <w:spacing w:val="-2"/>
        </w:rPr>
        <w:t>万元，与本年度净利润</w:t>
      </w:r>
      <w:r>
        <w:rPr>
          <w:rFonts w:ascii="Times New Roman" w:hAnsi="Times New Roman" w:cs="Times New Roman" w:eastAsia="Times New Roman" w:hint="default"/>
          <w:spacing w:val="-2"/>
        </w:rPr>
        <w:t>18,294</w:t>
      </w:r>
      <w:r>
        <w:rPr>
          <w:spacing w:val="-2"/>
        </w:rPr>
        <w:t>万元相差</w:t>
      </w:r>
      <w:r>
        <w:rPr>
          <w:rFonts w:ascii="Times New Roman" w:hAnsi="Times New Roman" w:cs="Times New Roman" w:eastAsia="Times New Roman" w:hint="default"/>
          <w:spacing w:val="-2"/>
        </w:rPr>
        <w:t>68,477</w:t>
      </w:r>
      <w:r>
        <w:rPr>
          <w:spacing w:val="-2"/>
        </w:rPr>
        <w:t>万元，差异原因主要为</w:t>
      </w:r>
    </w:p>
    <w:p>
      <w:pPr>
        <w:pStyle w:val="BodyText"/>
        <w:spacing w:line="214" w:lineRule="exact"/>
        <w:ind w:left="153" w:right="891"/>
        <w:jc w:val="left"/>
      </w:pPr>
      <w:r>
        <w:rPr/>
        <w:t>本年度收到</w:t>
      </w:r>
      <w:r>
        <w:rPr>
          <w:rFonts w:ascii="Times New Roman" w:hAnsi="Times New Roman" w:cs="Times New Roman" w:eastAsia="Times New Roman" w:hint="default"/>
        </w:rPr>
        <w:t>3</w:t>
      </w:r>
      <w:r>
        <w:rPr/>
        <w:t>亿元政府搬迁补助款，采购货物时使用信用证和商业信用方式结算增加使应付票据及应付账款增加，及销售库</w:t>
      </w:r>
    </w:p>
    <w:p>
      <w:pPr>
        <w:pStyle w:val="BodyText"/>
        <w:spacing w:line="240" w:lineRule="auto" w:before="63"/>
        <w:ind w:left="153" w:right="891"/>
        <w:jc w:val="left"/>
      </w:pPr>
      <w:r>
        <w:rPr/>
        <w:t>存商品、处置固定资产转销前期计提的减值准备使递延所得税资产减少。</w:t>
      </w:r>
    </w:p>
    <w:p>
      <w:pPr>
        <w:spacing w:line="240" w:lineRule="auto" w:before="2"/>
        <w:rPr>
          <w:rFonts w:ascii="宋体" w:hAnsi="宋体" w:cs="宋体" w:eastAsia="宋体" w:hint="default"/>
          <w:sz w:val="25"/>
          <w:szCs w:val="25"/>
        </w:rPr>
      </w:pPr>
    </w:p>
    <w:p>
      <w:pPr>
        <w:pStyle w:val="Heading2"/>
        <w:spacing w:line="240" w:lineRule="auto"/>
        <w:ind w:right="891"/>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357"/>
        <w:gridCol w:w="1440"/>
        <w:gridCol w:w="3600"/>
        <w:gridCol w:w="161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2,026,262.66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0" w:right="0"/>
              <w:jc w:val="left"/>
              <w:rPr>
                <w:rFonts w:ascii="Times New Roman" w:hAnsi="Times New Roman" w:cs="Times New Roman" w:eastAsia="Times New Roman" w:hint="default"/>
                <w:sz w:val="18"/>
                <w:szCs w:val="18"/>
              </w:rPr>
            </w:pPr>
            <w:r>
              <w:rPr>
                <w:rFonts w:ascii="Times New Roman"/>
                <w:sz w:val="18"/>
              </w:rPr>
              <w:t>0.74%</w:t>
            </w:r>
          </w:p>
        </w:tc>
        <w:tc>
          <w:tcPr>
            <w:tcW w:w="3600" w:type="dxa"/>
            <w:vMerge w:val="restart"/>
            <w:tcBorders>
              <w:top w:val="single" w:sz="4" w:space="0" w:color="000000"/>
              <w:left w:val="single" w:sz="4" w:space="0" w:color="000000"/>
              <w:right w:val="single" w:sz="4" w:space="0" w:color="000000"/>
            </w:tcBorders>
            <w:shd w:val="clear" w:color="auto" w:fill="C7EDCC"/>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河北银行分红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2,035,068.80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元；按权益法核算 的长期股权投资收益</w:t>
            </w:r>
            <w:r>
              <w:rPr>
                <w:rFonts w:ascii="Times New Roman" w:hAnsi="Times New Roman" w:cs="Times New Roman" w:eastAsia="Times New Roman" w:hint="default"/>
                <w:sz w:val="18"/>
                <w:szCs w:val="18"/>
              </w:rPr>
              <w:t>-8,806.14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57"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shd w:val="clear" w:color="auto" w:fill="C7EDCC"/>
          </w:tcPr>
          <w:p>
            <w:pPr/>
          </w:p>
        </w:tc>
        <w:tc>
          <w:tcPr>
            <w:tcW w:w="1614" w:type="dxa"/>
            <w:vMerge/>
            <w:tcBorders>
              <w:left w:val="single" w:sz="4" w:space="0" w:color="000000"/>
              <w:right w:val="single" w:sz="4" w:space="0" w:color="000000"/>
            </w:tcBorders>
            <w:shd w:val="clear" w:color="auto" w:fill="C7EDCC"/>
          </w:tcPr>
          <w:p>
            <w:pPr/>
          </w:p>
        </w:tc>
      </w:tr>
      <w:tr>
        <w:trPr>
          <w:trHeight w:val="162"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shd w:val="clear" w:color="auto" w:fill="C7EDCC"/>
          </w:tcPr>
          <w:p>
            <w:pPr/>
          </w:p>
        </w:tc>
        <w:tc>
          <w:tcPr>
            <w:tcW w:w="1614"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88,288,040.74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32.06%</w:t>
            </w:r>
          </w:p>
        </w:tc>
        <w:tc>
          <w:tcPr>
            <w:tcW w:w="36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坏账损失 </w:t>
            </w:r>
            <w:r>
              <w:rPr>
                <w:rFonts w:ascii="Times New Roman" w:hAnsi="Times New Roman" w:cs="Times New Roman" w:eastAsia="Times New Roman" w:hint="default"/>
                <w:sz w:val="18"/>
                <w:szCs w:val="18"/>
              </w:rPr>
              <w:t>51,742,878.61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元；存货跌价损失</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6,047,653.16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元；可供出售金融资产减值损失</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197,245.07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固定资产减值损失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8,801,14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元；商誉减值损失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21,499,120.15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57"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shd w:val="clear" w:color="auto" w:fill="C7EDCC"/>
          </w:tcPr>
          <w:p>
            <w:pPr/>
          </w:p>
        </w:tc>
        <w:tc>
          <w:tcPr>
            <w:tcW w:w="1614" w:type="dxa"/>
            <w:vMerge/>
            <w:tcBorders>
              <w:left w:val="single" w:sz="4" w:space="0" w:color="000000"/>
              <w:right w:val="single" w:sz="4" w:space="0" w:color="000000"/>
            </w:tcBorders>
            <w:shd w:val="clear" w:color="auto" w:fill="C7EDCC"/>
          </w:tcPr>
          <w:p>
            <w:pPr/>
          </w:p>
        </w:tc>
      </w:tr>
      <w:tr>
        <w:trPr>
          <w:trHeight w:val="474"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shd w:val="clear" w:color="auto" w:fill="C7EDCC"/>
          </w:tcPr>
          <w:p>
            <w:pPr/>
          </w:p>
        </w:tc>
        <w:tc>
          <w:tcPr>
            <w:tcW w:w="1614"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63,628,938.32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23.10%</w:t>
            </w:r>
          </w:p>
        </w:tc>
        <w:tc>
          <w:tcPr>
            <w:tcW w:w="3600"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其中不必向索科维尔原股东支付的股权转让 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61,005,100.00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57"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shd w:val="clear" w:color="auto" w:fill="C7EDCC"/>
          </w:tcPr>
          <w:p>
            <w:pPr/>
          </w:p>
        </w:tc>
        <w:tc>
          <w:tcPr>
            <w:tcW w:w="1614" w:type="dxa"/>
            <w:vMerge/>
            <w:tcBorders>
              <w:left w:val="single" w:sz="4" w:space="0" w:color="000000"/>
              <w:right w:val="single" w:sz="4" w:space="0" w:color="000000"/>
            </w:tcBorders>
            <w:shd w:val="clear" w:color="auto" w:fill="C7EDCC"/>
          </w:tcPr>
          <w:p>
            <w:pPr/>
          </w:p>
        </w:tc>
      </w:tr>
      <w:tr>
        <w:trPr>
          <w:trHeight w:val="162"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shd w:val="clear" w:color="auto" w:fill="C7EDCC"/>
          </w:tcPr>
          <w:p>
            <w:pPr/>
          </w:p>
        </w:tc>
        <w:tc>
          <w:tcPr>
            <w:tcW w:w="1614"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4,108,267.70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0" w:right="0"/>
              <w:jc w:val="left"/>
              <w:rPr>
                <w:rFonts w:ascii="Times New Roman" w:hAnsi="Times New Roman" w:cs="Times New Roman" w:eastAsia="Times New Roman" w:hint="default"/>
                <w:sz w:val="18"/>
                <w:szCs w:val="18"/>
              </w:rPr>
            </w:pPr>
            <w:r>
              <w:rPr>
                <w:rFonts w:ascii="Times New Roman"/>
                <w:sz w:val="18"/>
              </w:rPr>
              <w:t>1.49%</w:t>
            </w:r>
          </w:p>
        </w:tc>
        <w:tc>
          <w:tcPr>
            <w:tcW w:w="36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其中罚款支出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1,893,720.69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元；赔偿支出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1,242,800.00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61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57" w:type="dxa"/>
            <w:vMerge/>
            <w:tcBorders>
              <w:left w:val="single" w:sz="10" w:space="0" w:color="D3D3D3"/>
              <w:right w:val="single" w:sz="4" w:space="0" w:color="000000"/>
            </w:tcBorders>
          </w:tcPr>
          <w:p>
            <w:pPr/>
          </w:p>
        </w:tc>
        <w:tc>
          <w:tcPr>
            <w:tcW w:w="1440"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shd w:val="clear" w:color="auto" w:fill="C7EDCC"/>
          </w:tcPr>
          <w:p>
            <w:pPr/>
          </w:p>
        </w:tc>
        <w:tc>
          <w:tcPr>
            <w:tcW w:w="1614" w:type="dxa"/>
            <w:vMerge/>
            <w:tcBorders>
              <w:left w:val="single" w:sz="4" w:space="0" w:color="000000"/>
              <w:right w:val="single" w:sz="4" w:space="0" w:color="000000"/>
            </w:tcBorders>
            <w:shd w:val="clear" w:color="auto" w:fill="C7EDCC"/>
          </w:tcPr>
          <w:p>
            <w:pPr/>
          </w:p>
        </w:tc>
      </w:tr>
      <w:tr>
        <w:trPr>
          <w:trHeight w:val="162"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shd w:val="clear" w:color="auto" w:fill="C7EDCC"/>
          </w:tcPr>
          <w:p>
            <w:pPr/>
          </w:p>
        </w:tc>
        <w:tc>
          <w:tcPr>
            <w:tcW w:w="1614" w:type="dxa"/>
            <w:vMerge/>
            <w:tcBorders>
              <w:left w:val="single" w:sz="4" w:space="0" w:color="000000"/>
              <w:bottom w:val="single" w:sz="4" w:space="0" w:color="000000"/>
              <w:right w:val="single" w:sz="4" w:space="0" w:color="000000"/>
            </w:tcBorders>
            <w:shd w:val="clear" w:color="auto" w:fill="C7EDCC"/>
          </w:tcPr>
          <w:p>
            <w:pPr/>
          </w:p>
        </w:tc>
      </w:tr>
      <w:tr>
        <w:trPr>
          <w:trHeight w:val="3833" w:hRule="exact"/>
        </w:trPr>
        <w:tc>
          <w:tcPr>
            <w:tcW w:w="1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298,754,692.00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108.48%</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其中政府搬迁补助</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279,429,993.06</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元，根据石家庄市人民政府常务会议纪要</w:t>
            </w:r>
          </w:p>
          <w:p>
            <w:pPr>
              <w:pStyle w:val="TableParagraph"/>
              <w:spacing w:line="307"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常山股份公司原土地及地</w:t>
            </w:r>
            <w:r>
              <w:rPr>
                <w:rFonts w:ascii="宋体" w:hAnsi="宋体" w:cs="宋体" w:eastAsia="宋体" w:hint="default"/>
                <w:sz w:val="18"/>
                <w:szCs w:val="18"/>
              </w:rPr>
              <w:t> </w:t>
            </w:r>
            <w:r>
              <w:rPr>
                <w:rFonts w:ascii="宋体" w:hAnsi="宋体" w:cs="宋体" w:eastAsia="宋体" w:hint="default"/>
                <w:spacing w:val="-3"/>
                <w:sz w:val="18"/>
                <w:szCs w:val="18"/>
              </w:rPr>
              <w:t>上附着物拍卖所得，减除各项税费及应缴部分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和基准地价上浮</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补偿部分的剩余，作为土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地净收益，</w:t>
            </w:r>
            <w:r>
              <w:rPr>
                <w:rFonts w:ascii="Times New Roman" w:hAnsi="Times New Roman" w:cs="Times New Roman" w:eastAsia="Times New Roman" w:hint="default"/>
                <w:sz w:val="18"/>
                <w:szCs w:val="18"/>
              </w:rPr>
              <w:t>90%</w:t>
            </w:r>
            <w:r>
              <w:rPr>
                <w:rFonts w:ascii="宋体" w:hAnsi="宋体" w:cs="宋体" w:eastAsia="宋体" w:hint="default"/>
                <w:sz w:val="18"/>
                <w:szCs w:val="18"/>
              </w:rPr>
              <w:t>返还企业用于企业项目建设</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的规定，石家庄市人民政府按土地预期净收益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给予企业政策资金支持，用于搬迁项目</w:t>
            </w:r>
            <w:r>
              <w:rPr>
                <w:rFonts w:ascii="宋体" w:hAnsi="宋体" w:cs="宋体" w:eastAsia="宋体" w:hint="default"/>
                <w:sz w:val="18"/>
                <w:szCs w:val="18"/>
              </w:rPr>
              <w:t> </w:t>
            </w:r>
            <w:r>
              <w:rPr>
                <w:rFonts w:ascii="宋体" w:hAnsi="宋体" w:cs="宋体" w:eastAsia="宋体" w:hint="default"/>
                <w:spacing w:val="-3"/>
                <w:sz w:val="18"/>
                <w:szCs w:val="18"/>
              </w:rPr>
              <w:t>建设及弥补搬迁过程的各项损失。报告期公司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收到由石家庄市财政局拨付的部分搬迁支持 资金 </w:t>
            </w:r>
            <w:r>
              <w:rPr>
                <w:rFonts w:ascii="Times New Roman" w:hAnsi="Times New Roman" w:cs="Times New Roman" w:eastAsia="Times New Roman" w:hint="default"/>
                <w:sz w:val="18"/>
                <w:szCs w:val="18"/>
              </w:rPr>
              <w:t>3 </w:t>
            </w:r>
            <w:r>
              <w:rPr>
                <w:rFonts w:ascii="宋体" w:hAnsi="宋体" w:cs="宋体" w:eastAsia="宋体" w:hint="default"/>
                <w:sz w:val="18"/>
                <w:szCs w:val="18"/>
              </w:rPr>
              <w:t>亿元，公司共确认政府搬迁补助</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2.79 </w:t>
            </w:r>
            <w:r>
              <w:rPr>
                <w:rFonts w:ascii="宋体" w:hAnsi="宋体" w:cs="宋体" w:eastAsia="宋体" w:hint="default"/>
                <w:sz w:val="18"/>
                <w:szCs w:val="18"/>
              </w:rPr>
              <w:t>亿元全部计入了其他收益。</w:t>
            </w:r>
          </w:p>
        </w:tc>
        <w:tc>
          <w:tcPr>
            <w:tcW w:w="16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91"/>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49"/>
        <w:gridCol w:w="1440"/>
        <w:gridCol w:w="720"/>
        <w:gridCol w:w="1440"/>
        <w:gridCol w:w="720"/>
        <w:gridCol w:w="798"/>
        <w:gridCol w:w="3162"/>
      </w:tblGrid>
      <w:tr>
        <w:trPr>
          <w:trHeight w:val="382"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1" w:hRule="exact"/>
        </w:trPr>
        <w:tc>
          <w:tcPr>
            <w:tcW w:w="1249" w:type="dxa"/>
            <w:vMerge w:val="restart"/>
            <w:tcBorders>
              <w:top w:val="nil" w:sz="6" w:space="0" w:color="auto"/>
              <w:left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84"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03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249"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316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249"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
        </w:tc>
        <w:tc>
          <w:tcPr>
            <w:tcW w:w="316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49"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3162"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2,017,099,006.92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14.26%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1,522,019,165.99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11.90%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2.36%</w:t>
            </w:r>
          </w:p>
        </w:tc>
        <w:tc>
          <w:tcPr>
            <w:tcW w:w="316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主要系本期取得银行借款增加，及采购 货物时使用信用证和商业信用方式结算 增加。</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3162" w:type="dxa"/>
            <w:vMerge/>
            <w:tcBorders>
              <w:left w:val="single" w:sz="4" w:space="0" w:color="000000"/>
              <w:right w:val="single" w:sz="4" w:space="0" w:color="000000"/>
            </w:tcBorders>
            <w:shd w:val="clear" w:color="auto" w:fill="C7EDCC"/>
          </w:tcPr>
          <w:p>
            <w:pPr/>
          </w:p>
        </w:tc>
      </w:tr>
      <w:tr>
        <w:trPr>
          <w:trHeight w:val="317"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3162"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2,519,619,666.19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2,323,068,424.34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-0.34%</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2,204,253,459.52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1,902,596,426.33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0.71%</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26,501,436.31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18,505,505.64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2,227,945,503.31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15.75%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1,620,033,422.94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12.67%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3.08%</w:t>
            </w:r>
          </w:p>
        </w:tc>
        <w:tc>
          <w:tcPr>
            <w:tcW w:w="316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主要系本期高档服装及绿色环保服装面 料等项目完工转入固定资产所致。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3162" w:type="dxa"/>
            <w:vMerge/>
            <w:tcBorders>
              <w:left w:val="single" w:sz="4" w:space="0" w:color="000000"/>
              <w:right w:val="single" w:sz="4" w:space="0" w:color="000000"/>
            </w:tcBorders>
            <w:shd w:val="clear" w:color="auto" w:fill="C7EDCC"/>
          </w:tcPr>
          <w:p>
            <w:pPr/>
          </w:p>
        </w:tc>
      </w:tr>
      <w:tr>
        <w:trPr>
          <w:trHeight w:val="161"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3162"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583,884,575.89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4.13%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750,119,869.85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5.87%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-1.74%</w:t>
            </w:r>
          </w:p>
        </w:tc>
        <w:tc>
          <w:tcPr>
            <w:tcW w:w="316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主要系本期在建工程完工转入固定资产 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3162" w:type="dxa"/>
            <w:vMerge/>
            <w:tcBorders>
              <w:left w:val="single" w:sz="4" w:space="0" w:color="000000"/>
              <w:right w:val="single" w:sz="4" w:space="0" w:color="000000"/>
            </w:tcBorders>
            <w:shd w:val="clear" w:color="auto" w:fill="C7EDCC"/>
          </w:tcPr>
          <w:p>
            <w:pPr/>
          </w:p>
        </w:tc>
      </w:tr>
      <w:tr>
        <w:trPr>
          <w:trHeight w:val="161"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3162"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2,861,501,687.06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2,421,139,085.99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1,175,000,000.00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8.31%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668,002,727.00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5.22%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3.09%</w:t>
            </w:r>
          </w:p>
        </w:tc>
        <w:tc>
          <w:tcPr>
            <w:tcW w:w="316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主要系部分长期借款转入一年内到期的 非流动负债所致。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40"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3162" w:type="dxa"/>
            <w:vMerge/>
            <w:tcBorders>
              <w:left w:val="single" w:sz="4" w:space="0" w:color="000000"/>
              <w:right w:val="single" w:sz="4" w:space="0" w:color="000000"/>
            </w:tcBorders>
            <w:shd w:val="clear" w:color="auto" w:fill="C7EDCC"/>
          </w:tcPr>
          <w:p>
            <w:pPr/>
          </w:p>
        </w:tc>
      </w:tr>
      <w:tr>
        <w:trPr>
          <w:trHeight w:val="16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3162"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55"/>
        <w:gridCol w:w="2728"/>
        <w:gridCol w:w="5035"/>
      </w:tblGrid>
      <w:tr>
        <w:trPr>
          <w:trHeight w:val="347" w:hRule="exact"/>
        </w:trPr>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223,155,659.76</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票据、农民工工资等保证金</w:t>
            </w:r>
          </w:p>
        </w:tc>
      </w:tr>
      <w:tr>
        <w:trPr>
          <w:trHeight w:val="427" w:hRule="exact"/>
        </w:trPr>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1"/>
              <w:jc w:val="right"/>
              <w:rPr>
                <w:rFonts w:ascii="Times New Roman" w:hAnsi="Times New Roman" w:cs="Times New Roman" w:eastAsia="Times New Roman" w:hint="default"/>
                <w:sz w:val="18"/>
                <w:szCs w:val="18"/>
              </w:rPr>
            </w:pPr>
            <w:r>
              <w:rPr>
                <w:rFonts w:ascii="Times New Roman"/>
                <w:spacing w:val="-1"/>
                <w:sz w:val="18"/>
              </w:rPr>
              <w:t>223,155,659.76</w:t>
            </w:r>
          </w:p>
        </w:tc>
        <w:tc>
          <w:tcPr>
            <w:tcW w:w="503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891"/>
        <w:jc w:val="left"/>
        <w:rPr>
          <w:b w:val="0"/>
          <w:bCs w:val="0"/>
        </w:rPr>
      </w:pP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7"/>
        <w:gridCol w:w="3190"/>
        <w:gridCol w:w="3191"/>
      </w:tblGrid>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8" w:right="0"/>
              <w:jc w:val="left"/>
              <w:rPr>
                <w:rFonts w:ascii="Times New Roman" w:hAnsi="Times New Roman" w:cs="Times New Roman" w:eastAsia="Times New Roman" w:hint="default"/>
                <w:sz w:val="18"/>
                <w:szCs w:val="18"/>
              </w:rPr>
            </w:pPr>
            <w:r>
              <w:rPr>
                <w:rFonts w:ascii="Times New Roman"/>
                <w:sz w:val="18"/>
              </w:rPr>
              <w:t>438,320,168.56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249,591,389.36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57" w:hRule="exact"/>
        </w:trPr>
        <w:tc>
          <w:tcPr>
            <w:tcW w:w="732"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截至报</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未达到</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91"/>
              <w:jc w:val="right"/>
              <w:rPr>
                <w:rFonts w:ascii="宋体" w:hAnsi="宋体" w:cs="宋体" w:eastAsia="宋体" w:hint="default"/>
                <w:sz w:val="18"/>
                <w:szCs w:val="18"/>
              </w:rPr>
            </w:pPr>
            <w:r>
              <w:rPr>
                <w:rFonts w:ascii="宋体" w:hAnsi="宋体" w:cs="宋体" w:eastAsia="宋体" w:hint="default"/>
                <w:sz w:val="18"/>
                <w:szCs w:val="18"/>
              </w:rPr>
              <w:t>的原因</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整体改</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shd w:val="clear" w:color="auto" w:fill="C7EDCC"/>
          </w:tcPr>
          <w:p>
            <w:pPr/>
          </w:p>
        </w:tc>
      </w:tr>
      <w:tr>
        <w:trPr>
          <w:trHeight w:val="311"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造优化</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shd w:val="clear" w:color="auto" w:fill="C7EDCC"/>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升级项</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shd w:val="clear" w:color="auto" w:fill="C7EDCC"/>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25,209,9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1,681,43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9,786.17</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100.00%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5,895,00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9.31</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shd w:val="clear" w:color="auto" w:fill="C7EDCC"/>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保服装</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shd w:val="clear" w:color="auto" w:fill="C7EDCC"/>
          </w:tcPr>
          <w:p>
            <w:pPr/>
          </w:p>
        </w:tc>
      </w:tr>
      <w:tr>
        <w:trPr>
          <w:trHeight w:val="31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面料项</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shd w:val="clear" w:color="auto" w:fill="C7EDCC"/>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5"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6"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hyperlink r:id="rId16">
              <w:r>
                <w:rPr>
                  <w:rFonts w:ascii="Times New Roman"/>
                  <w:sz w:val="18"/>
                </w:rPr>
                <w:t>http://w</w:t>
              </w:r>
            </w:hyperlink>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ww.cninf</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《石家</w:t>
            </w:r>
          </w:p>
        </w:tc>
      </w:tr>
      <w:tr>
        <w:trPr>
          <w:trHeight w:val="1249"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57"/>
              <w:jc w:val="both"/>
              <w:rPr>
                <w:rFonts w:ascii="宋体" w:hAnsi="宋体" w:cs="宋体" w:eastAsia="宋体" w:hint="default"/>
                <w:sz w:val="18"/>
                <w:szCs w:val="18"/>
              </w:rPr>
            </w:pPr>
            <w:r>
              <w:rPr>
                <w:rFonts w:ascii="宋体" w:hAnsi="宋体" w:cs="宋体" w:eastAsia="宋体" w:hint="default"/>
                <w:sz w:val="18"/>
                <w:szCs w:val="18"/>
              </w:rPr>
              <w:t>常山云 数据中 心一期 工程</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 w:right="0"/>
              <w:jc w:val="center"/>
              <w:rPr>
                <w:rFonts w:ascii="Times New Roman" w:hAnsi="Times New Roman" w:cs="Times New Roman" w:eastAsia="Times New Roman" w:hint="default"/>
                <w:sz w:val="18"/>
                <w:szCs w:val="18"/>
              </w:rPr>
            </w:pPr>
            <w:r>
              <w:rPr>
                <w:rFonts w:ascii="Times New Roman"/>
                <w:sz w:val="18"/>
              </w:rPr>
              <w:t>497,813,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775.29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center"/>
              <w:rPr>
                <w:rFonts w:ascii="Times New Roman" w:hAnsi="Times New Roman" w:cs="Times New Roman" w:eastAsia="Times New Roman" w:hint="default"/>
                <w:sz w:val="18"/>
                <w:szCs w:val="18"/>
              </w:rPr>
            </w:pPr>
            <w:r>
              <w:rPr>
                <w:rFonts w:ascii="Times New Roman"/>
                <w:sz w:val="18"/>
              </w:rPr>
              <w:t>568,447,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045.59</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center"/>
              <w:rPr>
                <w:rFonts w:ascii="Times New Roman" w:hAnsi="Times New Roman" w:cs="Times New Roman" w:eastAsia="Times New Roman" w:hint="default"/>
                <w:sz w:val="18"/>
                <w:szCs w:val="18"/>
              </w:rPr>
            </w:pPr>
            <w:r>
              <w:rPr>
                <w:rFonts w:ascii="Times New Roman"/>
                <w:sz w:val="18"/>
              </w:rPr>
              <w:t>135,580,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庄常山 纺织股 份有限 公司关</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于投资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云数据</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中心项</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目一期</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工程的</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523,023,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721.10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2,249,88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6,831.76</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135,580,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5,895,00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9.31</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2"/>
        <w:rPr>
          <w:rFonts w:ascii="宋体" w:hAnsi="宋体" w:cs="宋体" w:eastAsia="宋体" w:hint="default"/>
          <w:sz w:val="21"/>
          <w:szCs w:val="21"/>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898" w:hRule="exact"/>
        </w:trPr>
        <w:tc>
          <w:tcPr>
            <w:tcW w:w="8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91" w:right="0"/>
              <w:jc w:val="center"/>
              <w:rPr>
                <w:rFonts w:ascii="Times New Roman" w:hAnsi="Times New Roman" w:cs="Times New Roman" w:eastAsia="Times New Roman" w:hint="default"/>
                <w:sz w:val="18"/>
                <w:szCs w:val="18"/>
              </w:rPr>
            </w:pPr>
            <w:r>
              <w:rPr>
                <w:rFonts w:ascii="Times New Roman"/>
                <w:sz w:val="18"/>
              </w:rPr>
              <w:t>16,820.68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91" w:right="0"/>
              <w:jc w:val="center"/>
              <w:rPr>
                <w:rFonts w:ascii="Times New Roman" w:hAnsi="Times New Roman" w:cs="Times New Roman" w:eastAsia="Times New Roman" w:hint="default"/>
                <w:sz w:val="18"/>
                <w:szCs w:val="18"/>
              </w:rPr>
            </w:pPr>
            <w:r>
              <w:rPr>
                <w:rFonts w:ascii="Times New Roman"/>
                <w:sz w:val="18"/>
              </w:rPr>
              <w:t>53,827.05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32.56%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1,042.95</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金留存在 募集资金 </w:t>
            </w:r>
            <w:r>
              <w:rPr>
                <w:rFonts w:ascii="宋体" w:hAnsi="宋体" w:cs="宋体" w:eastAsia="宋体" w:hint="default"/>
                <w:spacing w:val="-18"/>
                <w:sz w:val="18"/>
                <w:szCs w:val="18"/>
              </w:rPr>
              <w:t>账户，不存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在用于非 募集资金 项目的情 况。</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16,820.68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53,827.05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1,042.95</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53,827.05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万元，其中补充运营资金、偿还银行借款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30,029.49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元，本次交易的相关税费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1,135.26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万元，云中心管理平台建设项目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2,913.05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万元，智慧城市行业解决方案建设项目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2,928.57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常山云数据中心项目一期工程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16,820.68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1,042.95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万元在募集资金账户留存。</w:t>
            </w:r>
          </w:p>
        </w:tc>
      </w:tr>
    </w:tbl>
    <w:p>
      <w:pPr>
        <w:spacing w:line="240" w:lineRule="auto" w:before="3"/>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after="0" w:line="240" w:lineRule="auto"/>
        <w:jc w:val="right"/>
        <w:sectPr>
          <w:pgSz w:w="11910" w:h="16840"/>
          <w:pgMar w:header="747" w:footer="941" w:top="1060" w:bottom="1140" w:left="980" w:right="0"/>
        </w:sectPr>
      </w:pPr>
    </w:p>
    <w:p>
      <w:pPr>
        <w:spacing w:line="240" w:lineRule="auto" w:before="0"/>
        <w:rPr>
          <w:rFonts w:ascii="宋体" w:hAnsi="宋体" w:cs="宋体" w:eastAsia="宋体" w:hint="default"/>
          <w:sz w:val="20"/>
          <w:szCs w:val="20"/>
        </w:rPr>
      </w:pPr>
      <w:r>
        <w:rPr/>
        <w:pict>
          <v:shape style="position:absolute;margin-left:56.459999pt;margin-top:71.999962pt;width:479.1pt;height:685.7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2"/>
                    <w:gridCol w:w="783"/>
                    <w:gridCol w:w="784"/>
                    <w:gridCol w:w="780"/>
                    <w:gridCol w:w="779"/>
                    <w:gridCol w:w="780"/>
                    <w:gridCol w:w="780"/>
                    <w:gridCol w:w="780"/>
                    <w:gridCol w:w="780"/>
                    <w:gridCol w:w="780"/>
                    <w:gridCol w:w="780"/>
                  </w:tblGrid>
                  <w:tr>
                    <w:trPr>
                      <w:trHeight w:val="1338"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0"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31"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云中心管理平台建 设项目</w:t>
                        </w:r>
                      </w:p>
                    </w:tc>
                    <w:tc>
                      <w:tcPr>
                        <w:tcW w:w="78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2,913.05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智慧城市行业解决 方案建设项目</w:t>
                        </w:r>
                      </w:p>
                    </w:tc>
                    <w:tc>
                      <w:tcPr>
                        <w:tcW w:w="78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9,290.15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2,928.57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补充运营资金、偿还</w:t>
                        </w:r>
                        <w:r>
                          <w:rPr>
                            <w:rFonts w:ascii="宋体" w:hAnsi="宋体" w:cs="宋体" w:eastAsia="宋体" w:hint="default"/>
                            <w:sz w:val="18"/>
                            <w:szCs w:val="18"/>
                          </w:rPr>
                          <w:t> 银行借款</w:t>
                        </w:r>
                      </w:p>
                    </w:tc>
                    <w:tc>
                      <w:tcPr>
                        <w:tcW w:w="78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本次交易的相关税 费</w:t>
                        </w:r>
                      </w:p>
                    </w:tc>
                    <w:tc>
                      <w:tcPr>
                        <w:tcW w:w="78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1,135.26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常山云数据中心项 目一期工程</w:t>
                        </w:r>
                      </w:p>
                    </w:tc>
                    <w:tc>
                      <w:tcPr>
                        <w:tcW w:w="78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17,863.63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16,820.68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16,820.68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94.16%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16,820.68</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53,827.05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10" w:space="0" w:color="C7EDCC"/>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16,820.68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53,827.05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6"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1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6" w:type="dxa"/>
                        <w:gridSpan w:val="10"/>
                        <w:vMerge w:val="restart"/>
                        <w:tcBorders>
                          <w:top w:val="single" w:sz="4" w:space="0" w:color="000000"/>
                          <w:left w:val="single" w:sz="10" w:space="0" w:color="D3D3D3"/>
                          <w:right w:val="single" w:sz="4" w:space="0" w:color="000000"/>
                        </w:tcBorders>
                        <w:shd w:val="clear" w:color="auto" w:fill="C7EDCC"/>
                      </w:tcPr>
                      <w:p>
                        <w:pPr>
                          <w:pStyle w:val="TableParagraph"/>
                          <w:spacing w:line="31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由于原募集资金投资项目编制于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月，随着项目研发的推进，影响募投项目的主要因素发 </w:t>
                        </w:r>
                        <w:r>
                          <w:rPr>
                            <w:rFonts w:ascii="宋体" w:hAnsi="宋体" w:cs="宋体" w:eastAsia="宋体" w:hint="default"/>
                            <w:spacing w:val="-3"/>
                            <w:sz w:val="18"/>
                            <w:szCs w:val="18"/>
                          </w:rPr>
                          <w:t>生了较大的变化。募投项目实施期间，云计算服务领域和智慧城市建设领域市场发生了较大的变化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商业模式不断演变、创新技术不断涌现，需要对原有的经营模式和产品形态进行优化和改善，不断 拓宽和增强营收的渠道，提高产品的市场生命力。</w:t>
                        </w:r>
                      </w:p>
                    </w:tc>
                  </w:tr>
                  <w:tr>
                    <w:trPr>
                      <w:trHeight w:val="704" w:hRule="exact"/>
                    </w:trPr>
                    <w:tc>
                      <w:tcPr>
                        <w:tcW w:w="1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6" w:type="dxa"/>
                        <w:gridSpan w:val="10"/>
                        <w:vMerge/>
                        <w:tcBorders>
                          <w:left w:val="single" w:sz="10" w:space="0" w:color="D3D3D3"/>
                          <w:right w:val="single" w:sz="4" w:space="0" w:color="000000"/>
                        </w:tcBorders>
                        <w:shd w:val="clear" w:color="auto" w:fill="C7EDCC"/>
                      </w:tcPr>
                      <w:p>
                        <w:pPr/>
                      </w:p>
                    </w:tc>
                  </w:tr>
                  <w:tr>
                    <w:trPr>
                      <w:trHeight w:val="317" w:hRule="exact"/>
                    </w:trPr>
                    <w:tc>
                      <w:tcPr>
                        <w:tcW w:w="1762" w:type="dxa"/>
                        <w:tcBorders>
                          <w:top w:val="nil" w:sz="6" w:space="0" w:color="auto"/>
                          <w:left w:val="single" w:sz="4" w:space="0" w:color="000000"/>
                          <w:bottom w:val="single" w:sz="4" w:space="0" w:color="FFFFFF"/>
                          <w:right w:val="single" w:sz="4" w:space="0" w:color="000000"/>
                        </w:tcBorders>
                        <w:shd w:val="clear" w:color="auto" w:fill="D3D3D3"/>
                      </w:tcPr>
                      <w:p>
                        <w:pPr/>
                      </w:p>
                    </w:tc>
                    <w:tc>
                      <w:tcPr>
                        <w:tcW w:w="7806" w:type="dxa"/>
                        <w:gridSpan w:val="10"/>
                        <w:vMerge/>
                        <w:tcBorders>
                          <w:left w:val="single" w:sz="10" w:space="0" w:color="D3D3D3"/>
                          <w:bottom w:val="single" w:sz="4" w:space="0" w:color="FFFFFF"/>
                          <w:right w:val="single" w:sz="4" w:space="0" w:color="000000"/>
                        </w:tcBorders>
                        <w:shd w:val="clear" w:color="auto" w:fill="C7EDCC"/>
                      </w:tcPr>
                      <w:p>
                        <w:pPr/>
                      </w:p>
                    </w:tc>
                  </w:tr>
                  <w:tr>
                    <w:trPr>
                      <w:trHeight w:val="402" w:hRule="exact"/>
                    </w:trPr>
                    <w:tc>
                      <w:tcPr>
                        <w:tcW w:w="1762"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5"/>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6" w:type="dxa"/>
                        <w:gridSpan w:val="10"/>
                        <w:tcBorders>
                          <w:top w:val="single" w:sz="4" w:space="0" w:color="FFFFFF"/>
                          <w:left w:val="single" w:sz="10"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2" w:type="dxa"/>
                        <w:vMerge/>
                        <w:tcBorders>
                          <w:left w:val="single" w:sz="4" w:space="0" w:color="000000"/>
                          <w:bottom w:val="single" w:sz="4" w:space="0" w:color="000000"/>
                          <w:right w:val="single" w:sz="4" w:space="0" w:color="000000"/>
                        </w:tcBorders>
                        <w:shd w:val="clear" w:color="auto" w:fill="D3D3D3"/>
                      </w:tcPr>
                      <w:p>
                        <w:pPr/>
                      </w:p>
                    </w:tc>
                    <w:tc>
                      <w:tcPr>
                        <w:tcW w:w="7806" w:type="dxa"/>
                        <w:gridSpan w:val="10"/>
                        <w:tcBorders>
                          <w:top w:val="single" w:sz="4" w:space="0" w:color="000000"/>
                          <w:left w:val="single" w:sz="10" w:space="0" w:color="D3D3D3"/>
                          <w:bottom w:val="single" w:sz="4" w:space="0" w:color="000000"/>
                          <w:right w:val="single" w:sz="4" w:space="0" w:color="000000"/>
                        </w:tcBorders>
                      </w:tcPr>
                      <w:p>
                        <w:pPr/>
                      </w:p>
                    </w:tc>
                  </w:tr>
                  <w:tr>
                    <w:trPr>
                      <w:trHeight w:val="246" w:hRule="exact"/>
                    </w:trPr>
                    <w:tc>
                      <w:tcPr>
                        <w:tcW w:w="1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6" w:type="dxa"/>
                        <w:gridSpan w:val="10"/>
                        <w:vMerge w:val="restart"/>
                        <w:tcBorders>
                          <w:top w:val="single" w:sz="4" w:space="0" w:color="000000"/>
                          <w:left w:val="single" w:sz="10" w:space="0" w:color="D3D3D3"/>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 w:hRule="exact"/>
                    </w:trPr>
                    <w:tc>
                      <w:tcPr>
                        <w:tcW w:w="176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6" w:type="dxa"/>
                        <w:gridSpan w:val="10"/>
                        <w:vMerge/>
                        <w:tcBorders>
                          <w:left w:val="single" w:sz="10" w:space="0" w:color="D3D3D3"/>
                          <w:bottom w:val="single" w:sz="4" w:space="0" w:color="000000"/>
                          <w:right w:val="single" w:sz="4" w:space="0" w:color="000000"/>
                        </w:tcBorders>
                      </w:tcPr>
                      <w:p>
                        <w:pPr/>
                      </w:p>
                    </w:tc>
                  </w:tr>
                  <w:tr>
                    <w:trPr>
                      <w:trHeight w:val="402" w:hRule="exact"/>
                    </w:trPr>
                    <w:tc>
                      <w:tcPr>
                        <w:tcW w:w="1762" w:type="dxa"/>
                        <w:vMerge/>
                        <w:tcBorders>
                          <w:left w:val="single" w:sz="4" w:space="0" w:color="000000"/>
                          <w:right w:val="single" w:sz="4" w:space="0" w:color="000000"/>
                        </w:tcBorders>
                        <w:shd w:val="clear" w:color="auto" w:fill="D3D3D3"/>
                      </w:tcPr>
                      <w:p>
                        <w:pPr/>
                      </w:p>
                    </w:tc>
                    <w:tc>
                      <w:tcPr>
                        <w:tcW w:w="7806"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47" w:hRule="exact"/>
                    </w:trPr>
                    <w:tc>
                      <w:tcPr>
                        <w:tcW w:w="1762" w:type="dxa"/>
                        <w:vMerge/>
                        <w:tcBorders>
                          <w:left w:val="single" w:sz="4" w:space="0" w:color="000000"/>
                          <w:bottom w:val="nil" w:sz="6" w:space="0" w:color="auto"/>
                          <w:right w:val="single" w:sz="4" w:space="0" w:color="000000"/>
                        </w:tcBorders>
                        <w:shd w:val="clear" w:color="auto" w:fill="D3D3D3"/>
                      </w:tcPr>
                      <w:p>
                        <w:pPr/>
                      </w:p>
                    </w:tc>
                    <w:tc>
                      <w:tcPr>
                        <w:tcW w:w="7806" w:type="dxa"/>
                        <w:gridSpan w:val="10"/>
                        <w:vMerge w:val="restart"/>
                        <w:tcBorders>
                          <w:top w:val="single" w:sz="4" w:space="0" w:color="000000"/>
                          <w:left w:val="single" w:sz="10" w:space="0" w:color="D3D3D3"/>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原项目实施主体由北明软件变更为本公司，在石家庄市正定县高新技术产业园常山工业园内实施。</w:t>
                        </w:r>
                      </w:p>
                    </w:tc>
                  </w:tr>
                  <w:tr>
                    <w:trPr>
                      <w:trHeight w:val="255" w:hRule="exact"/>
                    </w:trPr>
                    <w:tc>
                      <w:tcPr>
                        <w:tcW w:w="1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6" w:type="dxa"/>
                        <w:gridSpan w:val="10"/>
                        <w:vMerge/>
                        <w:tcBorders>
                          <w:left w:val="single" w:sz="10" w:space="0" w:color="D3D3D3"/>
                          <w:bottom w:val="single" w:sz="4" w:space="0" w:color="000000"/>
                          <w:right w:val="single" w:sz="4" w:space="0" w:color="000000"/>
                        </w:tcBorders>
                      </w:tcPr>
                      <w:p>
                        <w:pPr/>
                      </w:p>
                    </w:tc>
                  </w:tr>
                  <w:tr>
                    <w:trPr>
                      <w:trHeight w:val="246" w:hRule="exact"/>
                    </w:trPr>
                    <w:tc>
                      <w:tcPr>
                        <w:tcW w:w="1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6" w:type="dxa"/>
                        <w:gridSpan w:val="10"/>
                        <w:vMerge w:val="restart"/>
                        <w:tcBorders>
                          <w:top w:val="single" w:sz="4" w:space="0" w:color="000000"/>
                          <w:left w:val="single" w:sz="10" w:space="0" w:color="D3D3D3"/>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 w:hRule="exact"/>
                    </w:trPr>
                    <w:tc>
                      <w:tcPr>
                        <w:tcW w:w="176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6" w:type="dxa"/>
                        <w:gridSpan w:val="10"/>
                        <w:vMerge/>
                        <w:tcBorders>
                          <w:left w:val="single" w:sz="10" w:space="0" w:color="D3D3D3"/>
                          <w:bottom w:val="single" w:sz="4" w:space="0" w:color="000000"/>
                          <w:right w:val="single" w:sz="4" w:space="0" w:color="000000"/>
                        </w:tcBorders>
                      </w:tcPr>
                      <w:p>
                        <w:pPr/>
                      </w:p>
                    </w:tc>
                  </w:tr>
                  <w:tr>
                    <w:trPr>
                      <w:trHeight w:val="402" w:hRule="exact"/>
                    </w:trPr>
                    <w:tc>
                      <w:tcPr>
                        <w:tcW w:w="1762" w:type="dxa"/>
                        <w:vMerge/>
                        <w:tcBorders>
                          <w:left w:val="single" w:sz="4" w:space="0" w:color="000000"/>
                          <w:right w:val="single" w:sz="4" w:space="0" w:color="000000"/>
                        </w:tcBorders>
                        <w:shd w:val="clear" w:color="auto" w:fill="D3D3D3"/>
                      </w:tcPr>
                      <w:p>
                        <w:pPr/>
                      </w:p>
                    </w:tc>
                    <w:tc>
                      <w:tcPr>
                        <w:tcW w:w="7806" w:type="dxa"/>
                        <w:gridSpan w:val="10"/>
                        <w:tcBorders>
                          <w:top w:val="single" w:sz="4" w:space="0" w:color="000000"/>
                          <w:left w:val="single" w:sz="10" w:space="0" w:color="D3D3D3"/>
                          <w:bottom w:val="single" w:sz="4" w:space="0" w:color="000000"/>
                          <w:right w:val="single" w:sz="4" w:space="0" w:color="000000"/>
                        </w:tcBorders>
                      </w:tcPr>
                      <w:p>
                        <w:pPr/>
                      </w:p>
                    </w:tc>
                  </w:tr>
                  <w:tr>
                    <w:trPr>
                      <w:trHeight w:val="147" w:hRule="exact"/>
                    </w:trPr>
                    <w:tc>
                      <w:tcPr>
                        <w:tcW w:w="1762" w:type="dxa"/>
                        <w:vMerge/>
                        <w:tcBorders>
                          <w:left w:val="single" w:sz="4" w:space="0" w:color="000000"/>
                          <w:bottom w:val="nil" w:sz="6" w:space="0" w:color="auto"/>
                          <w:right w:val="single" w:sz="4" w:space="0" w:color="000000"/>
                        </w:tcBorders>
                        <w:shd w:val="clear" w:color="auto" w:fill="D3D3D3"/>
                      </w:tcPr>
                      <w:p>
                        <w:pPr/>
                      </w:p>
                    </w:tc>
                    <w:tc>
                      <w:tcPr>
                        <w:tcW w:w="7806" w:type="dxa"/>
                        <w:gridSpan w:val="10"/>
                        <w:vMerge w:val="restart"/>
                        <w:tcBorders>
                          <w:top w:val="single" w:sz="4" w:space="0" w:color="000000"/>
                          <w:left w:val="single" w:sz="10" w:space="0" w:color="D3D3D3"/>
                          <w:right w:val="single" w:sz="4" w:space="0" w:color="000000"/>
                        </w:tcBorders>
                      </w:tcPr>
                      <w:p>
                        <w:pPr/>
                      </w:p>
                    </w:tc>
                  </w:tr>
                  <w:tr>
                    <w:trPr>
                      <w:trHeight w:val="255" w:hRule="exact"/>
                    </w:trPr>
                    <w:tc>
                      <w:tcPr>
                        <w:tcW w:w="1762" w:type="dxa"/>
                        <w:tcBorders>
                          <w:top w:val="nil" w:sz="6" w:space="0" w:color="auto"/>
                          <w:left w:val="single" w:sz="4" w:space="0" w:color="000000"/>
                          <w:bottom w:val="single" w:sz="4" w:space="0" w:color="FFFFFF"/>
                          <w:right w:val="single" w:sz="4" w:space="0" w:color="000000"/>
                        </w:tcBorders>
                        <w:shd w:val="clear" w:color="auto" w:fill="D3D3D3"/>
                      </w:tcPr>
                      <w:p>
                        <w:pPr/>
                      </w:p>
                    </w:tc>
                    <w:tc>
                      <w:tcPr>
                        <w:tcW w:w="7806" w:type="dxa"/>
                        <w:gridSpan w:val="10"/>
                        <w:vMerge/>
                        <w:tcBorders>
                          <w:left w:val="single" w:sz="10" w:space="0" w:color="D3D3D3"/>
                          <w:bottom w:val="single" w:sz="4" w:space="0" w:color="FFFFFF"/>
                          <w:right w:val="single" w:sz="4" w:space="0" w:color="000000"/>
                        </w:tcBorders>
                      </w:tcPr>
                      <w:p>
                        <w:pPr/>
                      </w:p>
                    </w:tc>
                  </w:tr>
                  <w:tr>
                    <w:trPr>
                      <w:trHeight w:val="402" w:hRule="exact"/>
                    </w:trPr>
                    <w:tc>
                      <w:tcPr>
                        <w:tcW w:w="1762"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0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6" w:type="dxa"/>
                        <w:gridSpan w:val="10"/>
                        <w:tcBorders>
                          <w:top w:val="single" w:sz="4" w:space="0" w:color="FFFFFF"/>
                          <w:left w:val="single" w:sz="10"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2" w:type="dxa"/>
                        <w:vMerge/>
                        <w:tcBorders>
                          <w:left w:val="single" w:sz="4" w:space="0" w:color="000000"/>
                          <w:bottom w:val="single" w:sz="4" w:space="0" w:color="000000"/>
                          <w:right w:val="single" w:sz="4" w:space="0" w:color="000000"/>
                        </w:tcBorders>
                        <w:shd w:val="clear" w:color="auto" w:fill="D3D3D3"/>
                      </w:tcPr>
                      <w:p>
                        <w:pPr/>
                      </w:p>
                    </w:tc>
                    <w:tc>
                      <w:tcPr>
                        <w:tcW w:w="7806" w:type="dxa"/>
                        <w:gridSpan w:val="10"/>
                        <w:tcBorders>
                          <w:top w:val="single" w:sz="4" w:space="0" w:color="000000"/>
                          <w:left w:val="single" w:sz="10" w:space="0" w:color="D3D3D3"/>
                          <w:bottom w:val="single" w:sz="4" w:space="0" w:color="000000"/>
                          <w:right w:val="single" w:sz="4" w:space="0" w:color="000000"/>
                        </w:tcBorders>
                      </w:tcPr>
                      <w:p>
                        <w:pPr/>
                      </w:p>
                    </w:tc>
                  </w:tr>
                  <w:tr>
                    <w:trPr>
                      <w:trHeight w:val="402" w:hRule="exact"/>
                    </w:trPr>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806"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139"/>
        <w:jc w:val="right"/>
      </w:pPr>
      <w:r>
        <w:rPr/>
        <w:t>，</w:t>
      </w:r>
    </w:p>
    <w:p>
      <w:pPr>
        <w:spacing w:after="0" w:line="240" w:lineRule="auto"/>
        <w:jc w:val="righ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tcBorders>
              <w:top w:val="single" w:sz="4" w:space="0" w:color="FFFFFF"/>
              <w:left w:val="single" w:sz="4" w:space="0" w:color="000000"/>
              <w:bottom w:val="nil" w:sz="6" w:space="0" w:color="auto"/>
              <w:right w:val="single" w:sz="4" w:space="0" w:color="000000"/>
            </w:tcBorders>
            <w:shd w:val="clear" w:color="auto" w:fill="D3D3D3"/>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日，尚未使用的募集资金留存在募集资金账户，不存在用于非募集资金项目的</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详见五、募集资金使用及披露中存在的问题</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46"/>
        <w:gridCol w:w="968"/>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10"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left="11"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3"/>
              <w:jc w:val="both"/>
              <w:rPr>
                <w:rFonts w:ascii="宋体" w:hAnsi="宋体" w:cs="宋体" w:eastAsia="宋体" w:hint="default"/>
                <w:sz w:val="18"/>
                <w:szCs w:val="18"/>
              </w:rPr>
            </w:pPr>
            <w:r>
              <w:rPr>
                <w:rFonts w:ascii="宋体" w:hAnsi="宋体" w:cs="宋体" w:eastAsia="宋体" w:hint="default"/>
                <w:sz w:val="18"/>
                <w:szCs w:val="18"/>
              </w:rPr>
              <w:t>常山云数据 中心项目一 期工程</w:t>
            </w:r>
          </w:p>
        </w:tc>
        <w:tc>
          <w:tcPr>
            <w:tcW w:w="9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云中心管理 平台建设项 目、智慧城 市行业解决 方案建设项 目、本次交 易的相关税 费</w:t>
            </w:r>
          </w:p>
        </w:tc>
        <w:tc>
          <w:tcPr>
            <w:tcW w:w="96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17,863.63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16,820.68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16,820.68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94.16%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17,863.63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16,820.68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16,820.68</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4"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21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3" w:right="20"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鉴于本次募集资金的募投项目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云中心管理平台项目和智慧城市行业解决方案建 </w:t>
            </w:r>
            <w:r>
              <w:rPr>
                <w:rFonts w:ascii="宋体" w:hAnsi="宋体" w:cs="宋体" w:eastAsia="宋体" w:hint="default"/>
                <w:spacing w:val="-1"/>
                <w:sz w:val="18"/>
                <w:szCs w:val="18"/>
              </w:rPr>
              <w:t>设项目实施期间，云计算服务领域和智慧城市建设领域市场发生了较大的变化，商业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模式不断演变、创新技术不断涌现，需要对原有的经营模式和产品形态进行优化和改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善，不断拓宽和增强营收的渠道，提高产品的市场生命力。结合公司自身发展战略及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实际经营需要，经公司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日召开的董事会六届十四次会议及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9" w:lineRule="auto" w:before="1"/>
              <w:ind w:left="23"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年第一次临时股东大会同意，公司决定变更云中心管理平台建设 </w:t>
            </w:r>
            <w:r>
              <w:rPr>
                <w:rFonts w:ascii="宋体" w:hAnsi="宋体" w:cs="宋体" w:eastAsia="宋体" w:hint="default"/>
                <w:spacing w:val="-1"/>
                <w:sz w:val="18"/>
                <w:szCs w:val="18"/>
              </w:rPr>
              <w:t>项目、智慧城市行业解决方案建设项目、本次交易的相关税费尚未使用部分募集资金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的用途，将上述剩余资金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17,863.63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万元及产生的存款利息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17,931.19 </w:t>
            </w:r>
            <w:r>
              <w:rPr>
                <w:rFonts w:ascii="宋体" w:hAnsi="宋体" w:cs="宋体" w:eastAsia="宋体" w:hint="default"/>
                <w:spacing w:val="-1"/>
                <w:sz w:val="18"/>
                <w:szCs w:val="18"/>
              </w:rPr>
              <w:t>万元全部投入常山云数据中心项目一期工程，原项目实施主体由北明软件变更为本公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91"/>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91"/>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41" w:top="1060" w:bottom="114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4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208"/>
        <w:gridCol w:w="1034"/>
        <w:gridCol w:w="1045"/>
        <w:gridCol w:w="1045"/>
        <w:gridCol w:w="1045"/>
        <w:gridCol w:w="1045"/>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shd w:val="clear" w:color="auto" w:fill="C7EDCC"/>
          </w:tcPr>
          <w:p>
            <w:pPr/>
          </w:p>
        </w:tc>
        <w:tc>
          <w:tcPr>
            <w:tcW w:w="1208" w:type="dxa"/>
            <w:tcBorders>
              <w:top w:val="single" w:sz="4" w:space="0" w:color="000000"/>
              <w:left w:val="single" w:sz="4" w:space="0" w:color="000000"/>
              <w:bottom w:val="nil" w:sz="6" w:space="0" w:color="auto"/>
              <w:right w:val="single" w:sz="13" w:space="0" w:color="C7EDCC"/>
            </w:tcBorders>
          </w:tcPr>
          <w:p>
            <w:pPr/>
          </w:p>
        </w:tc>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办</w:t>
            </w:r>
          </w:p>
        </w:tc>
        <w:tc>
          <w:tcPr>
            <w:tcW w:w="104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08" w:type="dxa"/>
            <w:tcBorders>
              <w:top w:val="nil" w:sz="6" w:space="0" w:color="auto"/>
              <w:left w:val="single" w:sz="4" w:space="0" w:color="000000"/>
              <w:bottom w:val="nil" w:sz="6" w:space="0" w:color="auto"/>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公设备批发</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08" w:type="dxa"/>
            <w:tcBorders>
              <w:top w:val="nil" w:sz="6" w:space="0" w:color="auto"/>
              <w:left w:val="single" w:sz="4" w:space="0" w:color="000000"/>
              <w:bottom w:val="nil" w:sz="6" w:space="0" w:color="auto"/>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电子元器件</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北明软件有 限公司</w:t>
            </w:r>
          </w:p>
        </w:tc>
        <w:tc>
          <w:tcPr>
            <w:tcW w:w="1208" w:type="dxa"/>
            <w:tcBorders>
              <w:top w:val="nil" w:sz="6" w:space="0" w:color="auto"/>
              <w:left w:val="single" w:sz="4" w:space="0" w:color="000000"/>
              <w:bottom w:val="nil" w:sz="6" w:space="0" w:color="auto"/>
              <w:right w:val="single" w:sz="13" w:space="0" w:color="C7EDCC"/>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11"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批发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 务</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智能化安 装工程服务</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738,700,000.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5,780,027,25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1,848,440,66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4,888,351,35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222,545,165.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250,094,435.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08" w:type="dxa"/>
            <w:tcBorders>
              <w:top w:val="nil" w:sz="6" w:space="0" w:color="auto"/>
              <w:left w:val="single" w:sz="4" w:space="0" w:color="000000"/>
              <w:bottom w:val="nil" w:sz="6" w:space="0" w:color="auto"/>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技术进出口</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08" w:type="dxa"/>
            <w:tcBorders>
              <w:top w:val="nil" w:sz="6" w:space="0" w:color="auto"/>
              <w:left w:val="single" w:sz="4" w:space="0" w:color="000000"/>
              <w:bottom w:val="nil" w:sz="6" w:space="0" w:color="auto"/>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通信设备零</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shd w:val="clear" w:color="auto" w:fill="C7EDCC"/>
          </w:tcPr>
          <w:p>
            <w:pPr/>
          </w:p>
        </w:tc>
        <w:tc>
          <w:tcPr>
            <w:tcW w:w="1208" w:type="dxa"/>
            <w:tcBorders>
              <w:top w:val="nil" w:sz="6" w:space="0" w:color="auto"/>
              <w:left w:val="single" w:sz="4" w:space="0" w:color="000000"/>
              <w:bottom w:val="single" w:sz="4" w:space="0" w:color="000000"/>
              <w:right w:val="single" w:sz="13" w:space="0" w:color="C7EDCC"/>
            </w:tcBorders>
          </w:tcPr>
          <w:p>
            <w:pPr/>
          </w:p>
        </w:tc>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售等。</w:t>
            </w:r>
          </w:p>
        </w:tc>
        <w:tc>
          <w:tcPr>
            <w:tcW w:w="104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891"/>
        <w:jc w:val="left"/>
      </w:pPr>
      <w:r>
        <w:rPr/>
        <w:t>报告期内取得和处置子公司的情况</w:t>
      </w:r>
    </w:p>
    <w:p>
      <w:pPr>
        <w:pStyle w:val="BodyText"/>
        <w:spacing w:line="240" w:lineRule="auto" w:before="117"/>
        <w:ind w:left="153"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石家庄爱意科技有限公司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青岛北明智慧城市科技有限公司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北京北明数科信息技术有限公司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bl>
    <w:p>
      <w:pPr>
        <w:pStyle w:val="BodyText"/>
        <w:spacing w:line="240" w:lineRule="auto" w:before="51"/>
        <w:ind w:right="891"/>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891"/>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91"/>
        <w:jc w:val="left"/>
        <w:rPr>
          <w:b w:val="0"/>
          <w:bCs w:val="0"/>
        </w:rPr>
      </w:pP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7349"/>
        <w:jc w:val="center"/>
      </w:pPr>
      <w:r>
        <w:rPr/>
        <w:t>（一）公司所处的行业格局和形势</w:t>
      </w:r>
    </w:p>
    <w:p>
      <w:pPr>
        <w:spacing w:after="0" w:line="240" w:lineRule="auto"/>
        <w:jc w:val="center"/>
        <w:sectPr>
          <w:type w:val="continuous"/>
          <w:pgSz w:w="11910" w:h="16840"/>
          <w:pgMar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437" w:right="891"/>
        <w:jc w:val="left"/>
      </w:pPr>
      <w:r>
        <w:rPr>
          <w:rFonts w:ascii="Times New Roman" w:hAnsi="Times New Roman" w:cs="Times New Roman" w:eastAsia="Times New Roman" w:hint="default"/>
        </w:rPr>
        <w:t>1</w:t>
      </w:r>
      <w:r>
        <w:rPr/>
        <w:t>、纺织行业</w:t>
      </w:r>
    </w:p>
    <w:p>
      <w:pPr>
        <w:pStyle w:val="BodyText"/>
        <w:spacing w:line="312" w:lineRule="auto" w:before="101"/>
        <w:ind w:right="1131" w:firstLine="283"/>
        <w:jc w:val="both"/>
      </w:pPr>
      <w:r>
        <w:rPr>
          <w:rFonts w:ascii="Times New Roman" w:hAnsi="Times New Roman" w:cs="Times New Roman" w:eastAsia="Times New Roman" w:hint="default"/>
          <w:spacing w:val="-1"/>
        </w:rPr>
        <w:t>2019</w:t>
      </w:r>
      <w:r>
        <w:rPr>
          <w:spacing w:val="-1"/>
        </w:rPr>
        <w:t>年，纺织行业成本高企压力并未缓解，国内电、用工等要素价格依然过高，贸易争端成为持久战、国际市场竞争更</w:t>
      </w:r>
      <w:r>
        <w:rPr/>
        <w:t> </w:t>
      </w:r>
      <w:r>
        <w:rPr>
          <w:spacing w:val="-2"/>
        </w:rPr>
        <w:t>趋激烈，这些客观存在的问题，也将为我国纺织行业的发展，平添多重不确定的发展风险，但我们也看到，国家也正在从营</w:t>
      </w:r>
      <w:r>
        <w:rPr>
          <w:spacing w:val="-66"/>
        </w:rPr>
        <w:t> </w:t>
      </w:r>
      <w:r>
        <w:rPr>
          <w:spacing w:val="-66"/>
        </w:rPr>
      </w:r>
      <w:r>
        <w:rPr>
          <w:spacing w:val="-2"/>
        </w:rPr>
        <w:t>造公平竞争环境、增强市场主体活力、降低实体经济企业成本等方面下大力发展壮大实体经济尤其是制造业，各种支持实体</w:t>
      </w:r>
      <w:r>
        <w:rPr>
          <w:spacing w:val="-66"/>
        </w:rPr>
        <w:t> </w:t>
      </w:r>
      <w:r>
        <w:rPr>
          <w:spacing w:val="-66"/>
        </w:rPr>
      </w:r>
      <w:r>
        <w:rPr/>
        <w:t>经济的举措正在逐步到位，减税降费等利好措施正在落地生根，消费升级的大趋势不会因为经济下行压力而改变。</w:t>
      </w:r>
    </w:p>
    <w:p>
      <w:pPr>
        <w:pStyle w:val="BodyText"/>
        <w:spacing w:line="338" w:lineRule="auto" w:before="63"/>
        <w:ind w:left="437" w:right="1107"/>
        <w:jc w:val="left"/>
      </w:pPr>
      <w:r>
        <w:rPr>
          <w:rFonts w:ascii="Times New Roman" w:hAnsi="Times New Roman" w:cs="Times New Roman" w:eastAsia="Times New Roman" w:hint="default"/>
        </w:rPr>
        <w:t>2</w:t>
      </w:r>
      <w:r>
        <w:rPr/>
        <w:t>、软件行业 当前的行业趋势正在朝向企业数字化转型的方向发展，在这个大的生态链条中，各类合作伙伴开始建立生态圈，生态中</w:t>
      </w:r>
    </w:p>
    <w:p>
      <w:pPr>
        <w:pStyle w:val="BodyText"/>
        <w:spacing w:line="309" w:lineRule="auto" w:before="2"/>
        <w:ind w:right="1131"/>
        <w:jc w:val="both"/>
      </w:pPr>
      <w:r>
        <w:rPr>
          <w:spacing w:val="-2"/>
        </w:rPr>
        <w:t>建立能够支撑各类伙伴发展，创建吸引力吸引有能力的伙伴加入合作体系。面对数字化转型的趋势，物理世界和数字世界的</w:t>
      </w:r>
      <w:r>
        <w:rPr>
          <w:spacing w:val="-66"/>
        </w:rPr>
        <w:t> </w:t>
      </w:r>
      <w:r>
        <w:rPr>
          <w:spacing w:val="-66"/>
        </w:rPr>
      </w:r>
      <w:r>
        <w:rPr/>
        <w:t>融合、信息集成平台的支撑都将是未来几年的目标。物联网、互联网、融合、</w:t>
      </w:r>
      <w:r>
        <w:rPr>
          <w:rFonts w:ascii="Times New Roman" w:hAnsi="Times New Roman" w:cs="Times New Roman" w:eastAsia="Times New Roman" w:hint="default"/>
        </w:rPr>
        <w:t>AI</w:t>
      </w:r>
      <w:r>
        <w:rPr/>
        <w:t>的智能、大数据的分析都将成为信息化的</w:t>
      </w:r>
      <w:r>
        <w:rPr>
          <w:spacing w:val="-20"/>
        </w:rPr>
        <w:t> </w:t>
      </w:r>
      <w:r>
        <w:rPr>
          <w:spacing w:val="-20"/>
        </w:rPr>
      </w:r>
      <w:r>
        <w:rPr/>
        <w:t>前进路径。新技术、新业态、新的商业模式都将不断翻新。</w:t>
      </w:r>
    </w:p>
    <w:p>
      <w:pPr>
        <w:pStyle w:val="BodyText"/>
        <w:spacing w:line="357" w:lineRule="auto" w:before="64"/>
        <w:ind w:left="437" w:right="891"/>
        <w:jc w:val="left"/>
      </w:pPr>
      <w:r>
        <w:rPr/>
        <w:t>（二）公司发展战略 </w:t>
      </w:r>
      <w:r>
        <w:rPr>
          <w:spacing w:val="-2"/>
        </w:rPr>
        <w:t>以人才引领为根本，以创新驱动为支撑，以国家深化国企改革、推动京津冀协同发展、启动</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战略、实施</w:t>
      </w:r>
      <w:r>
        <w:rPr>
          <w:rFonts w:ascii="Times New Roman" w:hAnsi="Times New Roman" w:cs="Times New Roman" w:eastAsia="Times New Roman" w:hint="default"/>
          <w:spacing w:val="-2"/>
        </w:rPr>
        <w:t>“</w:t>
      </w:r>
      <w:r>
        <w:rPr>
          <w:spacing w:val="-2"/>
        </w:rPr>
        <w:t>中国</w:t>
      </w:r>
    </w:p>
    <w:p>
      <w:pPr>
        <w:pStyle w:val="BodyText"/>
        <w:spacing w:line="214" w:lineRule="exact"/>
        <w:ind w:right="0"/>
        <w:jc w:val="both"/>
      </w:pPr>
      <w:r>
        <w:rPr/>
        <w:t>制造</w:t>
      </w:r>
      <w:r>
        <w:rPr>
          <w:rFonts w:ascii="Times New Roman" w:hAnsi="Times New Roman" w:cs="Times New Roman" w:eastAsia="Times New Roman" w:hint="default"/>
        </w:rPr>
        <w:t>2025”</w:t>
      </w:r>
      <w:r>
        <w:rPr/>
        <w:t>、推进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、促进工业化和信息化深度融合、支持企业兼并等为契机，统筹规划、合理布局，集中决策、独</w:t>
      </w:r>
    </w:p>
    <w:p>
      <w:pPr>
        <w:pStyle w:val="BodyText"/>
        <w:spacing w:line="319" w:lineRule="auto" w:before="63"/>
        <w:ind w:right="1131"/>
        <w:jc w:val="both"/>
      </w:pPr>
      <w:r>
        <w:rPr>
          <w:spacing w:val="-2"/>
        </w:rPr>
        <w:t>立运营，发挥优势、抢抓机遇，开拓创新、大胆突破，软件板块加速扩张、实现跨越发展，纺织主业完成提质增效、实现做</w:t>
      </w:r>
      <w:r>
        <w:rPr>
          <w:spacing w:val="-67"/>
        </w:rPr>
        <w:t> </w:t>
      </w:r>
      <w:r>
        <w:rPr>
          <w:spacing w:val="-67"/>
        </w:rPr>
      </w:r>
      <w:r>
        <w:rPr/>
        <w:t>优做精，形成高端信息产业和先进制造业相互支持、协同创新、融合发展的新格局。</w:t>
      </w:r>
    </w:p>
    <w:p>
      <w:pPr>
        <w:pStyle w:val="BodyText"/>
        <w:spacing w:line="240" w:lineRule="auto" w:before="56"/>
        <w:ind w:left="437" w:right="891"/>
        <w:jc w:val="left"/>
      </w:pPr>
      <w:r>
        <w:rPr/>
        <w:t>（三）</w:t>
      </w:r>
      <w:r>
        <w:rPr>
          <w:rFonts w:ascii="Times New Roman" w:hAnsi="Times New Roman" w:cs="Times New Roman" w:eastAsia="Times New Roman" w:hint="default"/>
        </w:rPr>
        <w:t>2019</w:t>
      </w:r>
      <w:r>
        <w:rPr/>
        <w:t>年的经营计划及面对的风险</w:t>
      </w:r>
    </w:p>
    <w:p>
      <w:pPr>
        <w:pStyle w:val="BodyText"/>
        <w:spacing w:line="240" w:lineRule="auto" w:before="102"/>
        <w:ind w:left="437" w:right="89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年经营计划</w:t>
      </w:r>
    </w:p>
    <w:p>
      <w:pPr>
        <w:pStyle w:val="BodyText"/>
        <w:spacing w:line="240" w:lineRule="auto" w:before="103"/>
        <w:ind w:left="437" w:right="891"/>
        <w:jc w:val="left"/>
      </w:pPr>
      <w:r>
        <w:rPr/>
        <w:t>（</w:t>
      </w:r>
      <w:r>
        <w:rPr>
          <w:rFonts w:ascii="Times New Roman" w:hAnsi="Times New Roman" w:cs="Times New Roman" w:eastAsia="Times New Roman" w:hint="default"/>
        </w:rPr>
        <w:t>1</w:t>
      </w:r>
      <w:r>
        <w:rPr/>
        <w:t>）纺织板块</w:t>
      </w:r>
    </w:p>
    <w:p>
      <w:pPr>
        <w:pStyle w:val="BodyText"/>
        <w:spacing w:line="314" w:lineRule="auto" w:before="101"/>
        <w:ind w:right="891" w:firstLine="283"/>
        <w:jc w:val="left"/>
      </w:pPr>
      <w:r>
        <w:rPr>
          <w:rFonts w:ascii="Times New Roman" w:hAnsi="Times New Roman" w:cs="Times New Roman" w:eastAsia="Times New Roman" w:hint="default"/>
        </w:rPr>
        <w:t>2019</w:t>
      </w:r>
      <w:r>
        <w:rPr/>
        <w:t>年，纺织主业要以提质增效作为全年工作的核心，扭转纺织主业的被动局面。要把优化产品结构放在突出位置抓实 </w:t>
      </w:r>
      <w:r>
        <w:rPr>
          <w:spacing w:val="-2"/>
        </w:rPr>
        <w:t>抓好，优化产品结构要与市场调研、市场细分和目标市场的优化选择协同进行，统筹考虑外部市场机会和内部资源状况；继</w:t>
      </w:r>
      <w:r>
        <w:rPr>
          <w:spacing w:val="-66"/>
        </w:rPr>
        <w:t> </w:t>
      </w:r>
      <w:r>
        <w:rPr>
          <w:spacing w:val="-66"/>
        </w:rPr>
      </w:r>
      <w:r>
        <w:rPr>
          <w:spacing w:val="-4"/>
        </w:rPr>
        <w:t>续抓好产品延伸，利用内外部优质资源，做好纱线、坯布深加工；制定先进合理的消耗定额，合理控制单位产品的物资消耗；</w:t>
      </w:r>
      <w:r>
        <w:rPr>
          <w:spacing w:val="-44"/>
        </w:rPr>
        <w:t> </w:t>
      </w:r>
      <w:r>
        <w:rPr>
          <w:spacing w:val="-44"/>
        </w:rPr>
      </w:r>
      <w:r>
        <w:rPr>
          <w:spacing w:val="-2"/>
        </w:rPr>
        <w:t>营销工作要主动适应客户需求、市场变化和企业技术装备特点，改进客户关系管理，加强客户信息沟通，掌握和研究客户对</w:t>
      </w:r>
      <w:r>
        <w:rPr>
          <w:spacing w:val="-66"/>
        </w:rPr>
        <w:t> </w:t>
      </w:r>
      <w:r>
        <w:rPr>
          <w:spacing w:val="-66"/>
        </w:rPr>
      </w:r>
      <w:r>
        <w:rPr>
          <w:spacing w:val="-2"/>
        </w:rPr>
        <w:t>产品品种、规格和质量的要求；充分发挥纺织智能制造项目的作用，实现工业化、信息化两化深度融合，提升劳动生产率和</w:t>
      </w:r>
      <w:r>
        <w:rPr>
          <w:spacing w:val="-66"/>
        </w:rPr>
        <w:t> </w:t>
      </w:r>
      <w:r>
        <w:rPr>
          <w:spacing w:val="-66"/>
        </w:rPr>
      </w:r>
      <w:r>
        <w:rPr/>
        <w:t>产品品质的稳定性，促进企业管理水平和经营效益的提升。</w:t>
      </w:r>
    </w:p>
    <w:p>
      <w:pPr>
        <w:pStyle w:val="BodyText"/>
        <w:spacing w:line="338" w:lineRule="auto" w:before="60"/>
        <w:ind w:left="437" w:right="1107"/>
        <w:jc w:val="left"/>
      </w:pPr>
      <w:r>
        <w:rPr/>
        <w:t>（</w:t>
      </w:r>
      <w:r>
        <w:rPr>
          <w:rFonts w:ascii="Times New Roman" w:hAnsi="Times New Roman" w:cs="Times New Roman" w:eastAsia="Times New Roman" w:hint="default"/>
        </w:rPr>
        <w:t>2</w:t>
      </w:r>
      <w:r>
        <w:rPr/>
        <w:t>）软件板块 软件主业要继续保持数据中心规划、建设和运行维护多年的经验和良好能力，探索企业数据中心的发展之路，帮助用户</w:t>
      </w:r>
    </w:p>
    <w:p>
      <w:pPr>
        <w:pStyle w:val="BodyText"/>
        <w:spacing w:line="312" w:lineRule="auto" w:before="2"/>
        <w:ind w:right="1129"/>
        <w:jc w:val="both"/>
      </w:pPr>
      <w:r>
        <w:rPr>
          <w:spacing w:val="-2"/>
        </w:rPr>
        <w:t>做好信息化建设的助手，把控信息化建设的风险，维护专家队伍，做好信息系统建设专家；把大数据战略形成企业业务建设</w:t>
      </w:r>
      <w:r>
        <w:rPr>
          <w:spacing w:val="-66"/>
        </w:rPr>
        <w:t> </w:t>
      </w:r>
      <w:r>
        <w:rPr>
          <w:spacing w:val="-66"/>
        </w:rPr>
      </w:r>
      <w:r>
        <w:rPr/>
        <w:t>的推进剂和增强剂，关注大数据分析技术在各个行业的应用实践，做好大数据技术的领航；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ODR</w:t>
      </w:r>
      <w:r>
        <w:rPr/>
        <w:t>在线矛盾纠纷多</w:t>
      </w:r>
      <w:r>
        <w:rPr>
          <w:spacing w:val="-27"/>
        </w:rPr>
        <w:t> </w:t>
      </w:r>
      <w:r>
        <w:rPr>
          <w:spacing w:val="-27"/>
        </w:rPr>
      </w:r>
      <w:r>
        <w:rPr>
          <w:spacing w:val="-2"/>
        </w:rPr>
        <w:t>元化解平台要在全国全面铺开，公司要继续加大投入，大力开拓业务蓝海市场；做好优化内部管理体系，实现部门协同，提</w:t>
      </w:r>
      <w:r>
        <w:rPr>
          <w:spacing w:val="-66"/>
        </w:rPr>
        <w:t> </w:t>
      </w:r>
      <w:r>
        <w:rPr>
          <w:spacing w:val="-66"/>
        </w:rPr>
      </w:r>
      <w:r>
        <w:rPr/>
        <w:t>升团队联合作战能力。</w:t>
      </w:r>
    </w:p>
    <w:p>
      <w:pPr>
        <w:pStyle w:val="BodyText"/>
        <w:spacing w:line="314" w:lineRule="auto" w:before="61"/>
        <w:ind w:right="1026" w:firstLine="283"/>
        <w:jc w:val="left"/>
      </w:pPr>
      <w:r>
        <w:rPr/>
        <w:t>紧跟行业变革和趋势，紧密加强与业界巨头的</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生态</w:t>
      </w:r>
      <w:r>
        <w:rPr>
          <w:rFonts w:ascii="Times New Roman" w:hAnsi="Times New Roman" w:cs="Times New Roman" w:eastAsia="Times New Roman" w:hint="default"/>
        </w:rPr>
        <w:t>”</w:t>
      </w:r>
      <w:r>
        <w:rPr/>
        <w:t>的双轮驱动战略。继续大力推动与华为联手的云上企业计划、 </w:t>
      </w:r>
      <w:r>
        <w:rPr>
          <w:spacing w:val="-2"/>
        </w:rPr>
        <w:t>企业数字化转型、企业智能服务体系，对于华为的智能计算战略、数字政府战略、企业智能战略、数字平台战略，实现多部</w:t>
      </w:r>
      <w:r>
        <w:rPr>
          <w:spacing w:val="-68"/>
        </w:rPr>
        <w:t> </w:t>
      </w:r>
      <w:r>
        <w:rPr>
          <w:spacing w:val="-68"/>
        </w:rPr>
      </w:r>
      <w:r>
        <w:rPr>
          <w:spacing w:val="-2"/>
        </w:rPr>
        <w:t>门的深度融合和转型，整合公司内部资源，实现紧密生态融合。携手腾讯，针对智慧城市、大数据、税务、公检法等领域进</w:t>
      </w:r>
      <w:r>
        <w:rPr>
          <w:spacing w:val="-65"/>
        </w:rPr>
        <w:t> </w:t>
      </w:r>
      <w:r>
        <w:rPr>
          <w:spacing w:val="-65"/>
        </w:rPr>
      </w:r>
      <w:r>
        <w:rPr>
          <w:spacing w:val="-2"/>
        </w:rPr>
        <w:t>行全方位的产品和方案对接，针对已经实施落地、轻量级、销售市场潜力大产品进行联合解决方案开发或产品融合，共同探</w:t>
      </w:r>
      <w:r>
        <w:rPr>
          <w:spacing w:val="-66"/>
        </w:rPr>
        <w:t> </w:t>
      </w:r>
      <w:r>
        <w:rPr>
          <w:spacing w:val="-66"/>
        </w:rPr>
      </w:r>
      <w:r>
        <w:rPr/>
        <w:t>讨司法领域创新方案孵化。</w:t>
      </w:r>
    </w:p>
    <w:p>
      <w:pPr>
        <w:pStyle w:val="BodyText"/>
        <w:spacing w:line="240" w:lineRule="auto" w:before="60"/>
        <w:ind w:left="437" w:right="891"/>
        <w:jc w:val="left"/>
      </w:pPr>
      <w:r>
        <w:rPr>
          <w:rFonts w:ascii="Times New Roman" w:hAnsi="Times New Roman" w:cs="Times New Roman" w:eastAsia="Times New Roman" w:hint="default"/>
        </w:rPr>
        <w:t>2</w:t>
      </w:r>
      <w:r>
        <w:rPr/>
        <w:t>、面对的风险</w:t>
      </w:r>
    </w:p>
    <w:p>
      <w:pPr>
        <w:pStyle w:val="BodyText"/>
        <w:spacing w:line="240" w:lineRule="auto" w:before="103"/>
        <w:ind w:left="437" w:right="891"/>
        <w:jc w:val="left"/>
      </w:pPr>
      <w:r>
        <w:rPr/>
        <w:t>（</w:t>
      </w:r>
      <w:r>
        <w:rPr>
          <w:rFonts w:ascii="Times New Roman" w:hAnsi="Times New Roman" w:cs="Times New Roman" w:eastAsia="Times New Roman" w:hint="default"/>
        </w:rPr>
        <w:t>1</w:t>
      </w:r>
      <w:r>
        <w:rPr/>
        <w:t>）商誉减值风险</w:t>
      </w:r>
    </w:p>
    <w:p>
      <w:pPr>
        <w:pStyle w:val="BodyText"/>
        <w:spacing w:line="300" w:lineRule="auto" w:before="101"/>
        <w:ind w:right="1131" w:firstLine="283"/>
        <w:jc w:val="both"/>
      </w:pPr>
      <w:r>
        <w:rPr>
          <w:rFonts w:ascii="Times New Roman" w:hAnsi="Times New Roman" w:cs="Times New Roman" w:eastAsia="Times New Roman" w:hint="default"/>
          <w:spacing w:val="-2"/>
        </w:rPr>
        <w:t>2015</w:t>
      </w:r>
      <w:r>
        <w:rPr>
          <w:spacing w:val="-2"/>
        </w:rPr>
        <w:t>年，公司发行股份购买北明软件</w:t>
      </w:r>
      <w:r>
        <w:rPr>
          <w:rFonts w:ascii="Times New Roman" w:hAnsi="Times New Roman" w:cs="Times New Roman" w:eastAsia="Times New Roman" w:hint="default"/>
          <w:spacing w:val="-2"/>
        </w:rPr>
        <w:t>100%</w:t>
      </w:r>
      <w:r>
        <w:rPr>
          <w:spacing w:val="-2"/>
        </w:rPr>
        <w:t>股权，公司之子公司北明软件收购索科维尔、天时前程、山东成功、明润华创</w:t>
      </w:r>
      <w:r>
        <w:rPr/>
        <w:t> </w:t>
      </w:r>
      <w:r>
        <w:rPr>
          <w:spacing w:val="-1"/>
        </w:rPr>
        <w:t>四家公司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2016</w:t>
      </w:r>
      <w:r>
        <w:rPr>
          <w:spacing w:val="-1"/>
        </w:rPr>
        <w:t>年，北明软件收购金实盈信</w:t>
      </w:r>
      <w:r>
        <w:rPr>
          <w:rFonts w:ascii="Times New Roman" w:hAnsi="Times New Roman" w:cs="Times New Roman" w:eastAsia="Times New Roman" w:hint="default"/>
          <w:spacing w:val="-1"/>
        </w:rPr>
        <w:t>100%</w:t>
      </w:r>
      <w:r>
        <w:rPr>
          <w:spacing w:val="-1"/>
        </w:rPr>
        <w:t>股权，对价与可辨认净资产公允价值之间的差额形成的商誉共计</w:t>
      </w:r>
      <w:r>
        <w:rPr>
          <w:spacing w:val="-55"/>
        </w:rPr>
        <w:t> </w:t>
      </w:r>
      <w:r>
        <w:rPr>
          <w:spacing w:val="-55"/>
        </w:rPr>
      </w:r>
      <w:r>
        <w:rPr>
          <w:rFonts w:ascii="Times New Roman" w:hAnsi="Times New Roman" w:cs="Times New Roman" w:eastAsia="Times New Roman" w:hint="default"/>
        </w:rPr>
        <w:t>21.72</w:t>
      </w:r>
      <w:r>
        <w:rPr/>
        <w:t>亿元，截止</w:t>
      </w:r>
      <w:r>
        <w:rPr>
          <w:rFonts w:ascii="Times New Roman" w:hAnsi="Times New Roman" w:cs="Times New Roman" w:eastAsia="Times New Roman" w:hint="default"/>
        </w:rPr>
        <w:t>2018</w:t>
      </w:r>
      <w:r>
        <w:rPr/>
        <w:t>年末公司商誉账面净值为</w:t>
      </w:r>
      <w:r>
        <w:rPr>
          <w:rFonts w:ascii="Times New Roman" w:hAnsi="Times New Roman" w:cs="Times New Roman" w:eastAsia="Times New Roman" w:hint="default"/>
        </w:rPr>
        <w:t>21.29</w:t>
      </w:r>
      <w:r>
        <w:rPr/>
        <w:t>亿元，占资产总额的</w:t>
      </w:r>
      <w:r>
        <w:rPr>
          <w:rFonts w:ascii="Times New Roman" w:hAnsi="Times New Roman" w:cs="Times New Roman" w:eastAsia="Times New Roman" w:hint="default"/>
        </w:rPr>
        <w:t>15.05%</w:t>
      </w:r>
      <w:r>
        <w:rPr/>
        <w:t>。</w:t>
      </w:r>
    </w:p>
    <w:p>
      <w:pPr>
        <w:pStyle w:val="BodyText"/>
        <w:spacing w:line="316" w:lineRule="auto" w:before="51"/>
        <w:ind w:left="153" w:right="891" w:firstLine="283"/>
        <w:jc w:val="left"/>
      </w:pPr>
      <w:r>
        <w:rPr/>
        <w:t>尽管各收购标的公司的管理层将勤勉经营，尽最大努力实现最佳盈利，但是，未来包括但不限于经济环境和产业政策及 </w:t>
      </w:r>
      <w:r>
        <w:rPr>
          <w:spacing w:val="-2"/>
        </w:rPr>
        <w:t>意外事件等诸多因素的变化均可能给标的公司的经营管理造成不利影响。如果标的公司经营情况未达预期，可能导致收购所</w:t>
      </w:r>
    </w:p>
    <w:p>
      <w:pPr>
        <w:spacing w:after="0" w:line="316"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91"/>
        <w:jc w:val="left"/>
      </w:pPr>
      <w:r>
        <w:rPr/>
        <w:t>形成的商誉出现减值，进而对上市公司的整体经营业绩和盈利水平造成影响。</w:t>
      </w:r>
    </w:p>
    <w:p>
      <w:pPr>
        <w:pStyle w:val="BodyText"/>
        <w:spacing w:line="338" w:lineRule="auto" w:before="116"/>
        <w:ind w:left="437" w:right="891"/>
        <w:jc w:val="left"/>
      </w:pPr>
      <w:r>
        <w:rPr/>
        <w:t>（</w:t>
      </w:r>
      <w:r>
        <w:rPr>
          <w:rFonts w:ascii="Times New Roman" w:hAnsi="Times New Roman" w:cs="Times New Roman" w:eastAsia="Times New Roman" w:hint="default"/>
        </w:rPr>
        <w:t>2</w:t>
      </w:r>
      <w:r>
        <w:rPr/>
        <w:t>）专业人才短缺风险 </w:t>
      </w:r>
      <w:r>
        <w:rPr>
          <w:spacing w:val="-1"/>
        </w:rPr>
        <w:t>公司软件业务的不断拓展，应用所涉及的领域也越来越广，细分也进一步深化，特别是</w:t>
      </w:r>
      <w:r>
        <w:rPr>
          <w:rFonts w:ascii="Times New Roman" w:hAnsi="Times New Roman" w:cs="Times New Roman" w:eastAsia="Times New Roman" w:hint="default"/>
          <w:spacing w:val="-1"/>
        </w:rPr>
        <w:t>AI</w:t>
      </w:r>
      <w:r>
        <w:rPr>
          <w:spacing w:val="-1"/>
        </w:rPr>
        <w:t>和大数据分析的产品推进，与</w:t>
      </w:r>
    </w:p>
    <w:p>
      <w:pPr>
        <w:pStyle w:val="BodyText"/>
        <w:spacing w:line="217" w:lineRule="exact"/>
        <w:ind w:left="153" w:right="891"/>
        <w:jc w:val="left"/>
      </w:pPr>
      <w:r>
        <w:rPr/>
        <w:t>人才关联度极高，行业内经验丰富、技术能力强的专业技术人才和管理人才较为缺乏，随着公司软件主业的不断发展，相关</w:t>
      </w:r>
    </w:p>
    <w:p>
      <w:pPr>
        <w:pStyle w:val="BodyText"/>
        <w:spacing w:line="240" w:lineRule="auto" w:before="77"/>
        <w:ind w:left="153" w:right="891"/>
        <w:jc w:val="left"/>
      </w:pPr>
      <w:r>
        <w:rPr/>
        <w:t>产品市场规模稳步扩大增长，专业人才缺乏的问题将会更加突出。</w:t>
      </w:r>
    </w:p>
    <w:p>
      <w:pPr>
        <w:pStyle w:val="BodyText"/>
        <w:spacing w:line="338" w:lineRule="auto" w:before="116"/>
        <w:ind w:left="437" w:right="1107"/>
        <w:jc w:val="left"/>
      </w:pPr>
      <w:r>
        <w:rPr/>
        <w:t>（</w:t>
      </w:r>
      <w:r>
        <w:rPr>
          <w:rFonts w:ascii="Times New Roman" w:hAnsi="Times New Roman" w:cs="Times New Roman" w:eastAsia="Times New Roman" w:hint="default"/>
        </w:rPr>
        <w:t>3</w:t>
      </w:r>
      <w:r>
        <w:rPr/>
        <w:t>）市场风险 当前国际贸易保护主义抬头、全球主要经济体经济政策不确定性风险加剧，加之国内经济下行压力加大，可能对公司面</w:t>
      </w:r>
    </w:p>
    <w:p>
      <w:pPr>
        <w:pStyle w:val="BodyText"/>
        <w:spacing w:line="240" w:lineRule="auto" w:before="4"/>
        <w:ind w:left="153" w:right="891"/>
        <w:jc w:val="left"/>
      </w:pPr>
      <w:r>
        <w:rPr/>
        <w:t>临的国际国内市场环境产生一定不确定性。</w:t>
      </w:r>
    </w:p>
    <w:p>
      <w:pPr>
        <w:pStyle w:val="BodyText"/>
        <w:spacing w:line="338" w:lineRule="auto" w:before="117"/>
        <w:ind w:left="437" w:right="1033"/>
        <w:jc w:val="left"/>
      </w:pPr>
      <w:r>
        <w:rPr/>
        <w:t>（</w:t>
      </w:r>
      <w:r>
        <w:rPr>
          <w:rFonts w:ascii="Times New Roman" w:hAnsi="Times New Roman" w:cs="Times New Roman" w:eastAsia="Times New Roman" w:hint="default"/>
        </w:rPr>
        <w:t>4</w:t>
      </w:r>
      <w:r>
        <w:rPr/>
        <w:t>）经营波动风险 </w:t>
      </w:r>
      <w:r>
        <w:rPr>
          <w:spacing w:val="-2"/>
        </w:rPr>
        <w:t>公司软件业务经营存在季节性特征。公司主要是项目采用交付式的经营模式，项目回款和收入确认主要体现在第四季度，</w:t>
      </w:r>
    </w:p>
    <w:p>
      <w:pPr>
        <w:pStyle w:val="BodyText"/>
        <w:spacing w:line="302" w:lineRule="auto" w:before="2"/>
        <w:ind w:left="153" w:right="891"/>
        <w:jc w:val="left"/>
      </w:pPr>
      <w:r>
        <w:rPr>
          <w:rFonts w:ascii="Times New Roman" w:hAnsi="Times New Roman" w:cs="Times New Roman" w:eastAsia="Times New Roman" w:hint="default"/>
        </w:rPr>
        <w:t>2017</w:t>
      </w:r>
      <w:r>
        <w:rPr/>
        <w:t>和</w:t>
      </w:r>
      <w:r>
        <w:rPr>
          <w:rFonts w:ascii="Times New Roman" w:hAnsi="Times New Roman" w:cs="Times New Roman" w:eastAsia="Times New Roman" w:hint="default"/>
        </w:rPr>
        <w:t>2018</w:t>
      </w:r>
      <w:r>
        <w:rPr/>
        <w:t>年第四季度的软件业务营业收入分别占全年软件业务营业收入的</w:t>
      </w:r>
      <w:r>
        <w:rPr>
          <w:rFonts w:ascii="Times New Roman" w:hAnsi="Times New Roman" w:cs="Times New Roman" w:eastAsia="Times New Roman" w:hint="default"/>
        </w:rPr>
        <w:t>43.93%</w:t>
      </w:r>
      <w:r>
        <w:rPr/>
        <w:t>和</w:t>
      </w:r>
      <w:r>
        <w:rPr>
          <w:rFonts w:ascii="Times New Roman" w:hAnsi="Times New Roman" w:cs="Times New Roman" w:eastAsia="Times New Roman" w:hint="default"/>
        </w:rPr>
        <w:t>47.59%</w:t>
      </w:r>
      <w:r>
        <w:rPr/>
        <w:t>，第四季度软件业务的净利润</w:t>
      </w:r>
      <w:r>
        <w:rPr>
          <w:spacing w:val="-37"/>
        </w:rPr>
        <w:t> </w:t>
      </w:r>
      <w:r>
        <w:rPr>
          <w:spacing w:val="-37"/>
        </w:rPr>
      </w:r>
      <w:r>
        <w:rPr/>
        <w:t>分别占全年软件业务净利润的</w:t>
      </w:r>
      <w:r>
        <w:rPr>
          <w:rFonts w:ascii="Times New Roman" w:hAnsi="Times New Roman" w:cs="Times New Roman" w:eastAsia="Times New Roman" w:hint="default"/>
        </w:rPr>
        <w:t>80.60%</w:t>
      </w:r>
      <w:r>
        <w:rPr/>
        <w:t>和</w:t>
      </w:r>
      <w:r>
        <w:rPr>
          <w:rFonts w:ascii="Times New Roman" w:hAnsi="Times New Roman" w:cs="Times New Roman" w:eastAsia="Times New Roman" w:hint="default"/>
        </w:rPr>
        <w:t>84.61%</w:t>
      </w:r>
      <w:r>
        <w:rPr/>
        <w:t>，公司软件业务收入和净利润存在较为明显的波动性。</w:t>
      </w:r>
    </w:p>
    <w:p>
      <w:pPr>
        <w:spacing w:line="240" w:lineRule="auto" w:before="13"/>
        <w:rPr>
          <w:rFonts w:ascii="宋体" w:hAnsi="宋体" w:cs="宋体" w:eastAsia="宋体" w:hint="default"/>
          <w:sz w:val="19"/>
          <w:szCs w:val="19"/>
        </w:rPr>
      </w:pPr>
    </w:p>
    <w:p>
      <w:pPr>
        <w:pStyle w:val="Heading2"/>
        <w:spacing w:line="240" w:lineRule="auto"/>
        <w:ind w:right="891"/>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6"/>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891"/>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报告期内普通股利润分配政策，特别是现金分红政策的制定、执行或调整情况</w:t>
      </w:r>
    </w:p>
    <w:p>
      <w:pPr>
        <w:pStyle w:val="BodyText"/>
        <w:spacing w:line="240" w:lineRule="auto" w:before="117"/>
        <w:ind w:left="153"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290"/>
        <w:jc w:val="both"/>
      </w:pPr>
      <w:r>
        <w:rPr/>
        <w:t>报告期内，经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日召开的 </w:t>
      </w:r>
      <w:r>
        <w:rPr>
          <w:rFonts w:ascii="Times New Roman" w:hAnsi="Times New Roman" w:cs="Times New Roman" w:eastAsia="Times New Roman" w:hint="default"/>
        </w:rPr>
        <w:t>2017</w:t>
      </w:r>
      <w:r>
        <w:rPr/>
        <w:t>年度股东大会审议通过，公司</w:t>
      </w:r>
      <w:r>
        <w:rPr>
          <w:rFonts w:ascii="Times New Roman" w:hAnsi="Times New Roman" w:cs="Times New Roman" w:eastAsia="Times New Roman" w:hint="default"/>
        </w:rPr>
        <w:t>2017</w:t>
      </w:r>
      <w:r>
        <w:rPr/>
        <w:t>年度利润分配方案内容为：以</w:t>
      </w:r>
      <w:r>
        <w:rPr>
          <w:spacing w:val="-41"/>
        </w:rPr>
        <w:t> </w:t>
      </w:r>
      <w:r>
        <w:rPr>
          <w:rFonts w:ascii="Times New Roman" w:hAnsi="Times New Roman" w:cs="Times New Roman" w:eastAsia="Times New Roman" w:hint="default"/>
        </w:rPr>
        <w:t>2017</w:t>
      </w:r>
      <w:r>
        <w:rPr/>
        <w:t>年末总股 份 </w:t>
      </w:r>
      <w:r>
        <w:rPr>
          <w:rFonts w:ascii="Times New Roman" w:hAnsi="Times New Roman" w:cs="Times New Roman" w:eastAsia="Times New Roman" w:hint="default"/>
        </w:rPr>
        <w:t>1,652,874,961</w:t>
      </w:r>
      <w:r>
        <w:rPr/>
        <w:t>股为基数，向全体股东每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0.50</w:t>
      </w:r>
      <w:r>
        <w:rPr>
          <w:rFonts w:ascii="Times New Roman" w:hAnsi="Times New Roman" w:cs="Times New Roman" w:eastAsia="Times New Roman" w:hint="default"/>
          <w:spacing w:val="-4"/>
        </w:rPr>
        <w:t> </w:t>
      </w:r>
      <w:r>
        <w:rPr>
          <w:spacing w:val="-4"/>
        </w:rPr>
        <w:t>元（含税），共计派发现金</w:t>
      </w:r>
      <w:r>
        <w:rPr>
          <w:rFonts w:ascii="Times New Roman" w:hAnsi="Times New Roman" w:cs="Times New Roman" w:eastAsia="Times New Roman" w:hint="default"/>
          <w:spacing w:val="-4"/>
        </w:rPr>
        <w:t>82,643,748.05</w:t>
      </w:r>
      <w:r>
        <w:rPr>
          <w:spacing w:val="-4"/>
        </w:rPr>
        <w:t>元。公司于</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日实施了利润分配方案。</w:t>
      </w:r>
    </w:p>
    <w:tbl>
      <w:tblPr>
        <w:tblW w:w="0" w:type="auto"/>
        <w:jc w:val="left"/>
        <w:tblInd w:w="160" w:type="dxa"/>
        <w:tblLayout w:type="fixed"/>
        <w:tblCellMar>
          <w:top w:w="0" w:type="dxa"/>
          <w:left w:w="0" w:type="dxa"/>
          <w:bottom w:w="0" w:type="dxa"/>
          <w:right w:w="0" w:type="dxa"/>
        </w:tblCellMar>
        <w:tblLook w:val="01E0"/>
      </w:tblPr>
      <w:tblGrid>
        <w:gridCol w:w="6997"/>
        <w:gridCol w:w="2532"/>
      </w:tblGrid>
      <w:tr>
        <w:trPr>
          <w:trHeight w:val="402" w:hRule="exact"/>
        </w:trPr>
        <w:tc>
          <w:tcPr>
            <w:tcW w:w="95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53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53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53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53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53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53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未进行调整或变更</w:t>
            </w:r>
          </w:p>
        </w:tc>
      </w:tr>
    </w:tbl>
    <w:p>
      <w:pPr>
        <w:pStyle w:val="BodyText"/>
        <w:spacing w:line="240" w:lineRule="auto" w:before="54"/>
        <w:ind w:right="89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left="153" w:right="1131" w:firstLine="362"/>
        <w:jc w:val="both"/>
      </w:pPr>
      <w:r>
        <w:rPr>
          <w:rFonts w:ascii="Times New Roman" w:hAnsi="Times New Roman" w:cs="Times New Roman" w:eastAsia="Times New Roman" w:hint="default"/>
        </w:rPr>
        <w:t>2016</w:t>
      </w:r>
      <w:r>
        <w:rPr/>
        <w:t>年度利润分配预案：以</w:t>
      </w:r>
      <w:r>
        <w:rPr>
          <w:rFonts w:ascii="Times New Roman" w:hAnsi="Times New Roman" w:cs="Times New Roman" w:eastAsia="Times New Roman" w:hint="default"/>
        </w:rPr>
        <w:t>2016</w:t>
      </w:r>
      <w:r>
        <w:rPr/>
        <w:t>年末总股份</w:t>
      </w:r>
      <w:r>
        <w:rPr>
          <w:rFonts w:ascii="Times New Roman" w:hAnsi="Times New Roman" w:cs="Times New Roman" w:eastAsia="Times New Roman" w:hint="default"/>
        </w:rPr>
        <w:t>1,271,442,278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0.60</w:t>
      </w:r>
      <w:r>
        <w:rPr/>
        <w:t>元（含税）， </w:t>
      </w:r>
      <w:r>
        <w:rPr>
          <w:spacing w:val="-2"/>
        </w:rPr>
        <w:t>共计派发现金</w:t>
      </w:r>
      <w:r>
        <w:rPr>
          <w:rFonts w:ascii="Times New Roman" w:hAnsi="Times New Roman" w:cs="Times New Roman" w:eastAsia="Times New Roman" w:hint="default"/>
          <w:spacing w:val="-2"/>
        </w:rPr>
        <w:t>76,286,536.68</w:t>
      </w:r>
      <w:r>
        <w:rPr>
          <w:spacing w:val="-2"/>
        </w:rPr>
        <w:t>元；同时以资本公积转增股本，每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股，转增后公司总股本将增至</w:t>
      </w:r>
      <w:r>
        <w:rPr>
          <w:rFonts w:ascii="Times New Roman" w:hAnsi="Times New Roman" w:cs="Times New Roman" w:eastAsia="Times New Roman" w:hint="default"/>
          <w:spacing w:val="-2"/>
        </w:rPr>
        <w:t>1,652,874,961</w:t>
      </w:r>
      <w:r>
        <w:rPr>
          <w:spacing w:val="-2"/>
        </w:rPr>
        <w:t>股。公司</w:t>
      </w:r>
      <w:r>
        <w:rPr>
          <w:spacing w:val="-41"/>
        </w:rPr>
        <w:t> </w:t>
      </w:r>
      <w:r>
        <w:rPr>
          <w:spacing w:val="-41"/>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日实施了上述利润分配方案。</w:t>
      </w:r>
    </w:p>
    <w:p>
      <w:pPr>
        <w:pStyle w:val="BodyText"/>
        <w:spacing w:line="300" w:lineRule="auto" w:before="13"/>
        <w:ind w:left="153" w:right="1138" w:firstLine="362"/>
        <w:jc w:val="both"/>
      </w:pPr>
      <w:r>
        <w:rPr>
          <w:rFonts w:ascii="Times New Roman" w:hAnsi="Times New Roman" w:cs="Times New Roman" w:eastAsia="Times New Roman" w:hint="default"/>
        </w:rPr>
        <w:t>2017</w:t>
      </w:r>
      <w:r>
        <w:rPr/>
        <w:t>年度利润分配预案：以</w:t>
      </w:r>
      <w:r>
        <w:rPr>
          <w:rFonts w:ascii="Times New Roman" w:hAnsi="Times New Roman" w:cs="Times New Roman" w:eastAsia="Times New Roman" w:hint="default"/>
        </w:rPr>
        <w:t>2017</w:t>
      </w:r>
      <w:r>
        <w:rPr/>
        <w:t>年末总股份</w:t>
      </w:r>
      <w:r>
        <w:rPr>
          <w:rFonts w:ascii="Times New Roman" w:hAnsi="Times New Roman" w:cs="Times New Roman" w:eastAsia="Times New Roman" w:hint="default"/>
        </w:rPr>
        <w:t>1,652,874,961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 共计派发现金</w:t>
      </w:r>
      <w:r>
        <w:rPr>
          <w:rFonts w:ascii="Times New Roman" w:hAnsi="Times New Roman" w:cs="Times New Roman" w:eastAsia="Times New Roman" w:hint="default"/>
        </w:rPr>
        <w:t>82,643,748.05</w:t>
      </w:r>
      <w:r>
        <w:rPr/>
        <w:t>元；不以资本公积转增股本。公司于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日实施了利润分配方案。</w:t>
      </w:r>
    </w:p>
    <w:p>
      <w:pPr>
        <w:pStyle w:val="BodyText"/>
        <w:spacing w:line="340" w:lineRule="auto" w:before="13"/>
        <w:ind w:left="153" w:right="3441" w:firstLine="290"/>
        <w:jc w:val="left"/>
      </w:pPr>
      <w:r>
        <w:rPr>
          <w:rFonts w:ascii="Times New Roman" w:hAnsi="Times New Roman" w:cs="Times New Roman" w:eastAsia="Times New Roman" w:hint="default"/>
        </w:rPr>
        <w:t>2018</w:t>
      </w:r>
      <w:r>
        <w:rPr/>
        <w:t>年度利润分配预案：</w:t>
      </w:r>
      <w:r>
        <w:rPr>
          <w:rFonts w:ascii="Times New Roman" w:hAnsi="Times New Roman" w:cs="Times New Roman" w:eastAsia="Times New Roman" w:hint="default"/>
        </w:rPr>
        <w:t>2018</w:t>
      </w:r>
      <w:r>
        <w:rPr/>
        <w:t>年度公司不进行现金分红，也不进行资本公积金转增股本。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207"/>
        <w:gridCol w:w="1184"/>
        <w:gridCol w:w="1184"/>
        <w:gridCol w:w="1219"/>
        <w:gridCol w:w="1173"/>
        <w:gridCol w:w="1219"/>
        <w:gridCol w:w="1172"/>
      </w:tblGrid>
      <w:tr>
        <w:trPr>
          <w:trHeight w:val="161" w:hRule="exact"/>
        </w:trPr>
        <w:tc>
          <w:tcPr>
            <w:tcW w:w="1197" w:type="dxa"/>
            <w:vMerge w:val="restart"/>
            <w:tcBorders>
              <w:top w:val="single" w:sz="4" w:space="0" w:color="000000"/>
              <w:left w:val="single" w:sz="4" w:space="0" w:color="000000"/>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
        </w:tc>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2" w:right="4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19" w:type="dxa"/>
            <w:vMerge/>
            <w:tcBorders>
              <w:left w:val="single" w:sz="4" w:space="0" w:color="000000"/>
              <w:right w:val="single" w:sz="4" w:space="0" w:color="000000"/>
            </w:tcBorders>
            <w:shd w:val="clear" w:color="auto" w:fill="D3D3D3"/>
          </w:tcPr>
          <w:p>
            <w:pPr/>
          </w:p>
        </w:tc>
        <w:tc>
          <w:tcPr>
            <w:tcW w:w="117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1"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1"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6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bottom w:val="nil" w:sz="6" w:space="0" w:color="auto"/>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0"/>
              <w:jc w:val="center"/>
              <w:rPr>
                <w:rFonts w:ascii="宋体" w:hAnsi="宋体" w:cs="宋体" w:eastAsia="宋体" w:hint="default"/>
                <w:sz w:val="18"/>
                <w:szCs w:val="18"/>
              </w:rPr>
            </w:pPr>
            <w:r>
              <w:rPr>
                <w:rFonts w:ascii="宋体" w:hAnsi="宋体" w:cs="宋体" w:eastAsia="宋体" w:hint="default"/>
                <w:sz w:val="18"/>
                <w:szCs w:val="18"/>
              </w:rPr>
              <w:t>（含税）</w:t>
            </w: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val="restart"/>
            <w:tcBorders>
              <w:top w:val="nil" w:sz="6" w:space="0" w:color="auto"/>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97"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61" w:hRule="exact"/>
        </w:trPr>
        <w:tc>
          <w:tcPr>
            <w:tcW w:w="1197" w:type="dxa"/>
            <w:vMerge/>
            <w:tcBorders>
              <w:left w:val="single" w:sz="4"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185,972,590.91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26,954,164.03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14.49%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26,954,164.03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14.49%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82,643,748.05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355,095,034.93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23.27%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82,643,748.05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23.27%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76,286,536.68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349,914,511.72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21.80%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76,286,536.68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21.80%</w:t>
            </w:r>
          </w:p>
        </w:tc>
      </w:tr>
    </w:tbl>
    <w:p>
      <w:pPr>
        <w:pStyle w:val="BodyText"/>
        <w:spacing w:line="240" w:lineRule="auto" w:before="51"/>
        <w:ind w:right="891"/>
        <w:jc w:val="left"/>
      </w:pPr>
      <w:r>
        <w:rPr/>
        <w:t>公司报告期内盈利且母公司可供普通股股东分配利润为正但未提出普通股现金红利分配预案</w:t>
      </w:r>
    </w:p>
    <w:p>
      <w:pPr>
        <w:pStyle w:val="BodyText"/>
        <w:spacing w:line="240" w:lineRule="auto" w:before="117"/>
        <w:ind w:left="153"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120"/>
        <w:gridCol w:w="3600"/>
      </w:tblGrid>
      <w:tr>
        <w:trPr>
          <w:trHeight w:val="714" w:hRule="exact"/>
        </w:trPr>
        <w:tc>
          <w:tcPr>
            <w:tcW w:w="6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3" w:right="84" w:hanging="225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报告期内盈利且母公司可供普通股股东分配利润为正但未提出普通股现金红 利分配预案的原因</w:t>
            </w:r>
          </w:p>
        </w:tc>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338" w:hRule="exact"/>
        </w:trPr>
        <w:tc>
          <w:tcPr>
            <w:tcW w:w="6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年公司进入快速发展和投入期，需要较大的资金进行产业投资，同时，</w:t>
            </w:r>
          </w:p>
          <w:p>
            <w:pPr>
              <w:pStyle w:val="TableParagraph"/>
              <w:spacing w:line="309" w:lineRule="auto" w:before="61"/>
              <w:ind w:left="22" w:right="-33"/>
              <w:jc w:val="both"/>
              <w:rPr>
                <w:rFonts w:ascii="宋体" w:hAnsi="宋体" w:cs="宋体" w:eastAsia="宋体" w:hint="default"/>
                <w:sz w:val="18"/>
                <w:szCs w:val="18"/>
              </w:rPr>
            </w:pPr>
            <w:r>
              <w:rPr>
                <w:rFonts w:ascii="宋体" w:hAnsi="宋体" w:cs="宋体" w:eastAsia="宋体" w:hint="default"/>
                <w:sz w:val="18"/>
                <w:szCs w:val="18"/>
              </w:rPr>
              <w:t>公司正在进行股份回购，回购资金约为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亿元至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亿元，所需资金量也较大。 </w:t>
            </w:r>
            <w:r>
              <w:rPr>
                <w:rFonts w:ascii="宋体" w:hAnsi="宋体" w:cs="宋体" w:eastAsia="宋体" w:hint="default"/>
                <w:spacing w:val="-2"/>
                <w:sz w:val="18"/>
                <w:szCs w:val="18"/>
              </w:rPr>
              <w:t>为保证公司有较稳定的现金流，实现持续健康发展，为股东创造更大和更长远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的利益，</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年度公司不进行现金分红，也不进行资本公积金转增股本。</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未分配的利润将继续留存公司予以再发展。</w:t>
            </w:r>
          </w:p>
        </w:tc>
      </w:tr>
    </w:tbl>
    <w:p>
      <w:pPr>
        <w:spacing w:line="240" w:lineRule="auto" w:before="2"/>
        <w:rPr>
          <w:rFonts w:ascii="宋体" w:hAnsi="宋体" w:cs="宋体" w:eastAsia="宋体" w:hint="default"/>
          <w:sz w:val="18"/>
          <w:szCs w:val="18"/>
        </w:rPr>
      </w:pPr>
    </w:p>
    <w:p>
      <w:pPr>
        <w:pStyle w:val="Heading2"/>
        <w:spacing w:line="240" w:lineRule="auto" w:before="26"/>
        <w:ind w:right="891"/>
        <w:jc w:val="left"/>
        <w:rPr>
          <w:b w:val="0"/>
          <w:bCs w:val="0"/>
        </w:rPr>
      </w:pP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891"/>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891"/>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00"/>
        <w:gridCol w:w="1800"/>
        <w:gridCol w:w="900"/>
        <w:gridCol w:w="2520"/>
        <w:gridCol w:w="900"/>
        <w:gridCol w:w="854"/>
        <w:gridCol w:w="900"/>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0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80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2274" w:hRule="exact"/>
        </w:trPr>
        <w:tc>
          <w:tcPr>
            <w:tcW w:w="1800" w:type="dxa"/>
            <w:vMerge w:val="restart"/>
            <w:tcBorders>
              <w:top w:val="single" w:sz="4" w:space="0" w:color="000000"/>
              <w:left w:val="single" w:sz="4" w:space="0" w:color="000000"/>
              <w:right w:val="single" w:sz="4" w:space="0" w:color="000000"/>
            </w:tcBorders>
            <w:shd w:val="clear" w:color="auto" w:fill="D3D3D3"/>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 份定向增发资产管理 计划</w:t>
            </w:r>
            <w:r>
              <w:rPr>
                <w:rFonts w:ascii="Times New Roman" w:hAnsi="Times New Roman" w:cs="Times New Roman" w:eastAsia="Times New Roman" w:hint="default"/>
                <w:sz w:val="18"/>
                <w:szCs w:val="18"/>
              </w:rPr>
              <w:t>;</w:t>
            </w:r>
            <w:r>
              <w:rPr>
                <w:rFonts w:ascii="宋体" w:hAnsi="宋体" w:cs="宋体" w:eastAsia="宋体" w:hint="default"/>
                <w:sz w:val="18"/>
                <w:szCs w:val="18"/>
              </w:rPr>
              <w:t>广发恒定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号常 山股份定向增发集合 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神华投资集团有限公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神华期货有限公司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4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本次向配套融资认购对象发行 股票募集配套资金的股份自上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个月内不上市交易 </w:t>
            </w:r>
            <w:r>
              <w:rPr>
                <w:rFonts w:ascii="宋体" w:hAnsi="宋体" w:cs="宋体" w:eastAsia="宋体" w:hint="default"/>
                <w:spacing w:val="-5"/>
                <w:sz w:val="18"/>
                <w:szCs w:val="18"/>
              </w:rPr>
              <w:t>或转让，在此之后按中国证监会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及深交所的有关规定执行。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60" w:hRule="exact"/>
        </w:trPr>
        <w:tc>
          <w:tcPr>
            <w:tcW w:w="1800" w:type="dxa"/>
            <w:vMerge/>
            <w:tcBorders>
              <w:left w:val="single" w:sz="4" w:space="0" w:color="000000"/>
              <w:bottom w:val="nil" w:sz="6" w:space="0" w:color="auto"/>
              <w:right w:val="single" w:sz="4" w:space="0" w:color="000000"/>
            </w:tcBorders>
            <w:shd w:val="clear" w:color="auto" w:fill="D3D3D3"/>
          </w:tcPr>
          <w:p>
            <w:pPr/>
          </w:p>
        </w:tc>
        <w:tc>
          <w:tcPr>
            <w:tcW w:w="1800" w:type="dxa"/>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5" w:right="23"/>
              <w:jc w:val="left"/>
              <w:rPr>
                <w:rFonts w:ascii="宋体" w:hAnsi="宋体" w:cs="宋体" w:eastAsia="宋体" w:hint="default"/>
                <w:sz w:val="18"/>
                <w:szCs w:val="18"/>
              </w:rPr>
            </w:pPr>
            <w:r>
              <w:rPr>
                <w:rFonts w:ascii="宋体" w:hAnsi="宋体" w:cs="宋体" w:eastAsia="宋体" w:hint="default"/>
                <w:sz w:val="18"/>
                <w:szCs w:val="18"/>
              </w:rPr>
              <w:t>北京北明伟业控股有 </w:t>
            </w:r>
            <w:r>
              <w:rPr>
                <w:rFonts w:ascii="宋体" w:hAnsi="宋体" w:cs="宋体" w:eastAsia="宋体" w:hint="default"/>
                <w:spacing w:val="-6"/>
                <w:sz w:val="18"/>
                <w:szCs w:val="18"/>
              </w:rPr>
              <w:t>限公司、北京万峰嘉华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投资管理中心（有限合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 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家重组方</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4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520"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自发行股份购买资产发行结束 </w:t>
            </w:r>
            <w:r>
              <w:rPr>
                <w:rFonts w:ascii="宋体" w:hAnsi="宋体" w:cs="宋体" w:eastAsia="宋体" w:hint="default"/>
                <w:spacing w:val="-5"/>
                <w:sz w:val="18"/>
                <w:szCs w:val="18"/>
              </w:rPr>
              <w:t>时，其认购的对价股份自股份上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个月内且依据《发 行股份购买资产暨利润补偿协 </w:t>
            </w:r>
            <w:r>
              <w:rPr>
                <w:rFonts w:ascii="宋体" w:hAnsi="宋体" w:cs="宋体" w:eastAsia="宋体" w:hint="default"/>
                <w:spacing w:val="-5"/>
                <w:sz w:val="18"/>
                <w:szCs w:val="18"/>
              </w:rPr>
              <w:t>议》及其补充协议约定履行完毕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利润补偿义务之前不得转让；如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发生《发行股份购买资产暨利润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补偿协议》及其补充协议中约定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的股份补偿事宜，则可按该协议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约定进行回购或转让。</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92"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800" w:type="dxa"/>
            <w:vMerge/>
            <w:tcBorders>
              <w:left w:val="single" w:sz="10" w:space="0" w:color="D3D3D3"/>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2058" w:hRule="exact"/>
        </w:trPr>
        <w:tc>
          <w:tcPr>
            <w:tcW w:w="1800" w:type="dxa"/>
            <w:vMerge w:val="restart"/>
            <w:tcBorders>
              <w:top w:val="nil" w:sz="6" w:space="0" w:color="auto"/>
              <w:left w:val="single" w:sz="4" w:space="0" w:color="000000"/>
              <w:right w:val="single" w:sz="4" w:space="0" w:color="000000"/>
            </w:tcBorders>
            <w:shd w:val="clear" w:color="auto" w:fill="D3D3D3"/>
          </w:tcPr>
          <w:p>
            <w:pPr/>
          </w:p>
        </w:tc>
        <w:tc>
          <w:tcPr>
            <w:tcW w:w="1800" w:type="dxa"/>
            <w:vMerge/>
            <w:tcBorders>
              <w:left w:val="single" w:sz="10" w:space="0" w:color="D3D3D3"/>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c>
          <w:tcPr>
            <w:tcW w:w="252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r>
      <w:tr>
        <w:trPr>
          <w:trHeight w:val="986"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4"/>
                <w:szCs w:val="14"/>
              </w:rPr>
            </w:pPr>
          </w:p>
          <w:p>
            <w:pPr>
              <w:pStyle w:val="TableParagraph"/>
              <w:spacing w:line="302" w:lineRule="auto"/>
              <w:ind w:left="22" w:right="56"/>
              <w:jc w:val="left"/>
              <w:rPr>
                <w:rFonts w:ascii="宋体" w:hAnsi="宋体" w:cs="宋体" w:eastAsia="宋体" w:hint="default"/>
                <w:sz w:val="18"/>
                <w:szCs w:val="18"/>
              </w:rPr>
            </w:pPr>
            <w:r>
              <w:rPr>
                <w:rFonts w:ascii="宋体" w:hAnsi="宋体" w:cs="宋体" w:eastAsia="宋体" w:hint="default"/>
                <w:sz w:val="18"/>
                <w:szCs w:val="18"/>
              </w:rPr>
              <w:t>鲍宪国、程悦等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自然人股东</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自发行股份购买资产发行结束 </w:t>
            </w:r>
            <w:r>
              <w:rPr>
                <w:rFonts w:ascii="宋体" w:hAnsi="宋体" w:cs="宋体" w:eastAsia="宋体" w:hint="default"/>
                <w:spacing w:val="-5"/>
                <w:sz w:val="18"/>
                <w:szCs w:val="18"/>
              </w:rPr>
              <w:t>时，其认购的对价股份自股份上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个月内且依据《发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00"/>
        <w:gridCol w:w="1800"/>
        <w:gridCol w:w="900"/>
        <w:gridCol w:w="2520"/>
        <w:gridCol w:w="900"/>
        <w:gridCol w:w="854"/>
        <w:gridCol w:w="900"/>
      </w:tblGrid>
      <w:tr>
        <w:trPr>
          <w:trHeight w:val="317" w:hRule="exact"/>
        </w:trPr>
        <w:tc>
          <w:tcPr>
            <w:tcW w:w="1800" w:type="dxa"/>
            <w:vMerge w:val="restart"/>
            <w:tcBorders>
              <w:top w:val="single" w:sz="4" w:space="0" w:color="000000"/>
              <w:left w:val="single" w:sz="4" w:space="0" w:color="000000"/>
              <w:right w:val="single" w:sz="4" w:space="0" w:color="000000"/>
            </w:tcBorders>
            <w:shd w:val="clear" w:color="auto" w:fill="D3D3D3"/>
          </w:tcPr>
          <w:p>
            <w:pPr/>
          </w:p>
        </w:tc>
        <w:tc>
          <w:tcPr>
            <w:tcW w:w="1800" w:type="dxa"/>
            <w:vMerge w:val="restart"/>
            <w:tcBorders>
              <w:top w:val="single" w:sz="4" w:space="0" w:color="000000"/>
              <w:left w:val="single" w:sz="4" w:space="0" w:color="000000"/>
              <w:right w:val="single" w:sz="4" w:space="0" w:color="000000"/>
            </w:tcBorders>
            <w:shd w:val="clear" w:color="auto" w:fill="C7EDCC"/>
          </w:tcPr>
          <w:p>
            <w:pPr/>
          </w:p>
        </w:tc>
        <w:tc>
          <w:tcPr>
            <w:tcW w:w="900" w:type="dxa"/>
            <w:vMerge w:val="restart"/>
            <w:tcBorders>
              <w:top w:val="single" w:sz="4" w:space="0" w:color="000000"/>
              <w:left w:val="single" w:sz="4" w:space="0" w:color="000000"/>
              <w:right w:val="single" w:sz="4" w:space="0" w:color="000000"/>
            </w:tcBorders>
            <w:shd w:val="clear" w:color="auto" w:fill="C7EDCC"/>
          </w:tcPr>
          <w:p>
            <w:pPr/>
          </w:p>
        </w:tc>
        <w:tc>
          <w:tcPr>
            <w:tcW w:w="25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行股份购买资产暨利润补偿协</w:t>
            </w:r>
          </w:p>
        </w:tc>
        <w:tc>
          <w:tcPr>
            <w:tcW w:w="900" w:type="dxa"/>
            <w:vMerge w:val="restart"/>
            <w:tcBorders>
              <w:top w:val="single" w:sz="4" w:space="0" w:color="000000"/>
              <w:left w:val="single" w:sz="4" w:space="0" w:color="000000"/>
              <w:right w:val="single" w:sz="4" w:space="0" w:color="000000"/>
            </w:tcBorders>
          </w:tcPr>
          <w:p>
            <w:pPr>
              <w:pStyle w:val="TableParagraph"/>
              <w:spacing w:line="3472" w:lineRule="exact"/>
              <w:ind w:right="-51"/>
              <w:jc w:val="left"/>
              <w:rPr>
                <w:rFonts w:ascii="宋体" w:hAnsi="宋体" w:cs="宋体" w:eastAsia="宋体" w:hint="default"/>
                <w:sz w:val="20"/>
                <w:szCs w:val="20"/>
              </w:rPr>
            </w:pPr>
            <w:r>
              <w:rPr>
                <w:rFonts w:ascii="宋体" w:hAnsi="宋体" w:cs="宋体" w:eastAsia="宋体" w:hint="default"/>
                <w:position w:val="-68"/>
                <w:sz w:val="20"/>
                <w:szCs w:val="20"/>
              </w:rPr>
              <w:pict>
                <v:group style="width:44.55pt;height:173.65pt;mso-position-horizontal-relative:char;mso-position-vertical-relative:line" coordorigin="0,0" coordsize="891,3473">
                  <v:group style="position:absolute;left:0;top:0;width:891;height:3473" coordorigin="0,0" coordsize="891,3473">
                    <v:shape style="position:absolute;left:0;top:0;width:891;height:3473" coordorigin="0,0" coordsize="891,3473" path="m0,3473l890,3473,890,0,0,0,0,3473xe" filled="true" fillcolor="#ffffff" stroked="false">
                      <v:path arrowok="t"/>
                      <v:fill type="solid"/>
                    </v:shape>
                  </v:group>
                </v:group>
              </w:pict>
            </w:r>
            <w:r>
              <w:rPr>
                <w:rFonts w:ascii="宋体" w:hAnsi="宋体" w:cs="宋体" w:eastAsia="宋体" w:hint="default"/>
                <w:position w:val="-68"/>
                <w:sz w:val="20"/>
                <w:szCs w:val="20"/>
              </w:rPr>
            </w:r>
          </w:p>
        </w:tc>
        <w:tc>
          <w:tcPr>
            <w:tcW w:w="854" w:type="dxa"/>
            <w:vMerge w:val="restart"/>
            <w:tcBorders>
              <w:top w:val="single" w:sz="4" w:space="0" w:color="000000"/>
              <w:left w:val="single" w:sz="4" w:space="0" w:color="000000"/>
              <w:right w:val="single" w:sz="4" w:space="0" w:color="000000"/>
            </w:tcBorders>
            <w:shd w:val="clear" w:color="auto" w:fill="C7EDCC"/>
          </w:tcPr>
          <w:p>
            <w:pPr/>
          </w:p>
        </w:tc>
        <w:tc>
          <w:tcPr>
            <w:tcW w:w="900"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议》及其补充协议约定履行完毕</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第一年利润补偿义务之前不得</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转让；如发生《发行股份购买资</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产暨利润补偿协议》及其补充协</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议中约定的股份补偿事宜，则可</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按该协议约定进行回购或转让。</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在此基础上，为保障业绩承诺责</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任的实施，该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名自然人所持</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08" w:hRule="exact"/>
        </w:trPr>
        <w:tc>
          <w:tcPr>
            <w:tcW w:w="1800" w:type="dxa"/>
            <w:vMerge/>
            <w:tcBorders>
              <w:left w:val="single" w:sz="4" w:space="0" w:color="000000"/>
              <w:right w:val="single" w:sz="4" w:space="0" w:color="000000"/>
            </w:tcBorders>
            <w:shd w:val="clear" w:color="auto" w:fill="D3D3D3"/>
          </w:tcPr>
          <w:p>
            <w:pPr/>
          </w:p>
        </w:tc>
        <w:tc>
          <w:tcPr>
            <w:tcW w:w="18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股份应按如下次序分批解除锁</w:t>
            </w:r>
          </w:p>
        </w:tc>
        <w:tc>
          <w:tcPr>
            <w:tcW w:w="900"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357"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w:t>
            </w:r>
          </w:p>
        </w:tc>
        <w:tc>
          <w:tcPr>
            <w:tcW w:w="90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62" w:hRule="exact"/>
        </w:trPr>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25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日，通过深圳证券交易</w:t>
            </w:r>
          </w:p>
        </w:tc>
        <w:tc>
          <w:tcPr>
            <w:tcW w:w="900"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5"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45"/>
              <w:jc w:val="left"/>
              <w:rPr>
                <w:rFonts w:ascii="宋体" w:hAnsi="宋体" w:cs="宋体" w:eastAsia="宋体" w:hint="default"/>
                <w:sz w:val="18"/>
                <w:szCs w:val="18"/>
              </w:rPr>
            </w:pPr>
            <w:r>
              <w:rPr>
                <w:rFonts w:ascii="宋体" w:hAnsi="宋体" w:cs="宋体" w:eastAsia="宋体" w:hint="default"/>
                <w:sz w:val="18"/>
                <w:szCs w:val="18"/>
              </w:rPr>
              <w:t>石家庄常山纺织集团 有限责任公司</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45"/>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5"/>
                <w:sz w:val="18"/>
                <w:szCs w:val="18"/>
              </w:rPr>
              <w:t>所交易系统增持公司股份，累计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增持金额不低于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07"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次增持不设置固定价格、价格区</w:t>
            </w:r>
          </w:p>
        </w:tc>
        <w:tc>
          <w:tcPr>
            <w:tcW w:w="900"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6"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间及累计跌幅比例。</w:t>
            </w:r>
          </w:p>
        </w:tc>
        <w:tc>
          <w:tcPr>
            <w:tcW w:w="900"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25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日，通过深圳证券交易</w:t>
            </w:r>
          </w:p>
        </w:tc>
        <w:tc>
          <w:tcPr>
            <w:tcW w:w="900"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2"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8"/>
              <w:ind w:left="22" w:right="14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45"/>
              <w:jc w:val="left"/>
              <w:rPr>
                <w:rFonts w:ascii="宋体" w:hAnsi="宋体" w:cs="宋体" w:eastAsia="宋体" w:hint="default"/>
                <w:sz w:val="18"/>
                <w:szCs w:val="18"/>
              </w:rPr>
            </w:pPr>
            <w:r>
              <w:rPr>
                <w:rFonts w:ascii="宋体" w:hAnsi="宋体" w:cs="宋体" w:eastAsia="宋体" w:hint="default"/>
                <w:sz w:val="18"/>
                <w:szCs w:val="18"/>
              </w:rPr>
              <w:t>北京北明伟业控股有 限公司</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45"/>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5"/>
              <w:ind w:left="22" w:right="21"/>
              <w:jc w:val="both"/>
              <w:rPr>
                <w:rFonts w:ascii="宋体" w:hAnsi="宋体" w:cs="宋体" w:eastAsia="宋体" w:hint="default"/>
                <w:sz w:val="18"/>
                <w:szCs w:val="18"/>
              </w:rPr>
            </w:pPr>
            <w:r>
              <w:rPr>
                <w:rFonts w:ascii="宋体" w:hAnsi="宋体" w:cs="宋体" w:eastAsia="宋体" w:hint="default"/>
                <w:spacing w:val="-5"/>
                <w:sz w:val="18"/>
                <w:szCs w:val="18"/>
              </w:rPr>
              <w:t>所交易系统增持公司股份，累计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增持金额不低于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0"/>
                <w:sz w:val="18"/>
                <w:szCs w:val="18"/>
              </w:rPr>
              <w:t>亿元。本次增</w:t>
            </w:r>
            <w:r>
              <w:rPr>
                <w:rFonts w:ascii="宋体" w:hAnsi="宋体" w:cs="宋体" w:eastAsia="宋体" w:hint="default"/>
                <w:sz w:val="18"/>
                <w:szCs w:val="18"/>
              </w:rPr>
              <w:t> </w:t>
            </w:r>
            <w:r>
              <w:rPr>
                <w:rFonts w:ascii="宋体" w:hAnsi="宋体" w:cs="宋体" w:eastAsia="宋体" w:hint="default"/>
                <w:spacing w:val="-5"/>
                <w:sz w:val="18"/>
                <w:szCs w:val="18"/>
              </w:rPr>
              <w:t>持不设置固定价格、价格区间及</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6"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累计跌幅比例。</w:t>
            </w:r>
          </w:p>
        </w:tc>
        <w:tc>
          <w:tcPr>
            <w:tcW w:w="900"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w:t>
            </w: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2520"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限公司、北京万峰嘉晔</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持有的对价股份（</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w:t>
            </w:r>
          </w:p>
        </w:tc>
        <w:tc>
          <w:tcPr>
            <w:tcW w:w="900" w:type="dxa"/>
            <w:tcBorders>
              <w:top w:val="nil" w:sz="6" w:space="0" w:color="auto"/>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5"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23"/>
              <w:jc w:val="both"/>
              <w:rPr>
                <w:rFonts w:ascii="宋体" w:hAnsi="宋体" w:cs="宋体" w:eastAsia="宋体" w:hint="default"/>
                <w:sz w:val="18"/>
                <w:szCs w:val="18"/>
              </w:rPr>
            </w:pPr>
            <w:r>
              <w:rPr>
                <w:rFonts w:ascii="宋体" w:hAnsi="宋体" w:cs="宋体" w:eastAsia="宋体" w:hint="default"/>
                <w:spacing w:val="-6"/>
                <w:sz w:val="18"/>
                <w:szCs w:val="18"/>
              </w:rPr>
              <w:t>投资管理中心（有限合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伙）、北京万峰嘉华投</w:t>
            </w:r>
            <w:r>
              <w:rPr>
                <w:rFonts w:ascii="宋体" w:hAnsi="宋体" w:cs="宋体" w:eastAsia="宋体" w:hint="default"/>
                <w:sz w:val="18"/>
                <w:szCs w:val="18"/>
              </w:rPr>
              <w:t> 资管理中心（有限合</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股份不减 持承诺</w:t>
            </w: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润分配方案实施后股份数为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426,361,431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股，占公司总股本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25.78</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）自限售期满（</w:t>
            </w:r>
            <w:r>
              <w:rPr>
                <w:rFonts w:ascii="Times New Roman" w:hAnsi="Times New Roman" w:cs="Times New Roman" w:eastAsia="Times New Roman" w:hint="default"/>
                <w:sz w:val="18"/>
                <w:szCs w:val="18"/>
              </w:rPr>
              <w:t>2018</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3"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1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、李锋先生和应华</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5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pacing w:val="-2"/>
                <w:sz w:val="18"/>
                <w:szCs w:val="18"/>
              </w:rPr>
              <w:t>后</w:t>
            </w:r>
            <w:r>
              <w:rPr>
                <w:rFonts w:ascii="宋体" w:hAnsi="宋体" w:cs="宋体" w:eastAsia="宋体" w:hint="default"/>
                <w:sz w:val="18"/>
                <w:szCs w:val="18"/>
              </w:rPr>
              <w:t>六个月内不减持</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54"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1" w:hRule="exact"/>
        </w:trPr>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江先生</w:t>
            </w: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2520"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59" w:lineRule="auto" w:before="35"/>
        <w:ind w:right="891"/>
        <w:jc w:val="left"/>
        <w:rPr>
          <w:b w:val="0"/>
          <w:bCs w:val="0"/>
        </w:rPr>
      </w:pPr>
      <w:r>
        <w:rPr/>
        <w:pict>
          <v:group style="position:absolute;margin-left:407.940002pt;margin-top:-72.166031pt;width:44.55pt;height:39pt;mso-position-horizontal-relative:page;mso-position-vertical-relative:paragraph;z-index:-1220176" coordorigin="8159,-1443" coordsize="891,780">
            <v:shape style="position:absolute;left:8159;top:-1443;width:891;height:780" coordorigin="8159,-1443" coordsize="891,780" path="m8159,-663l9049,-663,9049,-1443,8159,-1443,8159,-663xe" filled="true" fillcolor="#ffffff" stroked="false">
              <v:path arrowok="t"/>
              <v:fill type="solid"/>
            </v:shape>
            <w10:wrap type="none"/>
          </v:group>
        </w:pict>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015"/>
        <w:gridCol w:w="1080"/>
        <w:gridCol w:w="1440"/>
        <w:gridCol w:w="800"/>
        <w:gridCol w:w="1720"/>
      </w:tblGrid>
      <w:tr>
        <w:trPr>
          <w:trHeight w:val="714" w:hRule="exact"/>
        </w:trPr>
        <w:tc>
          <w:tcPr>
            <w:tcW w:w="1306" w:type="dxa"/>
            <w:tcBorders>
              <w:top w:val="single" w:sz="4" w:space="0" w:color="000000"/>
              <w:left w:val="single" w:sz="4" w:space="0" w:color="000000"/>
              <w:bottom w:val="single" w:sz="12" w:space="0" w:color="C7EDCC"/>
              <w:right w:val="single" w:sz="4" w:space="0" w:color="000000"/>
            </w:tcBorders>
            <w:shd w:val="clear" w:color="auto" w:fill="D3D3D3"/>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440" w:type="dxa"/>
            <w:tcBorders>
              <w:top w:val="single" w:sz="4" w:space="0" w:color="000000"/>
              <w:left w:val="single" w:sz="4" w:space="0" w:color="000000"/>
              <w:bottom w:val="single" w:sz="12" w:space="0" w:color="C7EDCC"/>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（如适用）</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4" w:right="35"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720" w:type="dxa"/>
            <w:tcBorders>
              <w:top w:val="single" w:sz="4" w:space="0" w:color="000000"/>
              <w:left w:val="single" w:sz="4" w:space="0" w:color="000000"/>
              <w:bottom w:val="single" w:sz="12" w:space="0" w:color="C7EDCC"/>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7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0" w:right="0"/>
              <w:jc w:val="left"/>
              <w:rPr>
                <w:rFonts w:ascii="Times New Roman" w:hAnsi="Times New Roman" w:cs="Times New Roman" w:eastAsia="Times New Roman" w:hint="default"/>
                <w:sz w:val="18"/>
                <w:szCs w:val="18"/>
              </w:rPr>
            </w:pPr>
            <w:r>
              <w:rPr>
                <w:rFonts w:ascii="Times New Roman"/>
                <w:sz w:val="18"/>
              </w:rPr>
              <w:t>688.42</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由于市场竞争激</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42"/>
              <w:jc w:val="center"/>
              <w:rPr>
                <w:rFonts w:ascii="宋体" w:hAnsi="宋体" w:cs="宋体" w:eastAsia="宋体" w:hint="default"/>
                <w:sz w:val="18"/>
                <w:szCs w:val="18"/>
              </w:rPr>
            </w:pPr>
            <w:r>
              <w:rPr>
                <w:rFonts w:ascii="宋体" w:hAnsi="宋体" w:cs="宋体" w:eastAsia="宋体" w:hint="default"/>
                <w:sz w:val="18"/>
                <w:szCs w:val="18"/>
              </w:rPr>
              <w:t>中国证券报、证券时</w:t>
            </w:r>
          </w:p>
        </w:tc>
      </w:tr>
    </w:tbl>
    <w:p>
      <w:pPr>
        <w:spacing w:after="0" w:line="240" w:lineRule="auto"/>
        <w:jc w:val="center"/>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r>
        <w:rPr/>
        <w:pict>
          <v:group style="position:absolute;margin-left:416.940002pt;margin-top:105.699997pt;width:39.550pt;height:62.4pt;mso-position-horizontal-relative:page;mso-position-vertical-relative:page;z-index:-1220152" coordorigin="8339,2114" coordsize="791,1248">
            <v:shape style="position:absolute;left:8339;top:2114;width:791;height:1248" coordorigin="8339,2114" coordsize="791,1248" path="m8339,3362l9130,3362,9130,2114,8339,2114,8339,3362xe" filled="true" fillcolor="#ffffff" stroked="false">
              <v:path arrowok="t"/>
              <v:fill type="solid"/>
            </v:shape>
            <w10:wrap type="none"/>
          </v:group>
        </w:pict>
      </w:r>
      <w:r>
        <w:rPr/>
        <w:pict>
          <v:group style="position:absolute;margin-left:416.940002pt;margin-top:493.600006pt;width:39.550pt;height:46.8pt;mso-position-horizontal-relative:page;mso-position-vertical-relative:page;z-index:-1220128" coordorigin="8339,9872" coordsize="791,936">
            <v:shape style="position:absolute;left:8339;top:9872;width:791;height:936" coordorigin="8339,9872" coordsize="791,936" path="m8339,10808l9130,10808,9130,9872,8339,9872,8339,1080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015"/>
        <w:gridCol w:w="1080"/>
        <w:gridCol w:w="1440"/>
        <w:gridCol w:w="800"/>
        <w:gridCol w:w="1720"/>
      </w:tblGrid>
      <w:tr>
        <w:trPr>
          <w:trHeight w:val="322"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购买北京明润</w:t>
            </w: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烈，外包人员成本</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1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华创科技有限</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8"/>
                <w:sz w:val="18"/>
                <w:szCs w:val="18"/>
              </w:rPr>
              <w:t>增加，本公司人员</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http://www.cninfo.c</w:t>
              </w:r>
            </w:hyperlink>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责任公司股权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成本也有所上涨，</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pacing w:val="-90"/>
                <w:sz w:val="18"/>
                <w:szCs w:val="18"/>
              </w:rPr>
              <w:t>）</w:t>
            </w:r>
            <w:r>
              <w:rPr>
                <w:rFonts w:ascii="宋体" w:hAnsi="宋体" w:cs="宋体" w:eastAsia="宋体" w:hint="default"/>
                <w:sz w:val="18"/>
                <w:szCs w:val="18"/>
              </w:rPr>
              <w:t>《关于全资子</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导致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年没有</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公司北明软件收购股</w:t>
            </w:r>
          </w:p>
        </w:tc>
      </w:tr>
      <w:tr>
        <w:trPr>
          <w:trHeight w:val="308"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完成预测的业绩</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权的公告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800"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受相关行业调整</w:t>
            </w:r>
          </w:p>
        </w:tc>
        <w:tc>
          <w:tcPr>
            <w:tcW w:w="800"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w:t>
            </w:r>
          </w:p>
        </w:tc>
      </w:tr>
      <w:tr>
        <w:trPr>
          <w:trHeight w:val="316"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投资的影响，</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93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91"/>
              <w:jc w:val="both"/>
              <w:rPr>
                <w:rFonts w:ascii="宋体" w:hAnsi="宋体" w:cs="宋体" w:eastAsia="宋体" w:hint="default"/>
                <w:sz w:val="18"/>
                <w:szCs w:val="18"/>
              </w:rPr>
            </w:pPr>
            <w:r>
              <w:rPr>
                <w:rFonts w:ascii="宋体" w:hAnsi="宋体" w:cs="宋体" w:eastAsia="宋体" w:hint="default"/>
                <w:sz w:val="18"/>
                <w:szCs w:val="18"/>
              </w:rPr>
              <w:t>购买北京天时 前程自动化工 程技术有限公</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2"/>
                <w:sz w:val="18"/>
              </w:rPr>
              <w:t>3,511</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3,101</w:t>
            </w: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有的项目招标延 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 </w:t>
            </w:r>
            <w:r>
              <w:rPr>
                <w:rFonts w:ascii="宋体" w:hAnsi="宋体" w:cs="宋体" w:eastAsia="宋体" w:hint="default"/>
                <w:spacing w:val="-8"/>
                <w:sz w:val="18"/>
                <w:szCs w:val="18"/>
              </w:rPr>
              <w:t>提高运营效率，减</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
              <w:ind w:left="22" w:right="65"/>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w:t>
              </w:r>
            </w:hyperlink>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pacing w:val="-8"/>
                <w:sz w:val="18"/>
                <w:szCs w:val="18"/>
              </w:rPr>
              <w:t>om.cn</w:t>
            </w:r>
            <w:r>
              <w:rPr>
                <w:rFonts w:ascii="宋体" w:hAnsi="宋体" w:cs="宋体" w:eastAsia="宋体" w:hint="default"/>
                <w:spacing w:val="-8"/>
                <w:sz w:val="18"/>
                <w:szCs w:val="18"/>
              </w:rPr>
              <w:t>）《关于全资子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公司北明软件收购股</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司股权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少了垫资多的项</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权的公告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目的承接。</w:t>
            </w:r>
          </w:p>
        </w:tc>
        <w:tc>
          <w:tcPr>
            <w:tcW w:w="800"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936"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购买索科维尔</w:t>
            </w:r>
          </w:p>
          <w:p>
            <w:pPr>
              <w:pStyle w:val="TableParagraph"/>
              <w:spacing w:line="316" w:lineRule="auto" w:before="76"/>
              <w:ind w:left="22" w:right="23"/>
              <w:jc w:val="left"/>
              <w:rPr>
                <w:rFonts w:ascii="宋体" w:hAnsi="宋体" w:cs="宋体" w:eastAsia="宋体" w:hint="default"/>
                <w:sz w:val="18"/>
                <w:szCs w:val="18"/>
              </w:rPr>
            </w:pPr>
            <w:r>
              <w:rPr>
                <w:rFonts w:ascii="宋体" w:hAnsi="宋体" w:cs="宋体" w:eastAsia="宋体" w:hint="default"/>
                <w:spacing w:val="-2"/>
                <w:sz w:val="18"/>
                <w:szCs w:val="18"/>
              </w:rPr>
              <w:t>（北京）软件系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统有限公司股</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2,246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2,261.38</w:t>
            </w: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2" w:right="65"/>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w:t>
              </w:r>
            </w:hyperlink>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pacing w:val="-8"/>
                <w:sz w:val="18"/>
                <w:szCs w:val="18"/>
              </w:rPr>
              <w:t>om.cn</w:t>
            </w:r>
            <w:r>
              <w:rPr>
                <w:rFonts w:ascii="宋体" w:hAnsi="宋体" w:cs="宋体" w:eastAsia="宋体" w:hint="default"/>
                <w:spacing w:val="-8"/>
                <w:sz w:val="18"/>
                <w:szCs w:val="18"/>
              </w:rPr>
              <w:t>）《关于全资子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公司北明软件收购股</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权的公告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年增设了大</w:t>
            </w:r>
          </w:p>
        </w:tc>
        <w:tc>
          <w:tcPr>
            <w:tcW w:w="800"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数据事业部和与</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w:t>
            </w:r>
          </w:p>
        </w:tc>
      </w:tr>
      <w:tr>
        <w:trPr>
          <w:trHeight w:val="1559"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北明软件现金 购买山东成功 信息技术有限 公司股权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781.25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612.53</w:t>
            </w: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腾讯公司合作前 </w:t>
            </w:r>
            <w:r>
              <w:rPr>
                <w:rFonts w:ascii="宋体" w:hAnsi="宋体" w:cs="宋体" w:eastAsia="宋体" w:hint="default"/>
                <w:spacing w:val="-8"/>
                <w:sz w:val="18"/>
                <w:szCs w:val="18"/>
              </w:rPr>
              <w:t>期投入，导致人工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成本增加；另外与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主营相关的政府 </w:t>
            </w:r>
            <w:r>
              <w:rPr>
                <w:rFonts w:ascii="宋体" w:hAnsi="宋体" w:cs="宋体" w:eastAsia="宋体" w:hint="default"/>
                <w:spacing w:val="-8"/>
                <w:sz w:val="18"/>
                <w:szCs w:val="18"/>
              </w:rPr>
              <w:t>机构改革、平台整</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报、巨潮资讯网</w:t>
            </w:r>
          </w:p>
          <w:p>
            <w:pPr>
              <w:pStyle w:val="TableParagraph"/>
              <w:spacing w:line="307" w:lineRule="auto" w:before="76"/>
              <w:ind w:left="22" w:right="65"/>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w:t>
              </w:r>
            </w:hyperlink>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pacing w:val="-8"/>
                <w:sz w:val="18"/>
                <w:szCs w:val="18"/>
              </w:rPr>
              <w:t>om.cn</w:t>
            </w:r>
            <w:r>
              <w:rPr>
                <w:rFonts w:ascii="宋体" w:hAnsi="宋体" w:cs="宋体" w:eastAsia="宋体" w:hint="default"/>
                <w:spacing w:val="-8"/>
                <w:sz w:val="18"/>
                <w:szCs w:val="18"/>
              </w:rPr>
              <w:t>）《关于全资子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公司北明软件收购股 </w:t>
            </w:r>
            <w:r>
              <w:rPr>
                <w:rFonts w:ascii="宋体" w:hAnsi="宋体" w:cs="宋体" w:eastAsia="宋体" w:hint="default"/>
                <w:spacing w:val="-10"/>
                <w:sz w:val="18"/>
                <w:szCs w:val="18"/>
              </w:rPr>
              <w:t>权的公告》（公告编</w:t>
            </w:r>
          </w:p>
        </w:tc>
      </w:tr>
      <w:tr>
        <w:trPr>
          <w:trHeight w:val="318"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合、需求不足，导</w:t>
            </w: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51"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至预计项目滞后。</w:t>
            </w:r>
          </w:p>
        </w:tc>
        <w:tc>
          <w:tcPr>
            <w:tcW w:w="800"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1560"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北明软件现金 购买北京金实 盈信科技有限 公司股权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2,190.36</w:t>
            </w: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22" w:right="65"/>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w:t>
              </w:r>
            </w:hyperlink>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pacing w:val="-8"/>
                <w:sz w:val="18"/>
                <w:szCs w:val="18"/>
              </w:rPr>
              <w:t>om.cn</w:t>
            </w:r>
            <w:r>
              <w:rPr>
                <w:rFonts w:ascii="宋体" w:hAnsi="宋体" w:cs="宋体" w:eastAsia="宋体" w:hint="default"/>
                <w:spacing w:val="-8"/>
                <w:sz w:val="18"/>
                <w:szCs w:val="18"/>
              </w:rPr>
              <w:t>）《北明软件有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限公司与席波及西安 盈泰企业管理咨询有 限公司关于北京金实</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800"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盈信科技有限公司之</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股权转让协议》</w:t>
            </w:r>
          </w:p>
        </w:tc>
      </w:tr>
    </w:tbl>
    <w:p>
      <w:pPr>
        <w:spacing w:line="240" w:lineRule="auto" w:before="6"/>
        <w:rPr>
          <w:rFonts w:ascii="宋体" w:hAnsi="宋体" w:cs="宋体" w:eastAsia="宋体" w:hint="default"/>
          <w:sz w:val="27"/>
          <w:szCs w:val="27"/>
        </w:rPr>
      </w:pPr>
    </w:p>
    <w:p>
      <w:pPr>
        <w:pStyle w:val="BodyText"/>
        <w:spacing w:line="240" w:lineRule="auto" w:before="44"/>
        <w:ind w:right="891"/>
        <w:jc w:val="left"/>
      </w:pPr>
      <w:r>
        <w:rPr/>
        <w:t>公司股东、交易对手方在报告年度经营业绩做出的承诺情况</w:t>
      </w:r>
    </w:p>
    <w:p>
      <w:pPr>
        <w:pStyle w:val="BodyText"/>
        <w:spacing w:line="338" w:lineRule="auto" w:before="116"/>
        <w:ind w:left="514" w:right="89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根据北明软件分别与各交易对手方签署的《股权转让协议》，明润华创、天时前程、索科维尔、山东成功、金实盈信五</w:t>
      </w:r>
    </w:p>
    <w:p>
      <w:pPr>
        <w:pStyle w:val="BodyText"/>
        <w:spacing w:line="240" w:lineRule="auto" w:before="2"/>
        <w:ind w:right="891"/>
        <w:jc w:val="left"/>
      </w:pPr>
      <w:r>
        <w:rPr/>
        <w:t>家公司分别承诺</w:t>
      </w:r>
      <w:r>
        <w:rPr>
          <w:rFonts w:ascii="Times New Roman" w:hAnsi="Times New Roman" w:cs="Times New Roman" w:eastAsia="Times New Roman" w:hint="default"/>
        </w:rPr>
        <w:t>2018</w:t>
      </w:r>
      <w:r>
        <w:rPr/>
        <w:t>年扣除非经常损益的净利润完成</w:t>
      </w:r>
      <w:r>
        <w:rPr>
          <w:rFonts w:ascii="Times New Roman" w:hAnsi="Times New Roman" w:cs="Times New Roman" w:eastAsia="Times New Roman" w:hint="default"/>
        </w:rPr>
        <w:t>750.00</w:t>
      </w:r>
      <w:r>
        <w:rPr/>
        <w:t>万元、</w:t>
      </w:r>
      <w:r>
        <w:rPr>
          <w:rFonts w:ascii="Times New Roman" w:hAnsi="Times New Roman" w:cs="Times New Roman" w:eastAsia="Times New Roman" w:hint="default"/>
        </w:rPr>
        <w:t>3,511.00</w:t>
      </w:r>
      <w:r>
        <w:rPr/>
        <w:t>万元、</w:t>
      </w:r>
      <w:r>
        <w:rPr>
          <w:rFonts w:ascii="Times New Roman" w:hAnsi="Times New Roman" w:cs="Times New Roman" w:eastAsia="Times New Roman" w:hint="default"/>
        </w:rPr>
        <w:t>2,246.00</w:t>
      </w:r>
      <w:r>
        <w:rPr/>
        <w:t>万元、</w:t>
      </w:r>
      <w:r>
        <w:rPr>
          <w:rFonts w:ascii="Times New Roman" w:hAnsi="Times New Roman" w:cs="Times New Roman" w:eastAsia="Times New Roman" w:hint="default"/>
        </w:rPr>
        <w:t>781.25</w:t>
      </w:r>
      <w:r>
        <w:rPr/>
        <w:t>万元和</w:t>
      </w:r>
      <w:r>
        <w:rPr>
          <w:rFonts w:ascii="Times New Roman" w:hAnsi="Times New Roman" w:cs="Times New Roman" w:eastAsia="Times New Roman" w:hint="default"/>
        </w:rPr>
        <w:t>2,185.00</w:t>
      </w:r>
      <w:r>
        <w:rPr/>
        <w:t>万元，</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30"/>
        <w:jc w:val="left"/>
      </w:pPr>
      <w:r>
        <w:rPr/>
        <w:t>上述五家公司当年实际净利润分别为</w:t>
      </w:r>
      <w:r>
        <w:rPr>
          <w:rFonts w:ascii="Times New Roman" w:hAnsi="Times New Roman" w:cs="Times New Roman" w:eastAsia="Times New Roman" w:hint="default"/>
        </w:rPr>
        <w:t>688.42</w:t>
      </w:r>
      <w:r>
        <w:rPr/>
        <w:t>万元、</w:t>
      </w:r>
      <w:r>
        <w:rPr>
          <w:rFonts w:ascii="Times New Roman" w:hAnsi="Times New Roman" w:cs="Times New Roman" w:eastAsia="Times New Roman" w:hint="default"/>
        </w:rPr>
        <w:t>3,101.00</w:t>
      </w:r>
      <w:r>
        <w:rPr/>
        <w:t>万元、</w:t>
      </w:r>
      <w:r>
        <w:rPr>
          <w:rFonts w:ascii="Times New Roman" w:hAnsi="Times New Roman" w:cs="Times New Roman" w:eastAsia="Times New Roman" w:hint="default"/>
        </w:rPr>
        <w:t>2,261.38</w:t>
      </w:r>
      <w:r>
        <w:rPr/>
        <w:t>万元、</w:t>
      </w:r>
      <w:r>
        <w:rPr>
          <w:rFonts w:ascii="Times New Roman" w:hAnsi="Times New Roman" w:cs="Times New Roman" w:eastAsia="Times New Roman" w:hint="default"/>
        </w:rPr>
        <w:t>612.53</w:t>
      </w:r>
      <w:r>
        <w:rPr/>
        <w:t>万元和</w:t>
      </w:r>
      <w:r>
        <w:rPr>
          <w:rFonts w:ascii="Times New Roman" w:hAnsi="Times New Roman" w:cs="Times New Roman" w:eastAsia="Times New Roman" w:hint="default"/>
        </w:rPr>
        <w:t>2,190.36</w:t>
      </w:r>
      <w:r>
        <w:rPr/>
        <w:t>万元，其中索科维尔、 </w:t>
      </w:r>
      <w:r>
        <w:rPr>
          <w:spacing w:val="-2"/>
        </w:rPr>
        <w:t>金实盈信两家公司超额完成了单年业绩承诺，明润华创、天时前程、山东成功三家公司当年实际盈利数未能达到单年承诺利</w:t>
      </w:r>
      <w:r>
        <w:rPr>
          <w:spacing w:val="-66"/>
        </w:rPr>
        <w:t> </w:t>
      </w:r>
      <w:r>
        <w:rPr>
          <w:spacing w:val="-66"/>
        </w:rPr>
      </w:r>
      <w:r>
        <w:rPr/>
        <w:t>润数。</w:t>
      </w:r>
    </w:p>
    <w:p>
      <w:pPr>
        <w:pStyle w:val="BodyText"/>
        <w:spacing w:line="304" w:lineRule="auto" w:before="24"/>
        <w:ind w:right="1129" w:firstLine="360"/>
        <w:jc w:val="both"/>
      </w:pPr>
      <w:r>
        <w:rPr/>
        <w:t>明润华创、天时前程、索科维尔、山东成功四家公司分别承诺业绩承诺期间累计扣除非经常损益的净利润完成</w:t>
      </w:r>
      <w:r>
        <w:rPr>
          <w:rFonts w:ascii="Times New Roman" w:hAnsi="Times New Roman" w:cs="Times New Roman" w:eastAsia="Times New Roman" w:hint="default"/>
        </w:rPr>
        <w:t>2,245.00 </w:t>
      </w:r>
      <w:r>
        <w:rPr/>
        <w:t>万元、</w:t>
      </w:r>
      <w:r>
        <w:rPr>
          <w:rFonts w:ascii="Times New Roman" w:hAnsi="Times New Roman" w:cs="Times New Roman" w:eastAsia="Times New Roman" w:hint="default"/>
        </w:rPr>
        <w:t>10,379.00</w:t>
      </w:r>
      <w:r>
        <w:rPr/>
        <w:t>万元、</w:t>
      </w:r>
      <w:r>
        <w:rPr>
          <w:rFonts w:ascii="Times New Roman" w:hAnsi="Times New Roman" w:cs="Times New Roman" w:eastAsia="Times New Roman" w:hint="default"/>
        </w:rPr>
        <w:t>6,631.00</w:t>
      </w:r>
      <w:r>
        <w:rPr/>
        <w:t>万元和</w:t>
      </w:r>
      <w:r>
        <w:rPr>
          <w:rFonts w:ascii="Times New Roman" w:hAnsi="Times New Roman" w:cs="Times New Roman" w:eastAsia="Times New Roman" w:hint="default"/>
        </w:rPr>
        <w:t>2,306.25</w:t>
      </w:r>
      <w:r>
        <w:rPr/>
        <w:t>万元，上述四家公司累计实际扣非后净利润分别为</w:t>
      </w:r>
      <w:r>
        <w:rPr>
          <w:rFonts w:ascii="Times New Roman" w:hAnsi="Times New Roman" w:cs="Times New Roman" w:eastAsia="Times New Roman" w:hint="default"/>
        </w:rPr>
        <w:t>2,320.66</w:t>
      </w:r>
      <w:r>
        <w:rPr/>
        <w:t>万元、</w:t>
      </w:r>
      <w:r>
        <w:rPr>
          <w:rFonts w:ascii="Times New Roman" w:hAnsi="Times New Roman" w:cs="Times New Roman" w:eastAsia="Times New Roman" w:hint="default"/>
        </w:rPr>
        <w:t>10,549.40</w:t>
      </w:r>
      <w:r>
        <w:rPr/>
        <w:t>万 </w:t>
      </w:r>
      <w:r>
        <w:rPr>
          <w:spacing w:val="-2"/>
        </w:rPr>
        <w:t>元、</w:t>
      </w:r>
      <w:r>
        <w:rPr>
          <w:rFonts w:ascii="Times New Roman" w:hAnsi="Times New Roman" w:cs="Times New Roman" w:eastAsia="Times New Roman" w:hint="default"/>
          <w:spacing w:val="-2"/>
        </w:rPr>
        <w:t>4,558.95</w:t>
      </w:r>
      <w:r>
        <w:rPr>
          <w:spacing w:val="-2"/>
        </w:rPr>
        <w:t>万元和</w:t>
      </w:r>
      <w:r>
        <w:rPr>
          <w:rFonts w:ascii="Times New Roman" w:hAnsi="Times New Roman" w:cs="Times New Roman" w:eastAsia="Times New Roman" w:hint="default"/>
          <w:spacing w:val="-2"/>
        </w:rPr>
        <w:t>2,546.13</w:t>
      </w:r>
      <w:r>
        <w:rPr>
          <w:spacing w:val="-2"/>
        </w:rPr>
        <w:t>万元，其中明润华创、天时前程、山东成功信三家公司超额完成了累计业绩承诺，索科维尔没有</w:t>
      </w:r>
      <w:r>
        <w:rPr>
          <w:spacing w:val="-52"/>
        </w:rPr>
        <w:t> </w:t>
      </w:r>
      <w:r>
        <w:rPr>
          <w:spacing w:val="-52"/>
        </w:rPr>
      </w:r>
      <w:r>
        <w:rPr>
          <w:spacing w:val="-2"/>
        </w:rPr>
        <w:t>完成累计业绩承诺。根据北明软件与田华、张艳、及王国军签订的《关于索科维尔（北京）软件系统有限公司之股权转让协</w:t>
      </w:r>
      <w:r>
        <w:rPr>
          <w:spacing w:val="-70"/>
        </w:rPr>
        <w:t> </w:t>
      </w:r>
      <w:r>
        <w:rPr>
          <w:spacing w:val="-70"/>
        </w:rPr>
      </w:r>
      <w:r>
        <w:rPr>
          <w:spacing w:val="-2"/>
        </w:rPr>
        <w:t>议》相关条款计算确定的最终股权转让款为</w:t>
      </w:r>
      <w:r>
        <w:rPr>
          <w:rFonts w:ascii="Times New Roman" w:hAnsi="Times New Roman" w:cs="Times New Roman" w:eastAsia="Times New Roman" w:hint="default"/>
          <w:spacing w:val="-2"/>
        </w:rPr>
        <w:t>5,748.49</w:t>
      </w:r>
      <w:r>
        <w:rPr>
          <w:spacing w:val="-2"/>
        </w:rPr>
        <w:t>万元，与初始股权转让价格的差额</w:t>
      </w:r>
      <w:r>
        <w:rPr>
          <w:rFonts w:ascii="Times New Roman" w:hAnsi="Times New Roman" w:cs="Times New Roman" w:eastAsia="Times New Roman" w:hint="default"/>
          <w:spacing w:val="-2"/>
        </w:rPr>
        <w:t>6,100.51</w:t>
      </w:r>
      <w:r>
        <w:rPr>
          <w:spacing w:val="-2"/>
        </w:rPr>
        <w:t>万元不必再支付给索科维尔原</w:t>
      </w:r>
      <w:r>
        <w:rPr>
          <w:spacing w:val="-51"/>
        </w:rPr>
        <w:t> </w:t>
      </w:r>
      <w:r>
        <w:rPr>
          <w:spacing w:val="-51"/>
        </w:rPr>
      </w:r>
      <w:r>
        <w:rPr/>
        <w:t>股东。</w:t>
      </w:r>
    </w:p>
    <w:p>
      <w:pPr>
        <w:pStyle w:val="BodyText"/>
        <w:spacing w:line="357" w:lineRule="auto" w:before="68"/>
        <w:ind w:left="444" w:right="891" w:hanging="291"/>
        <w:jc w:val="left"/>
      </w:pPr>
      <w:r>
        <w:rPr/>
        <w:t>业绩承诺的完成情况及其对商誉减值测试的影响 </w:t>
      </w:r>
      <w:r>
        <w:rPr>
          <w:spacing w:val="-1"/>
        </w:rPr>
        <w:t>明润华创、天时前程、山东成功三家公司</w:t>
      </w:r>
      <w:r>
        <w:rPr>
          <w:rFonts w:ascii="Times New Roman" w:hAnsi="Times New Roman" w:cs="Times New Roman" w:eastAsia="Times New Roman" w:hint="default"/>
          <w:spacing w:val="-1"/>
        </w:rPr>
        <w:t>2018</w:t>
      </w:r>
      <w:r>
        <w:rPr>
          <w:spacing w:val="-1"/>
        </w:rPr>
        <w:t>年虽未能完成单年承诺净利润，但超额完成了累计承诺净利润；索科维尔</w:t>
      </w:r>
    </w:p>
    <w:p>
      <w:pPr>
        <w:pStyle w:val="BodyText"/>
        <w:spacing w:line="214" w:lineRule="exact"/>
        <w:ind w:right="891"/>
        <w:jc w:val="left"/>
      </w:pPr>
      <w:r>
        <w:rPr>
          <w:rFonts w:ascii="Times New Roman" w:hAnsi="Times New Roman" w:cs="Times New Roman" w:eastAsia="Times New Roman" w:hint="default"/>
        </w:rPr>
        <w:t>2018</w:t>
      </w:r>
      <w:r>
        <w:rPr/>
        <w:t>年完成单年承诺净利润，未完成累计承诺净利润。从四家公司</w:t>
      </w:r>
      <w:r>
        <w:rPr>
          <w:rFonts w:ascii="Times New Roman" w:hAnsi="Times New Roman" w:cs="Times New Roman" w:eastAsia="Times New Roman" w:hint="default"/>
        </w:rPr>
        <w:t>2019</w:t>
      </w:r>
      <w:r>
        <w:rPr/>
        <w:t>年度及未来预测数据来看，发展势头良好，根据中联</w:t>
      </w:r>
    </w:p>
    <w:p>
      <w:pPr>
        <w:pStyle w:val="BodyText"/>
        <w:spacing w:line="300" w:lineRule="auto" w:before="63"/>
        <w:ind w:right="1139"/>
        <w:jc w:val="left"/>
      </w:pPr>
      <w:r>
        <w:rPr/>
        <w:t>资产评估集团有限公司出具的《资产评估报告》（中联评报字［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705</w:t>
      </w:r>
      <w:r>
        <w:rPr>
          <w:rFonts w:ascii="Times New Roman" w:hAnsi="Times New Roman" w:cs="Times New Roman" w:eastAsia="Times New Roman" w:hint="default"/>
          <w:spacing w:val="26"/>
        </w:rPr>
        <w:t> </w:t>
      </w:r>
      <w:r>
        <w:rPr/>
        <w:t>号、中联评报字［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702</w:t>
      </w:r>
      <w:r>
        <w:rPr/>
        <w:t>号、中联评报 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704</w:t>
      </w:r>
      <w:r>
        <w:rPr/>
        <w:t>号、中联评报字［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703</w:t>
      </w:r>
      <w:r>
        <w:rPr>
          <w:rFonts w:ascii="Times New Roman" w:hAnsi="Times New Roman" w:cs="Times New Roman" w:eastAsia="Times New Roman" w:hint="default"/>
          <w:spacing w:val="26"/>
        </w:rPr>
        <w:t> </w:t>
      </w:r>
      <w:r>
        <w:rPr/>
        <w:t>号），截止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日，并购四家公司形成的商誉不存在减值迹象。</w:t>
      </w:r>
    </w:p>
    <w:p>
      <w:pPr>
        <w:spacing w:line="240" w:lineRule="auto" w:before="4"/>
        <w:rPr>
          <w:rFonts w:ascii="宋体" w:hAnsi="宋体" w:cs="宋体" w:eastAsia="宋体" w:hint="default"/>
          <w:sz w:val="20"/>
          <w:szCs w:val="20"/>
        </w:rPr>
      </w:pPr>
    </w:p>
    <w:p>
      <w:pPr>
        <w:pStyle w:val="Heading2"/>
        <w:spacing w:line="240" w:lineRule="auto"/>
        <w:ind w:right="891"/>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891"/>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91"/>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91"/>
        <w:jc w:val="left"/>
      </w:pPr>
      <w:r>
        <w:rPr/>
        <w:t>（</w:t>
      </w:r>
      <w:r>
        <w:rPr>
          <w:rFonts w:ascii="Times New Roman" w:hAnsi="Times New Roman" w:cs="Times New Roman" w:eastAsia="Times New Roman" w:hint="default"/>
        </w:rPr>
        <w:t>1</w:t>
      </w:r>
      <w:r>
        <w:rPr/>
        <w:t>）会计政策变更</w:t>
      </w:r>
    </w:p>
    <w:p>
      <w:pPr>
        <w:spacing w:line="240" w:lineRule="auto" w:before="4"/>
        <w:rPr>
          <w:rFonts w:ascii="宋体" w:hAnsi="宋体" w:cs="宋体" w:eastAsia="宋体" w:hint="default"/>
          <w:sz w:val="21"/>
          <w:szCs w:val="21"/>
        </w:rPr>
      </w:pPr>
    </w:p>
    <w:p>
      <w:pPr>
        <w:pStyle w:val="BodyText"/>
        <w:spacing w:line="523" w:lineRule="auto"/>
        <w:ind w:left="514" w:right="1480" w:hanging="270"/>
        <w:jc w:val="left"/>
      </w:pPr>
      <w:r>
        <w:rPr/>
        <w:t>①因执行新企业会计准则导致的会计政策变更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日，财政部发布了《关于修订印发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 本公司执行此项会计政策对列报前期财务报表项目及金额的影响如下：</w:t>
      </w:r>
    </w:p>
    <w:p>
      <w:pPr>
        <w:spacing w:line="240" w:lineRule="auto" w:before="4"/>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030"/>
        <w:gridCol w:w="4724"/>
        <w:gridCol w:w="3804"/>
      </w:tblGrid>
      <w:tr>
        <w:trPr>
          <w:trHeight w:val="659" w:hRule="exact"/>
        </w:trPr>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55"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428" w:right="903" w:hanging="52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年度金额（元）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7" w:hRule="exact"/>
        </w:trPr>
        <w:tc>
          <w:tcPr>
            <w:tcW w:w="10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1</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-339,593,872.54</w:t>
            </w:r>
          </w:p>
        </w:tc>
      </w:tr>
      <w:tr>
        <w:trPr>
          <w:trHeight w:val="347" w:hRule="exact"/>
        </w:trPr>
        <w:tc>
          <w:tcPr>
            <w:tcW w:w="1030" w:type="dxa"/>
            <w:vMerge/>
            <w:tcBorders>
              <w:left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-2,323,068,424.34</w:t>
            </w:r>
          </w:p>
        </w:tc>
      </w:tr>
      <w:tr>
        <w:trPr>
          <w:trHeight w:val="347" w:hRule="exact"/>
        </w:trPr>
        <w:tc>
          <w:tcPr>
            <w:tcW w:w="1030" w:type="dxa"/>
            <w:vMerge/>
            <w:tcBorders>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+2,662,662,296.88</w:t>
            </w:r>
          </w:p>
        </w:tc>
      </w:tr>
      <w:tr>
        <w:trPr>
          <w:trHeight w:val="347" w:hRule="exact"/>
        </w:trPr>
        <w:tc>
          <w:tcPr>
            <w:tcW w:w="10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2</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+11,150,294.95</w:t>
            </w:r>
          </w:p>
        </w:tc>
      </w:tr>
      <w:tr>
        <w:trPr>
          <w:trHeight w:val="348" w:hRule="exact"/>
        </w:trPr>
        <w:tc>
          <w:tcPr>
            <w:tcW w:w="1030" w:type="dxa"/>
            <w:vMerge/>
            <w:tcBorders>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-11,150,294.95</w:t>
            </w:r>
          </w:p>
        </w:tc>
      </w:tr>
      <w:tr>
        <w:trPr>
          <w:trHeight w:val="347" w:hRule="exact"/>
        </w:trPr>
        <w:tc>
          <w:tcPr>
            <w:tcW w:w="10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3</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-717,797,920.64</w:t>
            </w:r>
          </w:p>
        </w:tc>
      </w:tr>
      <w:tr>
        <w:trPr>
          <w:trHeight w:val="347" w:hRule="exact"/>
        </w:trPr>
        <w:tc>
          <w:tcPr>
            <w:tcW w:w="1030" w:type="dxa"/>
            <w:vMerge/>
            <w:tcBorders>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-1,016,322,693.15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30"/>
        <w:gridCol w:w="4724"/>
        <w:gridCol w:w="3804"/>
      </w:tblGrid>
      <w:tr>
        <w:trPr>
          <w:trHeight w:val="347" w:hRule="exact"/>
        </w:trPr>
        <w:tc>
          <w:tcPr>
            <w:tcW w:w="1030" w:type="dxa"/>
            <w:tcBorders>
              <w:top w:val="single" w:sz="6" w:space="0" w:color="000000"/>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+1,734,120,613.79</w:t>
            </w:r>
          </w:p>
        </w:tc>
      </w:tr>
      <w:tr>
        <w:trPr>
          <w:trHeight w:val="347" w:hRule="exact"/>
        </w:trPr>
        <w:tc>
          <w:tcPr>
            <w:tcW w:w="10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4</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-2,766,145.70</w:t>
            </w:r>
          </w:p>
        </w:tc>
      </w:tr>
      <w:tr>
        <w:trPr>
          <w:trHeight w:val="348" w:hRule="exact"/>
        </w:trPr>
        <w:tc>
          <w:tcPr>
            <w:tcW w:w="1030" w:type="dxa"/>
            <w:vMerge/>
            <w:tcBorders>
              <w:left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347" w:hRule="exact"/>
        </w:trPr>
        <w:tc>
          <w:tcPr>
            <w:tcW w:w="1030" w:type="dxa"/>
            <w:vMerge/>
            <w:tcBorders>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+32,734,567.83</w:t>
            </w:r>
          </w:p>
        </w:tc>
      </w:tr>
      <w:tr>
        <w:trPr>
          <w:trHeight w:val="347" w:hRule="exact"/>
        </w:trPr>
        <w:tc>
          <w:tcPr>
            <w:tcW w:w="10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5</w:t>
            </w: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-62,287,701.89</w:t>
            </w:r>
          </w:p>
        </w:tc>
      </w:tr>
      <w:tr>
        <w:trPr>
          <w:trHeight w:val="348" w:hRule="exact"/>
        </w:trPr>
        <w:tc>
          <w:tcPr>
            <w:tcW w:w="1030" w:type="dxa"/>
            <w:vMerge/>
            <w:tcBorders>
              <w:left w:val="single" w:sz="6" w:space="0" w:color="000000"/>
              <w:bottom w:val="single" w:sz="6" w:space="0" w:color="000000"/>
              <w:right w:val="single" w:sz="6" w:space="0" w:color="000000"/>
            </w:tcBorders>
          </w:tcPr>
          <w:p>
            <w:pPr/>
          </w:p>
        </w:tc>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+62,287,701.89</w:t>
            </w:r>
          </w:p>
        </w:tc>
      </w:tr>
    </w:tbl>
    <w:p>
      <w:pPr>
        <w:spacing w:line="240" w:lineRule="auto" w:before="8"/>
        <w:rPr>
          <w:rFonts w:ascii="宋体" w:hAnsi="宋体" w:cs="宋体" w:eastAsia="宋体" w:hint="default"/>
          <w:sz w:val="6"/>
          <w:szCs w:val="6"/>
        </w:rPr>
      </w:pPr>
    </w:p>
    <w:p>
      <w:pPr>
        <w:pStyle w:val="BodyText"/>
        <w:spacing w:line="537" w:lineRule="auto" w:before="44"/>
        <w:ind w:left="444" w:right="8986" w:hanging="146"/>
        <w:jc w:val="left"/>
      </w:pPr>
      <w:r>
        <w:rPr/>
        <w:t>②其他会计政策变更 无</w:t>
      </w:r>
    </w:p>
    <w:p>
      <w:pPr>
        <w:pStyle w:val="BodyText"/>
        <w:spacing w:line="240" w:lineRule="auto" w:before="69"/>
        <w:ind w:right="891"/>
        <w:jc w:val="left"/>
      </w:pPr>
      <w:r>
        <w:rPr/>
        <w:t>（</w:t>
      </w:r>
      <w:r>
        <w:rPr>
          <w:rFonts w:ascii="Times New Roman" w:hAnsi="Times New Roman" w:cs="Times New Roman" w:eastAsia="Times New Roman" w:hint="default"/>
        </w:rPr>
        <w:t>2</w:t>
      </w:r>
      <w:r>
        <w:rPr/>
        <w:t>）会计估计变更</w:t>
      </w:r>
    </w:p>
    <w:p>
      <w:pPr>
        <w:spacing w:line="240" w:lineRule="auto" w:before="2"/>
        <w:rPr>
          <w:rFonts w:ascii="宋体" w:hAnsi="宋体" w:cs="宋体" w:eastAsia="宋体" w:hint="default"/>
          <w:sz w:val="24"/>
          <w:szCs w:val="24"/>
        </w:rPr>
      </w:pPr>
    </w:p>
    <w:p>
      <w:pPr>
        <w:pStyle w:val="Heading2"/>
        <w:spacing w:line="240" w:lineRule="auto"/>
        <w:ind w:right="891"/>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6611"/>
        <w:jc w:val="left"/>
      </w:pPr>
      <w:r>
        <w:rPr/>
        <w:t>□ 适用 √ 不适用 公司报告期无重大会计差错更正需追溯重述的情况。</w:t>
      </w:r>
    </w:p>
    <w:p>
      <w:pPr>
        <w:spacing w:line="240" w:lineRule="auto" w:before="3"/>
        <w:rPr>
          <w:rFonts w:ascii="宋体" w:hAnsi="宋体" w:cs="宋体" w:eastAsia="宋体" w:hint="default"/>
          <w:sz w:val="18"/>
          <w:szCs w:val="18"/>
        </w:rPr>
      </w:pPr>
    </w:p>
    <w:p>
      <w:pPr>
        <w:pStyle w:val="Heading2"/>
        <w:spacing w:line="240" w:lineRule="auto"/>
        <w:ind w:right="891"/>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891"/>
        <w:jc w:val="left"/>
      </w:pPr>
      <w:r>
        <w:rPr/>
        <w:t>√ 适用 □ 不适用 </w:t>
      </w:r>
      <w:r>
        <w:rPr>
          <w:spacing w:val="-2"/>
        </w:rPr>
        <w:t>本报告期新增舞钢智慧城市科技发展有限公司、石家庄爱意科技有限公司、青岛北明智慧城市科技有限公司、北京北明数科</w:t>
      </w:r>
      <w:r>
        <w:rPr>
          <w:spacing w:val="-66"/>
        </w:rPr>
        <w:t> </w:t>
      </w:r>
      <w:r>
        <w:rPr>
          <w:spacing w:val="-66"/>
        </w:rPr>
      </w:r>
      <w:r>
        <w:rPr/>
        <w:t>信息技术有限公司</w:t>
      </w:r>
      <w:r>
        <w:rPr>
          <w:rFonts w:ascii="Times New Roman" w:hAnsi="Times New Roman" w:cs="Times New Roman" w:eastAsia="Times New Roman" w:hint="default"/>
        </w:rPr>
        <w:t>4</w:t>
      </w:r>
      <w:r>
        <w:rPr/>
        <w:t>家子公司。</w:t>
      </w:r>
    </w:p>
    <w:p>
      <w:pPr>
        <w:spacing w:line="240" w:lineRule="auto" w:before="11"/>
        <w:rPr>
          <w:rFonts w:ascii="宋体" w:hAnsi="宋体" w:cs="宋体" w:eastAsia="宋体" w:hint="default"/>
          <w:sz w:val="17"/>
          <w:szCs w:val="17"/>
        </w:rPr>
      </w:pPr>
    </w:p>
    <w:p>
      <w:pPr>
        <w:pStyle w:val="Heading2"/>
        <w:spacing w:line="240" w:lineRule="auto"/>
        <w:ind w:right="891"/>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6"/>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王凤岐、王飞</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王凤岐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2"/>
        <w:ind w:right="891"/>
        <w:jc w:val="left"/>
      </w:pPr>
      <w:r>
        <w:rPr/>
        <w:t>当期是否改聘会计师事务所</w:t>
      </w:r>
    </w:p>
    <w:p>
      <w:pPr>
        <w:pStyle w:val="BodyText"/>
        <w:spacing w:line="338" w:lineRule="auto" w:before="117"/>
        <w:ind w:right="6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本年度，公司聘请中兴财光华会计师事务所（特殊普通合伙）为内部控制审计机构，支付报酬</w:t>
      </w:r>
      <w:r>
        <w:rPr>
          <w:rFonts w:ascii="Times New Roman" w:hAnsi="Times New Roman" w:cs="Times New Roman" w:eastAsia="Times New Roman" w:hint="default"/>
        </w:rPr>
        <w:t>40</w:t>
      </w:r>
      <w:r>
        <w:rPr/>
        <w:t>万元。</w:t>
      </w:r>
    </w:p>
    <w:p>
      <w:pPr>
        <w:spacing w:line="240" w:lineRule="auto" w:before="11"/>
        <w:rPr>
          <w:rFonts w:ascii="宋体" w:hAnsi="宋体" w:cs="宋体" w:eastAsia="宋体" w:hint="default"/>
          <w:sz w:val="17"/>
          <w:szCs w:val="17"/>
        </w:rPr>
      </w:pPr>
    </w:p>
    <w:p>
      <w:pPr>
        <w:pStyle w:val="Heading2"/>
        <w:spacing w:line="240" w:lineRule="auto"/>
        <w:ind w:right="891"/>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891"/>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891"/>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891"/>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871"/>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891"/>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891"/>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pStyle w:val="BodyText"/>
        <w:spacing w:line="338" w:lineRule="auto" w:before="117"/>
        <w:ind w:right="1842"/>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891"/>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6,000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3,504.3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single" w:sz="4" w:space="0" w:color="000000"/>
              <w:left w:val="single" w:sz="4" w:space="0" w:color="000000"/>
              <w:right w:val="single" w:sz="4" w:space="0" w:color="000000"/>
            </w:tcBorders>
            <w:shd w:val="clear" w:color="auto" w:fill="C7EDCC"/>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山纺织集 团进出口 贸易有限</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0.34%</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tcBorders>
              <w:left w:val="single" w:sz="4" w:space="0" w:color="000000"/>
              <w:right w:val="single" w:sz="4" w:space="0" w:color="000000"/>
            </w:tcBorders>
            <w:shd w:val="clear" w:color="auto" w:fill="C7EDCC"/>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right="47"/>
              <w:jc w:val="right"/>
              <w:rPr>
                <w:rFonts w:ascii="宋体" w:hAnsi="宋体" w:cs="宋体" w:eastAsia="宋体" w:hint="default"/>
                <w:sz w:val="18"/>
                <w:szCs w:val="18"/>
              </w:rPr>
            </w:pPr>
            <w:r>
              <w:rPr>
                <w:rFonts w:ascii="宋体" w:hAnsi="宋体" w:cs="宋体" w:eastAsia="宋体" w:hint="default"/>
                <w:sz w:val="18"/>
                <w:szCs w:val="18"/>
              </w:rPr>
              <w:t>责任公司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tcBorders>
              <w:left w:val="single" w:sz="4" w:space="0" w:color="000000"/>
              <w:bottom w:val="nil" w:sz="6" w:space="0" w:color="auto"/>
              <w:right w:val="single" w:sz="4" w:space="0" w:color="000000"/>
            </w:tcBorders>
            <w:shd w:val="clear" w:color="auto" w:fill="C7EDCC"/>
          </w:tcPr>
          <w:p>
            <w:pPr/>
          </w:p>
        </w:tc>
      </w:tr>
    </w:tbl>
    <w:p>
      <w:pPr>
        <w:spacing w:after="0"/>
        <w:sectPr>
          <w:pgSz w:w="11910" w:h="16840"/>
          <w:pgMar w:header="747" w:footer="941" w:top="1060" w:bottom="1140" w:left="980" w:right="0"/>
        </w:sectPr>
      </w:pPr>
    </w:p>
    <w:p>
      <w:pPr>
        <w:spacing w:line="240" w:lineRule="auto" w:before="0"/>
        <w:rPr>
          <w:rFonts w:ascii="宋体" w:hAnsi="宋体" w:cs="宋体" w:eastAsia="宋体" w:hint="default"/>
          <w:sz w:val="20"/>
          <w:szCs w:val="20"/>
        </w:rPr>
      </w:pPr>
      <w:r>
        <w:rPr/>
        <w:pict>
          <v:shape style="position:absolute;margin-left:56.459999pt;margin-top:71.999962pt;width:479.2pt;height:685.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341"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
                          <w:ind w:left="23" w:right="-1"/>
                          <w:jc w:val="center"/>
                          <w:rPr>
                            <w:rFonts w:ascii="宋体" w:hAnsi="宋体" w:cs="宋体" w:eastAsia="宋体" w:hint="default"/>
                            <w:sz w:val="18"/>
                            <w:szCs w:val="18"/>
                          </w:rPr>
                        </w:pPr>
                        <w:r>
                          <w:rPr>
                            <w:rFonts w:ascii="宋体" w:hAnsi="宋体" w:cs="宋体" w:eastAsia="宋体" w:hint="default"/>
                            <w:spacing w:val="14"/>
                            <w:sz w:val="18"/>
                            <w:szCs w:val="18"/>
                          </w:rPr>
                          <w:t>《关于</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93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26"/>
                          <w:ind w:left="22" w:right="47"/>
                          <w:jc w:val="both"/>
                          <w:rPr>
                            <w:rFonts w:ascii="宋体" w:hAnsi="宋体" w:cs="宋体" w:eastAsia="宋体" w:hint="default"/>
                            <w:sz w:val="18"/>
                            <w:szCs w:val="18"/>
                          </w:rPr>
                        </w:pPr>
                        <w:r>
                          <w:rPr>
                            <w:rFonts w:ascii="宋体" w:hAnsi="宋体" w:cs="宋体" w:eastAsia="宋体" w:hint="default"/>
                            <w:sz w:val="18"/>
                            <w:szCs w:val="18"/>
                          </w:rPr>
                          <w:t>山纺织集 团经编实 业有限公</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2"/>
                          <w:jc w:val="right"/>
                          <w:rPr>
                            <w:rFonts w:ascii="Times New Roman" w:hAnsi="Times New Roman" w:cs="Times New Roman" w:eastAsia="Times New Roman" w:hint="default"/>
                            <w:sz w:val="18"/>
                            <w:szCs w:val="18"/>
                          </w:rPr>
                        </w:pPr>
                        <w:r>
                          <w:rPr>
                            <w:rFonts w:ascii="Times New Roman"/>
                            <w:sz w:val="18"/>
                          </w:rPr>
                          <w:t>1.62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1.62</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6"/>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23" w:right="-1"/>
                          <w:jc w:val="left"/>
                          <w:rPr>
                            <w:rFonts w:ascii="宋体" w:hAnsi="宋体" w:cs="宋体" w:eastAsia="宋体" w:hint="default"/>
                            <w:sz w:val="18"/>
                            <w:szCs w:val="18"/>
                          </w:rPr>
                        </w:pPr>
                        <w:r>
                          <w:rPr>
                            <w:rFonts w:ascii="宋体" w:hAnsi="宋体" w:cs="宋体" w:eastAsia="宋体" w:hint="default"/>
                            <w:spacing w:val="14"/>
                            <w:sz w:val="18"/>
                            <w:szCs w:val="18"/>
                          </w:rPr>
                          <w:t>年度日</w:t>
                        </w:r>
                        <w:r>
                          <w:rPr>
                            <w:rFonts w:ascii="宋体" w:hAnsi="宋体" w:cs="宋体" w:eastAsia="宋体" w:hint="default"/>
                            <w:spacing w:val="-68"/>
                            <w:sz w:val="18"/>
                            <w:szCs w:val="18"/>
                          </w:rPr>
                          <w:t> </w:t>
                        </w:r>
                        <w:r>
                          <w:rPr>
                            <w:rFonts w:ascii="宋体" w:hAnsi="宋体" w:cs="宋体" w:eastAsia="宋体" w:hint="default"/>
                            <w:spacing w:val="14"/>
                            <w:sz w:val="18"/>
                            <w:szCs w:val="18"/>
                          </w:rPr>
                          <w:t>常关联</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
                    </w:tc>
                    <w:tc>
                      <w:tcPr>
                        <w:tcW w:w="677" w:type="dxa"/>
                        <w:tcBorders>
                          <w:top w:val="nil" w:sz="6" w:space="0" w:color="auto"/>
                          <w:left w:val="single" w:sz="4" w:space="0" w:color="000000"/>
                          <w:bottom w:val="nil" w:sz="6" w:space="0" w:color="auto"/>
                          <w:right w:val="single" w:sz="4" w:space="0" w:color="000000"/>
                        </w:tcBorders>
                        <w:shd w:val="clear" w:color="auto" w:fill="C7EDCC"/>
                      </w:tcPr>
                      <w:p>
                        <w:pPr/>
                      </w:p>
                    </w:tc>
                    <w:tc>
                      <w:tcPr>
                        <w:tcW w:w="706" w:type="dxa"/>
                        <w:tcBorders>
                          <w:top w:val="nil" w:sz="6" w:space="0" w:color="auto"/>
                          <w:left w:val="single" w:sz="4" w:space="0" w:color="000000"/>
                          <w:bottom w:val="nil" w:sz="6" w:space="0" w:color="auto"/>
                          <w:right w:val="single" w:sz="4" w:space="0" w:color="000000"/>
                        </w:tcBorders>
                        <w:shd w:val="clear" w:color="auto" w:fill="C7EDCC"/>
                      </w:tcPr>
                      <w:p>
                        <w:pPr/>
                      </w:p>
                    </w:tc>
                    <w:tc>
                      <w:tcPr>
                        <w:tcW w:w="679"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6" w:lineRule="exact"/>
                          <w:ind w:left="23" w:right="-1"/>
                          <w:jc w:val="center"/>
                          <w:rPr>
                            <w:rFonts w:ascii="宋体" w:hAnsi="宋体" w:cs="宋体" w:eastAsia="宋体" w:hint="default"/>
                            <w:sz w:val="18"/>
                            <w:szCs w:val="18"/>
                          </w:rPr>
                        </w:pPr>
                        <w:r>
                          <w:rPr>
                            <w:rFonts w:ascii="宋体" w:hAnsi="宋体" w:cs="宋体" w:eastAsia="宋体" w:hint="default"/>
                            <w:spacing w:val="14"/>
                            <w:sz w:val="18"/>
                            <w:szCs w:val="18"/>
                          </w:rPr>
                          <w:t>交易预</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65"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ind w:left="23" w:right="-1"/>
                          <w:jc w:val="both"/>
                          <w:rPr>
                            <w:rFonts w:ascii="宋体" w:hAnsi="宋体" w:cs="宋体" w:eastAsia="宋体" w:hint="default"/>
                            <w:sz w:val="18"/>
                            <w:szCs w:val="18"/>
                          </w:rPr>
                        </w:pPr>
                        <w:r>
                          <w:rPr>
                            <w:rFonts w:ascii="宋体" w:hAnsi="宋体" w:cs="宋体" w:eastAsia="宋体" w:hint="default"/>
                            <w:spacing w:val="14"/>
                            <w:sz w:val="18"/>
                            <w:szCs w:val="18"/>
                          </w:rPr>
                          <w:t>计的公</w:t>
                        </w:r>
                        <w:r>
                          <w:rPr>
                            <w:rFonts w:ascii="宋体" w:hAnsi="宋体" w:cs="宋体" w:eastAsia="宋体" w:hint="default"/>
                            <w:spacing w:val="-68"/>
                            <w:sz w:val="18"/>
                            <w:szCs w:val="18"/>
                          </w:rPr>
                          <w:t> </w:t>
                        </w:r>
                        <w:r>
                          <w:rPr>
                            <w:rFonts w:ascii="宋体" w:hAnsi="宋体" w:cs="宋体" w:eastAsia="宋体" w:hint="default"/>
                            <w:spacing w:val="-34"/>
                            <w:sz w:val="18"/>
                            <w:szCs w:val="18"/>
                          </w:rPr>
                          <w:t>告》（编</w:t>
                        </w:r>
                        <w:r>
                          <w:rPr>
                            <w:rFonts w:ascii="宋体" w:hAnsi="宋体" w:cs="宋体" w:eastAsia="宋体" w:hint="default"/>
                            <w:sz w:val="18"/>
                            <w:szCs w:val="18"/>
                          </w:rPr>
                          <w:t> 号 </w:t>
                        </w:r>
                        <w:r>
                          <w:rPr>
                            <w:rFonts w:ascii="宋体" w:hAnsi="宋体" w:cs="宋体" w:eastAsia="宋体" w:hint="default"/>
                            <w:spacing w:val="45"/>
                            <w:sz w:val="18"/>
                            <w:szCs w:val="18"/>
                          </w:rPr>
                          <w:t> </w:t>
                        </w:r>
                        <w:r>
                          <w:rPr>
                            <w:rFonts w:ascii="宋体" w:hAnsi="宋体" w:cs="宋体" w:eastAsia="宋体" w:hint="default"/>
                            <w:sz w:val="18"/>
                            <w:szCs w:val="18"/>
                          </w:rPr>
                          <w:t>：</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Times New Roman"/>
                            <w:sz w:val="18"/>
                          </w:rPr>
                          <w:t>2018-0</w:t>
                        </w:r>
                      </w:p>
                    </w:tc>
                  </w:tr>
                  <w:tr>
                    <w:trPr>
                      <w:trHeight w:val="1228"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3,110.2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tcBorders>
                          <w:left w:val="single" w:sz="4" w:space="0" w:color="000000"/>
                          <w:bottom w:val="nil" w:sz="6" w:space="0" w:color="auto"/>
                          <w:right w:val="single" w:sz="4" w:space="0" w:color="000000"/>
                        </w:tcBorders>
                        <w:shd w:val="clear" w:color="auto" w:fill="C7EDCC"/>
                      </w:tcPr>
                      <w:p>
                        <w:pPr/>
                      </w:p>
                    </w:tc>
                  </w:tr>
                  <w:tr>
                    <w:trPr>
                      <w:trHeight w:val="110"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val="restart"/>
                        <w:tcBorders>
                          <w:top w:val="nil" w:sz="6" w:space="0" w:color="auto"/>
                          <w:left w:val="single" w:sz="4" w:space="0" w:color="000000"/>
                          <w:right w:val="single" w:sz="4" w:space="0" w:color="000000"/>
                        </w:tcBorders>
                        <w:shd w:val="clear" w:color="auto" w:fill="C7EDCC"/>
                      </w:tcPr>
                      <w:p>
                        <w:pPr>
                          <w:pStyle w:val="TableParagraph"/>
                          <w:spacing w:line="19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pacing w:val="-135"/>
                            <w:sz w:val="18"/>
                            <w:szCs w:val="18"/>
                          </w:rPr>
                          <w:t>）</w:t>
                        </w:r>
                        <w:r>
                          <w:rPr>
                            <w:rFonts w:ascii="宋体" w:hAnsi="宋体" w:cs="宋体" w:eastAsia="宋体" w:hint="default"/>
                            <w:sz w:val="18"/>
                            <w:szCs w:val="18"/>
                          </w:rPr>
                          <w:t>《中</w:t>
                        </w:r>
                      </w:p>
                    </w:tc>
                  </w:tr>
                  <w:tr>
                    <w:trPr>
                      <w:trHeight w:val="96"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vMerge/>
                        <w:tcBorders>
                          <w:left w:val="single" w:sz="4" w:space="0" w:color="000000"/>
                          <w:bottom w:val="nil" w:sz="6" w:space="0" w:color="auto"/>
                          <w:right w:val="single" w:sz="4" w:space="0" w:color="000000"/>
                        </w:tcBorders>
                        <w:shd w:val="clear" w:color="auto" w:fill="C7EDCC"/>
                      </w:tcPr>
                      <w:p>
                        <w:pPr/>
                      </w:p>
                    </w:tc>
                  </w:tr>
                  <w:tr>
                    <w:trPr>
                      <w:trHeight w:val="306"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
                    </w:tc>
                    <w:tc>
                      <w:tcPr>
                        <w:tcW w:w="677" w:type="dxa"/>
                        <w:tcBorders>
                          <w:top w:val="nil" w:sz="6" w:space="0" w:color="auto"/>
                          <w:left w:val="single" w:sz="4" w:space="0" w:color="000000"/>
                          <w:bottom w:val="nil" w:sz="6" w:space="0" w:color="auto"/>
                          <w:right w:val="single" w:sz="4" w:space="0" w:color="000000"/>
                        </w:tcBorders>
                        <w:shd w:val="clear" w:color="auto" w:fill="C7EDCC"/>
                      </w:tcPr>
                      <w:p>
                        <w:pPr/>
                      </w:p>
                    </w:tc>
                    <w:tc>
                      <w:tcPr>
                        <w:tcW w:w="706" w:type="dxa"/>
                        <w:tcBorders>
                          <w:top w:val="nil" w:sz="6" w:space="0" w:color="auto"/>
                          <w:left w:val="single" w:sz="4" w:space="0" w:color="000000"/>
                          <w:bottom w:val="nil" w:sz="6" w:space="0" w:color="auto"/>
                          <w:right w:val="single" w:sz="4" w:space="0" w:color="000000"/>
                        </w:tcBorders>
                        <w:shd w:val="clear" w:color="auto" w:fill="C7EDCC"/>
                      </w:tcPr>
                      <w:p>
                        <w:pPr/>
                      </w:p>
                    </w:tc>
                    <w:tc>
                      <w:tcPr>
                        <w:tcW w:w="679"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1"/>
                          <w:jc w:val="center"/>
                          <w:rPr>
                            <w:rFonts w:ascii="宋体" w:hAnsi="宋体" w:cs="宋体" w:eastAsia="宋体" w:hint="default"/>
                            <w:sz w:val="18"/>
                            <w:szCs w:val="18"/>
                          </w:rPr>
                        </w:pPr>
                        <w:r>
                          <w:rPr>
                            <w:rFonts w:ascii="宋体" w:hAnsi="宋体" w:cs="宋体" w:eastAsia="宋体" w:hint="default"/>
                            <w:spacing w:val="14"/>
                            <w:sz w:val="18"/>
                            <w:szCs w:val="18"/>
                          </w:rPr>
                          <w:t>国证券</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山纺织集</w:t>
                        </w:r>
                      </w:p>
                      <w:p>
                        <w:pPr>
                          <w:pStyle w:val="TableParagraph"/>
                          <w:spacing w:line="316" w:lineRule="auto" w:before="76"/>
                          <w:ind w:left="22" w:right="47"/>
                          <w:jc w:val="left"/>
                          <w:rPr>
                            <w:rFonts w:ascii="宋体" w:hAnsi="宋体" w:cs="宋体" w:eastAsia="宋体" w:hint="default"/>
                            <w:sz w:val="18"/>
                            <w:szCs w:val="18"/>
                          </w:rPr>
                        </w:pPr>
                        <w:r>
                          <w:rPr>
                            <w:rFonts w:ascii="宋体" w:hAnsi="宋体" w:cs="宋体" w:eastAsia="宋体" w:hint="default"/>
                            <w:sz w:val="18"/>
                            <w:szCs w:val="18"/>
                          </w:rPr>
                          <w:t>团进出口 贸易有限</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21"/>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2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2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278.17</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2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278.17</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22"/>
                            <w:sz w:val="18"/>
                            <w:szCs w:val="18"/>
                          </w:rPr>
                          <w:t> </w:t>
                        </w:r>
                        <w:r>
                          <w:rPr>
                            <w:rFonts w:ascii="宋体" w:hAnsi="宋体" w:cs="宋体" w:eastAsia="宋体" w:hint="default"/>
                            <w:sz w:val="18"/>
                            <w:szCs w:val="18"/>
                          </w:rPr>
                          <w:t>》</w:t>
                        </w:r>
                      </w:p>
                      <w:p>
                        <w:pPr>
                          <w:pStyle w:val="TableParagraph"/>
                          <w:spacing w:line="316" w:lineRule="auto" w:before="76"/>
                          <w:ind w:left="23" w:right="-1"/>
                          <w:jc w:val="left"/>
                          <w:rPr>
                            <w:rFonts w:ascii="宋体" w:hAnsi="宋体" w:cs="宋体" w:eastAsia="宋体" w:hint="default"/>
                            <w:sz w:val="18"/>
                            <w:szCs w:val="18"/>
                          </w:rPr>
                        </w:pPr>
                        <w:r>
                          <w:rPr>
                            <w:rFonts w:ascii="宋体" w:hAnsi="宋体" w:cs="宋体" w:eastAsia="宋体" w:hint="default"/>
                            <w:spacing w:val="14"/>
                            <w:sz w:val="18"/>
                            <w:szCs w:val="18"/>
                          </w:rPr>
                          <w:t>《证券</w:t>
                        </w:r>
                        <w:r>
                          <w:rPr>
                            <w:rFonts w:ascii="宋体" w:hAnsi="宋体" w:cs="宋体" w:eastAsia="宋体" w:hint="default"/>
                            <w:spacing w:val="-68"/>
                            <w:sz w:val="18"/>
                            <w:szCs w:val="18"/>
                          </w:rPr>
                          <w:t> </w:t>
                        </w:r>
                        <w:r>
                          <w:rPr>
                            <w:rFonts w:ascii="宋体" w:hAnsi="宋体" w:cs="宋体" w:eastAsia="宋体" w:hint="default"/>
                            <w:spacing w:val="14"/>
                            <w:sz w:val="18"/>
                            <w:szCs w:val="18"/>
                          </w:rPr>
                          <w:t>时报》</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31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6"/>
                          <w:ind w:left="23" w:right="-1"/>
                          <w:jc w:val="center"/>
                          <w:rPr>
                            <w:rFonts w:ascii="宋体" w:hAnsi="宋体" w:cs="宋体" w:eastAsia="宋体" w:hint="default"/>
                            <w:sz w:val="18"/>
                            <w:szCs w:val="18"/>
                          </w:rPr>
                        </w:pPr>
                        <w:r>
                          <w:rPr>
                            <w:rFonts w:ascii="宋体" w:hAnsi="宋体" w:cs="宋体" w:eastAsia="宋体" w:hint="default"/>
                            <w:spacing w:val="14"/>
                            <w:sz w:val="18"/>
                            <w:szCs w:val="18"/>
                          </w:rPr>
                          <w:t>和巨潮</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358"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36" w:right="0"/>
                          <w:jc w:val="lef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7"/>
                          <w:ind w:left="23" w:right="-1"/>
                          <w:jc w:val="center"/>
                          <w:rPr>
                            <w:rFonts w:ascii="宋体" w:hAnsi="宋体" w:cs="宋体" w:eastAsia="宋体" w:hint="default"/>
                            <w:sz w:val="18"/>
                            <w:szCs w:val="18"/>
                          </w:rPr>
                        </w:pPr>
                        <w:r>
                          <w:rPr>
                            <w:rFonts w:ascii="宋体" w:hAnsi="宋体" w:cs="宋体" w:eastAsia="宋体" w:hint="default"/>
                            <w:spacing w:val="14"/>
                            <w:sz w:val="18"/>
                            <w:szCs w:val="18"/>
                          </w:rPr>
                          <w:t>资讯网</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940"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9"/>
                          <w:ind w:left="22" w:right="47"/>
                          <w:jc w:val="both"/>
                          <w:rPr>
                            <w:rFonts w:ascii="宋体" w:hAnsi="宋体" w:cs="宋体" w:eastAsia="宋体" w:hint="default"/>
                            <w:sz w:val="18"/>
                            <w:szCs w:val="18"/>
                          </w:rPr>
                        </w:pPr>
                        <w:r>
                          <w:rPr>
                            <w:rFonts w:ascii="宋体" w:hAnsi="宋体" w:cs="宋体" w:eastAsia="宋体" w:hint="default"/>
                            <w:sz w:val="18"/>
                            <w:szCs w:val="18"/>
                          </w:rPr>
                          <w:t>山纺织集 团经编实 业有限公</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426.02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426.02</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http:/</w:t>
                        </w:r>
                      </w:p>
                      <w:p>
                        <w:pPr>
                          <w:pStyle w:val="TableParagraph"/>
                          <w:spacing w:line="362" w:lineRule="auto" w:before="102"/>
                          <w:ind w:left="23" w:right="5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pacing w:val="-43"/>
                            <w:sz w:val="18"/>
                          </w:rPr>
                          <w:t> </w:t>
                        </w:r>
                        <w:r>
                          <w:rPr>
                            <w:rFonts w:ascii="Times New Roman"/>
                            <w:spacing w:val="-43"/>
                            <w:sz w:val="18"/>
                          </w:rPr>
                        </w:r>
                        <w:r>
                          <w:rPr>
                            <w:rFonts w:ascii="Times New Roman"/>
                            <w:sz w:val="18"/>
                          </w:rPr>
                          <w:t>ninfo.c</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left="23"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z w:val="18"/>
                            <w:szCs w:val="18"/>
                          </w:rPr>
                          <w:t>）</w:t>
                        </w: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山纺织集 团第四实 业有限公</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2"/>
                            <w:sz w:val="18"/>
                          </w:rPr>
                          <w:t>11.46</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11.46</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shd w:val="clear" w:color="auto" w:fill="C7EDCC"/>
                      </w:tcPr>
                      <w:p>
                        <w:pPr/>
                      </w:p>
                    </w:tc>
                  </w:tr>
                  <w:tr>
                    <w:trPr>
                      <w:trHeight w:val="625"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山明荣家 纺有限公</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151.75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82.17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6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shd w:val="clear" w:color="auto" w:fill="C7EDCC"/>
                      </w:tcPr>
                      <w:p>
                        <w:pPr/>
                      </w:p>
                    </w:tc>
                  </w:tr>
                  <w:tr>
                    <w:trPr>
                      <w:trHeight w:val="624"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志新科技 股份有限</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20"/>
                          <w:ind w:left="22" w:right="102"/>
                          <w:jc w:val="left"/>
                          <w:rPr>
                            <w:rFonts w:ascii="宋体" w:hAnsi="宋体" w:cs="宋体" w:eastAsia="宋体" w:hint="default"/>
                            <w:sz w:val="18"/>
                            <w:szCs w:val="18"/>
                          </w:rPr>
                        </w:pPr>
                        <w:r>
                          <w:rPr>
                            <w:rFonts w:ascii="宋体" w:hAnsi="宋体" w:cs="宋体" w:eastAsia="宋体" w:hint="default"/>
                            <w:sz w:val="18"/>
                            <w:szCs w:val="18"/>
                          </w:rPr>
                          <w:t>理咸勇 之妻刘</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977.41</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977.41</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347"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丽丹为</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shd w:val="clear" w:color="auto" w:fill="C7EDCC"/>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137"/>
        <w:jc w:val="right"/>
      </w:pPr>
      <w:r>
        <w:rPr/>
        <w:t>、</w:t>
      </w:r>
    </w:p>
    <w:p>
      <w:pPr>
        <w:spacing w:after="0" w:line="240" w:lineRule="auto"/>
        <w:jc w:val="righ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0" w:right="1138"/>
        <w:jc w:val="right"/>
      </w:pPr>
      <w:r>
        <w:rPr/>
        <w:pict>
          <v:shape style="position:absolute;margin-left:56.459999pt;margin-top:-389.16803pt;width:479.2pt;height:444.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原股东 的企业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北京国智 云鼎软件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196.93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196.93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2,304.4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7"/>
                          <w:jc w:val="both"/>
                          <w:rPr>
                            <w:rFonts w:ascii="宋体" w:hAnsi="宋体" w:cs="宋体" w:eastAsia="宋体" w:hint="default"/>
                            <w:sz w:val="18"/>
                            <w:szCs w:val="18"/>
                          </w:rPr>
                        </w:pPr>
                        <w:r>
                          <w:rPr>
                            <w:rFonts w:ascii="宋体" w:hAnsi="宋体" w:cs="宋体" w:eastAsia="宋体" w:hint="default"/>
                            <w:sz w:val="18"/>
                            <w:szCs w:val="18"/>
                          </w:rPr>
                          <w:t>北京云启 志新科技 股份有限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副总经 理咸勇 之妻刘 丽丹为 原股东 的企业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436.27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436.27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北京国智 云鼎软件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877.11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877.11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9" w:space="0" w:color="D3D3D3"/>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11,000</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3D3D3"/>
                          <w:right w:val="single" w:sz="4" w:space="0" w:color="000000"/>
                        </w:tcBorders>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3D3D3"/>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shd w:val="clear" w:color="auto" w:fill="D3D3D3"/>
                      </w:tcPr>
                      <w:p>
                        <w:pPr/>
                      </w:p>
                    </w:tc>
                    <w:tc>
                      <w:tcPr>
                        <w:tcW w:w="670" w:type="dxa"/>
                        <w:vMerge/>
                        <w:tcBorders>
                          <w:left w:val="single" w:sz="4" w:space="0" w:color="000000"/>
                          <w:right w:val="single" w:sz="4" w:space="0" w:color="000000"/>
                        </w:tcBorders>
                        <w:shd w:val="clear" w:color="auto" w:fill="D3D3D3"/>
                      </w:tcPr>
                      <w:p>
                        <w:pPr/>
                      </w:p>
                    </w:tc>
                    <w:tc>
                      <w:tcPr>
                        <w:tcW w:w="642" w:type="dxa"/>
                        <w:vMerge/>
                        <w:tcBorders>
                          <w:left w:val="single" w:sz="4" w:space="0" w:color="000000"/>
                          <w:right w:val="single" w:sz="4" w:space="0" w:color="000000"/>
                        </w:tcBorders>
                        <w:shd w:val="clear" w:color="auto" w:fill="D3D3D3"/>
                      </w:tcPr>
                      <w:p>
                        <w:pPr/>
                      </w:p>
                    </w:tc>
                  </w:tr>
                  <w:tr>
                    <w:trPr>
                      <w:trHeight w:val="162"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9" w:space="0" w:color="D3D3D3"/>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0" w:type="dxa"/>
                        <w:vMerge/>
                        <w:tcBorders>
                          <w:left w:val="single" w:sz="4" w:space="0" w:color="000000"/>
                          <w:bottom w:val="single" w:sz="4" w:space="0" w:color="000000"/>
                          <w:right w:val="single" w:sz="4" w:space="0" w:color="000000"/>
                        </w:tcBorders>
                        <w:shd w:val="clear" w:color="auto" w:fill="D3D3D3"/>
                      </w:tcPr>
                      <w:p>
                        <w:pPr/>
                      </w:p>
                    </w:tc>
                    <w:tc>
                      <w:tcPr>
                        <w:tcW w:w="64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09"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09" w:type="dxa"/>
                        <w:gridSpan w:val="10"/>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2"/>
                          <w:ind w:left="15" w:right="20" w:firstLine="36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年年度股东大会审议通过与常山集团签署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年度日常生产经营 关联交易协议的议案，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年度预计销售商品发生关联交易</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36"/>
                            <w:sz w:val="18"/>
                            <w:szCs w:val="18"/>
                          </w:rPr>
                          <w:t> </w:t>
                        </w:r>
                        <w:r>
                          <w:rPr>
                            <w:rFonts w:ascii="宋体" w:hAnsi="宋体" w:cs="宋体" w:eastAsia="宋体" w:hint="default"/>
                            <w:spacing w:val="-4"/>
                            <w:sz w:val="18"/>
                            <w:szCs w:val="18"/>
                          </w:rPr>
                          <w:t>万元，购买商品发</w:t>
                        </w:r>
                        <w:r>
                          <w:rPr>
                            <w:rFonts w:ascii="宋体" w:hAnsi="宋体" w:cs="宋体" w:eastAsia="宋体" w:hint="default"/>
                            <w:sz w:val="18"/>
                            <w:szCs w:val="18"/>
                          </w:rPr>
                          <w:t> 生关联交易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万元，本报告期内公司与常山集团及附属企业实际发生销售商品关</w:t>
                        </w:r>
                      </w:p>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联交易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5,129.22 </w:t>
                        </w:r>
                        <w:r>
                          <w:rPr>
                            <w:rFonts w:ascii="宋体" w:hAnsi="宋体" w:cs="宋体" w:eastAsia="宋体" w:hint="default"/>
                            <w:spacing w:val="-4"/>
                            <w:sz w:val="18"/>
                            <w:szCs w:val="18"/>
                          </w:rPr>
                          <w:t>万元，发生购买商品关联交易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3,825.87 </w:t>
                        </w:r>
                        <w:r>
                          <w:rPr>
                            <w:rFonts w:ascii="宋体" w:hAnsi="宋体" w:cs="宋体" w:eastAsia="宋体" w:hint="default"/>
                            <w:spacing w:val="-4"/>
                            <w:sz w:val="18"/>
                            <w:szCs w:val="18"/>
                          </w:rPr>
                          <w:t>万元，在股东大会授权范围内</w:t>
                        </w:r>
                      </w:p>
                    </w:tc>
                  </w:tr>
                  <w:tr>
                    <w:trPr>
                      <w:trHeight w:val="1016"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09" w:type="dxa"/>
                        <w:gridSpan w:val="10"/>
                        <w:vMerge/>
                        <w:tcBorders>
                          <w:left w:val="single" w:sz="10" w:space="0" w:color="D3D3D3"/>
                          <w:right w:val="single" w:sz="4" w:space="0" w:color="000000"/>
                        </w:tcBorders>
                        <w:shd w:val="clear" w:color="auto" w:fill="C7EDCC"/>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09" w:type="dxa"/>
                        <w:gridSpan w:val="10"/>
                        <w:vMerge/>
                        <w:tcBorders>
                          <w:left w:val="single" w:sz="10" w:space="0" w:color="D3D3D3"/>
                          <w:bottom w:val="single" w:sz="4" w:space="0" w:color="000000"/>
                          <w:right w:val="single" w:sz="4" w:space="0" w:color="000000"/>
                        </w:tcBorders>
                        <w:shd w:val="clear" w:color="auto" w:fill="C7EDCC"/>
                      </w:tcPr>
                      <w:p>
                        <w:pP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09"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431"/>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891"/>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151"/>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89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 适用 √ 不适用 公司报告期不存在关联债权债务往来。</w:t>
      </w:r>
    </w:p>
    <w:p>
      <w:pPr>
        <w:spacing w:after="0" w:line="357"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051"/>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891"/>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8411"/>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89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9221"/>
        <w:jc w:val="left"/>
      </w:pPr>
      <w:r>
        <w:rPr/>
        <w:t>√ 适用 □ 不适用 租赁情况说明</w:t>
      </w:r>
    </w:p>
    <w:p>
      <w:pPr>
        <w:pStyle w:val="BodyText"/>
        <w:spacing w:line="300" w:lineRule="auto" w:before="25"/>
        <w:ind w:left="153" w:right="1128" w:firstLine="434"/>
        <w:jc w:val="both"/>
      </w:pPr>
      <w:r>
        <w:rPr/>
        <w:t>①本报告期，北明软件依据租赁合同承租关联方广州移动科技有限公司办公楼，承租期为自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160,915.00</w:t>
      </w:r>
      <w:r>
        <w:rPr/>
        <w:t>元</w:t>
      </w:r>
      <w:r>
        <w:rPr>
          <w:rFonts w:ascii="Times New Roman" w:hAnsi="Times New Roman" w:cs="Times New Roman" w:eastAsia="Times New Roman" w:hint="default"/>
        </w:rPr>
        <w:t>/</w:t>
      </w:r>
      <w:r>
        <w:rPr/>
        <w:t>月，依据合同规定，自第二年起租金价格每年上涨</w:t>
      </w:r>
      <w:r>
        <w:rPr>
          <w:rFonts w:ascii="Times New Roman" w:hAnsi="Times New Roman" w:cs="Times New Roman" w:eastAsia="Times New Roman" w:hint="default"/>
        </w:rPr>
        <w:t>5%</w:t>
      </w:r>
      <w:r>
        <w:rPr/>
        <w:t>；北明软件子公司广州市龙泰信息技术 </w:t>
      </w:r>
      <w:r>
        <w:rPr>
          <w:spacing w:val="-1"/>
        </w:rPr>
        <w:t>有限公司依据租赁合同承租关联方广州移动科技有限公司办公楼，承租期为自</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日，租赁费</w:t>
      </w:r>
      <w:r>
        <w:rPr>
          <w:rFonts w:ascii="Times New Roman" w:hAnsi="Times New Roman" w:cs="Times New Roman" w:eastAsia="Times New Roman" w:hint="default"/>
          <w:spacing w:val="-1"/>
        </w:rPr>
        <w:t>4,763</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2018</w:t>
      </w:r>
      <w:r>
        <w:rPr/>
        <w:t>年月租金为</w:t>
      </w:r>
      <w:r>
        <w:rPr>
          <w:rFonts w:ascii="Times New Roman" w:hAnsi="Times New Roman" w:cs="Times New Roman" w:eastAsia="Times New Roman" w:hint="default"/>
        </w:rPr>
        <w:t>5,251.21</w:t>
      </w:r>
      <w:r>
        <w:rPr/>
        <w:t>元</w:t>
      </w:r>
      <w:r>
        <w:rPr>
          <w:rFonts w:ascii="Times New Roman" w:hAnsi="Times New Roman" w:cs="Times New Roman" w:eastAsia="Times New Roman" w:hint="default"/>
        </w:rPr>
        <w:t>/</w:t>
      </w:r>
      <w:r>
        <w:rPr/>
        <w:t>月。</w:t>
      </w:r>
    </w:p>
    <w:p>
      <w:pPr>
        <w:pStyle w:val="BodyText"/>
        <w:spacing w:line="300" w:lineRule="auto" w:before="13"/>
        <w:ind w:left="153" w:right="891" w:firstLine="300"/>
        <w:jc w:val="left"/>
      </w:pPr>
      <w:r>
        <w:rPr>
          <w:spacing w:val="-1"/>
        </w:rPr>
        <w:t>②本报告期，北明软件依据租赁合同承租关联方北京盛世繁花国际传媒广告有限公司办公楼，承租期为自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日，租赁费</w:t>
      </w:r>
      <w:r>
        <w:rPr>
          <w:rFonts w:ascii="Times New Roman" w:hAnsi="Times New Roman" w:cs="Times New Roman" w:eastAsia="Times New Roman" w:hint="default"/>
        </w:rPr>
        <w:t>18,632,611.00</w:t>
      </w:r>
      <w:r>
        <w:rPr/>
        <w:t>元</w:t>
      </w:r>
      <w:r>
        <w:rPr>
          <w:rFonts w:ascii="Times New Roman" w:hAnsi="Times New Roman" w:cs="Times New Roman" w:eastAsia="Times New Roman" w:hint="default"/>
        </w:rPr>
        <w:t>/</w:t>
      </w:r>
      <w:r>
        <w:rPr/>
        <w:t>年，根据合同规定，租金每两年一递增，递增比例较上两年度租金增长</w:t>
      </w:r>
      <w:r>
        <w:rPr>
          <w:rFonts w:ascii="Times New Roman" w:hAnsi="Times New Roman" w:cs="Times New Roman" w:eastAsia="Times New Roman" w:hint="default"/>
        </w:rPr>
        <w:t>8%</w:t>
      </w:r>
      <w:r>
        <w:rPr/>
        <w:t>。</w:t>
      </w:r>
    </w:p>
    <w:p>
      <w:pPr>
        <w:spacing w:line="240" w:lineRule="auto" w:before="7"/>
        <w:rPr>
          <w:rFonts w:ascii="宋体" w:hAnsi="宋体" w:cs="宋体" w:eastAsia="宋体" w:hint="default"/>
          <w:sz w:val="17"/>
          <w:szCs w:val="17"/>
        </w:rPr>
      </w:pPr>
    </w:p>
    <w:p>
      <w:pPr>
        <w:pStyle w:val="BodyText"/>
        <w:spacing w:line="319" w:lineRule="auto"/>
        <w:ind w:left="153" w:right="891" w:firstLine="217"/>
        <w:jc w:val="left"/>
      </w:pPr>
      <w:r>
        <w:rPr>
          <w:spacing w:val="-1"/>
        </w:rPr>
        <w:t>③本报告期，北京爱意生活依据租赁合同承租关联方北京盛世繁花国际传媒广告有限公司办公楼，承租期为自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t> </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1,206,544.00</w:t>
      </w:r>
      <w:r>
        <w:rPr/>
        <w:t>元</w:t>
      </w:r>
      <w:r>
        <w:rPr>
          <w:rFonts w:ascii="Times New Roman" w:hAnsi="Times New Roman" w:cs="Times New Roman" w:eastAsia="Times New Roman" w:hint="default"/>
        </w:rPr>
        <w:t>/</w:t>
      </w:r>
      <w:r>
        <w:rPr/>
        <w:t>年，根据合同规定，租金每两年一递增，递增比例较上两年度租金增长</w:t>
      </w:r>
      <w:r>
        <w:rPr>
          <w:rFonts w:ascii="Times New Roman" w:hAnsi="Times New Roman" w:cs="Times New Roman" w:eastAsia="Times New Roman" w:hint="default"/>
        </w:rPr>
        <w:t>8%</w:t>
      </w:r>
      <w:r>
        <w:rPr/>
        <w:t>。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38"/>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91"/>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31"/>
          <w:szCs w:val="31"/>
        </w:rPr>
      </w:pPr>
    </w:p>
    <w:p>
      <w:pPr>
        <w:pStyle w:val="BodyText"/>
        <w:spacing w:line="240" w:lineRule="auto"/>
        <w:ind w:left="0" w:right="1131"/>
        <w:jc w:val="right"/>
      </w:pPr>
      <w:r>
        <w:rPr/>
        <w:t>单位：万元</w:t>
      </w:r>
    </w:p>
    <w:p>
      <w:pPr>
        <w:spacing w:after="0" w:line="240" w:lineRule="auto"/>
        <w:jc w:val="right"/>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8"/>
        <w:gridCol w:w="1167"/>
        <w:gridCol w:w="926"/>
        <w:gridCol w:w="1303"/>
        <w:gridCol w:w="1054"/>
        <w:gridCol w:w="1283"/>
        <w:gridCol w:w="791"/>
        <w:gridCol w:w="793"/>
        <w:gridCol w:w="789"/>
      </w:tblGrid>
      <w:tr>
        <w:trPr>
          <w:trHeight w:val="402" w:hRule="exact"/>
        </w:trPr>
        <w:tc>
          <w:tcPr>
            <w:tcW w:w="981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4"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34"/>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0" w:right="4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81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34"/>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4"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 w:right="25"/>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石家庄常山恒荣进出 口贸易有限公司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38,500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47,601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178,550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162,291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石家庄常山北明科技 股份有限公司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石家庄常山北明科技 股份有限公司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14,550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河北常山恒云数据科 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新疆常山恒宏纺织科 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舞钢智慧城市科技发 展有限公司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368,100</w:t>
            </w:r>
          </w:p>
        </w:tc>
        <w:tc>
          <w:tcPr>
            <w:tcW w:w="23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 w:right="14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37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248,392</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368,100</w:t>
            </w:r>
          </w:p>
        </w:tc>
        <w:tc>
          <w:tcPr>
            <w:tcW w:w="23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 w:right="14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37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248,392</w:t>
            </w:r>
          </w:p>
        </w:tc>
      </w:tr>
      <w:tr>
        <w:trPr>
          <w:trHeight w:val="402" w:hRule="exact"/>
        </w:trPr>
        <w:tc>
          <w:tcPr>
            <w:tcW w:w="981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34"/>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34" w:right="6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19" w:right="2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67" w:type="dxa"/>
            <w:vMerge/>
            <w:tcBorders>
              <w:left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3D3D3"/>
          </w:tcPr>
          <w:p>
            <w:pPr/>
          </w:p>
        </w:tc>
        <w:tc>
          <w:tcPr>
            <w:tcW w:w="12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61" w:hRule="exact"/>
        </w:trPr>
        <w:tc>
          <w:tcPr>
            <w:tcW w:w="1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7" w:type="dxa"/>
            <w:vMerge/>
            <w:tcBorders>
              <w:left w:val="single" w:sz="4" w:space="0" w:color="000000"/>
              <w:bottom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4" w:type="dxa"/>
            <w:vMerge/>
            <w:tcBorders>
              <w:left w:val="single" w:sz="4" w:space="0" w:color="000000"/>
              <w:bottom w:val="single" w:sz="4" w:space="0" w:color="000000"/>
              <w:right w:val="single" w:sz="4" w:space="0" w:color="000000"/>
            </w:tcBorders>
            <w:shd w:val="clear" w:color="auto" w:fill="D3D3D3"/>
          </w:tcPr>
          <w:p>
            <w:pPr/>
          </w:p>
        </w:tc>
        <w:tc>
          <w:tcPr>
            <w:tcW w:w="1283" w:type="dxa"/>
            <w:tcBorders>
              <w:top w:val="nil" w:sz="6" w:space="0" w:color="auto"/>
              <w:left w:val="single" w:sz="4" w:space="0" w:color="000000"/>
              <w:bottom w:val="single" w:sz="4" w:space="0" w:color="000000"/>
              <w:right w:val="single" w:sz="4" w:space="0" w:color="000000"/>
            </w:tcBorders>
            <w:shd w:val="clear" w:color="auto" w:fill="D3D3D3"/>
          </w:tcPr>
          <w:p>
            <w:pPr/>
          </w:p>
        </w:tc>
        <w:tc>
          <w:tcPr>
            <w:tcW w:w="7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93" w:type="dxa"/>
            <w:vMerge/>
            <w:tcBorders>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北京天时前程自动化 工程技术有限公司</w:t>
            </w:r>
          </w:p>
        </w:tc>
        <w:tc>
          <w:tcPr>
            <w:tcW w:w="116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2,152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6,000</w:t>
            </w:r>
          </w:p>
        </w:tc>
        <w:tc>
          <w:tcPr>
            <w:tcW w:w="23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 w:right="14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37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2,152</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6,000</w:t>
            </w:r>
          </w:p>
        </w:tc>
        <w:tc>
          <w:tcPr>
            <w:tcW w:w="23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 w:right="14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37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2,152</w:t>
            </w:r>
          </w:p>
        </w:tc>
      </w:tr>
      <w:tr>
        <w:trPr>
          <w:trHeight w:val="402" w:hRule="exact"/>
        </w:trPr>
        <w:tc>
          <w:tcPr>
            <w:tcW w:w="981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374,100</w:t>
            </w:r>
          </w:p>
        </w:tc>
        <w:tc>
          <w:tcPr>
            <w:tcW w:w="23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 w:right="14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37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250,544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855"/>
        <w:gridCol w:w="2230"/>
        <w:gridCol w:w="2336"/>
        <w:gridCol w:w="2370"/>
      </w:tblGrid>
      <w:tr>
        <w:trPr>
          <w:trHeight w:val="714" w:hRule="exact"/>
        </w:trPr>
        <w:tc>
          <w:tcPr>
            <w:tcW w:w="2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374,100</w:t>
            </w:r>
          </w:p>
        </w:tc>
        <w:tc>
          <w:tcPr>
            <w:tcW w:w="2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3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250,544</w:t>
            </w:r>
          </w:p>
        </w:tc>
      </w:tr>
      <w:tr>
        <w:trPr>
          <w:trHeight w:val="407" w:hRule="exact"/>
        </w:trPr>
        <w:tc>
          <w:tcPr>
            <w:tcW w:w="50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0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41.18%</w:t>
            </w:r>
          </w:p>
        </w:tc>
      </w:tr>
      <w:tr>
        <w:trPr>
          <w:trHeight w:val="392" w:hRule="exact"/>
        </w:trPr>
        <w:tc>
          <w:tcPr>
            <w:tcW w:w="97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50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6"/>
              <w:ind w:left="11" w:right="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0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38,500</w:t>
            </w:r>
          </w:p>
        </w:tc>
      </w:tr>
      <w:tr>
        <w:trPr>
          <w:trHeight w:val="402" w:hRule="exact"/>
        </w:trPr>
        <w:tc>
          <w:tcPr>
            <w:tcW w:w="50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0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38,500</w:t>
            </w:r>
          </w:p>
        </w:tc>
      </w:tr>
    </w:tbl>
    <w:p>
      <w:pPr>
        <w:pStyle w:val="BodyText"/>
        <w:spacing w:line="240" w:lineRule="auto" w:before="51"/>
        <w:ind w:right="891"/>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891"/>
        <w:jc w:val="left"/>
        <w:rPr>
          <w:b w:val="0"/>
          <w:bCs w:val="0"/>
        </w:rPr>
      </w:pP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90" w:firstLine="290"/>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、公司不断完善治理结构，严格管理，不存在违规担保、关联方违规占用资金、内幕交易等损害投资者债权人等利益 相关者的行为。</w:t>
      </w:r>
    </w:p>
    <w:p>
      <w:pPr>
        <w:pStyle w:val="BodyText"/>
        <w:spacing w:line="240" w:lineRule="auto" w:before="69"/>
        <w:ind w:left="444" w:right="891"/>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302" w:lineRule="auto" w:before="101"/>
        <w:ind w:left="153" w:right="891" w:firstLine="290"/>
        <w:jc w:val="left"/>
      </w:pPr>
      <w:r>
        <w:rPr>
          <w:rFonts w:ascii="Times New Roman" w:hAnsi="Times New Roman" w:cs="Times New Roman" w:eastAsia="Times New Roman" w:hint="default"/>
        </w:rPr>
        <w:t>3</w:t>
      </w:r>
      <w:r>
        <w:rPr/>
        <w:t>、公司严格按照《劳动合同法》要求，与职工签订劳动合同，按照国家相关规定为职工缴纳各项社会保险，尊重员工</w:t>
      </w:r>
      <w:r>
        <w:rPr>
          <w:spacing w:val="1"/>
        </w:rPr>
        <w:t> </w:t>
      </w:r>
      <w:r>
        <w:rPr/>
        <w:t>各项权利。</w:t>
      </w:r>
    </w:p>
    <w:p>
      <w:pPr>
        <w:spacing w:after="0" w:line="302"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711"/>
        <w:jc w:val="left"/>
      </w:pPr>
      <w:r>
        <w:rPr/>
        <w:t>上市公司及其子公司是否属于环境保护部门公布的重点排污单位 否</w:t>
      </w:r>
    </w:p>
    <w:p>
      <w:pPr>
        <w:pStyle w:val="BodyText"/>
        <w:spacing w:line="309" w:lineRule="auto" w:before="25"/>
        <w:ind w:right="1030" w:firstLine="217"/>
        <w:jc w:val="left"/>
      </w:pPr>
      <w:r>
        <w:rPr/>
        <w:t>公司认真贯彻《中华人民共和国环境保护法》，生产全过程认真执行质量管理体系</w:t>
      </w:r>
      <w:r>
        <w:rPr>
          <w:rFonts w:ascii="Times New Roman" w:hAnsi="Times New Roman" w:cs="Times New Roman" w:eastAsia="Times New Roman" w:hint="default"/>
        </w:rPr>
        <w:t>ISO9001:2015</w:t>
      </w:r>
      <w:r>
        <w:rPr/>
        <w:t>标准和环境管理体系</w:t>
      </w:r>
      <w:r>
        <w:rPr>
          <w:rFonts w:ascii="Times New Roman" w:hAnsi="Times New Roman" w:cs="Times New Roman" w:eastAsia="Times New Roman" w:hint="default"/>
        </w:rPr>
        <w:t>ISO 14001</w:t>
      </w:r>
      <w:r>
        <w:rPr/>
        <w:t>：</w:t>
      </w:r>
      <w:r>
        <w:rPr>
          <w:rFonts w:ascii="Times New Roman" w:hAnsi="Times New Roman" w:cs="Times New Roman" w:eastAsia="Times New Roman" w:hint="default"/>
        </w:rPr>
        <w:t>2015</w:t>
      </w:r>
      <w:r>
        <w:rPr/>
        <w:t>标准，努力开展清洁生产经营活动，达到环保要求，减少环境污染，为了更好地实现公司可持续发展，推行节 能减排创新工作，公司努力降低能源的消耗，在技术改造升级、工艺调整、浆料配方优化等方面不断创新，做到达标排放。 </w:t>
      </w:r>
      <w:r>
        <w:rPr>
          <w:spacing w:val="-2"/>
        </w:rPr>
        <w:t>改造高效节能的螺杆空压机和优化空调风机，在滤尘上使用变频节能技术等降低电力能源消耗，改造车间用水，在保证生产</w:t>
      </w:r>
      <w:r>
        <w:rPr>
          <w:spacing w:val="-66"/>
        </w:rPr>
        <w:t> </w:t>
      </w:r>
      <w:r>
        <w:rPr>
          <w:spacing w:val="-66"/>
        </w:rPr>
      </w:r>
      <w:r>
        <w:rPr>
          <w:spacing w:val="-2"/>
        </w:rPr>
        <w:t>的情况下实现了湿分绞水的循环利用，节约用水降低成本，达到了废水排放量的降低；空调采用较为先进的喷淋头，降低空</w:t>
      </w:r>
      <w:r>
        <w:rPr>
          <w:spacing w:val="-66"/>
        </w:rPr>
        <w:t> </w:t>
      </w:r>
      <w:r>
        <w:rPr>
          <w:spacing w:val="-66"/>
        </w:rPr>
      </w:r>
      <w:r>
        <w:rPr/>
        <w:t>调用水，做到循环利用，提高了空调效率，在节约电能的同时节约了用水量。报告期内，公司</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全部实现达标排放，未 发生环境纠纷和环境污染事故。</w:t>
      </w:r>
    </w:p>
    <w:p>
      <w:pPr>
        <w:spacing w:line="240" w:lineRule="auto" w:before="2"/>
        <w:rPr>
          <w:rFonts w:ascii="宋体" w:hAnsi="宋体" w:cs="宋体" w:eastAsia="宋体" w:hint="default"/>
          <w:sz w:val="21"/>
          <w:szCs w:val="21"/>
        </w:rPr>
      </w:pPr>
    </w:p>
    <w:p>
      <w:pPr>
        <w:pStyle w:val="Heading2"/>
        <w:spacing w:line="240" w:lineRule="auto"/>
        <w:ind w:right="891"/>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pStyle w:val="BodyText"/>
        <w:spacing w:line="300" w:lineRule="auto" w:before="115"/>
        <w:ind w:left="153" w:right="1129" w:firstLine="290"/>
        <w:jc w:val="both"/>
      </w:pPr>
      <w:r>
        <w:rPr>
          <w:rFonts w:ascii="Times New Roman" w:hAnsi="Times New Roman" w:cs="Times New Roman" w:eastAsia="Times New Roman" w:hint="default"/>
        </w:rPr>
        <w:t>1</w:t>
      </w:r>
      <w:r>
        <w:rPr/>
        <w:t>、公司股东新华恒定</w:t>
      </w:r>
      <w:r>
        <w:rPr>
          <w:rFonts w:ascii="Times New Roman" w:hAnsi="Times New Roman" w:cs="Times New Roman" w:eastAsia="Times New Roman" w:hint="default"/>
        </w:rPr>
        <w:t>20</w:t>
      </w:r>
      <w:r>
        <w:rPr/>
        <w:t>号常山股份定向增发资产管理计划部分份额持有人和广发恒定</w:t>
      </w:r>
      <w:r>
        <w:rPr>
          <w:rFonts w:ascii="Times New Roman" w:hAnsi="Times New Roman" w:cs="Times New Roman" w:eastAsia="Times New Roman" w:hint="default"/>
        </w:rPr>
        <w:t>21</w:t>
      </w:r>
      <w:r>
        <w:rPr/>
        <w:t>号常山股份定向增发集合资产 管理计划（以下简称</w:t>
      </w:r>
      <w:r>
        <w:rPr>
          <w:rFonts w:ascii="Times New Roman" w:hAnsi="Times New Roman" w:cs="Times New Roman" w:eastAsia="Times New Roman" w:hint="default"/>
        </w:rPr>
        <w:t>“</w:t>
      </w:r>
      <w:r>
        <w:rPr/>
        <w:t>恒定</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）部分份额持有人（以下简称</w:t>
      </w:r>
      <w:r>
        <w:rPr>
          <w:rFonts w:ascii="Times New Roman" w:hAnsi="Times New Roman" w:cs="Times New Roman" w:eastAsia="Times New Roman" w:hint="default"/>
        </w:rPr>
        <w:t>“</w:t>
      </w:r>
      <w:r>
        <w:rPr/>
        <w:t>恒定</w:t>
      </w:r>
      <w:r>
        <w:rPr>
          <w:rFonts w:ascii="Times New Roman" w:hAnsi="Times New Roman" w:cs="Times New Roman" w:eastAsia="Times New Roman" w:hint="default"/>
        </w:rPr>
        <w:t>21</w:t>
      </w:r>
      <w:r>
        <w:rPr/>
        <w:t>号转让方</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日与林 </w:t>
      </w:r>
      <w:r>
        <w:rPr>
          <w:spacing w:val="-2"/>
        </w:rPr>
        <w:t>芝腾讯投资管理有限公司（以下简称</w:t>
      </w:r>
      <w:r>
        <w:rPr>
          <w:rFonts w:ascii="Times New Roman" w:hAnsi="Times New Roman" w:cs="Times New Roman" w:eastAsia="Times New Roman" w:hint="default"/>
          <w:spacing w:val="-2"/>
        </w:rPr>
        <w:t>“</w:t>
      </w:r>
      <w:r>
        <w:rPr>
          <w:spacing w:val="-2"/>
        </w:rPr>
        <w:t>受让方</w:t>
      </w:r>
      <w:r>
        <w:rPr>
          <w:rFonts w:ascii="Times New Roman" w:hAnsi="Times New Roman" w:cs="Times New Roman" w:eastAsia="Times New Roman" w:hint="default"/>
          <w:spacing w:val="-2"/>
        </w:rPr>
        <w:t>”</w:t>
      </w:r>
      <w:r>
        <w:rPr>
          <w:spacing w:val="-2"/>
        </w:rPr>
        <w:t>）分别签署了《份额转让协议》和《份额转让协议之补充协议》，恒定</w:t>
      </w:r>
      <w:r>
        <w:rPr>
          <w:rFonts w:ascii="Times New Roman" w:hAnsi="Times New Roman" w:cs="Times New Roman" w:eastAsia="Times New Roman" w:hint="default"/>
          <w:spacing w:val="-2"/>
        </w:rPr>
        <w:t>20</w:t>
      </w:r>
      <w:r>
        <w:rPr>
          <w:spacing w:val="-2"/>
        </w:rPr>
        <w:t>号转</w:t>
      </w:r>
      <w:r>
        <w:rPr>
          <w:spacing w:val="-46"/>
        </w:rPr>
        <w:t> </w:t>
      </w:r>
      <w:r>
        <w:rPr/>
        <w:t>让方和恒定</w:t>
      </w:r>
      <w:r>
        <w:rPr>
          <w:rFonts w:ascii="Times New Roman" w:hAnsi="Times New Roman" w:cs="Times New Roman" w:eastAsia="Times New Roman" w:hint="default"/>
        </w:rPr>
        <w:t>21</w:t>
      </w:r>
      <w:r>
        <w:rPr/>
        <w:t>号转让方将其持有的部分份额转让给受让方。截止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日，恒定</w:t>
      </w:r>
      <w:r>
        <w:rPr>
          <w:rFonts w:ascii="Times New Roman" w:hAnsi="Times New Roman" w:cs="Times New Roman" w:eastAsia="Times New Roman" w:hint="default"/>
        </w:rPr>
        <w:t>20</w:t>
      </w:r>
      <w:r>
        <w:rPr/>
        <w:t>号和恒定</w:t>
      </w:r>
      <w:r>
        <w:rPr>
          <w:rFonts w:ascii="Times New Roman" w:hAnsi="Times New Roman" w:cs="Times New Roman" w:eastAsia="Times New Roman" w:hint="default"/>
        </w:rPr>
        <w:t>21</w:t>
      </w:r>
      <w:r>
        <w:rPr/>
        <w:t>号转让方与林芝腾讯投 资管理有限公司签署的《份额转让协议》和《份额转让协议之补充协议》之份额转让全部完成。</w:t>
      </w:r>
    </w:p>
    <w:p>
      <w:pPr>
        <w:pStyle w:val="BodyText"/>
        <w:spacing w:line="300" w:lineRule="auto" w:before="72"/>
        <w:ind w:left="153" w:right="1061" w:firstLine="29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日公司召开董事会七届三次会议审议通过了《关于以集中竞价交易方式回购公司股份的议案》和《关 于提请股东大会授权董事会全权办理本次回购股份工作相关事宜的议案》，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2018</w:t>
      </w:r>
      <w:r>
        <w:rPr/>
        <w:t>年度第</w:t>
      </w:r>
      <w:r>
        <w:rPr>
          <w:rFonts w:ascii="Times New Roman" w:hAnsi="Times New Roman" w:cs="Times New Roman" w:eastAsia="Times New Roman" w:hint="default"/>
        </w:rPr>
        <w:t>4</w:t>
      </w:r>
      <w:r>
        <w:rPr/>
        <w:t>次临时 </w:t>
      </w:r>
      <w:r>
        <w:rPr>
          <w:spacing w:val="-3"/>
        </w:rPr>
        <w:t>股东大会审议通过了上述议案。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日，公司披露了《关于回购公司股份的回购报告书》（公告编号：</w:t>
      </w:r>
      <w:r>
        <w:rPr>
          <w:rFonts w:ascii="Times New Roman" w:hAnsi="Times New Roman" w:cs="Times New Roman" w:eastAsia="Times New Roman" w:hint="default"/>
          <w:spacing w:val="-3"/>
        </w:rPr>
        <w:t>2018-089</w:t>
      </w:r>
      <w:r>
        <w:rPr>
          <w:spacing w:val="-3"/>
        </w:rPr>
        <w:t>）。</w:t>
      </w:r>
      <w:r>
        <w:rPr>
          <w:spacing w:val="-68"/>
        </w:rPr>
        <w:t> </w:t>
      </w:r>
      <w:r>
        <w:rPr/>
        <w:t>公司拟以自有或自筹资金不低于人民币</w:t>
      </w:r>
      <w:r>
        <w:rPr>
          <w:rFonts w:ascii="Times New Roman" w:hAnsi="Times New Roman" w:cs="Times New Roman" w:eastAsia="Times New Roman" w:hint="default"/>
        </w:rPr>
        <w:t>30,000</w:t>
      </w:r>
      <w:r>
        <w:rPr/>
        <w:t>万元，不超过人民币</w:t>
      </w:r>
      <w:r>
        <w:rPr>
          <w:rFonts w:ascii="Times New Roman" w:hAnsi="Times New Roman" w:cs="Times New Roman" w:eastAsia="Times New Roman" w:hint="default"/>
        </w:rPr>
        <w:t>60,000</w:t>
      </w:r>
      <w:r>
        <w:rPr/>
        <w:t>万元，以集中竞价交易方式回购公司股份并注销， 回购价格不超过</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股）。具体回购股份的数量以回购期满时实际回购的股份数量为准。</w:t>
      </w:r>
    </w:p>
    <w:p>
      <w:pPr>
        <w:pStyle w:val="BodyText"/>
        <w:spacing w:line="304" w:lineRule="auto" w:before="51"/>
        <w:ind w:left="153" w:right="1129" w:firstLine="307"/>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日公司下属第五分公司用于出租的一座仓库发生火灾，该房屋建筑物已于</w:t>
      </w:r>
      <w:r>
        <w:rPr>
          <w:rFonts w:ascii="Times New Roman" w:hAnsi="Times New Roman" w:cs="Times New Roman" w:eastAsia="Times New Roman" w:hint="default"/>
        </w:rPr>
        <w:t>2011</w:t>
      </w:r>
      <w:r>
        <w:rPr/>
        <w:t>年底注销，账面价值为 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月公司收到石家庄市长安区公安消防大队出具的《火灾事故认定书》，认定起火原因为：起火部位位于石家庄 </w:t>
      </w:r>
      <w:r>
        <w:rPr>
          <w:spacing w:val="-1"/>
        </w:rPr>
        <w:t>常山北明科技股份有限公司第五分公司原整理车间与该车间西附房一层距北墙</w:t>
      </w:r>
      <w:r>
        <w:rPr>
          <w:rFonts w:ascii="Times New Roman" w:hAnsi="Times New Roman" w:cs="Times New Roman" w:eastAsia="Times New Roman" w:hint="default"/>
          <w:spacing w:val="-1"/>
        </w:rPr>
        <w:t>23.4</w:t>
      </w:r>
      <w:r>
        <w:rPr>
          <w:spacing w:val="-1"/>
        </w:rPr>
        <w:t>米的隔墙处，起火点位于该处配电柜，起</w:t>
      </w:r>
      <w:r>
        <w:rPr>
          <w:spacing w:val="-72"/>
        </w:rPr>
        <w:t> </w:t>
      </w:r>
      <w:r>
        <w:rPr>
          <w:spacing w:val="-72"/>
        </w:rPr>
      </w:r>
      <w:r>
        <w:rPr>
          <w:spacing w:val="-2"/>
        </w:rPr>
        <w:t>火原因系该配电柜内主配电线路故障所致。本次火灾的直接财产损失、事故责任认定、赔偿方案等尚未确定，本次火灾未对</w:t>
      </w:r>
      <w:r>
        <w:rPr>
          <w:spacing w:val="-66"/>
        </w:rPr>
        <w:t> </w:t>
      </w:r>
      <w:r>
        <w:rPr>
          <w:spacing w:val="-66"/>
        </w:rPr>
      </w:r>
      <w:r>
        <w:rPr/>
        <w:t>公司正常生产经营造成影响。</w:t>
      </w:r>
    </w:p>
    <w:p>
      <w:pPr>
        <w:spacing w:line="240" w:lineRule="auto" w:before="3"/>
        <w:rPr>
          <w:rFonts w:ascii="宋体" w:hAnsi="宋体" w:cs="宋体" w:eastAsia="宋体" w:hint="default"/>
          <w:sz w:val="21"/>
          <w:szCs w:val="21"/>
        </w:rPr>
      </w:pPr>
    </w:p>
    <w:p>
      <w:pPr>
        <w:pStyle w:val="Heading2"/>
        <w:spacing w:line="240" w:lineRule="auto"/>
        <w:ind w:right="891"/>
        <w:jc w:val="left"/>
        <w:rPr>
          <w:b w:val="0"/>
          <w:bCs w:val="0"/>
        </w:rPr>
      </w:pP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89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、经公司董事会六届二十四次会议审议通过，公司投资设立了舞钢智慧城市科技发展有限公司，公司注册资本</w:t>
      </w:r>
      <w:r>
        <w:rPr>
          <w:rFonts w:ascii="Times New Roman" w:hAnsi="Times New Roman" w:cs="Times New Roman" w:eastAsia="Times New Roman" w:hint="default"/>
        </w:rPr>
        <w:t>5,002.02</w:t>
      </w:r>
    </w:p>
    <w:p>
      <w:pPr>
        <w:pStyle w:val="BodyText"/>
        <w:spacing w:line="240" w:lineRule="auto" w:before="64"/>
        <w:ind w:right="891"/>
        <w:jc w:val="left"/>
      </w:pPr>
      <w:r>
        <w:rPr/>
        <w:t>万元，公司持股</w:t>
      </w:r>
      <w:r>
        <w:rPr>
          <w:rFonts w:ascii="Times New Roman" w:hAnsi="Times New Roman" w:cs="Times New Roman" w:eastAsia="Times New Roman" w:hint="default"/>
        </w:rPr>
        <w:t>90%</w:t>
      </w:r>
      <w:r>
        <w:rPr/>
        <w:t>，截止本报告期末，该公司已办理完毕工商注册手续。</w:t>
      </w:r>
    </w:p>
    <w:p>
      <w:pPr>
        <w:pStyle w:val="BodyText"/>
        <w:spacing w:line="302" w:lineRule="auto" w:before="102"/>
        <w:ind w:right="1131" w:firstLine="360"/>
        <w:jc w:val="both"/>
      </w:pPr>
      <w:r>
        <w:rPr>
          <w:rFonts w:ascii="Times New Roman" w:hAnsi="Times New Roman" w:cs="Times New Roman" w:eastAsia="Times New Roman" w:hint="default"/>
          <w:spacing w:val="-1"/>
        </w:rPr>
        <w:t>2</w:t>
      </w:r>
      <w:r>
        <w:rPr>
          <w:spacing w:val="-1"/>
        </w:rPr>
        <w:t>、经公司董事会六届二十四次会议审议通过，公司投资设立了石家庄爱意科技有限公司，公司注册资本</w:t>
      </w:r>
      <w:r>
        <w:rPr>
          <w:rFonts w:ascii="Times New Roman" w:hAnsi="Times New Roman" w:cs="Times New Roman" w:eastAsia="Times New Roman" w:hint="default"/>
          <w:spacing w:val="-1"/>
        </w:rPr>
        <w:t>1,000</w:t>
      </w:r>
      <w:r>
        <w:rPr>
          <w:spacing w:val="-1"/>
        </w:rPr>
        <w:t>万元，公</w:t>
      </w:r>
      <w:r>
        <w:rPr/>
        <w:t> 司持股</w:t>
      </w:r>
      <w:r>
        <w:rPr>
          <w:rFonts w:ascii="Times New Roman" w:hAnsi="Times New Roman" w:cs="Times New Roman" w:eastAsia="Times New Roman" w:hint="default"/>
        </w:rPr>
        <w:t>100%</w:t>
      </w:r>
      <w:r>
        <w:rPr/>
        <w:t>，截止本报告期末，该公司已办理完毕工商注册手续。</w:t>
      </w:r>
    </w:p>
    <w:p>
      <w:pPr>
        <w:spacing w:after="0" w:line="302" w:lineRule="auto"/>
        <w:jc w:val="both"/>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891"/>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91"/>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57"/>
        <w:gridCol w:w="1272"/>
        <w:gridCol w:w="720"/>
        <w:gridCol w:w="437"/>
        <w:gridCol w:w="463"/>
        <w:gridCol w:w="643"/>
        <w:gridCol w:w="1080"/>
        <w:gridCol w:w="1183"/>
        <w:gridCol w:w="1157"/>
        <w:gridCol w:w="720"/>
      </w:tblGrid>
      <w:tr>
        <w:trPr>
          <w:trHeight w:val="402" w:hRule="exact"/>
        </w:trPr>
        <w:tc>
          <w:tcPr>
            <w:tcW w:w="1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0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43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63" w:type="dxa"/>
            <w:tcBorders>
              <w:top w:val="single" w:sz="4" w:space="0" w:color="000000"/>
              <w:left w:val="single" w:sz="4" w:space="0" w:color="000000"/>
              <w:bottom w:val="nil" w:sz="6" w:space="0" w:color="auto"/>
              <w:right w:val="single" w:sz="4" w:space="0" w:color="000000"/>
            </w:tcBorders>
            <w:shd w:val="clear" w:color="auto" w:fill="D3D3D3"/>
          </w:tcPr>
          <w:p>
            <w:pPr/>
          </w:p>
        </w:tc>
        <w:tc>
          <w:tcPr>
            <w:tcW w:w="64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35" w:right="4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7"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957" w:type="dxa"/>
            <w:vMerge/>
            <w:tcBorders>
              <w:left w:val="single" w:sz="4" w:space="0" w:color="000000"/>
              <w:bottom w:val="nil" w:sz="6" w:space="0" w:color="auto"/>
              <w:right w:val="single" w:sz="4" w:space="0" w:color="000000"/>
            </w:tcBorders>
            <w:shd w:val="clear" w:color="auto" w:fill="D3D3D3"/>
          </w:tcPr>
          <w:p>
            <w:pPr/>
          </w:p>
        </w:tc>
        <w:tc>
          <w:tcPr>
            <w:tcW w:w="12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37" w:type="dxa"/>
            <w:vMerge/>
            <w:tcBorders>
              <w:left w:val="single" w:sz="4" w:space="0" w:color="000000"/>
              <w:right w:val="single" w:sz="4" w:space="0" w:color="000000"/>
            </w:tcBorders>
            <w:shd w:val="clear" w:color="auto" w:fill="D3D3D3"/>
          </w:tcPr>
          <w:p>
            <w:pPr/>
          </w:p>
        </w:tc>
        <w:tc>
          <w:tcPr>
            <w:tcW w:w="4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43" w:type="dxa"/>
            <w:vMerge/>
            <w:tcBorders>
              <w:left w:val="single" w:sz="4" w:space="0" w:color="000000"/>
              <w:right w:val="single" w:sz="4" w:space="0" w:color="000000"/>
            </w:tcBorders>
            <w:shd w:val="clear" w:color="auto" w:fill="D3D3D3"/>
          </w:tcPr>
          <w:p>
            <w:pP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2"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437" w:type="dxa"/>
            <w:vMerge/>
            <w:tcBorders>
              <w:left w:val="single" w:sz="4" w:space="0" w:color="000000"/>
              <w:right w:val="single" w:sz="4" w:space="0" w:color="000000"/>
            </w:tcBorders>
            <w:shd w:val="clear" w:color="auto" w:fill="D3D3D3"/>
          </w:tcPr>
          <w:p>
            <w:pPr/>
          </w:p>
        </w:tc>
        <w:tc>
          <w:tcPr>
            <w:tcW w:w="463" w:type="dxa"/>
            <w:vMerge/>
            <w:tcBorders>
              <w:left w:val="single" w:sz="4" w:space="0" w:color="000000"/>
              <w:bottom w:val="nil" w:sz="6" w:space="0" w:color="auto"/>
              <w:right w:val="single" w:sz="4" w:space="0" w:color="000000"/>
            </w:tcBorders>
            <w:shd w:val="clear" w:color="auto" w:fill="D3D3D3"/>
          </w:tcPr>
          <w:p>
            <w:pPr/>
          </w:p>
        </w:tc>
        <w:tc>
          <w:tcPr>
            <w:tcW w:w="643" w:type="dxa"/>
            <w:vMerge/>
            <w:tcBorders>
              <w:left w:val="single" w:sz="4" w:space="0" w:color="000000"/>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bottom w:val="nil" w:sz="6" w:space="0" w:color="auto"/>
              <w:right w:val="single" w:sz="4" w:space="0" w:color="000000"/>
            </w:tcBorders>
            <w:shd w:val="clear" w:color="auto" w:fill="D3D3D3"/>
          </w:tcPr>
          <w:p>
            <w:pPr/>
          </w:p>
        </w:tc>
        <w:tc>
          <w:tcPr>
            <w:tcW w:w="1157"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57" w:type="dxa"/>
            <w:vMerge/>
            <w:tcBorders>
              <w:left w:val="single" w:sz="4" w:space="0" w:color="000000"/>
              <w:bottom w:val="single" w:sz="4" w:space="0" w:color="000000"/>
              <w:right w:val="single" w:sz="4" w:space="0" w:color="000000"/>
            </w:tcBorders>
            <w:shd w:val="clear" w:color="auto" w:fill="D3D3D3"/>
          </w:tcPr>
          <w:p>
            <w:pPr/>
          </w:p>
        </w:tc>
        <w:tc>
          <w:tcPr>
            <w:tcW w:w="1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437" w:type="dxa"/>
            <w:vMerge/>
            <w:tcBorders>
              <w:left w:val="single" w:sz="4" w:space="0" w:color="000000"/>
              <w:bottom w:val="single" w:sz="4" w:space="0" w:color="000000"/>
              <w:right w:val="single" w:sz="4" w:space="0" w:color="000000"/>
            </w:tcBorders>
            <w:shd w:val="clear" w:color="auto" w:fill="D3D3D3"/>
          </w:tcPr>
          <w:p>
            <w:pPr/>
          </w:p>
        </w:tc>
        <w:tc>
          <w:tcPr>
            <w:tcW w:w="463" w:type="dxa"/>
            <w:tcBorders>
              <w:top w:val="nil" w:sz="6" w:space="0" w:color="auto"/>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57"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637,865,557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38.59%</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-609,151,216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-609,151,216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28,714,341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637,865,557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38.59%</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-609,151,216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-609,151,216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28,714,341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536,416,986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32.45%</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-536,416,986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-536,416,986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101,448,571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6.14%</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-72,734,230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-72,734,230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28,714,341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1,015,009,404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609,151,216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609,151,216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1,624,160,620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98.26%</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1,015,009,404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609,151,216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609,151,216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1,624,160,620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98.26%</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1,652,874,961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891"/>
        <w:jc w:val="left"/>
      </w:pPr>
      <w:r>
        <w:rPr/>
        <w:t>股份变动的原因</w:t>
      </w:r>
    </w:p>
    <w:p>
      <w:pPr>
        <w:pStyle w:val="BodyText"/>
        <w:spacing w:line="240" w:lineRule="auto" w:before="117"/>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8" w:firstLine="360"/>
        <w:jc w:val="both"/>
      </w:pPr>
      <w:r>
        <w:rPr>
          <w:rFonts w:ascii="Times New Roman" w:hAnsi="Times New Roman" w:cs="Times New Roman" w:eastAsia="Times New Roman" w:hint="default"/>
        </w:rPr>
        <w:t>1</w:t>
      </w:r>
      <w:r>
        <w:rPr/>
        <w:t>、北京北明伟业控股有限公司、北京万峰嘉晔投资管理中心（有限合伙）等</w:t>
      </w:r>
      <w:r>
        <w:rPr>
          <w:rFonts w:ascii="Times New Roman" w:hAnsi="Times New Roman" w:cs="Times New Roman" w:eastAsia="Times New Roman" w:hint="default"/>
        </w:rPr>
        <w:t>43</w:t>
      </w:r>
      <w:r>
        <w:rPr/>
        <w:t>家公司重大资产重组之重组方所持限售 股份共计</w:t>
      </w:r>
      <w:r>
        <w:rPr>
          <w:rFonts w:ascii="Times New Roman" w:hAnsi="Times New Roman" w:cs="Times New Roman" w:eastAsia="Times New Roman" w:hint="default"/>
        </w:rPr>
        <w:t>492,679,008</w:t>
      </w:r>
      <w:r>
        <w:rPr/>
        <w:t>股，占公司总股本的</w:t>
      </w:r>
      <w:r>
        <w:rPr>
          <w:rFonts w:ascii="Times New Roman" w:hAnsi="Times New Roman" w:cs="Times New Roman" w:eastAsia="Times New Roman" w:hint="default"/>
        </w:rPr>
        <w:t>29.8074%</w:t>
      </w:r>
      <w:r>
        <w:rPr/>
        <w:t>限售期满，于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日上市流通。</w:t>
      </w:r>
    </w:p>
    <w:p>
      <w:pPr>
        <w:pStyle w:val="BodyText"/>
        <w:spacing w:line="300" w:lineRule="auto" w:before="13"/>
        <w:ind w:right="1128" w:firstLine="360"/>
        <w:jc w:val="both"/>
      </w:pPr>
      <w:r>
        <w:rPr>
          <w:rFonts w:ascii="Times New Roman" w:hAnsi="Times New Roman" w:cs="Times New Roman" w:eastAsia="Times New Roman" w:hint="default"/>
        </w:rPr>
        <w:t>2</w:t>
      </w:r>
      <w:r>
        <w:rPr/>
        <w:t>、新华恒定</w:t>
      </w:r>
      <w:r>
        <w:rPr>
          <w:rFonts w:ascii="Times New Roman" w:hAnsi="Times New Roman" w:cs="Times New Roman" w:eastAsia="Times New Roman" w:hint="default"/>
        </w:rPr>
        <w:t>20</w:t>
      </w:r>
      <w:r>
        <w:rPr/>
        <w:t>号常山股份定向增发资产管理计划、广发恒定</w:t>
      </w:r>
      <w:r>
        <w:rPr>
          <w:rFonts w:ascii="Times New Roman" w:hAnsi="Times New Roman" w:cs="Times New Roman" w:eastAsia="Times New Roman" w:hint="default"/>
        </w:rPr>
        <w:t>21</w:t>
      </w:r>
      <w:r>
        <w:rPr/>
        <w:t>号常山股份定向增发集合资产管理计划、深圳市神华投 资集团有限公司、</w:t>
      </w:r>
      <w:r>
        <w:rPr>
          <w:spacing w:val="-40"/>
        </w:rPr>
        <w:t> </w:t>
      </w:r>
      <w:r>
        <w:rPr>
          <w:spacing w:val="-1"/>
        </w:rPr>
        <w:t>神华期货有限公司</w:t>
      </w:r>
      <w:r>
        <w:rPr>
          <w:rFonts w:ascii="Times New Roman" w:hAnsi="Times New Roman" w:cs="Times New Roman" w:eastAsia="Times New Roman" w:hint="default"/>
          <w:spacing w:val="-1"/>
        </w:rPr>
        <w:t>4</w:t>
      </w:r>
      <w:r>
        <w:rPr>
          <w:spacing w:val="-1"/>
        </w:rPr>
        <w:t>家公司重大资产重组之配套融资对象所持限售股份共计</w:t>
      </w:r>
      <w:r>
        <w:rPr>
          <w:rFonts w:ascii="Times New Roman" w:hAnsi="Times New Roman" w:cs="Times New Roman" w:eastAsia="Times New Roman" w:hint="default"/>
          <w:spacing w:val="-1"/>
        </w:rPr>
        <w:t>144,981,704</w:t>
      </w:r>
      <w:r>
        <w:rPr>
          <w:spacing w:val="-1"/>
        </w:rPr>
        <w:t>股，占公司总股本</w:t>
      </w:r>
      <w:r>
        <w:rPr>
          <w:spacing w:val="-86"/>
        </w:rPr>
        <w:t> </w:t>
      </w:r>
      <w:r>
        <w:rPr>
          <w:spacing w:val="-86"/>
        </w:rPr>
      </w:r>
      <w:r>
        <w:rPr/>
        <w:t>的</w:t>
      </w:r>
      <w:r>
        <w:rPr>
          <w:rFonts w:ascii="Times New Roman" w:hAnsi="Times New Roman" w:cs="Times New Roman" w:eastAsia="Times New Roman" w:hint="default"/>
        </w:rPr>
        <w:t>8.7715%</w:t>
      </w:r>
      <w:r>
        <w:rPr/>
        <w:t>限售期满，于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日上市流通。</w:t>
      </w:r>
    </w:p>
    <w:p>
      <w:pPr>
        <w:pStyle w:val="BodyText"/>
        <w:spacing w:line="240" w:lineRule="auto" w:before="53"/>
        <w:ind w:right="891"/>
        <w:jc w:val="left"/>
      </w:pPr>
      <w:r>
        <w:rPr/>
        <w:t>股份变动的批准情况</w:t>
      </w:r>
    </w:p>
    <w:p>
      <w:pPr>
        <w:pStyle w:val="BodyText"/>
        <w:spacing w:line="338" w:lineRule="auto" w:before="117"/>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240" w:lineRule="auto" w:before="42"/>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3" w:right="1128"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日公司召开董事会七届三次会议审议通过了《关于以集中竞价交易方式回购公司股份的议案》和《关于提</w:t>
      </w:r>
      <w:r>
        <w:rPr/>
        <w:t> 请股东大会授权董事会全权办理本次回购股份工作相关事宜的议案》，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2018</w:t>
      </w:r>
      <w:r>
        <w:rPr/>
        <w:t>年度第</w:t>
      </w:r>
      <w:r>
        <w:rPr>
          <w:rFonts w:ascii="Times New Roman" w:hAnsi="Times New Roman" w:cs="Times New Roman" w:eastAsia="Times New Roman" w:hint="default"/>
        </w:rPr>
        <w:t>4</w:t>
      </w:r>
      <w:r>
        <w:rPr/>
        <w:t>次临时股东</w:t>
      </w:r>
      <w:r>
        <w:rPr>
          <w:spacing w:val="-84"/>
        </w:rPr>
        <w:t> </w:t>
      </w:r>
      <w:r>
        <w:rPr>
          <w:spacing w:val="-84"/>
        </w:rPr>
      </w:r>
      <w:r>
        <w:rPr>
          <w:spacing w:val="-1"/>
        </w:rPr>
        <w:t>大会审议通过了上述议案。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日，公司披露了《关于回购公司股份的回购报告书》（公告编号：</w:t>
      </w:r>
      <w:r>
        <w:rPr>
          <w:rFonts w:ascii="Times New Roman" w:hAnsi="Times New Roman" w:cs="Times New Roman" w:eastAsia="Times New Roman" w:hint="default"/>
          <w:spacing w:val="-1"/>
        </w:rPr>
        <w:t>2018-089</w:t>
      </w:r>
      <w:r>
        <w:rPr>
          <w:spacing w:val="-1"/>
        </w:rPr>
        <w:t>）。公</w:t>
      </w:r>
      <w:r>
        <w:rPr>
          <w:spacing w:val="-87"/>
        </w:rPr>
        <w:t> </w:t>
      </w:r>
      <w:r>
        <w:rPr/>
        <w:t>司拟以自有或自筹资金不低于人民币</w:t>
      </w:r>
      <w:r>
        <w:rPr>
          <w:rFonts w:ascii="Times New Roman" w:hAnsi="Times New Roman" w:cs="Times New Roman" w:eastAsia="Times New Roman" w:hint="default"/>
        </w:rPr>
        <w:t>30,000</w:t>
      </w:r>
      <w:r>
        <w:rPr/>
        <w:t>万元，不超过人民币</w:t>
      </w:r>
      <w:r>
        <w:rPr>
          <w:rFonts w:ascii="Times New Roman" w:hAnsi="Times New Roman" w:cs="Times New Roman" w:eastAsia="Times New Roman" w:hint="default"/>
        </w:rPr>
        <w:t>60,000</w:t>
      </w:r>
      <w:r>
        <w:rPr/>
        <w:t>万元，以集中竞价交易方式回购公司股份并注销，回</w:t>
      </w:r>
      <w:r>
        <w:rPr>
          <w:spacing w:val="-85"/>
        </w:rPr>
        <w:t> </w:t>
      </w:r>
      <w:r>
        <w:rPr>
          <w:spacing w:val="-85"/>
        </w:rPr>
      </w:r>
      <w:r>
        <w:rPr/>
        <w:t>购价格不超过</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股）。具体回购股份的数量以回购期满时实际回购的股份数量为准。</w:t>
      </w:r>
    </w:p>
    <w:p>
      <w:pPr>
        <w:pStyle w:val="BodyText"/>
        <w:spacing w:line="300" w:lineRule="auto" w:before="13"/>
        <w:ind w:right="1131" w:firstLine="360"/>
        <w:jc w:val="both"/>
      </w:pPr>
      <w:r>
        <w:rPr>
          <w:spacing w:val="-1"/>
        </w:rPr>
        <w:t>截止报告期末，公司累计回购股份</w:t>
      </w:r>
      <w:r>
        <w:rPr>
          <w:rFonts w:ascii="Times New Roman" w:hAnsi="Times New Roman" w:cs="Times New Roman" w:eastAsia="Times New Roman" w:hint="default"/>
          <w:spacing w:val="-1"/>
        </w:rPr>
        <w:t>5,256,700</w:t>
      </w:r>
      <w:r>
        <w:rPr>
          <w:spacing w:val="-1"/>
        </w:rPr>
        <w:t>股，占公司总股本</w:t>
      </w:r>
      <w:r>
        <w:rPr>
          <w:rFonts w:ascii="Times New Roman" w:hAnsi="Times New Roman" w:cs="Times New Roman" w:eastAsia="Times New Roman" w:hint="default"/>
          <w:spacing w:val="-1"/>
        </w:rPr>
        <w:t>0.32%</w:t>
      </w:r>
      <w:r>
        <w:rPr>
          <w:spacing w:val="-1"/>
        </w:rPr>
        <w:t>，购买股份最高成交价为</w:t>
      </w:r>
      <w:r>
        <w:rPr>
          <w:rFonts w:ascii="Times New Roman" w:hAnsi="Times New Roman" w:cs="Times New Roman" w:eastAsia="Times New Roman" w:hint="default"/>
          <w:spacing w:val="-1"/>
        </w:rPr>
        <w:t>5.24</w:t>
      </w:r>
      <w:r>
        <w:rPr>
          <w:spacing w:val="-1"/>
        </w:rPr>
        <w:t>元</w:t>
      </w:r>
      <w:r>
        <w:rPr>
          <w:rFonts w:ascii="Times New Roman" w:hAnsi="Times New Roman" w:cs="Times New Roman" w:eastAsia="Times New Roman" w:hint="default"/>
          <w:spacing w:val="-1"/>
        </w:rPr>
        <w:t>/</w:t>
      </w:r>
      <w:r>
        <w:rPr>
          <w:spacing w:val="-1"/>
        </w:rPr>
        <w:t>股，购买股份最低</w:t>
      </w:r>
      <w:r>
        <w:rPr/>
        <w:t> 成交价为</w:t>
      </w:r>
      <w:r>
        <w:rPr>
          <w:rFonts w:ascii="Times New Roman" w:hAnsi="Times New Roman" w:cs="Times New Roman" w:eastAsia="Times New Roman" w:hint="default"/>
        </w:rPr>
        <w:t>4.85</w:t>
      </w:r>
      <w:r>
        <w:rPr/>
        <w:t>元</w:t>
      </w:r>
      <w:r>
        <w:rPr>
          <w:rFonts w:ascii="Times New Roman" w:hAnsi="Times New Roman" w:cs="Times New Roman" w:eastAsia="Times New Roman" w:hint="default"/>
        </w:rPr>
        <w:t>/</w:t>
      </w:r>
      <w:r>
        <w:rPr/>
        <w:t>股，支付的总金额</w:t>
      </w:r>
      <w:r>
        <w:rPr>
          <w:rFonts w:ascii="Times New Roman" w:hAnsi="Times New Roman" w:cs="Times New Roman" w:eastAsia="Times New Roman" w:hint="default"/>
        </w:rPr>
        <w:t>26,956,873.34</w:t>
      </w:r>
      <w:r>
        <w:rPr/>
        <w:t>元（含交易费用）。</w:t>
      </w:r>
    </w:p>
    <w:p>
      <w:pPr>
        <w:pStyle w:val="BodyText"/>
        <w:spacing w:line="240" w:lineRule="auto" w:before="53"/>
        <w:ind w:right="891"/>
        <w:jc w:val="left"/>
      </w:pPr>
      <w:r>
        <w:rPr/>
        <w:t>采用集中竞价方式减持回购股份的实施进展情况</w:t>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390"/>
        <w:jc w:val="left"/>
      </w:pPr>
      <w:r>
        <w:rPr/>
        <w:t>□ 适用 √ 不适用 股份变动对最近一年和最近一期基本每股收益和稀释每股收益、归属于公司普通股股东的每股净资产等财务指标的影响</w:t>
      </w:r>
    </w:p>
    <w:p>
      <w:pPr>
        <w:pStyle w:val="BodyText"/>
        <w:spacing w:line="357" w:lineRule="auto" w:before="29"/>
        <w:ind w:right="6790"/>
        <w:jc w:val="left"/>
      </w:pPr>
      <w:r>
        <w:rPr/>
        <w:t>□ 适用 √ 不适用 公司认为必要或证券监管机构要求披露的其他内容</w:t>
      </w:r>
    </w:p>
    <w:p>
      <w:pPr>
        <w:pStyle w:val="BodyText"/>
        <w:spacing w:line="240" w:lineRule="auto" w:before="28"/>
        <w:ind w:right="891"/>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t>√ 适用 □ 不适用</w:t>
      </w:r>
    </w:p>
    <w:p>
      <w:pPr>
        <w:pStyle w:val="BodyText"/>
        <w:spacing w:line="240" w:lineRule="auto" w:before="117"/>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68"/>
        <w:gridCol w:w="1234"/>
        <w:gridCol w:w="1080"/>
        <w:gridCol w:w="900"/>
        <w:gridCol w:w="938"/>
        <w:gridCol w:w="1080"/>
        <w:gridCol w:w="1478"/>
      </w:tblGrid>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4" w:right="102"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250,152,830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250,152,830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4"/>
                <w:sz w:val="18"/>
                <w:szCs w:val="18"/>
              </w:rPr>
              <w:t>北京万峰嘉晔投资管理中心（有限合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78,579,795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78,579,795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新华基金－平安银行－新华恒定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号常山股份定向增发资产管理计划</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63,071,138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63,071,138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4"/>
                <w:sz w:val="18"/>
                <w:szCs w:val="18"/>
              </w:rPr>
              <w:t>北京万峰嘉华投资管理中心（有限合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62,702,657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62,702,657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深圳市神华投资集团有限公司</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39,634,145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39,634,145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026"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广发证券资管－平安银行－广发恒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号常山股份定向增发集合资产 管理计划</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29,065,040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29,065,040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17,922,053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17,922,053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13,441,540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13,441,540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17,004,096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17,004,096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12,753,072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12,753,072</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神华期货有限公司</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13,211,381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13,211,381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严道平</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12,257,012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12,257,012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李莹等股东</w:t>
            </w:r>
          </w:p>
        </w:tc>
        <w:tc>
          <w:tcPr>
            <w:tcW w:w="123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54,060,565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54,060,565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637,660,712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637,660,712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26,194,612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26,194,612</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891"/>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4"/>
        <w:rPr>
          <w:rFonts w:ascii="宋体" w:hAnsi="宋体" w:cs="宋体" w:eastAsia="宋体" w:hint="default"/>
          <w:sz w:val="20"/>
          <w:szCs w:val="20"/>
        </w:rPr>
      </w:pPr>
    </w:p>
    <w:p>
      <w:pPr>
        <w:pStyle w:val="Heading2"/>
        <w:spacing w:line="240" w:lineRule="auto"/>
        <w:ind w:right="891"/>
        <w:jc w:val="left"/>
        <w:rPr>
          <w:b w:val="0"/>
          <w:bCs w:val="0"/>
        </w:rPr>
      </w:pPr>
      <w:r>
        <w:rPr/>
        <w:t>三、股东和实际控制人情况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pict>
          <v:group style="position:absolute;margin-left:502.26001pt;margin-top:70.452026pt;width:35.4pt;height:31.2pt;mso-position-horizontal-relative:page;mso-position-vertical-relative:paragraph;z-index:-1220056" coordorigin="10045,1409" coordsize="708,624">
            <v:shape style="position:absolute;left:10045;top:1409;width:708;height:624" coordorigin="10045,1409" coordsize="708,624" path="m10045,2033l10753,2033,10753,1409,10045,1409,10045,2033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68"/>
        <w:gridCol w:w="940"/>
        <w:gridCol w:w="111"/>
        <w:gridCol w:w="810"/>
        <w:gridCol w:w="989"/>
        <w:gridCol w:w="345"/>
        <w:gridCol w:w="556"/>
        <w:gridCol w:w="900"/>
        <w:gridCol w:w="208"/>
        <w:gridCol w:w="806"/>
        <w:gridCol w:w="455"/>
        <w:gridCol w:w="894"/>
        <w:gridCol w:w="412"/>
        <w:gridCol w:w="729"/>
      </w:tblGrid>
      <w:tr>
        <w:trPr>
          <w:trHeight w:val="161" w:hRule="exact"/>
        </w:trPr>
        <w:tc>
          <w:tcPr>
            <w:tcW w:w="1201" w:type="dxa"/>
            <w:vMerge w:val="restart"/>
            <w:tcBorders>
              <w:top w:val="single" w:sz="4" w:space="0" w:color="000000"/>
              <w:left w:val="single" w:sz="4" w:space="0" w:color="000000"/>
              <w:right w:val="single" w:sz="4" w:space="0" w:color="000000"/>
            </w:tcBorders>
            <w:shd w:val="clear" w:color="auto" w:fill="D3D3D3"/>
          </w:tcPr>
          <w:p>
            <w:pPr/>
          </w:p>
        </w:tc>
        <w:tc>
          <w:tcPr>
            <w:tcW w:w="1208" w:type="dxa"/>
            <w:gridSpan w:val="2"/>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46,844</w:t>
            </w:r>
          </w:p>
        </w:tc>
        <w:tc>
          <w:tcPr>
            <w:tcW w:w="92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333"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52,465</w:t>
            </w:r>
          </w:p>
        </w:tc>
        <w:tc>
          <w:tcPr>
            <w:tcW w:w="1664" w:type="dxa"/>
            <w:gridSpan w:val="3"/>
            <w:vMerge w:val="restart"/>
            <w:tcBorders>
              <w:top w:val="single" w:sz="4" w:space="0" w:color="000000"/>
              <w:left w:val="single" w:sz="4" w:space="0" w:color="000000"/>
              <w:right w:val="single" w:sz="4" w:space="0" w:color="000000"/>
            </w:tcBorders>
            <w:shd w:val="clear" w:color="auto" w:fill="D3D3D3"/>
          </w:tcPr>
          <w:p>
            <w:pPr/>
          </w:p>
        </w:tc>
        <w:tc>
          <w:tcPr>
            <w:tcW w:w="1261" w:type="dxa"/>
            <w:gridSpan w:val="2"/>
            <w:vMerge w:val="restart"/>
            <w:tcBorders>
              <w:top w:val="single" w:sz="4" w:space="0" w:color="000000"/>
              <w:left w:val="single" w:sz="9"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2"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20"/>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729"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5"/>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6" w:hRule="exact"/>
        </w:trPr>
        <w:tc>
          <w:tcPr>
            <w:tcW w:w="1201" w:type="dxa"/>
            <w:vMerge/>
            <w:tcBorders>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92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1" w:right="0"/>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333" w:type="dxa"/>
            <w:gridSpan w:val="2"/>
            <w:vMerge/>
            <w:tcBorders>
              <w:left w:val="single" w:sz="9" w:space="0" w:color="D3D3D3"/>
              <w:right w:val="single" w:sz="9" w:space="0" w:color="D3D3D3"/>
            </w:tcBorders>
          </w:tcPr>
          <w:p>
            <w:pPr/>
          </w:p>
        </w:tc>
        <w:tc>
          <w:tcPr>
            <w:tcW w:w="1664" w:type="dxa"/>
            <w:gridSpan w:val="3"/>
            <w:vMerge/>
            <w:tcBorders>
              <w:left w:val="single" w:sz="4" w:space="0" w:color="000000"/>
              <w:bottom w:val="nil" w:sz="6" w:space="0" w:color="auto"/>
              <w:right w:val="single" w:sz="4" w:space="0" w:color="000000"/>
            </w:tcBorders>
            <w:shd w:val="clear" w:color="auto" w:fill="D3D3D3"/>
          </w:tcPr>
          <w:p>
            <w:pPr/>
          </w:p>
        </w:tc>
        <w:tc>
          <w:tcPr>
            <w:tcW w:w="1261" w:type="dxa"/>
            <w:gridSpan w:val="2"/>
            <w:vMerge/>
            <w:tcBorders>
              <w:left w:val="single" w:sz="9" w:space="0" w:color="D3D3D3"/>
              <w:right w:val="single" w:sz="13"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729" w:type="dxa"/>
            <w:vMerge/>
            <w:tcBorders>
              <w:left w:val="single" w:sz="13" w:space="0" w:color="D3D3D3"/>
              <w:right w:val="single" w:sz="4" w:space="0" w:color="000000"/>
            </w:tcBorders>
          </w:tcPr>
          <w:p>
            <w:pPr/>
          </w:p>
        </w:tc>
      </w:tr>
      <w:tr>
        <w:trPr>
          <w:trHeight w:val="156" w:hRule="exact"/>
        </w:trPr>
        <w:tc>
          <w:tcPr>
            <w:tcW w:w="1201" w:type="dxa"/>
            <w:vMerge/>
            <w:tcBorders>
              <w:left w:val="single" w:sz="4" w:space="0" w:color="000000"/>
              <w:bottom w:val="nil" w:sz="6" w:space="0" w:color="auto"/>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921" w:type="dxa"/>
            <w:gridSpan w:val="2"/>
            <w:vMerge/>
            <w:tcBorders>
              <w:left w:val="single" w:sz="4" w:space="0" w:color="000000"/>
              <w:right w:val="single" w:sz="4" w:space="0" w:color="000000"/>
            </w:tcBorders>
            <w:shd w:val="clear" w:color="auto" w:fill="D3D3D3"/>
          </w:tcPr>
          <w:p>
            <w:pPr/>
          </w:p>
        </w:tc>
        <w:tc>
          <w:tcPr>
            <w:tcW w:w="1333" w:type="dxa"/>
            <w:gridSpan w:val="2"/>
            <w:vMerge/>
            <w:tcBorders>
              <w:left w:val="single" w:sz="9" w:space="0" w:color="D3D3D3"/>
              <w:right w:val="single" w:sz="9" w:space="0" w:color="D3D3D3"/>
            </w:tcBorders>
          </w:tcPr>
          <w:p>
            <w:pPr/>
          </w:p>
        </w:tc>
        <w:tc>
          <w:tcPr>
            <w:tcW w:w="1664"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11" w:right="-22"/>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61" w:type="dxa"/>
            <w:gridSpan w:val="2"/>
            <w:vMerge/>
            <w:tcBorders>
              <w:left w:val="single" w:sz="9" w:space="0" w:color="D3D3D3"/>
              <w:right w:val="single" w:sz="13"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729" w:type="dxa"/>
            <w:vMerge/>
            <w:tcBorders>
              <w:left w:val="single" w:sz="13" w:space="0" w:color="D3D3D3"/>
              <w:right w:val="single" w:sz="4" w:space="0" w:color="000000"/>
            </w:tcBorders>
          </w:tcPr>
          <w:p>
            <w:pPr/>
          </w:p>
        </w:tc>
      </w:tr>
      <w:tr>
        <w:trPr>
          <w:trHeight w:val="704"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3D3D3"/>
              <w:right w:val="single" w:sz="9" w:space="0" w:color="D3D3D3"/>
            </w:tcBorders>
          </w:tcPr>
          <w:p>
            <w:pPr/>
          </w:p>
        </w:tc>
        <w:tc>
          <w:tcPr>
            <w:tcW w:w="921" w:type="dxa"/>
            <w:gridSpan w:val="2"/>
            <w:vMerge/>
            <w:tcBorders>
              <w:left w:val="single" w:sz="4" w:space="0" w:color="000000"/>
              <w:right w:val="single" w:sz="4" w:space="0" w:color="000000"/>
            </w:tcBorders>
            <w:shd w:val="clear" w:color="auto" w:fill="D3D3D3"/>
          </w:tcPr>
          <w:p>
            <w:pPr/>
          </w:p>
        </w:tc>
        <w:tc>
          <w:tcPr>
            <w:tcW w:w="1333" w:type="dxa"/>
            <w:gridSpan w:val="2"/>
            <w:vMerge/>
            <w:tcBorders>
              <w:left w:val="single" w:sz="9" w:space="0" w:color="D3D3D3"/>
              <w:right w:val="single" w:sz="9" w:space="0" w:color="D3D3D3"/>
            </w:tcBorders>
          </w:tcPr>
          <w:p>
            <w:pPr/>
          </w:p>
        </w:tc>
        <w:tc>
          <w:tcPr>
            <w:tcW w:w="1664" w:type="dxa"/>
            <w:gridSpan w:val="3"/>
            <w:vMerge/>
            <w:tcBorders>
              <w:left w:val="single" w:sz="4" w:space="0" w:color="000000"/>
              <w:right w:val="single" w:sz="4" w:space="0" w:color="000000"/>
            </w:tcBorders>
            <w:shd w:val="clear" w:color="auto" w:fill="D3D3D3"/>
          </w:tcPr>
          <w:p>
            <w:pPr/>
          </w:p>
        </w:tc>
        <w:tc>
          <w:tcPr>
            <w:tcW w:w="1261" w:type="dxa"/>
            <w:gridSpan w:val="2"/>
            <w:vMerge/>
            <w:tcBorders>
              <w:left w:val="single" w:sz="9" w:space="0" w:color="D3D3D3"/>
              <w:right w:val="single" w:sz="13"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729" w:type="dxa"/>
            <w:vMerge/>
            <w:tcBorders>
              <w:left w:val="single" w:sz="13" w:space="0" w:color="D3D3D3"/>
              <w:right w:val="single" w:sz="4" w:space="0" w:color="000000"/>
            </w:tcBorders>
          </w:tcPr>
          <w:p>
            <w:pPr/>
          </w:p>
        </w:tc>
      </w:tr>
      <w:tr>
        <w:trPr>
          <w:trHeight w:val="156" w:hRule="exact"/>
        </w:trPr>
        <w:tc>
          <w:tcPr>
            <w:tcW w:w="1201" w:type="dxa"/>
            <w:vMerge w:val="restart"/>
            <w:tcBorders>
              <w:top w:val="nil" w:sz="6" w:space="0" w:color="auto"/>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921" w:type="dxa"/>
            <w:gridSpan w:val="2"/>
            <w:vMerge/>
            <w:tcBorders>
              <w:left w:val="single" w:sz="4" w:space="0" w:color="000000"/>
              <w:right w:val="single" w:sz="4" w:space="0" w:color="000000"/>
            </w:tcBorders>
            <w:shd w:val="clear" w:color="auto" w:fill="D3D3D3"/>
          </w:tcPr>
          <w:p>
            <w:pPr/>
          </w:p>
        </w:tc>
        <w:tc>
          <w:tcPr>
            <w:tcW w:w="1333" w:type="dxa"/>
            <w:gridSpan w:val="2"/>
            <w:vMerge/>
            <w:tcBorders>
              <w:left w:val="single" w:sz="9" w:space="0" w:color="D3D3D3"/>
              <w:right w:val="single" w:sz="9" w:space="0" w:color="D3D3D3"/>
            </w:tcBorders>
          </w:tcPr>
          <w:p>
            <w:pPr/>
          </w:p>
        </w:tc>
        <w:tc>
          <w:tcPr>
            <w:tcW w:w="1664" w:type="dxa"/>
            <w:gridSpan w:val="3"/>
            <w:vMerge/>
            <w:tcBorders>
              <w:left w:val="single" w:sz="4" w:space="0" w:color="000000"/>
              <w:bottom w:val="nil" w:sz="6" w:space="0" w:color="auto"/>
              <w:right w:val="single" w:sz="4" w:space="0" w:color="000000"/>
            </w:tcBorders>
            <w:shd w:val="clear" w:color="auto" w:fill="D3D3D3"/>
          </w:tcPr>
          <w:p>
            <w:pPr/>
          </w:p>
        </w:tc>
        <w:tc>
          <w:tcPr>
            <w:tcW w:w="1261" w:type="dxa"/>
            <w:gridSpan w:val="2"/>
            <w:vMerge/>
            <w:tcBorders>
              <w:left w:val="single" w:sz="9" w:space="0" w:color="D3D3D3"/>
              <w:right w:val="single" w:sz="13"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729" w:type="dxa"/>
            <w:vMerge/>
            <w:tcBorders>
              <w:left w:val="single" w:sz="13" w:space="0" w:color="D3D3D3"/>
              <w:right w:val="single" w:sz="4" w:space="0" w:color="000000"/>
            </w:tcBorders>
          </w:tcPr>
          <w:p>
            <w:pPr/>
          </w:p>
        </w:tc>
      </w:tr>
      <w:tr>
        <w:trPr>
          <w:trHeight w:val="156" w:hRule="exact"/>
        </w:trPr>
        <w:tc>
          <w:tcPr>
            <w:tcW w:w="1201" w:type="dxa"/>
            <w:vMerge/>
            <w:tcBorders>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921" w:type="dxa"/>
            <w:gridSpan w:val="2"/>
            <w:vMerge/>
            <w:tcBorders>
              <w:left w:val="single" w:sz="4" w:space="0" w:color="000000"/>
              <w:bottom w:val="nil" w:sz="6" w:space="0" w:color="auto"/>
              <w:right w:val="single" w:sz="4" w:space="0" w:color="000000"/>
            </w:tcBorders>
            <w:shd w:val="clear" w:color="auto" w:fill="D3D3D3"/>
          </w:tcPr>
          <w:p>
            <w:pPr/>
          </w:p>
        </w:tc>
        <w:tc>
          <w:tcPr>
            <w:tcW w:w="1333" w:type="dxa"/>
            <w:gridSpan w:val="2"/>
            <w:vMerge/>
            <w:tcBorders>
              <w:left w:val="single" w:sz="9" w:space="0" w:color="D3D3D3"/>
              <w:right w:val="single" w:sz="9" w:space="0" w:color="D3D3D3"/>
            </w:tcBorders>
          </w:tcPr>
          <w:p>
            <w:pPr/>
          </w:p>
        </w:tc>
        <w:tc>
          <w:tcPr>
            <w:tcW w:w="1664" w:type="dxa"/>
            <w:gridSpan w:val="3"/>
            <w:vMerge w:val="restart"/>
            <w:tcBorders>
              <w:top w:val="nil" w:sz="6" w:space="0" w:color="auto"/>
              <w:left w:val="single" w:sz="4" w:space="0" w:color="000000"/>
              <w:right w:val="single" w:sz="4" w:space="0" w:color="000000"/>
            </w:tcBorders>
            <w:shd w:val="clear" w:color="auto" w:fill="D3D3D3"/>
          </w:tcPr>
          <w:p>
            <w:pPr/>
          </w:p>
        </w:tc>
        <w:tc>
          <w:tcPr>
            <w:tcW w:w="1261" w:type="dxa"/>
            <w:gridSpan w:val="2"/>
            <w:vMerge/>
            <w:tcBorders>
              <w:left w:val="single" w:sz="9" w:space="0" w:color="D3D3D3"/>
              <w:right w:val="single" w:sz="13"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729" w:type="dxa"/>
            <w:vMerge/>
            <w:tcBorders>
              <w:left w:val="single" w:sz="13" w:space="0" w:color="D3D3D3"/>
              <w:right w:val="single" w:sz="4" w:space="0" w:color="000000"/>
            </w:tcBorders>
          </w:tcPr>
          <w:p>
            <w:pPr/>
          </w:p>
        </w:tc>
      </w:tr>
      <w:tr>
        <w:trPr>
          <w:trHeight w:val="161" w:hRule="exact"/>
        </w:trPr>
        <w:tc>
          <w:tcPr>
            <w:tcW w:w="1201" w:type="dxa"/>
            <w:vMerge/>
            <w:tcBorders>
              <w:left w:val="single" w:sz="4" w:space="0" w:color="000000"/>
              <w:bottom w:val="single" w:sz="4" w:space="0" w:color="000000"/>
              <w:right w:val="single" w:sz="4" w:space="0" w:color="000000"/>
            </w:tcBorders>
            <w:shd w:val="clear" w:color="auto" w:fill="D3D3D3"/>
          </w:tcPr>
          <w:p>
            <w:pPr/>
          </w:p>
        </w:tc>
        <w:tc>
          <w:tcPr>
            <w:tcW w:w="1208" w:type="dxa"/>
            <w:gridSpan w:val="2"/>
            <w:vMerge/>
            <w:tcBorders>
              <w:left w:val="single" w:sz="10" w:space="0" w:color="D3D3D3"/>
              <w:bottom w:val="single" w:sz="4" w:space="0" w:color="000000"/>
              <w:right w:val="single" w:sz="9" w:space="0" w:color="D3D3D3"/>
            </w:tcBorders>
          </w:tcPr>
          <w:p>
            <w:pPr/>
          </w:p>
        </w:tc>
        <w:tc>
          <w:tcPr>
            <w:tcW w:w="92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33" w:type="dxa"/>
            <w:gridSpan w:val="2"/>
            <w:vMerge/>
            <w:tcBorders>
              <w:left w:val="single" w:sz="9" w:space="0" w:color="D3D3D3"/>
              <w:bottom w:val="single" w:sz="4" w:space="0" w:color="000000"/>
              <w:right w:val="single" w:sz="9" w:space="0" w:color="D3D3D3"/>
            </w:tcBorders>
          </w:tcPr>
          <w:p>
            <w:pPr/>
          </w:p>
        </w:tc>
        <w:tc>
          <w:tcPr>
            <w:tcW w:w="1664" w:type="dxa"/>
            <w:gridSpan w:val="3"/>
            <w:vMerge/>
            <w:tcBorders>
              <w:left w:val="single" w:sz="4" w:space="0" w:color="000000"/>
              <w:bottom w:val="single" w:sz="4" w:space="0" w:color="000000"/>
              <w:right w:val="single" w:sz="4" w:space="0" w:color="000000"/>
            </w:tcBorders>
            <w:shd w:val="clear" w:color="auto" w:fill="D3D3D3"/>
          </w:tcPr>
          <w:p>
            <w:pPr/>
          </w:p>
        </w:tc>
        <w:tc>
          <w:tcPr>
            <w:tcW w:w="1261" w:type="dxa"/>
            <w:gridSpan w:val="2"/>
            <w:vMerge/>
            <w:tcBorders>
              <w:left w:val="single" w:sz="9" w:space="0" w:color="D3D3D3"/>
              <w:bottom w:val="single" w:sz="4" w:space="0" w:color="000000"/>
              <w:right w:val="single" w:sz="13" w:space="0" w:color="D3D3D3"/>
            </w:tcBorders>
          </w:tcPr>
          <w:p>
            <w:pPr/>
          </w:p>
        </w:tc>
        <w:tc>
          <w:tcPr>
            <w:tcW w:w="1306" w:type="dxa"/>
            <w:gridSpan w:val="2"/>
            <w:vMerge/>
            <w:tcBorders>
              <w:left w:val="single" w:sz="4" w:space="0" w:color="000000"/>
              <w:bottom w:val="single" w:sz="4" w:space="0" w:color="000000"/>
              <w:right w:val="single" w:sz="4" w:space="0" w:color="000000"/>
            </w:tcBorders>
            <w:shd w:val="clear" w:color="auto" w:fill="D3D3D3"/>
          </w:tcPr>
          <w:p>
            <w:pPr/>
          </w:p>
        </w:tc>
        <w:tc>
          <w:tcPr>
            <w:tcW w:w="729" w:type="dxa"/>
            <w:vMerge/>
            <w:tcBorders>
              <w:left w:val="single" w:sz="13" w:space="0" w:color="D3D3D3"/>
              <w:bottom w:val="single" w:sz="4" w:space="0" w:color="000000"/>
              <w:right w:val="single" w:sz="4" w:space="0" w:color="000000"/>
            </w:tcBorders>
          </w:tcPr>
          <w:p>
            <w:pPr/>
          </w:p>
        </w:tc>
      </w:tr>
      <w:tr>
        <w:trPr>
          <w:trHeight w:val="402" w:hRule="exact"/>
        </w:trPr>
        <w:tc>
          <w:tcPr>
            <w:tcW w:w="962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6"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
        </w:tc>
        <w:tc>
          <w:tcPr>
            <w:tcW w:w="1051" w:type="dxa"/>
            <w:gridSpan w:val="2"/>
            <w:vMerge w:val="restart"/>
            <w:tcBorders>
              <w:top w:val="single" w:sz="4" w:space="0" w:color="000000"/>
              <w:left w:val="single" w:sz="4" w:space="0" w:color="000000"/>
              <w:right w:val="single" w:sz="4" w:space="0" w:color="000000"/>
            </w:tcBorders>
            <w:shd w:val="clear" w:color="auto" w:fill="D3D3D3"/>
          </w:tcPr>
          <w:p>
            <w:pPr/>
          </w:p>
        </w:tc>
        <w:tc>
          <w:tcPr>
            <w:tcW w:w="810" w:type="dxa"/>
            <w:vMerge w:val="restart"/>
            <w:tcBorders>
              <w:top w:val="single" w:sz="4" w:space="0" w:color="000000"/>
              <w:left w:val="single" w:sz="4" w:space="0" w:color="000000"/>
              <w:right w:val="single" w:sz="4" w:space="0" w:color="000000"/>
            </w:tcBorders>
            <w:shd w:val="clear" w:color="auto" w:fill="D3D3D3"/>
          </w:tcPr>
          <w:p>
            <w:pPr/>
          </w:p>
        </w:tc>
        <w:tc>
          <w:tcPr>
            <w:tcW w:w="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90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4" w:right="8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1" w:right="5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90"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1051" w:type="dxa"/>
            <w:gridSpan w:val="2"/>
            <w:vMerge/>
            <w:tcBorders>
              <w:left w:val="single" w:sz="4" w:space="0" w:color="000000"/>
              <w:bottom w:val="nil" w:sz="6" w:space="0" w:color="auto"/>
              <w:right w:val="single" w:sz="4" w:space="0" w:color="000000"/>
            </w:tcBorders>
            <w:shd w:val="clear" w:color="auto" w:fill="D3D3D3"/>
          </w:tcPr>
          <w:p>
            <w:pPr/>
          </w:p>
        </w:tc>
        <w:tc>
          <w:tcPr>
            <w:tcW w:w="810" w:type="dxa"/>
            <w:vMerge/>
            <w:tcBorders>
              <w:left w:val="single" w:sz="4" w:space="0" w:color="000000"/>
              <w:bottom w:val="nil" w:sz="6" w:space="0" w:color="auto"/>
              <w:right w:val="single" w:sz="4" w:space="0" w:color="000000"/>
            </w:tcBorders>
            <w:shd w:val="clear" w:color="auto" w:fill="D3D3D3"/>
          </w:tcPr>
          <w:p>
            <w:pPr/>
          </w:p>
        </w:tc>
        <w:tc>
          <w:tcPr>
            <w:tcW w:w="98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08"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01"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2490" w:type="dxa"/>
            <w:gridSpan w:val="4"/>
            <w:vMerge/>
            <w:tcBorders>
              <w:left w:val="single" w:sz="4" w:space="0" w:color="000000"/>
              <w:right w:val="single" w:sz="4" w:space="0" w:color="000000"/>
            </w:tcBorders>
            <w:shd w:val="clear" w:color="auto" w:fill="D3D3D3"/>
          </w:tcPr>
          <w:p>
            <w:pPr/>
          </w:p>
        </w:tc>
      </w:tr>
      <w:tr>
        <w:trPr>
          <w:trHeight w:val="144" w:hRule="exact"/>
        </w:trPr>
        <w:tc>
          <w:tcPr>
            <w:tcW w:w="146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5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89" w:type="dxa"/>
            <w:vMerge/>
            <w:tcBorders>
              <w:left w:val="single" w:sz="4" w:space="0" w:color="000000"/>
              <w:right w:val="single" w:sz="4" w:space="0" w:color="000000"/>
            </w:tcBorders>
            <w:shd w:val="clear" w:color="auto" w:fill="D3D3D3"/>
          </w:tcPr>
          <w:p>
            <w:pPr/>
          </w:p>
        </w:tc>
        <w:tc>
          <w:tcPr>
            <w:tcW w:w="901"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2490" w:type="dxa"/>
            <w:gridSpan w:val="4"/>
            <w:vMerge/>
            <w:tcBorders>
              <w:left w:val="single" w:sz="4" w:space="0" w:color="000000"/>
              <w:bottom w:val="single" w:sz="4" w:space="0" w:color="000000"/>
              <w:right w:val="single" w:sz="4" w:space="0" w:color="000000"/>
            </w:tcBorders>
            <w:shd w:val="clear" w:color="auto" w:fill="D3D3D3"/>
          </w:tcPr>
          <w:p>
            <w:pPr/>
          </w:p>
        </w:tc>
      </w:tr>
      <w:tr>
        <w:trPr>
          <w:trHeight w:val="248" w:hRule="exact"/>
        </w:trPr>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1051" w:type="dxa"/>
            <w:gridSpan w:val="2"/>
            <w:vMerge/>
            <w:tcBorders>
              <w:left w:val="single" w:sz="4" w:space="0" w:color="000000"/>
              <w:bottom w:val="nil" w:sz="6" w:space="0" w:color="auto"/>
              <w:right w:val="single" w:sz="4" w:space="0" w:color="000000"/>
            </w:tcBorders>
            <w:shd w:val="clear" w:color="auto" w:fill="D3D3D3"/>
          </w:tcPr>
          <w:p>
            <w:pPr/>
          </w:p>
        </w:tc>
        <w:tc>
          <w:tcPr>
            <w:tcW w:w="810" w:type="dxa"/>
            <w:vMerge/>
            <w:tcBorders>
              <w:left w:val="single" w:sz="4" w:space="0" w:color="000000"/>
              <w:bottom w:val="nil" w:sz="6" w:space="0" w:color="auto"/>
              <w:right w:val="single" w:sz="4" w:space="0" w:color="000000"/>
            </w:tcBorders>
            <w:shd w:val="clear" w:color="auto" w:fill="D3D3D3"/>
          </w:tcPr>
          <w:p>
            <w:pPr/>
          </w:p>
        </w:tc>
        <w:tc>
          <w:tcPr>
            <w:tcW w:w="989" w:type="dxa"/>
            <w:vMerge/>
            <w:tcBorders>
              <w:left w:val="single" w:sz="4" w:space="0" w:color="000000"/>
              <w:right w:val="single" w:sz="4" w:space="0" w:color="000000"/>
            </w:tcBorders>
            <w:shd w:val="clear" w:color="auto" w:fill="D3D3D3"/>
          </w:tcPr>
          <w:p>
            <w:pPr/>
          </w:p>
        </w:tc>
        <w:tc>
          <w:tcPr>
            <w:tcW w:w="901"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13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3D3D3"/>
          </w:tcPr>
          <w:p>
            <w:pPr/>
          </w:p>
        </w:tc>
        <w:tc>
          <w:tcPr>
            <w:tcW w:w="1051" w:type="dxa"/>
            <w:gridSpan w:val="2"/>
            <w:vMerge w:val="restart"/>
            <w:tcBorders>
              <w:top w:val="nil" w:sz="6" w:space="0" w:color="auto"/>
              <w:left w:val="single" w:sz="4" w:space="0" w:color="000000"/>
              <w:right w:val="single" w:sz="4" w:space="0" w:color="000000"/>
            </w:tcBorders>
            <w:shd w:val="clear" w:color="auto" w:fill="D3D3D3"/>
          </w:tcPr>
          <w:p>
            <w:pPr/>
          </w:p>
        </w:tc>
        <w:tc>
          <w:tcPr>
            <w:tcW w:w="810" w:type="dxa"/>
            <w:vMerge w:val="restart"/>
            <w:tcBorders>
              <w:top w:val="nil" w:sz="6" w:space="0" w:color="auto"/>
              <w:left w:val="single" w:sz="4" w:space="0" w:color="000000"/>
              <w:right w:val="single" w:sz="4" w:space="0" w:color="000000"/>
            </w:tcBorders>
            <w:shd w:val="clear" w:color="auto" w:fill="D3D3D3"/>
          </w:tcPr>
          <w:p>
            <w:pPr/>
          </w:p>
        </w:tc>
        <w:tc>
          <w:tcPr>
            <w:tcW w:w="989" w:type="dxa"/>
            <w:vMerge/>
            <w:tcBorders>
              <w:left w:val="single" w:sz="4" w:space="0" w:color="000000"/>
              <w:bottom w:val="nil" w:sz="6" w:space="0" w:color="auto"/>
              <w:right w:val="single" w:sz="4" w:space="0" w:color="000000"/>
            </w:tcBorders>
            <w:shd w:val="clear" w:color="auto" w:fill="D3D3D3"/>
          </w:tcPr>
          <w:p>
            <w:pPr/>
          </w:p>
        </w:tc>
        <w:tc>
          <w:tcPr>
            <w:tcW w:w="901" w:type="dxa"/>
            <w:gridSpan w:val="2"/>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1349" w:type="dxa"/>
            <w:gridSpan w:val="2"/>
            <w:vMerge/>
            <w:tcBorders>
              <w:left w:val="single" w:sz="4" w:space="0" w:color="000000"/>
              <w:right w:val="single" w:sz="4" w:space="0" w:color="000000"/>
            </w:tcBorders>
            <w:shd w:val="clear" w:color="auto" w:fill="D3D3D3"/>
          </w:tcPr>
          <w:p>
            <w:pPr/>
          </w:p>
        </w:tc>
        <w:tc>
          <w:tcPr>
            <w:tcW w:w="1141" w:type="dxa"/>
            <w:gridSpan w:val="2"/>
            <w:vMerge/>
            <w:tcBorders>
              <w:left w:val="single" w:sz="4" w:space="0" w:color="000000"/>
              <w:right w:val="single" w:sz="4" w:space="0" w:color="000000"/>
            </w:tcBorders>
            <w:shd w:val="clear" w:color="auto" w:fill="D3D3D3"/>
          </w:tcPr>
          <w:p>
            <w:pPr/>
          </w:p>
        </w:tc>
      </w:tr>
      <w:tr>
        <w:trPr>
          <w:trHeight w:val="166"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051" w:type="dxa"/>
            <w:gridSpan w:val="2"/>
            <w:vMerge/>
            <w:tcBorders>
              <w:left w:val="single" w:sz="4" w:space="0" w:color="000000"/>
              <w:bottom w:val="single" w:sz="4" w:space="0" w:color="000000"/>
              <w:right w:val="single" w:sz="4" w:space="0" w:color="000000"/>
            </w:tcBorders>
            <w:shd w:val="clear" w:color="auto" w:fill="D3D3D3"/>
          </w:tcPr>
          <w:p>
            <w:pPr/>
          </w:p>
        </w:tc>
        <w:tc>
          <w:tcPr>
            <w:tcW w:w="810" w:type="dxa"/>
            <w:vMerge/>
            <w:tcBorders>
              <w:left w:val="single" w:sz="4" w:space="0" w:color="000000"/>
              <w:bottom w:val="single" w:sz="4" w:space="0" w:color="000000"/>
              <w:right w:val="single" w:sz="4" w:space="0" w:color="000000"/>
            </w:tcBorders>
            <w:shd w:val="clear" w:color="auto" w:fill="D3D3D3"/>
          </w:tcPr>
          <w:p>
            <w:pPr/>
          </w:p>
        </w:tc>
        <w:tc>
          <w:tcPr>
            <w:tcW w:w="989" w:type="dxa"/>
            <w:tcBorders>
              <w:top w:val="nil" w:sz="6" w:space="0" w:color="auto"/>
              <w:left w:val="single" w:sz="4" w:space="0" w:color="000000"/>
              <w:bottom w:val="single" w:sz="4" w:space="0" w:color="000000"/>
              <w:right w:val="single" w:sz="4" w:space="0" w:color="000000"/>
            </w:tcBorders>
            <w:shd w:val="clear" w:color="auto" w:fill="D3D3D3"/>
          </w:tcPr>
          <w:p>
            <w:pPr/>
          </w:p>
        </w:tc>
        <w:tc>
          <w:tcPr>
            <w:tcW w:w="901" w:type="dxa"/>
            <w:gridSpan w:val="2"/>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014" w:type="dxa"/>
            <w:gridSpan w:val="2"/>
            <w:vMerge/>
            <w:tcBorders>
              <w:left w:val="single" w:sz="4" w:space="0" w:color="000000"/>
              <w:bottom w:val="single" w:sz="4" w:space="0" w:color="000000"/>
              <w:right w:val="single" w:sz="4" w:space="0" w:color="000000"/>
            </w:tcBorders>
            <w:shd w:val="clear" w:color="auto" w:fill="D3D3D3"/>
          </w:tcPr>
          <w:p>
            <w:pPr/>
          </w:p>
        </w:tc>
        <w:tc>
          <w:tcPr>
            <w:tcW w:w="1349" w:type="dxa"/>
            <w:gridSpan w:val="2"/>
            <w:vMerge/>
            <w:tcBorders>
              <w:left w:val="single" w:sz="4" w:space="0" w:color="000000"/>
              <w:bottom w:val="single" w:sz="4" w:space="0" w:color="000000"/>
              <w:right w:val="single" w:sz="4" w:space="0" w:color="000000"/>
            </w:tcBorders>
            <w:shd w:val="clear" w:color="auto" w:fill="D3D3D3"/>
          </w:tcPr>
          <w:p>
            <w:pPr/>
          </w:p>
        </w:tc>
        <w:tc>
          <w:tcPr>
            <w:tcW w:w="1141" w:type="dxa"/>
            <w:gridSpan w:val="2"/>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石家庄常山纺织 集团有限责任公 司</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27.55%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455,296,184</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3,728,300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455,296,184</w:t>
            </w:r>
          </w:p>
        </w:tc>
        <w:tc>
          <w:tcPr>
            <w:tcW w:w="1349" w:type="dxa"/>
            <w:gridSpan w:val="2"/>
            <w:tcBorders>
              <w:top w:val="single" w:sz="48" w:space="0" w:color="D3D3D3"/>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gridSpan w:val="2"/>
            <w:tcBorders>
              <w:top w:val="single" w:sz="48" w:space="0" w:color="D3D3D3"/>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北京北明伟业控 股有限公司</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15.94%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263,509,630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13,356,800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263,509,630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140,065,599</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北京万峰嘉晔投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82,644,361</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82,644,361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71,920,000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北京万峰嘉华投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3.96%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65,495,251</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65,495,251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21,849,900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新华基金－平安 银行－新华恒定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 向增发资产管理 计划</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3.82%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63,071,138</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63,071,138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141"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深圳市神华投资 集团有限公司</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2.09%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34,593,925</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-5,040,220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34,593,925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10,150,000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广发证券资管－ 平安银行－广发 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 份定向增发集合 资产管理计划</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28,035,040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28,035,040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141"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1.30%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21,534,096</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4,530,000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12,753,072</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8,781,024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10,580,000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宋体" w:hAnsi="宋体" w:cs="宋体" w:eastAsia="宋体" w:hint="default"/>
          <w:sz w:val="20"/>
          <w:szCs w:val="20"/>
        </w:rPr>
      </w:pPr>
      <w:r>
        <w:rPr/>
        <w:pict>
          <v:shape style="position:absolute;margin-left:56.459999pt;margin-top:71.999962pt;width:481.95pt;height:689.9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051"/>
                    <w:gridCol w:w="788"/>
                    <w:gridCol w:w="1010"/>
                    <w:gridCol w:w="901"/>
                    <w:gridCol w:w="900"/>
                    <w:gridCol w:w="1014"/>
                    <w:gridCol w:w="1349"/>
                    <w:gridCol w:w="1141"/>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17,922,053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13,441,540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4,480,513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17,922,053</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中国人寿保险股 份有限公司－传 统－普通保险产 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105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13,368,724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13,368,724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13,368,724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52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104"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before="51"/>
                          <w:ind w:left="171" w:right="0"/>
                          <w:jc w:val="center"/>
                          <w:rPr>
                            <w:rFonts w:ascii="宋体" w:hAnsi="宋体" w:cs="宋体" w:eastAsia="宋体" w:hint="default"/>
                            <w:sz w:val="18"/>
                            <w:szCs w:val="18"/>
                          </w:rPr>
                        </w:pPr>
                        <w:r>
                          <w:rPr>
                            <w:rFonts w:ascii="宋体" w:hAnsi="宋体" w:cs="宋体" w:eastAsia="宋体" w:hint="default"/>
                            <w:sz w:val="18"/>
                            <w:szCs w:val="18"/>
                          </w:rPr>
                          <w:t>新华基金－平安银行－新华恒定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号常山股份定向增发资产管理计划、深圳市神华投资</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pacing w:val="-3"/>
                            <w:sz w:val="18"/>
                            <w:szCs w:val="18"/>
                          </w:rPr>
                          <w:t>集团有限公司、广发证券资管－平安银行－广发恒定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号常山股份定向增发集合资产管理</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计划和神华期货有限公司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家战略投资者通过认购公司发行股份购买资产并募集配套资金</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名股东，约定持股起止日期为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6" w:hRule="exact"/>
                    </w:trPr>
                    <w:tc>
                      <w:tcPr>
                        <w:tcW w:w="252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04" w:type="dxa"/>
                        <w:gridSpan w:val="7"/>
                        <w:vMerge/>
                        <w:tcBorders>
                          <w:left w:val="single" w:sz="10" w:space="0" w:color="D3D3D3"/>
                          <w:right w:val="single" w:sz="4" w:space="0" w:color="000000"/>
                        </w:tcBorders>
                        <w:shd w:val="clear" w:color="auto" w:fill="C7EDCC"/>
                      </w:tcPr>
                      <w:p>
                        <w:pPr/>
                      </w:p>
                    </w:tc>
                  </w:tr>
                  <w:tr>
                    <w:trPr>
                      <w:trHeight w:val="161" w:hRule="exact"/>
                    </w:trPr>
                    <w:tc>
                      <w:tcPr>
                        <w:tcW w:w="252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104" w:type="dxa"/>
                        <w:gridSpan w:val="7"/>
                        <w:vMerge/>
                        <w:tcBorders>
                          <w:left w:val="single" w:sz="10" w:space="0" w:color="D3D3D3"/>
                          <w:bottom w:val="single" w:sz="4" w:space="0" w:color="000000"/>
                          <w:right w:val="single" w:sz="4" w:space="0" w:color="000000"/>
                        </w:tcBorders>
                        <w:shd w:val="clear" w:color="auto" w:fill="C7EDCC"/>
                      </w:tcPr>
                      <w:p>
                        <w:pPr/>
                      </w:p>
                    </w:tc>
                  </w:tr>
                  <w:tr>
                    <w:trPr>
                      <w:trHeight w:val="317" w:hRule="exact"/>
                    </w:trPr>
                    <w:tc>
                      <w:tcPr>
                        <w:tcW w:w="252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104"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1"/>
                          <w:ind w:left="15" w:right="49" w:firstLine="18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石家庄常山纺织集团有限责任公司与其他股东之间无关联关系。北京万峰嘉晔投资管理 </w:t>
                        </w:r>
                        <w:r>
                          <w:rPr>
                            <w:rFonts w:ascii="宋体" w:hAnsi="宋体" w:cs="宋体" w:eastAsia="宋体" w:hint="default"/>
                            <w:spacing w:val="-2"/>
                            <w:sz w:val="18"/>
                            <w:szCs w:val="18"/>
                          </w:rPr>
                          <w:t>中心（有限合伙）与北京万峰嘉华投资管理中心（有限合伙）均系北明软件公司员工持股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北京北明伟业控股有限公司、李锋与应华江为一致行动人。公司未知其他股东之间是否存 在关联关系或属于《上市公司股东持股变动信息披露管理办法》规定的一致行动人。</w:t>
                        </w:r>
                      </w:p>
                    </w:tc>
                  </w:tr>
                  <w:tr>
                    <w:trPr>
                      <w:trHeight w:val="704" w:hRule="exact"/>
                    </w:trPr>
                    <w:tc>
                      <w:tcPr>
                        <w:tcW w:w="252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04" w:type="dxa"/>
                        <w:gridSpan w:val="7"/>
                        <w:vMerge/>
                        <w:tcBorders>
                          <w:left w:val="single" w:sz="10" w:space="0" w:color="D3D3D3"/>
                          <w:right w:val="single" w:sz="4" w:space="0" w:color="000000"/>
                        </w:tcBorders>
                        <w:shd w:val="clear" w:color="auto" w:fill="C7EDCC"/>
                      </w:tcPr>
                      <w:p>
                        <w:pPr/>
                      </w:p>
                    </w:tc>
                  </w:tr>
                  <w:tr>
                    <w:trPr>
                      <w:trHeight w:val="317" w:hRule="exact"/>
                    </w:trPr>
                    <w:tc>
                      <w:tcPr>
                        <w:tcW w:w="252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104" w:type="dxa"/>
                        <w:gridSpan w:val="7"/>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62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52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61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4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252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1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5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90"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520" w:type="dxa"/>
                        <w:gridSpan w:val="2"/>
                        <w:vMerge/>
                        <w:tcBorders>
                          <w:left w:val="single" w:sz="4" w:space="0" w:color="000000"/>
                          <w:bottom w:val="nil" w:sz="6" w:space="0" w:color="auto"/>
                          <w:right w:val="single" w:sz="4" w:space="0" w:color="000000"/>
                        </w:tcBorders>
                        <w:shd w:val="clear" w:color="auto" w:fill="D3D3D3"/>
                      </w:tcPr>
                      <w:p>
                        <w:pPr/>
                      </w:p>
                    </w:tc>
                    <w:tc>
                      <w:tcPr>
                        <w:tcW w:w="4614"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52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61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14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石家庄常山纺织集团有限责任 公司</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455,296,184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455,296,184</w:t>
                        </w:r>
                      </w:p>
                    </w:tc>
                  </w:tr>
                  <w:tr>
                    <w:trPr>
                      <w:trHeight w:val="402"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263,509,630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263,509,630</w:t>
                        </w:r>
                      </w:p>
                    </w:tc>
                  </w:tr>
                  <w:tr>
                    <w:trPr>
                      <w:trHeight w:val="714"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北京万峰嘉晔投资管理中心（有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限合伙）</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82,644,361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82,644,361</w:t>
                        </w:r>
                      </w:p>
                    </w:tc>
                  </w:tr>
                  <w:tr>
                    <w:trPr>
                      <w:trHeight w:val="714"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北京万峰嘉华投资管理中心（有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限合伙）</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65,495,251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65,495,251</w:t>
                        </w:r>
                      </w:p>
                    </w:tc>
                  </w:tr>
                  <w:tr>
                    <w:trPr>
                      <w:trHeight w:val="1026"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新华基金－平安银行－新华恒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号常山股份定向增发资产 管理计划</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63,071,138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63,071,138</w:t>
                        </w:r>
                      </w:p>
                    </w:tc>
                  </w:tr>
                  <w:tr>
                    <w:trPr>
                      <w:trHeight w:val="402"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深圳市神华投资集团有限公司</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34,593,925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34,593,925</w:t>
                        </w:r>
                      </w:p>
                    </w:tc>
                  </w:tr>
                  <w:tr>
                    <w:trPr>
                      <w:trHeight w:val="1026"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广发证券资管－平安银行－广 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 集合资产管理计划</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28,035,040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28,035,040</w:t>
                        </w:r>
                      </w:p>
                    </w:tc>
                  </w:tr>
                  <w:tr>
                    <w:trPr>
                      <w:trHeight w:val="1026"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中国人寿保险股份有限公司－ 传统－普通保险产品</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13,368,724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13,368,724</w:t>
                        </w:r>
                      </w:p>
                    </w:tc>
                  </w:tr>
                  <w:tr>
                    <w:trPr>
                      <w:trHeight w:val="402"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12,720,007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12,720,007</w:t>
                        </w:r>
                      </w:p>
                    </w:tc>
                  </w:tr>
                  <w:tr>
                    <w:trPr>
                      <w:trHeight w:val="402"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严道平</w:t>
                        </w:r>
                      </w:p>
                    </w:tc>
                    <w:tc>
                      <w:tcPr>
                        <w:tcW w:w="4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12,329,912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12,329,912</w:t>
                        </w:r>
                      </w:p>
                    </w:tc>
                  </w:tr>
                  <w:tr>
                    <w:trPr>
                      <w:trHeight w:val="1338" w:hRule="exact"/>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2" w:right="55"/>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 系或一致行动的说明</w:t>
                        </w:r>
                      </w:p>
                    </w:tc>
                    <w:tc>
                      <w:tcPr>
                        <w:tcW w:w="7104" w:type="dxa"/>
                        <w:gridSpan w:val="7"/>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316" w:lineRule="auto" w:before="51"/>
                          <w:ind w:left="15" w:right="49" w:firstLine="360"/>
                          <w:jc w:val="both"/>
                          <w:rPr>
                            <w:rFonts w:ascii="宋体" w:hAnsi="宋体" w:cs="宋体" w:eastAsia="宋体" w:hint="default"/>
                            <w:sz w:val="18"/>
                            <w:szCs w:val="18"/>
                          </w:rPr>
                        </w:pPr>
                        <w:r>
                          <w:rPr>
                            <w:rFonts w:ascii="宋体" w:hAnsi="宋体" w:cs="宋体" w:eastAsia="宋体" w:hint="default"/>
                            <w:sz w:val="18"/>
                            <w:szCs w:val="18"/>
                          </w:rPr>
                          <w:t>石家庄常山纺织集团有限责任公司与其他股东之间无关联关系。北京万峰嘉晔投资管 理中心（有限合伙）与北京万峰嘉华投资管理中心（有限合伙）均系北明软件公司员工持 股。公司未知其他股东之间是否存在关联关系或属于《上市公司股东持股变动信息披露管 理办法》规定的一致行动人。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083"/>
        <w:jc w:val="right"/>
      </w:pPr>
      <w:r>
        <w:rPr/>
        <w:t>。</w:t>
      </w:r>
    </w:p>
    <w:p>
      <w:pPr>
        <w:spacing w:after="0" w:line="240" w:lineRule="auto"/>
        <w:jc w:val="righ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9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891"/>
        <w:jc w:val="left"/>
      </w:pPr>
      <w:r>
        <w:rPr/>
        <w:t>□ 是 √ 否</w:t>
      </w:r>
    </w:p>
    <w:p>
      <w:pPr>
        <w:pStyle w:val="BodyText"/>
        <w:spacing w:line="240" w:lineRule="auto" w:before="117"/>
        <w:ind w:right="89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38"/>
        <w:jc w:val="right"/>
      </w:pPr>
      <w:r>
        <w:rPr/>
        <w:pict>
          <v:shape style="position:absolute;margin-left:56.459999pt;margin-top:-36.548042pt;width:479.1pt;height:123.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2"/>
                    <w:gridCol w:w="1627"/>
                    <w:gridCol w:w="1722"/>
                    <w:gridCol w:w="1879"/>
                    <w:gridCol w:w="2087"/>
                  </w:tblGrid>
                  <w:tr>
                    <w:trPr>
                      <w:trHeight w:val="714"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33" w:right="56"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25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石家庄常山纺织集团有限责 任公司</w:t>
                        </w:r>
                      </w:p>
                    </w:tc>
                    <w:tc>
                      <w:tcPr>
                        <w:tcW w:w="16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722" w:type="dxa"/>
                        <w:vMerge w:val="restart"/>
                        <w:tcBorders>
                          <w:top w:val="single" w:sz="4" w:space="0" w:color="000000"/>
                          <w:left w:val="single" w:sz="10" w:space="0" w:color="C7EDCC"/>
                          <w:right w:val="single" w:sz="9"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nil" w:sz="6" w:space="0" w:color="auto"/>
                          <w:right w:val="single" w:sz="4" w:space="0" w:color="000000"/>
                        </w:tcBorders>
                        <w:shd w:val="clear" w:color="auto" w:fill="C7EDCC"/>
                      </w:tcPr>
                      <w:p>
                        <w:pPr/>
                      </w:p>
                    </w:tc>
                    <w:tc>
                      <w:tcPr>
                        <w:tcW w:w="2087"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4" w:right="71"/>
                          <w:jc w:val="left"/>
                          <w:rPr>
                            <w:rFonts w:ascii="宋体" w:hAnsi="宋体" w:cs="宋体" w:eastAsia="宋体" w:hint="default"/>
                            <w:sz w:val="18"/>
                            <w:szCs w:val="18"/>
                          </w:rPr>
                        </w:pPr>
                        <w:r>
                          <w:rPr>
                            <w:rFonts w:ascii="宋体" w:hAnsi="宋体" w:cs="宋体" w:eastAsia="宋体" w:hint="default"/>
                            <w:spacing w:val="-4"/>
                            <w:sz w:val="18"/>
                            <w:szCs w:val="18"/>
                          </w:rPr>
                          <w:t>针纺织品开发、制造销售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纺织配件配材加工销售等</w:t>
                        </w:r>
                      </w:p>
                    </w:tc>
                  </w:tr>
                  <w:tr>
                    <w:trPr>
                      <w:trHeight w:val="392" w:hRule="exact"/>
                    </w:trPr>
                    <w:tc>
                      <w:tcPr>
                        <w:tcW w:w="2252" w:type="dxa"/>
                        <w:vMerge/>
                        <w:tcBorders>
                          <w:left w:val="single" w:sz="4" w:space="0" w:color="000000"/>
                          <w:right w:val="single" w:sz="4" w:space="0" w:color="000000"/>
                        </w:tcBorders>
                        <w:shd w:val="clear" w:color="auto" w:fill="C7EDCC"/>
                      </w:tcPr>
                      <w:p>
                        <w:pPr/>
                      </w:p>
                    </w:tc>
                    <w:tc>
                      <w:tcPr>
                        <w:tcW w:w="16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722" w:type="dxa"/>
                        <w:vMerge/>
                        <w:tcBorders>
                          <w:left w:val="single" w:sz="10" w:space="0" w:color="C7EDCC"/>
                          <w:right w:val="single" w:sz="9" w:space="0" w:color="C7EDCC"/>
                        </w:tcBorders>
                      </w:tcPr>
                      <w:p>
                        <w:pP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911301002360441730</w:t>
                        </w:r>
                      </w:p>
                    </w:tc>
                    <w:tc>
                      <w:tcPr>
                        <w:tcW w:w="2087" w:type="dxa"/>
                        <w:vMerge/>
                        <w:tcBorders>
                          <w:left w:val="single" w:sz="4" w:space="0" w:color="000000"/>
                          <w:right w:val="single" w:sz="4" w:space="0" w:color="000000"/>
                        </w:tcBorders>
                        <w:shd w:val="clear" w:color="auto" w:fill="C7EDCC"/>
                      </w:tcPr>
                      <w:p>
                        <w:pPr/>
                      </w:p>
                    </w:tc>
                  </w:tr>
                  <w:tr>
                    <w:trPr>
                      <w:trHeight w:val="162" w:hRule="exact"/>
                    </w:trPr>
                    <w:tc>
                      <w:tcPr>
                        <w:tcW w:w="2252" w:type="dxa"/>
                        <w:vMerge/>
                        <w:tcBorders>
                          <w:left w:val="single" w:sz="4" w:space="0" w:color="000000"/>
                          <w:bottom w:val="single" w:sz="4" w:space="0" w:color="000000"/>
                          <w:right w:val="single" w:sz="4" w:space="0" w:color="000000"/>
                        </w:tcBorders>
                        <w:shd w:val="clear" w:color="auto" w:fill="C7EDCC"/>
                      </w:tcPr>
                      <w:p>
                        <w:pPr/>
                      </w:p>
                    </w:tc>
                    <w:tc>
                      <w:tcPr>
                        <w:tcW w:w="16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722" w:type="dxa"/>
                        <w:vMerge/>
                        <w:tcBorders>
                          <w:left w:val="single" w:sz="10" w:space="0" w:color="C7EDCC"/>
                          <w:bottom w:val="single" w:sz="4" w:space="0" w:color="000000"/>
                          <w:right w:val="single" w:sz="9" w:space="0" w:color="C7EDCC"/>
                        </w:tcBorders>
                      </w:tcPr>
                      <w:p>
                        <w:pPr/>
                      </w:p>
                    </w:tc>
                    <w:tc>
                      <w:tcPr>
                        <w:tcW w:w="1879" w:type="dxa"/>
                        <w:tcBorders>
                          <w:top w:val="nil" w:sz="6" w:space="0" w:color="auto"/>
                          <w:left w:val="single" w:sz="4" w:space="0" w:color="000000"/>
                          <w:bottom w:val="single" w:sz="4" w:space="0" w:color="000000"/>
                          <w:right w:val="single" w:sz="4" w:space="0" w:color="000000"/>
                        </w:tcBorders>
                        <w:shd w:val="clear" w:color="auto" w:fill="C7EDCC"/>
                      </w:tcPr>
                      <w:p>
                        <w:pPr/>
                      </w:p>
                    </w:tc>
                    <w:tc>
                      <w:tcPr>
                        <w:tcW w:w="2087" w:type="dxa"/>
                        <w:vMerge/>
                        <w:tcBorders>
                          <w:left w:val="single" w:sz="4" w:space="0" w:color="000000"/>
                          <w:bottom w:val="single" w:sz="4" w:space="0" w:color="000000"/>
                          <w:right w:val="single" w:sz="4" w:space="0" w:color="000000"/>
                        </w:tcBorders>
                        <w:shd w:val="clear" w:color="auto" w:fill="C7EDCC"/>
                      </w:tcPr>
                      <w:p>
                        <w:pPr/>
                      </w:p>
                    </w:tc>
                  </w:tr>
                  <w:tr>
                    <w:trPr>
                      <w:trHeight w:val="316" w:hRule="exact"/>
                    </w:trPr>
                    <w:tc>
                      <w:tcPr>
                        <w:tcW w:w="2252" w:type="dxa"/>
                        <w:vMerge w:val="restart"/>
                        <w:tcBorders>
                          <w:top w:val="single" w:sz="4" w:space="0" w:color="000000"/>
                          <w:left w:val="single" w:sz="4" w:space="0" w:color="000000"/>
                          <w:right w:val="single" w:sz="9" w:space="0" w:color="C7EDCC"/>
                        </w:tcBorders>
                        <w:shd w:val="clear" w:color="auto" w:fill="D3D3D3"/>
                      </w:tcPr>
                      <w:p>
                        <w:pPr>
                          <w:pStyle w:val="TableParagraph"/>
                          <w:spacing w:line="319" w:lineRule="auto" w:before="50"/>
                          <w:ind w:left="22" w:right="51"/>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15"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252" w:type="dxa"/>
                        <w:vMerge/>
                        <w:tcBorders>
                          <w:left w:val="single" w:sz="4" w:space="0" w:color="000000"/>
                          <w:right w:val="single" w:sz="9" w:space="0" w:color="C7EDCC"/>
                        </w:tcBorders>
                        <w:shd w:val="clear" w:color="auto" w:fill="D3D3D3"/>
                      </w:tcPr>
                      <w:p>
                        <w:pPr/>
                      </w:p>
                    </w:tc>
                    <w:tc>
                      <w:tcPr>
                        <w:tcW w:w="7315"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52" w:type="dxa"/>
                        <w:vMerge/>
                        <w:tcBorders>
                          <w:left w:val="single" w:sz="4" w:space="0" w:color="000000"/>
                          <w:bottom w:val="single" w:sz="4" w:space="0" w:color="000000"/>
                          <w:right w:val="single" w:sz="9" w:space="0" w:color="C7EDCC"/>
                        </w:tcBorders>
                        <w:shd w:val="clear" w:color="auto" w:fill="D3D3D3"/>
                      </w:tcPr>
                      <w:p>
                        <w:pPr/>
                      </w:p>
                    </w:tc>
                    <w:tc>
                      <w:tcPr>
                        <w:tcW w:w="7315"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891"/>
        <w:jc w:val="left"/>
      </w:pPr>
      <w:r>
        <w:rPr/>
        <w:t>控股股东报告期内变更</w:t>
      </w:r>
    </w:p>
    <w:p>
      <w:pPr>
        <w:pStyle w:val="BodyText"/>
        <w:spacing w:line="360" w:lineRule="auto" w:before="116"/>
        <w:ind w:left="153" w:right="6790"/>
        <w:jc w:val="left"/>
      </w:pPr>
      <w:r>
        <w:rPr/>
        <w:t>□ 适用 √ 不适用 公司报告期控股股东未发生变更。</w:t>
      </w:r>
    </w:p>
    <w:p>
      <w:pPr>
        <w:spacing w:line="240" w:lineRule="auto" w:before="11"/>
        <w:rPr>
          <w:rFonts w:ascii="宋体" w:hAnsi="宋体" w:cs="宋体" w:eastAsia="宋体" w:hint="default"/>
          <w:sz w:val="19"/>
          <w:szCs w:val="19"/>
        </w:rPr>
      </w:pPr>
    </w:p>
    <w:p>
      <w:pPr>
        <w:pStyle w:val="Heading3"/>
        <w:spacing w:line="240" w:lineRule="auto"/>
        <w:ind w:right="891"/>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871"/>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868"/>
        <w:gridCol w:w="1924"/>
        <w:gridCol w:w="1508"/>
        <w:gridCol w:w="1428"/>
        <w:gridCol w:w="1800"/>
      </w:tblGrid>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石家庄市国有资产监督管理委员会</w:t>
            </w:r>
          </w:p>
        </w:tc>
        <w:tc>
          <w:tcPr>
            <w:tcW w:w="19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张军卫</w:t>
            </w:r>
          </w:p>
        </w:tc>
        <w:tc>
          <w:tcPr>
            <w:tcW w:w="1508" w:type="dxa"/>
            <w:tcBorders>
              <w:top w:val="single" w:sz="4" w:space="0" w:color="000000"/>
              <w:left w:val="single" w:sz="13" w:space="0" w:color="C7EDCC"/>
              <w:bottom w:val="single" w:sz="4" w:space="0" w:color="000000"/>
              <w:right w:val="single" w:sz="9" w:space="0" w:color="C7EDCC"/>
            </w:tcBorders>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76205558-5</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61" w:hRule="exact"/>
        </w:trPr>
        <w:tc>
          <w:tcPr>
            <w:tcW w:w="2868" w:type="dxa"/>
            <w:vMerge w:val="restart"/>
            <w:tcBorders>
              <w:top w:val="single" w:sz="4" w:space="0" w:color="000000"/>
              <w:left w:val="single" w:sz="4" w:space="0" w:color="000000"/>
              <w:right w:val="single" w:sz="9" w:space="0" w:color="C7EDCC"/>
            </w:tcBorders>
            <w:shd w:val="clear" w:color="auto" w:fill="D3D3D3"/>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 内外上市公司的股权情况</w:t>
            </w:r>
          </w:p>
        </w:tc>
        <w:tc>
          <w:tcPr>
            <w:tcW w:w="6660" w:type="dxa"/>
            <w:gridSpan w:val="4"/>
            <w:tcBorders>
              <w:top w:val="single" w:sz="4" w:space="0" w:color="000000"/>
              <w:left w:val="single" w:sz="10" w:space="0" w:color="D3D3D3"/>
              <w:bottom w:val="nil" w:sz="6" w:space="0" w:color="auto"/>
              <w:right w:val="single" w:sz="4" w:space="0" w:color="000000"/>
            </w:tcBorders>
            <w:shd w:val="clear" w:color="auto" w:fill="C7EDCC"/>
          </w:tcPr>
          <w:p>
            <w:pPr/>
          </w:p>
        </w:tc>
      </w:tr>
      <w:tr>
        <w:trPr>
          <w:trHeight w:val="392" w:hRule="exact"/>
        </w:trPr>
        <w:tc>
          <w:tcPr>
            <w:tcW w:w="2868" w:type="dxa"/>
            <w:vMerge/>
            <w:tcBorders>
              <w:left w:val="single" w:sz="4" w:space="0" w:color="000000"/>
              <w:right w:val="single" w:sz="9" w:space="0" w:color="C7EDCC"/>
            </w:tcBorders>
            <w:shd w:val="clear" w:color="auto" w:fill="D3D3D3"/>
          </w:tcPr>
          <w:p>
            <w:pPr/>
          </w:p>
        </w:tc>
        <w:tc>
          <w:tcPr>
            <w:tcW w:w="6660" w:type="dxa"/>
            <w:gridSpan w:val="4"/>
            <w:tcBorders>
              <w:top w:val="nil" w:sz="6" w:space="0" w:color="auto"/>
              <w:left w:val="single" w:sz="10" w:space="0" w:color="D3D3D3"/>
              <w:bottom w:val="nil" w:sz="6" w:space="0" w:color="auto"/>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68" w:type="dxa"/>
            <w:vMerge/>
            <w:tcBorders>
              <w:left w:val="single" w:sz="4" w:space="0" w:color="000000"/>
              <w:bottom w:val="single" w:sz="4" w:space="0" w:color="000000"/>
              <w:right w:val="single" w:sz="9" w:space="0" w:color="C7EDCC"/>
            </w:tcBorders>
            <w:shd w:val="clear" w:color="auto" w:fill="D3D3D3"/>
          </w:tcPr>
          <w:p>
            <w:pPr/>
          </w:p>
        </w:tc>
        <w:tc>
          <w:tcPr>
            <w:tcW w:w="6660" w:type="dxa"/>
            <w:gridSpan w:val="4"/>
            <w:tcBorders>
              <w:top w:val="nil" w:sz="6" w:space="0" w:color="auto"/>
              <w:left w:val="single" w:sz="10" w:space="0" w:color="D3D3D3"/>
              <w:bottom w:val="single" w:sz="4" w:space="0" w:color="000000"/>
              <w:right w:val="single" w:sz="4" w:space="0" w:color="000000"/>
            </w:tcBorders>
            <w:shd w:val="clear" w:color="auto" w:fill="C7EDCC"/>
          </w:tcPr>
          <w:p>
            <w:pPr/>
          </w:p>
        </w:tc>
      </w:tr>
    </w:tbl>
    <w:p>
      <w:pPr>
        <w:pStyle w:val="BodyText"/>
        <w:spacing w:line="240" w:lineRule="auto" w:before="68"/>
        <w:ind w:right="891"/>
        <w:jc w:val="left"/>
      </w:pPr>
      <w:r>
        <w:rPr/>
        <w:t>实际控制人报告期内变更</w:t>
      </w:r>
    </w:p>
    <w:p>
      <w:pPr>
        <w:pStyle w:val="BodyText"/>
        <w:spacing w:line="360" w:lineRule="auto" w:before="116"/>
        <w:ind w:left="153" w:right="6791"/>
        <w:jc w:val="left"/>
      </w:pPr>
      <w:r>
        <w:rPr/>
        <w:t>□ 适用 √ 不适用 公司报告期实际控制人未发生变更。 公司与实际控制人之间的产权及控制关系的方框图</w:t>
      </w:r>
    </w:p>
    <w:p>
      <w:pPr>
        <w:spacing w:line="240" w:lineRule="auto" w:before="0"/>
        <w:rPr>
          <w:rFonts w:ascii="宋体" w:hAnsi="宋体" w:cs="宋体" w:eastAsia="宋体" w:hint="default"/>
          <w:sz w:val="15"/>
          <w:szCs w:val="15"/>
        </w:rPr>
      </w:pPr>
    </w:p>
    <w:p>
      <w:pPr>
        <w:spacing w:line="2462" w:lineRule="exact"/>
        <w:ind w:left="2561"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3076522" cy="15635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3076522" cy="1563528"/>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13"/>
        <w:rPr>
          <w:rFonts w:ascii="宋体" w:hAnsi="宋体" w:cs="宋体" w:eastAsia="宋体" w:hint="default"/>
          <w:sz w:val="16"/>
          <w:szCs w:val="16"/>
        </w:rPr>
      </w:pPr>
    </w:p>
    <w:p>
      <w:pPr>
        <w:pStyle w:val="BodyText"/>
        <w:spacing w:line="240" w:lineRule="auto"/>
        <w:ind w:right="891"/>
        <w:jc w:val="left"/>
      </w:pPr>
      <w:r>
        <w:rPr/>
        <w:t>实际控制人通过信托或其他资产管理方式控制公司</w:t>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9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0"/>
        <w:gridCol w:w="1080"/>
        <w:gridCol w:w="1620"/>
        <w:gridCol w:w="1260"/>
        <w:gridCol w:w="3240"/>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58" w:hRule="exact"/>
        </w:trPr>
        <w:tc>
          <w:tcPr>
            <w:tcW w:w="23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32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项目投资；投资管理；资产管理；投资咨</w:t>
            </w:r>
          </w:p>
        </w:tc>
      </w:tr>
      <w:tr>
        <w:trPr>
          <w:trHeight w:val="318" w:hRule="exact"/>
        </w:trPr>
        <w:tc>
          <w:tcPr>
            <w:tcW w:w="23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2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w:t>
            </w:r>
            <w:r>
              <w:rPr>
                <w:rFonts w:ascii="宋体" w:hAnsi="宋体" w:cs="宋体" w:eastAsia="宋体" w:hint="default"/>
                <w:spacing w:val="-90"/>
                <w:sz w:val="18"/>
                <w:szCs w:val="18"/>
              </w:rPr>
              <w:t>。</w:t>
            </w:r>
            <w:r>
              <w:rPr>
                <w:rFonts w:ascii="宋体" w:hAnsi="宋体" w:cs="宋体" w:eastAsia="宋体" w:hint="default"/>
                <w:sz w:val="18"/>
                <w:szCs w:val="18"/>
              </w:rPr>
              <w:t>（依法须经批准的项目，经相关部门</w:t>
            </w:r>
          </w:p>
        </w:tc>
      </w:tr>
      <w:tr>
        <w:trPr>
          <w:trHeight w:val="352" w:hRule="exact"/>
        </w:trPr>
        <w:tc>
          <w:tcPr>
            <w:tcW w:w="23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32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批准后方可开展经营活动）</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891"/>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57" w:lineRule="auto" w:before="44"/>
        <w:ind w:left="153" w:right="8591"/>
        <w:jc w:val="left"/>
      </w:pPr>
      <w:r>
        <w:rPr/>
        <w:t>□ 适用 √ 不适用 报告期公司不存在优先股。</w:t>
      </w:r>
    </w:p>
    <w:p>
      <w:pPr>
        <w:spacing w:after="0" w:line="357"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891"/>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891"/>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182"/>
        <w:gridCol w:w="565"/>
        <w:gridCol w:w="360"/>
        <w:gridCol w:w="360"/>
        <w:gridCol w:w="900"/>
        <w:gridCol w:w="900"/>
        <w:gridCol w:w="1055"/>
        <w:gridCol w:w="798"/>
        <w:gridCol w:w="798"/>
        <w:gridCol w:w="798"/>
        <w:gridCol w:w="1026"/>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7"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84" w:right="84"/>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84" w:right="84"/>
              <w:jc w:val="left"/>
              <w:rPr>
                <w:rFonts w:ascii="宋体" w:hAnsi="宋体" w:cs="宋体" w:eastAsia="宋体" w:hint="default"/>
                <w:sz w:val="18"/>
                <w:szCs w:val="18"/>
              </w:rPr>
            </w:pPr>
            <w:r>
              <w:rPr>
                <w:rFonts w:ascii="宋体" w:hAnsi="宋体" w:cs="宋体" w:eastAsia="宋体" w:hint="default"/>
                <w:sz w:val="18"/>
                <w:szCs w:val="18"/>
              </w:rPr>
              <w:t>年 龄</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64" w:right="84"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57,070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17,922,053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17,922,053</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17,004,096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21,534,096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w:t>
              <w:tab/>
              <w:t>哲</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1182"/>
        <w:gridCol w:w="565"/>
        <w:gridCol w:w="360"/>
        <w:gridCol w:w="360"/>
        <w:gridCol w:w="900"/>
        <w:gridCol w:w="900"/>
        <w:gridCol w:w="1055"/>
        <w:gridCol w:w="798"/>
        <w:gridCol w:w="798"/>
        <w:gridCol w:w="798"/>
        <w:gridCol w:w="1026"/>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w:t>
              <w:tab/>
              <w:t>辉</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3,059,862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3,059,862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33,670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副总经理、总 会计师</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36,140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5"/>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38,262,521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42,792,521</w:t>
            </w:r>
          </w:p>
        </w:tc>
      </w:tr>
    </w:tbl>
    <w:p>
      <w:pPr>
        <w:spacing w:line="240" w:lineRule="auto" w:before="2"/>
        <w:rPr>
          <w:rFonts w:ascii="宋体" w:hAnsi="宋体" w:cs="宋体" w:eastAsia="宋体" w:hint="default"/>
          <w:b/>
          <w:bCs/>
          <w:sz w:val="18"/>
          <w:szCs w:val="18"/>
        </w:rPr>
      </w:pPr>
    </w:p>
    <w:p>
      <w:pPr>
        <w:pStyle w:val="Heading2"/>
        <w:spacing w:line="240" w:lineRule="auto" w:before="26"/>
        <w:ind w:right="891"/>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9"/>
        <w:gridCol w:w="1981"/>
        <w:gridCol w:w="1330"/>
        <w:gridCol w:w="1841"/>
        <w:gridCol w:w="3102"/>
      </w:tblGrid>
      <w:tr>
        <w:trPr>
          <w:trHeight w:val="401" w:hRule="exact"/>
        </w:trPr>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辞去总经理，任副董事长</w:t>
            </w:r>
          </w:p>
        </w:tc>
      </w:tr>
      <w:tr>
        <w:trPr>
          <w:trHeight w:val="402"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辞去副董事长，任总经理</w:t>
            </w:r>
          </w:p>
        </w:tc>
      </w:tr>
      <w:tr>
        <w:trPr>
          <w:trHeight w:val="402"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6"/>
                <w:sz w:val="18"/>
                <w:szCs w:val="18"/>
              </w:rPr>
              <w:t>常务副总经理、总会计师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1" w:hRule="exact"/>
        </w:trPr>
        <w:tc>
          <w:tcPr>
            <w:tcW w:w="1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1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91"/>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公司现任董事、监事、高级管理人员专业背景、主要工作经历以及目前在公司的主要职责</w:t>
      </w:r>
    </w:p>
    <w:p>
      <w:pPr>
        <w:pStyle w:val="BodyText"/>
        <w:spacing w:line="240" w:lineRule="auto" w:before="116"/>
        <w:ind w:left="153" w:right="891"/>
        <w:jc w:val="left"/>
      </w:pPr>
      <w:r>
        <w:rPr>
          <w:rFonts w:ascii="Times New Roman" w:hAnsi="Times New Roman" w:cs="Times New Roman" w:eastAsia="Times New Roman" w:hint="default"/>
        </w:rPr>
        <w:t>1</w:t>
      </w:r>
      <w:r>
        <w:rPr/>
        <w:t>、董事情况</w:t>
      </w:r>
    </w:p>
    <w:p>
      <w:pPr>
        <w:pStyle w:val="BodyText"/>
        <w:spacing w:line="309" w:lineRule="auto" w:before="102"/>
        <w:ind w:left="153" w:right="1128" w:firstLine="360"/>
        <w:jc w:val="both"/>
      </w:pPr>
      <w:r>
        <w:rPr/>
        <w:t>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月出生，中共党员，研究生学历，正高级会计师，正高级经济师。曾任石家庄常山纺织集团有限 </w:t>
      </w:r>
      <w:r>
        <w:rPr>
          <w:spacing w:val="-2"/>
        </w:rPr>
        <w:t>责任公司财务部副部长，本公司财务部、证券部经理、副总经理、总经理、副董事长。现任石家庄常山纺织集团有限责任公</w:t>
      </w:r>
      <w:r>
        <w:rPr>
          <w:spacing w:val="-68"/>
        </w:rPr>
        <w:t> </w:t>
      </w:r>
      <w:r>
        <w:rPr>
          <w:spacing w:val="-68"/>
        </w:rPr>
      </w:r>
      <w:r>
        <w:rPr/>
        <w:t>司董事长，石家庄常山恒新纺织有限公司董事、上海常纺恒友国际贸易有限公司执行董事，本公司董事长。</w:t>
      </w:r>
    </w:p>
    <w:p>
      <w:pPr>
        <w:pStyle w:val="BodyText"/>
        <w:spacing w:line="309" w:lineRule="auto" w:before="62"/>
        <w:ind w:left="153" w:right="1128" w:firstLine="360"/>
        <w:jc w:val="both"/>
      </w:pPr>
      <w:r>
        <w:rPr/>
        <w:t>李锋先生，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月出生，中共党员，本科学历，曾任北大方正出版公司副总经理，北京天桥北大青鸟科技股份有限 </w:t>
      </w:r>
      <w:r>
        <w:rPr>
          <w:spacing w:val="-2"/>
        </w:rPr>
        <w:t>公司高级副总裁，青鸟软件股份有限公司董事长，本公司董事、总经理。现任北京北明伟业控股有限公司董事长，北明软件</w:t>
      </w:r>
      <w:r>
        <w:rPr>
          <w:spacing w:val="-66"/>
        </w:rPr>
        <w:t> </w:t>
      </w:r>
      <w:r>
        <w:rPr>
          <w:spacing w:val="-66"/>
        </w:rPr>
      </w:r>
      <w:r>
        <w:rPr/>
        <w:t>有限公司董事长，本公司副董事长。</w:t>
      </w:r>
    </w:p>
    <w:p>
      <w:pPr>
        <w:pStyle w:val="BodyText"/>
        <w:spacing w:line="309" w:lineRule="auto" w:before="62"/>
        <w:ind w:left="153" w:right="1128" w:firstLine="360"/>
        <w:jc w:val="both"/>
      </w:pPr>
      <w:r>
        <w:rPr/>
        <w:t>应华江先生，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月出生，本科学历。曾任山东省山泉石材有限公司总经理助理，广州瑞曼妮时装有限公司总经理 </w:t>
      </w:r>
      <w:r>
        <w:rPr>
          <w:spacing w:val="-2"/>
        </w:rPr>
        <w:t>助理，广州志海软件有限公司董事长，广州北大明天资源科技发展有限公司董事长，本公司副董事长。现任北京北明伟业控</w:t>
      </w:r>
      <w:r>
        <w:rPr>
          <w:spacing w:val="-66"/>
        </w:rPr>
        <w:t> </w:t>
      </w:r>
      <w:r>
        <w:rPr>
          <w:spacing w:val="-66"/>
        </w:rPr>
      </w:r>
      <w:r>
        <w:rPr/>
        <w:t>股有限公司董事，二六三网络通信股份有限公司监事，</w:t>
      </w:r>
      <w:r>
        <w:rPr>
          <w:spacing w:val="-18"/>
        </w:rPr>
        <w:t> </w:t>
      </w:r>
      <w:r>
        <w:rPr/>
        <w:t>北明软件有限公司董事、总裁，本公司董事、总经理。</w:t>
      </w:r>
    </w:p>
    <w:p>
      <w:pPr>
        <w:pStyle w:val="BodyText"/>
        <w:spacing w:line="309" w:lineRule="auto" w:before="64"/>
        <w:ind w:right="1129" w:firstLine="360"/>
        <w:jc w:val="both"/>
      </w:pP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月出生，中共党员，本科学历。曾任石家庄纺织经编厂办公室干事，石家庄常山纺织集团有限责</w:t>
      </w:r>
      <w:r>
        <w:rPr/>
        <w:t> </w:t>
      </w:r>
      <w:r>
        <w:rPr>
          <w:spacing w:val="-2"/>
        </w:rPr>
        <w:t>任公司办公室秘书、科长、副主任、主任，石家庄常山纺织集团经编实业有限公司总经理。现任石家庄常山纺织集团有限责</w:t>
      </w:r>
      <w:r>
        <w:rPr>
          <w:spacing w:val="-65"/>
        </w:rPr>
        <w:t> </w:t>
      </w:r>
      <w:r>
        <w:rPr>
          <w:spacing w:val="-65"/>
        </w:rPr>
      </w:r>
      <w:r>
        <w:rPr/>
        <w:t>任公司副董事长、副总裁，本公司董事。</w:t>
      </w:r>
    </w:p>
    <w:p>
      <w:pPr>
        <w:pStyle w:val="BodyText"/>
        <w:spacing w:line="309" w:lineRule="auto" w:before="62"/>
        <w:ind w:right="1128" w:firstLine="360"/>
        <w:jc w:val="both"/>
      </w:pP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月出生，中共党员，本科学历，正高级工程师。曾任石家庄棉二锦宏纺织有限公司生产技术部主</w:t>
      </w:r>
      <w:r>
        <w:rPr/>
        <w:t> </w:t>
      </w:r>
      <w:r>
        <w:rPr>
          <w:spacing w:val="-2"/>
        </w:rPr>
        <w:t>任工程师，本公司生产技术部部长、副总工程师。现任石家庄常山恒新纺织有限公司董事长、总经理，本公司董事、副总经</w:t>
      </w:r>
      <w:r>
        <w:rPr>
          <w:spacing w:val="-68"/>
        </w:rPr>
        <w:t> </w:t>
      </w:r>
      <w:r>
        <w:rPr>
          <w:spacing w:val="-68"/>
        </w:rPr>
      </w:r>
      <w:r>
        <w:rPr/>
        <w:t>理、总工程师。</w:t>
      </w:r>
    </w:p>
    <w:p>
      <w:pPr>
        <w:pStyle w:val="BodyText"/>
        <w:spacing w:line="302" w:lineRule="auto" w:before="62"/>
        <w:ind w:right="1131" w:firstLine="360"/>
        <w:jc w:val="both"/>
      </w:pPr>
      <w:r>
        <w:rPr>
          <w:spacing w:val="-2"/>
        </w:rPr>
        <w:t>徐卫波先生，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11</w:t>
      </w:r>
      <w:r>
        <w:rPr>
          <w:spacing w:val="-2"/>
        </w:rPr>
        <w:t>月出生，本科学历。曾任杭州中远电子工程有限公司总经理，杭州源合有限公司董事长。现任北</w:t>
      </w:r>
      <w:r>
        <w:rPr/>
        <w:t> 明软件有限公司高级副总裁，北京北明伟业控股有限公司董事，本公司董事。</w:t>
      </w:r>
    </w:p>
    <w:p>
      <w:pPr>
        <w:pStyle w:val="BodyText"/>
        <w:spacing w:line="309" w:lineRule="auto" w:before="69"/>
        <w:ind w:right="1048" w:firstLine="360"/>
        <w:jc w:val="both"/>
      </w:pPr>
      <w:r>
        <w:rPr/>
        <w:t>白彦春先生，男、汉族，</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8</w:t>
      </w:r>
      <w:r>
        <w:rPr/>
        <w:t>月出生，硕士学历。曾任中国国际贸易促进委员会律师、北京市金杜律师事务所合伙 </w:t>
      </w:r>
      <w:r>
        <w:rPr>
          <w:spacing w:val="-2"/>
        </w:rPr>
        <w:t>人，中国证监会第九届发行审核委员会委员。现任北京市通商律师事务所律师，兼任深圳市朗科科技股份有限公司董事、宝</w:t>
      </w:r>
      <w:r>
        <w:rPr>
          <w:spacing w:val="-66"/>
        </w:rPr>
        <w:t> </w:t>
      </w:r>
      <w:r>
        <w:rPr>
          <w:spacing w:val="-66"/>
        </w:rPr>
      </w:r>
      <w:r>
        <w:rPr/>
        <w:t>山钢铁股份有限公司独立董事、领孚（上海）网络科技有限公司监事、北京通商君睿投资管理有限公司董事，本公司董事。</w:t>
      </w:r>
    </w:p>
    <w:p>
      <w:pPr>
        <w:pStyle w:val="BodyText"/>
        <w:spacing w:line="300" w:lineRule="auto" w:before="65"/>
        <w:ind w:right="1131" w:firstLine="360"/>
        <w:jc w:val="both"/>
      </w:pPr>
      <w:r>
        <w:rPr>
          <w:spacing w:val="-2"/>
        </w:rPr>
        <w:t>袁宗琦先生，</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10</w:t>
      </w:r>
      <w:r>
        <w:rPr>
          <w:spacing w:val="-2"/>
        </w:rPr>
        <w:t>月出生，大专学历。曾任职于建设部信息中心，清华紫光集团紫光锐影有限公司副董事长，浙大</w:t>
      </w:r>
      <w:r>
        <w:rPr/>
        <w:t> 网新集团新轨道交通有限公司副董事长。现任本公司独立董事。</w:t>
      </w:r>
    </w:p>
    <w:p>
      <w:pPr>
        <w:pStyle w:val="BodyText"/>
        <w:spacing w:line="309" w:lineRule="auto" w:before="70"/>
        <w:ind w:right="1128" w:firstLine="360"/>
        <w:jc w:val="both"/>
      </w:pPr>
      <w:r>
        <w:rPr/>
        <w:t>李质仙先生，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6</w:t>
      </w:r>
      <w:r>
        <w:rPr/>
        <w:t>月出生，研究生学历。曾任中国纺织总会经济贸易部副部长、国泰证券公司信息研究中心行业部 </w:t>
      </w:r>
      <w:r>
        <w:rPr>
          <w:spacing w:val="-2"/>
        </w:rPr>
        <w:t>经理、国泰君安证券公司研究所董事、总经理、首席研究员、中国纺织工业联合会信息统计部首席研究员。现任本公司独立</w:t>
      </w:r>
      <w:r>
        <w:rPr>
          <w:spacing w:val="-66"/>
        </w:rPr>
        <w:t> </w:t>
      </w:r>
      <w:r>
        <w:rPr>
          <w:spacing w:val="-66"/>
        </w:rPr>
      </w:r>
      <w:r>
        <w:rPr/>
        <w:t>董事。</w:t>
      </w:r>
    </w:p>
    <w:p>
      <w:pPr>
        <w:pStyle w:val="BodyText"/>
        <w:spacing w:line="300" w:lineRule="auto" w:before="64"/>
        <w:ind w:right="1131" w:firstLine="360"/>
        <w:jc w:val="both"/>
      </w:pPr>
      <w:r>
        <w:rPr/>
        <w:t>李万军先生，</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月出生，中共党员，管理学硕士，高级会计师、注册会计师。曾任河北省注册会计师协会副秘 书长，曾于</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11 </w:t>
      </w:r>
      <w:r>
        <w:rPr/>
        <w:t>月至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月任本公司独立董事。现任亚太（集团）会计师事务所合伙人，兼长城汽车股份有 限公司、北京中关村科技发展（控股）股份有限公司独立董事。本公司独立董事。</w:t>
      </w:r>
    </w:p>
    <w:p>
      <w:pPr>
        <w:pStyle w:val="BodyText"/>
        <w:spacing w:line="240" w:lineRule="auto" w:before="71"/>
        <w:ind w:left="444" w:right="891"/>
        <w:jc w:val="left"/>
      </w:pPr>
      <w:r>
        <w:rPr/>
        <w:t>孟梓女士，</w:t>
      </w:r>
      <w:r>
        <w:rPr>
          <w:rFonts w:ascii="Times New Roman" w:hAnsi="Times New Roman" w:cs="Times New Roman" w:eastAsia="Times New Roman" w:hint="default"/>
        </w:rPr>
        <w:t>1985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月出生，法学硕士。现任北京市金杜律师事务所资深律师，本公司独立董事。</w:t>
      </w:r>
    </w:p>
    <w:p>
      <w:pPr>
        <w:pStyle w:val="BodyText"/>
        <w:spacing w:line="338" w:lineRule="auto" w:before="102"/>
        <w:ind w:left="514" w:right="1120"/>
        <w:jc w:val="left"/>
      </w:pPr>
      <w:r>
        <w:rPr>
          <w:rFonts w:ascii="Times New Roman" w:hAnsi="Times New Roman" w:cs="Times New Roman" w:eastAsia="Times New Roman" w:hint="default"/>
        </w:rPr>
        <w:t>2</w:t>
      </w:r>
      <w:r>
        <w:rPr/>
        <w:t>、监事 邓中斌先生，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月出生，本科学历，助理工程师，中共党员。曾任棉四分公司经理助理、经理，现任本公司监事</w:t>
      </w:r>
    </w:p>
    <w:p>
      <w:pPr>
        <w:pStyle w:val="BodyText"/>
        <w:spacing w:line="218" w:lineRule="exact"/>
        <w:ind w:left="153" w:right="891"/>
        <w:jc w:val="left"/>
      </w:pPr>
      <w:r>
        <w:rPr/>
        <w:t>会主席，棉四分公司经理。</w:t>
      </w:r>
    </w:p>
    <w:p>
      <w:pPr>
        <w:pStyle w:val="BodyText"/>
        <w:spacing w:line="309" w:lineRule="auto" w:before="115"/>
        <w:ind w:left="153" w:right="1131" w:firstLine="360"/>
        <w:jc w:val="both"/>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月出生，本科学历，正高级会计师，中共党员。曾任石家庄市纺织工业局党校会计、党校行政科 </w:t>
      </w:r>
      <w:r>
        <w:rPr>
          <w:spacing w:val="-2"/>
        </w:rPr>
        <w:t>副科长、财务处科员，石家庄常山纺织集团财务审计部副部长、部长，石家庄常山纺织股份有限公司总会计师。现任石家庄</w:t>
      </w:r>
      <w:r>
        <w:rPr>
          <w:spacing w:val="-66"/>
        </w:rPr>
        <w:t> </w:t>
      </w:r>
      <w:r>
        <w:rPr>
          <w:spacing w:val="-66"/>
        </w:rPr>
      </w:r>
      <w:r>
        <w:rPr/>
        <w:t>常山纺织集团有限责任公司总会计师，本公司监事。</w:t>
      </w:r>
    </w:p>
    <w:p>
      <w:pPr>
        <w:pStyle w:val="BodyText"/>
        <w:spacing w:line="309" w:lineRule="auto" w:before="62"/>
        <w:ind w:left="153" w:right="1131" w:firstLine="360"/>
        <w:jc w:val="both"/>
      </w:pPr>
      <w:r>
        <w:rPr/>
        <w:t>王哲先生，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月出生，本科学历，会计师。曾任北京燕山石油化工公司会计，北京北大青鸟商用信息系统有限公 </w:t>
      </w:r>
      <w:r>
        <w:rPr>
          <w:spacing w:val="-2"/>
        </w:rPr>
        <w:t>司、北京天桥北大青鸟科技股份有限公司财务经理，麦科特光电股份有限公司财务部经理，领锐资产管理股份有限公司财务</w:t>
      </w:r>
      <w:r>
        <w:rPr>
          <w:spacing w:val="-66"/>
        </w:rPr>
        <w:t> </w:t>
      </w:r>
      <w:r>
        <w:rPr>
          <w:spacing w:val="-66"/>
        </w:rPr>
      </w:r>
      <w:r>
        <w:rPr/>
        <w:t>部总经理，青鸟软件股份有限公司财务总监。现任北明软件有限公司财务总监，本公司监事。</w:t>
      </w:r>
    </w:p>
    <w:p>
      <w:pPr>
        <w:spacing w:after="0" w:line="309" w:lineRule="auto"/>
        <w:jc w:val="both"/>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3" w:right="8051" w:firstLine="2"/>
        <w:jc w:val="left"/>
      </w:pPr>
      <w:r>
        <w:rPr>
          <w:rFonts w:ascii="Times New Roman" w:hAnsi="Times New Roman" w:cs="Times New Roman" w:eastAsia="Times New Roman" w:hint="default"/>
        </w:rPr>
        <w:t>3</w:t>
      </w:r>
      <w:r>
        <w:rPr/>
        <w:t>、高级管理人员 薛建昌先生，详见董事履历。</w:t>
      </w:r>
    </w:p>
    <w:p>
      <w:pPr>
        <w:pStyle w:val="BodyText"/>
        <w:spacing w:line="309" w:lineRule="auto" w:before="42"/>
        <w:ind w:left="153" w:right="1131" w:firstLine="360"/>
        <w:jc w:val="both"/>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月出生，本科学历，中共党员。曾任石家庄宝石电子玻璃股份有限公司证券部职员，华夏证券公 </w:t>
      </w:r>
      <w:r>
        <w:rPr>
          <w:spacing w:val="-2"/>
        </w:rPr>
        <w:t>司石家庄营业部职员，华夏证券公司保定营业部职员，本公司证券部职员、证券事务代表。现任河北常山恒云数据科技有限</w:t>
      </w:r>
      <w:r>
        <w:rPr>
          <w:spacing w:val="-66"/>
        </w:rPr>
        <w:t> </w:t>
      </w:r>
      <w:r>
        <w:rPr>
          <w:spacing w:val="-66"/>
        </w:rPr>
      </w:r>
      <w:r>
        <w:rPr/>
        <w:t>公司监事、北明软件有限公司董事，本公司董事会秘书。</w:t>
      </w:r>
    </w:p>
    <w:p>
      <w:pPr>
        <w:pStyle w:val="BodyText"/>
        <w:spacing w:line="309" w:lineRule="auto" w:before="62"/>
        <w:ind w:left="153" w:right="1131" w:firstLine="360"/>
        <w:jc w:val="both"/>
      </w:pPr>
      <w:r>
        <w:rPr/>
        <w:t>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月出生，本科学历，高级工程师，中共党员。曾任石家庄第二棉纺织厂织造车间技术员、劳动人事 </w:t>
      </w:r>
      <w:r>
        <w:rPr>
          <w:spacing w:val="-2"/>
        </w:rPr>
        <w:t>部职员，石家庄常山纺织股份有限公司劳动人事部职员，新疆库尔勒香梨股份有限公司副总裁（援疆干部），石家庄常山纺</w:t>
      </w:r>
      <w:r>
        <w:rPr>
          <w:spacing w:val="-66"/>
        </w:rPr>
        <w:t> </w:t>
      </w:r>
      <w:r>
        <w:rPr>
          <w:spacing w:val="-66"/>
        </w:rPr>
      </w:r>
      <w:r>
        <w:rPr/>
        <w:t>织股份有限公司总经理助理。现任本公司副总经理。</w:t>
      </w:r>
    </w:p>
    <w:p>
      <w:pPr>
        <w:pStyle w:val="BodyText"/>
        <w:spacing w:line="309" w:lineRule="auto" w:before="62"/>
        <w:ind w:left="153" w:right="1131" w:firstLine="360"/>
        <w:jc w:val="both"/>
      </w:pPr>
      <w:r>
        <w:rPr/>
        <w:t>何长青先生，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月出生，本科学历。曾任北京市软件技术开发中心高级工程师，西科姆（中国）有限公司计算机 </w:t>
      </w:r>
      <w:r>
        <w:rPr>
          <w:spacing w:val="-2"/>
        </w:rPr>
        <w:t>事业部副总经理，北京湘计立德科技有限公司副董事长、总经理，宇信易诚科技有限公司高级副总裁。现任北明软件有限公</w:t>
      </w:r>
      <w:r>
        <w:rPr>
          <w:spacing w:val="-66"/>
        </w:rPr>
        <w:t> </w:t>
      </w:r>
      <w:r>
        <w:rPr>
          <w:spacing w:val="-66"/>
        </w:rPr>
      </w:r>
      <w:r>
        <w:rPr/>
        <w:t>司董事、高级副总裁，本公司副总经理。</w:t>
      </w:r>
    </w:p>
    <w:p>
      <w:pPr>
        <w:pStyle w:val="BodyText"/>
        <w:spacing w:line="312" w:lineRule="auto" w:before="64"/>
        <w:ind w:left="153" w:right="1131" w:firstLine="360"/>
        <w:jc w:val="both"/>
      </w:pPr>
      <w:r>
        <w:rPr/>
        <w:t>童庆明先生，男，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EMBA</w:t>
      </w:r>
      <w:r>
        <w:rPr/>
        <w:t>硕士。曾任北大方正集团计算机公司副总经理、南京分公司总经理、华东区 </w:t>
      </w:r>
      <w:r>
        <w:rPr>
          <w:spacing w:val="-2"/>
        </w:rPr>
        <w:t>总经理、方正电脑公司董事、副总经理、总经理，北京高阳万为电力信息技术有限公司总经理，北大青鸟集团北京青鸟华光</w:t>
      </w:r>
      <w:r>
        <w:rPr>
          <w:spacing w:val="-66"/>
        </w:rPr>
        <w:t> </w:t>
      </w:r>
      <w:r>
        <w:rPr>
          <w:spacing w:val="-66"/>
        </w:rPr>
      </w:r>
      <w:r>
        <w:rPr>
          <w:spacing w:val="-2"/>
        </w:rPr>
        <w:t>科技有限公司总经理、潍坊青鸟华光电池有限公司总经理、潍坊青鸟华光科技股份有限公司副总裁、总裁、青鸟软件股份有</w:t>
      </w:r>
      <w:r>
        <w:rPr>
          <w:spacing w:val="-66"/>
        </w:rPr>
        <w:t> </w:t>
      </w:r>
      <w:r>
        <w:rPr>
          <w:spacing w:val="-66"/>
        </w:rPr>
      </w:r>
      <w:r>
        <w:rPr/>
        <w:t>限公司高级副总裁。现任北明软件有限公司高级副总裁，本公司副总经理。</w:t>
      </w:r>
    </w:p>
    <w:p>
      <w:pPr>
        <w:pStyle w:val="BodyText"/>
        <w:spacing w:line="309" w:lineRule="auto" w:before="61"/>
        <w:ind w:left="153" w:right="1131" w:firstLine="388"/>
        <w:jc w:val="both"/>
      </w:pPr>
      <w:r>
        <w:rPr/>
        <w:t>咸勇先生，</w:t>
      </w:r>
      <w:r>
        <w:rPr>
          <w:rFonts w:ascii="Times New Roman" w:hAnsi="Times New Roman" w:cs="Times New Roman" w:eastAsia="Times New Roman" w:hint="default"/>
        </w:rPr>
        <w:t>1979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月出生，本科学历。曾任青鸟软件思科事业部总经理，北明软件有限公司副总裁。兼任河北北明 </w:t>
      </w:r>
      <w:r>
        <w:rPr>
          <w:spacing w:val="-2"/>
        </w:rPr>
        <w:t>兴云互联网科技有限责任公司董事长、河北常山恒云数据科技有限公司董事长。现任北明软件有限公司高级副总裁、本公司</w:t>
      </w:r>
      <w:r>
        <w:rPr>
          <w:spacing w:val="-66"/>
        </w:rPr>
        <w:t> </w:t>
      </w:r>
      <w:r>
        <w:rPr>
          <w:spacing w:val="-66"/>
        </w:rPr>
      </w:r>
      <w:r>
        <w:rPr/>
        <w:t>副总经理。</w:t>
      </w:r>
    </w:p>
    <w:p>
      <w:pPr>
        <w:pStyle w:val="BodyText"/>
        <w:spacing w:line="309" w:lineRule="auto" w:before="62"/>
        <w:ind w:left="153" w:right="1128" w:firstLine="290"/>
        <w:jc w:val="both"/>
      </w:pPr>
      <w:r>
        <w:rPr/>
        <w:t>马晓峰先生，</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月出生，中共党员，本科学历，高级工程师。曾任本公司董事、副总经理，华光纺织有限公司 </w:t>
      </w:r>
      <w:r>
        <w:rPr>
          <w:spacing w:val="-2"/>
        </w:rPr>
        <w:t>总经理，河北正定华润纺织有限公司董事、总经理，华润纺织（集团）有限公司运营副总监兼生产管理部经理，现任本公司</w:t>
      </w:r>
      <w:r>
        <w:rPr>
          <w:spacing w:val="-68"/>
        </w:rPr>
        <w:t> </w:t>
      </w:r>
      <w:r>
        <w:rPr>
          <w:spacing w:val="-68"/>
        </w:rPr>
      </w:r>
      <w:r>
        <w:rPr/>
        <w:t>副总经理、棉二分公司经理。</w:t>
      </w:r>
    </w:p>
    <w:p>
      <w:pPr>
        <w:pStyle w:val="BodyText"/>
        <w:spacing w:line="302" w:lineRule="auto" w:before="64"/>
        <w:ind w:left="153" w:right="1040" w:firstLine="290"/>
        <w:jc w:val="both"/>
      </w:pPr>
      <w:r>
        <w:rPr>
          <w:spacing w:val="-2"/>
        </w:rPr>
        <w:t>石民先生，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月出生，本科学历。曾任北京怡华通联信息技术有限公司副总经理，北明软件有限公司事业部经理、</w:t>
      </w:r>
      <w:r>
        <w:rPr/>
        <w:t> 助理总裁、副总裁。现任北明软件有限公司董事、高级副总裁、本公司副总经理。</w:t>
      </w:r>
    </w:p>
    <w:p>
      <w:pPr>
        <w:pStyle w:val="BodyText"/>
        <w:spacing w:line="309" w:lineRule="auto" w:before="68"/>
        <w:ind w:left="153" w:right="1031" w:firstLine="290"/>
        <w:jc w:val="left"/>
      </w:pPr>
      <w:r>
        <w:rPr/>
        <w:t>曹金霞女士，汉族，</w:t>
      </w:r>
      <w:r>
        <w:rPr>
          <w:rFonts w:ascii="Times New Roman" w:hAnsi="Times New Roman" w:cs="Times New Roman" w:eastAsia="Times New Roman" w:hint="default"/>
        </w:rPr>
        <w:t>1974 </w:t>
      </w:r>
      <w:r>
        <w:rPr/>
        <w:t>年 </w:t>
      </w:r>
      <w:r>
        <w:rPr>
          <w:rFonts w:ascii="Times New Roman" w:hAnsi="Times New Roman" w:cs="Times New Roman" w:eastAsia="Times New Roman" w:hint="default"/>
        </w:rPr>
        <w:t>9 </w:t>
      </w:r>
      <w:r>
        <w:rPr/>
        <w:t>月出生，大专学历，</w:t>
      </w:r>
      <w:r>
        <w:rPr>
          <w:rFonts w:ascii="Times New Roman" w:hAnsi="Times New Roman" w:cs="Times New Roman" w:eastAsia="Times New Roman" w:hint="default"/>
        </w:rPr>
        <w:t>1995</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30"/>
        </w:rPr>
        <w:t> </w:t>
      </w:r>
      <w:r>
        <w:rPr/>
        <w:t>月参加工作，会计师职称。曾任石家庄常山纺织集团有限 责任公司财务部会计，石家庄常山纺织股份有限公司财务部职员、核算中心主任，现任石家庄常山恒新纺织有限公司监事、 本公司财务部经理、总会计师。</w:t>
      </w:r>
    </w:p>
    <w:p>
      <w:pPr>
        <w:pStyle w:val="BodyText"/>
        <w:spacing w:line="240" w:lineRule="auto" w:before="64"/>
        <w:ind w:left="153" w:right="891"/>
        <w:jc w:val="left"/>
      </w:pPr>
      <w:r>
        <w:rPr/>
        <w:t>在股东单位任职情况</w:t>
      </w:r>
    </w:p>
    <w:p>
      <w:pPr>
        <w:pStyle w:val="BodyText"/>
        <w:spacing w:line="240" w:lineRule="auto" w:before="117"/>
        <w:ind w:left="153" w:right="89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2923"/>
        <w:gridCol w:w="1078"/>
        <w:gridCol w:w="1622"/>
        <w:gridCol w:w="1440"/>
        <w:gridCol w:w="135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0" w:right="41"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891"/>
        <w:jc w:val="left"/>
      </w:pPr>
      <w:r>
        <w:rPr/>
        <w:t>在其他单位任职情况</w:t>
      </w:r>
    </w:p>
    <w:p>
      <w:pPr>
        <w:pStyle w:val="BodyText"/>
        <w:spacing w:line="240" w:lineRule="auto" w:before="117"/>
        <w:ind w:left="153"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2727"/>
        <w:gridCol w:w="1096"/>
        <w:gridCol w:w="1620"/>
        <w:gridCol w:w="1620"/>
        <w:gridCol w:w="1376"/>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6" w:right="7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北京市通商律师事务所</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宝山钢铁股份有限公司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北京华通联合投资有限公司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亚太（集团）会计师事务所</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20"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长城汽车股份有限公司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217" w:type="dxa"/>
            <w:tcBorders>
              <w:top w:val="single" w:sz="4" w:space="0" w:color="000000"/>
              <w:left w:val="single" w:sz="4" w:space="0" w:color="000000"/>
              <w:bottom w:val="nil" w:sz="6" w:space="0" w:color="auto"/>
              <w:right w:val="single" w:sz="4" w:space="0" w:color="000000"/>
            </w:tcBorders>
            <w:shd w:val="clear" w:color="auto" w:fill="C7EDCC"/>
          </w:tcPr>
          <w:p>
            <w:pPr/>
          </w:p>
        </w:tc>
        <w:tc>
          <w:tcPr>
            <w:tcW w:w="272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39" w:right="4"/>
              <w:jc w:val="left"/>
              <w:rPr>
                <w:rFonts w:ascii="宋体" w:hAnsi="宋体" w:cs="宋体" w:eastAsia="宋体" w:hint="default"/>
                <w:sz w:val="18"/>
                <w:szCs w:val="18"/>
              </w:rPr>
            </w:pPr>
            <w:r>
              <w:rPr>
                <w:rFonts w:ascii="宋体" w:hAnsi="宋体" w:cs="宋体" w:eastAsia="宋体" w:hint="default"/>
                <w:spacing w:val="-2"/>
                <w:sz w:val="18"/>
                <w:szCs w:val="18"/>
              </w:rPr>
              <w:t>北京中关村科技发展（控股）股份</w:t>
            </w:r>
            <w:r>
              <w:rPr>
                <w:rFonts w:ascii="宋体" w:hAnsi="宋体" w:cs="宋体" w:eastAsia="宋体" w:hint="default"/>
                <w:sz w:val="18"/>
                <w:szCs w:val="18"/>
              </w:rPr>
              <w:t> 有限公司</w:t>
            </w:r>
          </w:p>
        </w:tc>
        <w:tc>
          <w:tcPr>
            <w:tcW w:w="10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620" w:type="dxa"/>
            <w:vMerge w:val="restart"/>
            <w:tcBorders>
              <w:top w:val="single" w:sz="4" w:space="0" w:color="000000"/>
              <w:left w:val="single" w:sz="10" w:space="0" w:color="C7ED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vMerge w:val="restart"/>
            <w:tcBorders>
              <w:top w:val="single" w:sz="4" w:space="0" w:color="000000"/>
              <w:left w:val="single" w:sz="4" w:space="0" w:color="000000"/>
              <w:right w:val="single" w:sz="4" w:space="0" w:color="000000"/>
            </w:tcBorders>
          </w:tcPr>
          <w:p>
            <w:pP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21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727" w:type="dxa"/>
            <w:vMerge/>
            <w:tcBorders>
              <w:left w:val="single" w:sz="4" w:space="0" w:color="000000"/>
              <w:right w:val="single" w:sz="4" w:space="0" w:color="000000"/>
            </w:tcBorders>
            <w:shd w:val="clear" w:color="auto" w:fill="C7EDCC"/>
          </w:tcPr>
          <w:p>
            <w:pPr/>
          </w:p>
        </w:tc>
        <w:tc>
          <w:tcPr>
            <w:tcW w:w="10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vMerge/>
            <w:tcBorders>
              <w:left w:val="single" w:sz="10" w:space="0" w:color="C7EDCC"/>
              <w:right w:val="single" w:sz="4" w:space="0" w:color="000000"/>
            </w:tcBorders>
          </w:tcPr>
          <w:p>
            <w:pPr/>
          </w:p>
        </w:tc>
        <w:tc>
          <w:tcPr>
            <w:tcW w:w="1620"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r>
      <w:tr>
        <w:trPr>
          <w:trHeight w:val="161" w:hRule="exact"/>
        </w:trPr>
        <w:tc>
          <w:tcPr>
            <w:tcW w:w="1217" w:type="dxa"/>
            <w:tcBorders>
              <w:top w:val="nil" w:sz="6" w:space="0" w:color="auto"/>
              <w:left w:val="single" w:sz="4" w:space="0" w:color="000000"/>
              <w:bottom w:val="single" w:sz="4" w:space="0" w:color="000000"/>
              <w:right w:val="single" w:sz="4" w:space="0" w:color="000000"/>
            </w:tcBorders>
            <w:shd w:val="clear" w:color="auto" w:fill="C7EDCC"/>
          </w:tcPr>
          <w:p>
            <w:pPr/>
          </w:p>
        </w:tc>
        <w:tc>
          <w:tcPr>
            <w:tcW w:w="2727" w:type="dxa"/>
            <w:vMerge/>
            <w:tcBorders>
              <w:left w:val="single" w:sz="4" w:space="0" w:color="000000"/>
              <w:bottom w:val="single" w:sz="4" w:space="0" w:color="000000"/>
              <w:right w:val="single" w:sz="4" w:space="0" w:color="000000"/>
            </w:tcBorders>
            <w:shd w:val="clear" w:color="auto" w:fill="C7EDCC"/>
          </w:tcPr>
          <w:p>
            <w:pPr/>
          </w:p>
        </w:tc>
        <w:tc>
          <w:tcPr>
            <w:tcW w:w="10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620" w:type="dxa"/>
            <w:vMerge/>
            <w:tcBorders>
              <w:left w:val="single" w:sz="10" w:space="0" w:color="C7EDCC"/>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217"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40"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217" w:type="dxa"/>
            <w:vMerge/>
            <w:tcBorders>
              <w:left w:val="single" w:sz="4" w:space="0" w:color="000000"/>
              <w:right w:val="single" w:sz="9" w:space="0" w:color="C7EDCC"/>
            </w:tcBorders>
            <w:shd w:val="clear" w:color="auto" w:fill="D3D3D3"/>
          </w:tcPr>
          <w:p>
            <w:pPr/>
          </w:p>
        </w:tc>
        <w:tc>
          <w:tcPr>
            <w:tcW w:w="8440"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17" w:type="dxa"/>
            <w:vMerge/>
            <w:tcBorders>
              <w:left w:val="single" w:sz="4" w:space="0" w:color="000000"/>
              <w:bottom w:val="single" w:sz="4" w:space="0" w:color="000000"/>
              <w:right w:val="single" w:sz="9" w:space="0" w:color="C7EDCC"/>
            </w:tcBorders>
            <w:shd w:val="clear" w:color="auto" w:fill="D3D3D3"/>
          </w:tcPr>
          <w:p>
            <w:pPr/>
          </w:p>
        </w:tc>
        <w:tc>
          <w:tcPr>
            <w:tcW w:w="8440"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891"/>
        <w:jc w:val="left"/>
      </w:pPr>
      <w:r>
        <w:rPr/>
        <w:t>公司现任及报告期内离任董事、监事和高级管理人员近三年证券监管机构处罚的情况</w:t>
      </w:r>
    </w:p>
    <w:p>
      <w:pPr>
        <w:pStyle w:val="BodyText"/>
        <w:spacing w:line="240" w:lineRule="auto" w:before="117"/>
        <w:ind w:left="153" w:right="891"/>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891"/>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董事、监事、高级管理人员报酬的决策程序、确定依据、实际支付情况</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28" w:lineRule="auto" w:before="44"/>
        <w:ind w:right="891" w:firstLine="290"/>
        <w:jc w:val="left"/>
      </w:pPr>
      <w:r>
        <w:rPr>
          <w:spacing w:val="-1"/>
        </w:rPr>
        <w:t>公司独立董事的津贴由董事会审议后，经股东大会批准执行；公司非独立董事、监事、高级管理人员报酬按《董事监事</w:t>
      </w:r>
      <w:r>
        <w:rPr/>
        <w:t> 高级管理人员薪酬管理制度》、《董事、监事、高级管理人员薪酬与绩效考核方案</w:t>
      </w:r>
      <w:r>
        <w:rPr>
          <w:spacing w:val="-18"/>
        </w:rPr>
        <w:t> </w:t>
      </w:r>
      <w:r>
        <w:rPr/>
        <w:t>（</w:t>
      </w:r>
      <w:r>
        <w:rPr>
          <w:rFonts w:ascii="Times New Roman" w:hAnsi="Times New Roman" w:cs="Times New Roman" w:eastAsia="Times New Roman" w:hint="default"/>
        </w:rPr>
        <w:t>2018</w:t>
      </w:r>
      <w:r>
        <w:rPr/>
        <w:t>年度）》执行。 公司报告期内董事、监事和高级管理人员报酬情况</w:t>
      </w:r>
    </w:p>
    <w:p>
      <w:pPr>
        <w:pStyle w:val="BodyText"/>
        <w:spacing w:line="240" w:lineRule="auto" w:before="50"/>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2771"/>
        <w:gridCol w:w="900"/>
        <w:gridCol w:w="720"/>
        <w:gridCol w:w="1080"/>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常务副总经理、总会计师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945.22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91"/>
        <w:jc w:val="left"/>
      </w:pPr>
      <w:r>
        <w:rPr/>
        <w:t>公司董事、高级管理人员报告期内被授予的股权激励情况</w:t>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891"/>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891"/>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5,092</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中专、中技及高中</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5,092</w:t>
            </w:r>
          </w:p>
        </w:tc>
      </w:tr>
    </w:tbl>
    <w:p>
      <w:pPr>
        <w:spacing w:line="240" w:lineRule="auto" w:before="2"/>
        <w:rPr>
          <w:rFonts w:ascii="宋体" w:hAnsi="宋体" w:cs="宋体" w:eastAsia="宋体" w:hint="default"/>
          <w:b/>
          <w:bCs/>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120" w:firstLine="290"/>
        <w:jc w:val="both"/>
      </w:pPr>
      <w:r>
        <w:rPr/>
        <w:t>公司采用结构薪酬制，严格薪酬的计划预算管理，执行统一的薪酬结构。人力资源部根据各职位职员的职位评估结果， </w:t>
      </w:r>
      <w:r>
        <w:rPr>
          <w:spacing w:val="-2"/>
        </w:rPr>
        <w:t>评定相应职级，确定相应的薪酬等级，并依据职位者能力，由直接上级提出申请，按职位等级确定相应的薪酬档，经人力资</w:t>
      </w:r>
      <w:r>
        <w:rPr>
          <w:spacing w:val="-66"/>
        </w:rPr>
        <w:t> </w:t>
      </w:r>
      <w:r>
        <w:rPr>
          <w:spacing w:val="-66"/>
        </w:rPr>
      </w:r>
      <w:r>
        <w:rPr>
          <w:spacing w:val="-2"/>
        </w:rPr>
        <w:t>源部门审核，认定相应的薪酬等级和薪酬档之后报总经理审批后执行。公司根据经营情况，进行薪酬改革，通过绩效管理的</w:t>
      </w:r>
      <w:r>
        <w:rPr>
          <w:spacing w:val="-66"/>
        </w:rPr>
        <w:t> </w:t>
      </w:r>
      <w:r>
        <w:rPr>
          <w:spacing w:val="-66"/>
        </w:rPr>
      </w:r>
      <w:r>
        <w:rPr/>
        <w:t>提升和持续改进，不断提高员工收入，</w:t>
      </w:r>
      <w:r>
        <w:rPr>
          <w:spacing w:val="-19"/>
        </w:rPr>
        <w:t> </w:t>
      </w:r>
      <w:r>
        <w:rPr/>
        <w:t>实现员工专业能力、职业素养与工作业绩的提升，实现公司整体运营管理水平的提</w:t>
      </w:r>
      <w:r>
        <w:rPr/>
        <w:t> 升，实现公司价值与员工价值的同步成长，</w:t>
      </w:r>
      <w:r>
        <w:rPr>
          <w:spacing w:val="-19"/>
        </w:rPr>
        <w:t> </w:t>
      </w:r>
      <w:r>
        <w:rPr/>
        <w:t>逐步构建起符合公司特点与实际的短、中、长期激励与约束机制。</w:t>
      </w:r>
    </w:p>
    <w:p>
      <w:pPr>
        <w:spacing w:line="240" w:lineRule="auto" w:before="0"/>
        <w:rPr>
          <w:rFonts w:ascii="宋体" w:hAnsi="宋体" w:cs="宋体" w:eastAsia="宋体" w:hint="default"/>
          <w:sz w:val="18"/>
          <w:szCs w:val="18"/>
        </w:rPr>
      </w:pPr>
    </w:p>
    <w:p>
      <w:pPr>
        <w:pStyle w:val="BodyText"/>
        <w:spacing w:line="338" w:lineRule="auto" w:before="136"/>
        <w:ind w:left="514" w:right="891" w:hanging="36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报告期内，职工薪酬总额（计入成本部分）占公司总成本的比例为</w:t>
      </w:r>
      <w:r>
        <w:rPr>
          <w:rFonts w:ascii="Times New Roman" w:hAnsi="Times New Roman" w:cs="Times New Roman" w:eastAsia="Times New Roman" w:hint="default"/>
        </w:rPr>
        <w:t>6.11%</w:t>
      </w:r>
      <w:r>
        <w:rPr/>
        <w:t>，上年同期为</w:t>
      </w:r>
      <w:r>
        <w:rPr>
          <w:rFonts w:ascii="Times New Roman" w:hAnsi="Times New Roman" w:cs="Times New Roman" w:eastAsia="Times New Roman" w:hint="default"/>
        </w:rPr>
        <w:t>4.87%</w:t>
      </w:r>
      <w:r>
        <w:rPr/>
        <w:t>，公司利润对职工薪酬总</w:t>
      </w:r>
    </w:p>
    <w:p>
      <w:pPr>
        <w:spacing w:after="0" w:line="338"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041"/>
        <w:jc w:val="both"/>
      </w:pPr>
      <w:r>
        <w:rPr>
          <w:spacing w:val="-4"/>
        </w:rPr>
        <w:t>额变化敏感度较低。公司软件板块职工薪酬（计入成本部分）占软件板块营业成本的比重为</w:t>
      </w:r>
      <w:r>
        <w:rPr>
          <w:rFonts w:ascii="Times New Roman" w:hAnsi="Times New Roman" w:cs="Times New Roman" w:eastAsia="Times New Roman" w:hint="default"/>
          <w:spacing w:val="-4"/>
        </w:rPr>
        <w:t>4.36%</w:t>
      </w:r>
      <w:r>
        <w:rPr>
          <w:spacing w:val="-4"/>
        </w:rPr>
        <w:t>，较上年同期增加了</w:t>
      </w:r>
      <w:r>
        <w:rPr>
          <w:rFonts w:ascii="Times New Roman" w:hAnsi="Times New Roman" w:cs="Times New Roman" w:eastAsia="Times New Roman" w:hint="default"/>
          <w:spacing w:val="-4"/>
        </w:rPr>
        <w:t>0.33%</w:t>
      </w:r>
      <w:r>
        <w:rPr>
          <w:spacing w:val="-4"/>
        </w:rPr>
        <w:t>，</w:t>
      </w:r>
      <w:r>
        <w:rPr>
          <w:spacing w:val="-61"/>
        </w:rPr>
        <w:t> </w:t>
      </w:r>
      <w:r>
        <w:rPr>
          <w:spacing w:val="-6"/>
        </w:rPr>
        <w:t>对公司当期利润产生了一定影响。报告期内，公司核心技术人员数量及薪酬占比分别为</w:t>
      </w:r>
      <w:r>
        <w:rPr>
          <w:rFonts w:ascii="Times New Roman" w:hAnsi="Times New Roman" w:cs="Times New Roman" w:eastAsia="Times New Roman" w:hint="default"/>
          <w:spacing w:val="-6"/>
        </w:rPr>
        <w:t>2.83%</w:t>
      </w:r>
      <w:r>
        <w:rPr>
          <w:spacing w:val="-6"/>
        </w:rPr>
        <w:t>、</w:t>
      </w:r>
      <w:r>
        <w:rPr>
          <w:rFonts w:ascii="Times New Roman" w:hAnsi="Times New Roman" w:cs="Times New Roman" w:eastAsia="Times New Roman" w:hint="default"/>
          <w:spacing w:val="-6"/>
        </w:rPr>
        <w:t>4.78%</w:t>
      </w:r>
      <w:r>
        <w:rPr>
          <w:spacing w:val="-6"/>
        </w:rPr>
        <w:t>，上年同期分别为</w:t>
      </w:r>
      <w:r>
        <w:rPr>
          <w:rFonts w:ascii="Times New Roman" w:hAnsi="Times New Roman" w:cs="Times New Roman" w:eastAsia="Times New Roman" w:hint="default"/>
          <w:spacing w:val="-6"/>
        </w:rPr>
        <w:t>2.75%</w:t>
      </w:r>
      <w:r>
        <w:rPr>
          <w:spacing w:val="-6"/>
        </w:rPr>
        <w:t>、</w:t>
      </w:r>
      <w:r>
        <w:rPr>
          <w:spacing w:val="-30"/>
        </w:rPr>
        <w:t> </w:t>
      </w:r>
      <w:r>
        <w:rPr>
          <w:rFonts w:ascii="Times New Roman" w:hAnsi="Times New Roman" w:cs="Times New Roman" w:eastAsia="Times New Roman" w:hint="default"/>
        </w:rPr>
        <w:t>4.58%</w:t>
      </w:r>
      <w:r>
        <w:rPr/>
        <w:t>，分别增加了</w:t>
      </w:r>
      <w:r>
        <w:rPr>
          <w:rFonts w:ascii="Times New Roman" w:hAnsi="Times New Roman" w:cs="Times New Roman" w:eastAsia="Times New Roman" w:hint="default"/>
        </w:rPr>
        <w:t>3%</w:t>
      </w:r>
      <w:r>
        <w:rPr/>
        <w:t>、</w:t>
      </w:r>
      <w:r>
        <w:rPr>
          <w:rFonts w:ascii="Times New Roman" w:hAnsi="Times New Roman" w:cs="Times New Roman" w:eastAsia="Times New Roman" w:hint="default"/>
        </w:rPr>
        <w:t>4.37%</w:t>
      </w:r>
      <w:r>
        <w:rPr/>
        <w:t>。</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891" w:firstLine="290"/>
        <w:jc w:val="left"/>
      </w:pPr>
      <w:r>
        <w:rPr/>
        <w:t>依据公司战略规划和发展目标，公司坚持完善中高层管理团队能力修炼计划、关键岗位继任者计划、管理培训生培养及 </w:t>
      </w:r>
      <w:r>
        <w:rPr>
          <w:spacing w:val="-2"/>
        </w:rPr>
        <w:t>员工日常技能培训四个模块的人员培训体系，形成由低到高的人才培养衔接机制，完善能力素质培养与专业技能培养结合机</w:t>
      </w:r>
      <w:r>
        <w:rPr>
          <w:spacing w:val="-64"/>
        </w:rPr>
        <w:t> </w:t>
      </w:r>
      <w:r>
        <w:rPr>
          <w:spacing w:val="-64"/>
        </w:rPr>
      </w:r>
      <w:r>
        <w:rPr>
          <w:spacing w:val="-4"/>
        </w:rPr>
        <w:t>制。其中，中高层管理团队能力修炼计划，通过先进的管理理念培训和指导，提升核心管理团队素质。关键岗位继任者计划，</w:t>
      </w:r>
      <w:r>
        <w:rPr>
          <w:spacing w:val="-44"/>
        </w:rPr>
        <w:t> </w:t>
      </w:r>
      <w:r>
        <w:rPr>
          <w:spacing w:val="-44"/>
        </w:rPr>
      </w:r>
      <w:r>
        <w:rPr>
          <w:spacing w:val="-2"/>
        </w:rPr>
        <w:t>主要是针对经理以上级岗位选拔和培养后备梯队，以保证公司快速发展中中层管理干部的人员供给。同时，继续完善管理培</w:t>
      </w:r>
      <w:r>
        <w:rPr>
          <w:spacing w:val="-66"/>
        </w:rPr>
        <w:t> </w:t>
      </w:r>
      <w:r>
        <w:rPr>
          <w:spacing w:val="-66"/>
        </w:rPr>
      </w:r>
      <w:r>
        <w:rPr>
          <w:spacing w:val="-2"/>
        </w:rPr>
        <w:t>训生招聘和培养体系，每年向企业各个岗位输送优秀的新鲜血液。在日常培训方面，把外部培训课程内化，丰富和完善公司</w:t>
      </w:r>
      <w:r>
        <w:rPr>
          <w:spacing w:val="-66"/>
        </w:rPr>
        <w:t> </w:t>
      </w:r>
      <w:r>
        <w:rPr>
          <w:spacing w:val="-66"/>
        </w:rPr>
      </w:r>
      <w:r>
        <w:rPr/>
        <w:t>内部网络培训资源，定期组织开展内部专业理理论和技能培训，使员工在企业始终得到能力的提升和锻炼。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6"/>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91"/>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9" w:firstLine="270"/>
        <w:jc w:val="both"/>
      </w:pPr>
      <w:r>
        <w:rPr/>
        <w:t>报告期内，公司严格按照《公司法》、《证券法》、《上市公司治理准则》、《深交所股票上市规则》等法律法规及有 </w:t>
      </w:r>
      <w:r>
        <w:rPr>
          <w:spacing w:val="-2"/>
        </w:rPr>
        <w:t>关上市公司治理规范性文件的要求，建立了完善的法人治理结构，公司运作规范。报告期内，根据公司实际运行情况修订了</w:t>
      </w:r>
      <w:r>
        <w:rPr>
          <w:spacing w:val="-66"/>
        </w:rPr>
        <w:t> </w:t>
      </w:r>
      <w:r>
        <w:rPr>
          <w:spacing w:val="-66"/>
        </w:rPr>
      </w:r>
      <w:r>
        <w:rPr/>
        <w:t>公司各项基本管理制度，同时对涉及公司治理的有关事项进行了调整和完善，具体如下：</w:t>
      </w:r>
    </w:p>
    <w:p>
      <w:pPr>
        <w:pStyle w:val="BodyText"/>
        <w:spacing w:line="300" w:lineRule="auto" w:before="56"/>
        <w:ind w:left="153" w:right="1181" w:firstLine="300"/>
        <w:jc w:val="left"/>
      </w:pPr>
      <w:r>
        <w:rPr>
          <w:rFonts w:ascii="Times New Roman" w:hAnsi="Times New Roman" w:cs="Times New Roman" w:eastAsia="Times New Roman" w:hint="default"/>
        </w:rPr>
        <w:t>1</w:t>
      </w:r>
      <w:r>
        <w:rPr/>
        <w:t>、经公司六届二十七次董事会审议通过，对《石家庄常山北明科技股份有限公司内部审计管理制度》相关条款进行了 修订；</w:t>
      </w:r>
    </w:p>
    <w:p>
      <w:pPr>
        <w:pStyle w:val="BodyText"/>
        <w:spacing w:line="300" w:lineRule="auto" w:before="31"/>
        <w:ind w:right="1173" w:firstLine="307"/>
        <w:jc w:val="left"/>
      </w:pPr>
      <w:r>
        <w:rPr>
          <w:rFonts w:ascii="Times New Roman" w:hAnsi="Times New Roman" w:cs="Times New Roman" w:eastAsia="Times New Roman" w:hint="default"/>
        </w:rPr>
        <w:t>2</w:t>
      </w:r>
      <w:r>
        <w:rPr/>
        <w:t>、经公司六届三十一次董事会、六届三十一次监事会和</w:t>
      </w:r>
      <w:r>
        <w:rPr>
          <w:rFonts w:ascii="Times New Roman" w:hAnsi="Times New Roman" w:cs="Times New Roman" w:eastAsia="Times New Roman" w:hint="default"/>
        </w:rPr>
        <w:t>2018</w:t>
      </w:r>
      <w:r>
        <w:rPr/>
        <w:t>年第二次临时股东大会审议通过，进行了董事会和监事会 换届，选举产生了公司第七届董事会和监事会成员；</w:t>
      </w:r>
    </w:p>
    <w:p>
      <w:pPr>
        <w:pStyle w:val="BodyText"/>
        <w:spacing w:line="300" w:lineRule="auto" w:before="31"/>
        <w:ind w:right="1180" w:firstLine="300"/>
        <w:jc w:val="left"/>
      </w:pPr>
      <w:r>
        <w:rPr>
          <w:rFonts w:ascii="Times New Roman" w:hAnsi="Times New Roman" w:cs="Times New Roman" w:eastAsia="Times New Roman" w:hint="default"/>
        </w:rPr>
        <w:t>3</w:t>
      </w:r>
      <w:r>
        <w:rPr/>
        <w:t>、经公司七届一次董事会审议，选举产生了公司董事长、副董事长、总经理等公司高级人员，选举产生了第七届董事 会各专门委员会成员；</w:t>
      </w:r>
    </w:p>
    <w:p>
      <w:pPr>
        <w:pStyle w:val="BodyText"/>
        <w:spacing w:line="340" w:lineRule="auto" w:before="31"/>
        <w:ind w:right="891" w:firstLine="300"/>
        <w:jc w:val="left"/>
      </w:pPr>
      <w:r>
        <w:rPr>
          <w:rFonts w:ascii="Times New Roman" w:hAnsi="Times New Roman" w:cs="Times New Roman" w:eastAsia="Times New Roman" w:hint="default"/>
          <w:spacing w:val="-1"/>
        </w:rPr>
        <w:t>4</w:t>
      </w:r>
      <w:r>
        <w:rPr>
          <w:spacing w:val="-1"/>
        </w:rPr>
        <w:t>、根据党建入章的要求和公司生产经营实际，经公司七届二次董事会审议通过，对《公司章程》部分条款进行了修改。</w:t>
      </w:r>
      <w:r>
        <w:rPr/>
        <w:t> 公司治理的实际状况与中国证监会发布的有关上市公司治理的规范性文件是否存在重大差异</w:t>
      </w:r>
    </w:p>
    <w:p>
      <w:pPr>
        <w:pStyle w:val="BodyText"/>
        <w:spacing w:line="340" w:lineRule="auto" w:before="40"/>
        <w:ind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891"/>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891" w:firstLine="360"/>
        <w:jc w:val="left"/>
      </w:pPr>
      <w:r>
        <w:rPr>
          <w:spacing w:val="-2"/>
        </w:rPr>
        <w:t>公司与控股股东在业务、人员、资产、机构、财务等方面做到了</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，公司独立核算、独立纳税、独立承担责任和</w:t>
      </w:r>
      <w:r>
        <w:rPr/>
        <w:t> 风险，具有独立完整的业务与自主经营能力。</w:t>
      </w:r>
    </w:p>
    <w:p>
      <w:pPr>
        <w:pStyle w:val="BodyText"/>
        <w:spacing w:line="240" w:lineRule="auto" w:before="69"/>
        <w:ind w:left="514" w:right="891"/>
        <w:jc w:val="left"/>
      </w:pPr>
      <w:r>
        <w:rPr>
          <w:rFonts w:ascii="Times New Roman" w:hAnsi="Times New Roman" w:cs="Times New Roman" w:eastAsia="Times New Roman" w:hint="default"/>
        </w:rPr>
        <w:t>1</w:t>
      </w:r>
      <w:r>
        <w:rPr/>
        <w:t>、业务方面：公司在业务上与控股股东完全分开，具有完全独立的产、供、销系统和自主独立的经营能力。</w:t>
      </w:r>
    </w:p>
    <w:p>
      <w:pPr>
        <w:pStyle w:val="BodyText"/>
        <w:spacing w:line="240" w:lineRule="auto" w:before="102"/>
        <w:ind w:left="514" w:right="891"/>
        <w:jc w:val="left"/>
      </w:pPr>
      <w:r>
        <w:rPr>
          <w:rFonts w:ascii="Times New Roman" w:hAnsi="Times New Roman" w:cs="Times New Roman" w:eastAsia="Times New Roman" w:hint="default"/>
        </w:rPr>
        <w:t>2</w:t>
      </w:r>
      <w:r>
        <w:rPr/>
        <w:t>、财务方面：公司具有独立的财务部门，有规范的财务核算体系和财务管理制度、内控制度，有独立的银行账户。</w:t>
      </w:r>
    </w:p>
    <w:p>
      <w:pPr>
        <w:pStyle w:val="BodyText"/>
        <w:spacing w:line="240" w:lineRule="auto" w:before="103"/>
        <w:ind w:left="514" w:right="891"/>
        <w:jc w:val="left"/>
      </w:pPr>
      <w:r>
        <w:rPr>
          <w:rFonts w:ascii="Times New Roman" w:hAnsi="Times New Roman" w:cs="Times New Roman" w:eastAsia="Times New Roman" w:hint="default"/>
        </w:rPr>
        <w:t>3</w:t>
      </w:r>
      <w:r>
        <w:rPr/>
        <w:t>、人员方面：公司在劳动、人事、工资等人力资源方面完全独立，具有独立完整的自主能力。</w:t>
      </w:r>
    </w:p>
    <w:p>
      <w:pPr>
        <w:pStyle w:val="BodyText"/>
        <w:spacing w:line="302" w:lineRule="auto" w:before="101"/>
        <w:ind w:right="1120" w:firstLine="360"/>
        <w:jc w:val="left"/>
      </w:pPr>
      <w:r>
        <w:rPr>
          <w:rFonts w:ascii="Times New Roman" w:hAnsi="Times New Roman" w:cs="Times New Roman" w:eastAsia="Times New Roman" w:hint="default"/>
        </w:rPr>
        <w:t>4</w:t>
      </w:r>
      <w:r>
        <w:rPr/>
        <w:t>、资产方面：公司具有完整的、独立的法人财产权，拥有独立、完善的生产、辅助生产和配套设施；对商标、专利技 术等无形资产具有独立所有权。</w:t>
      </w:r>
    </w:p>
    <w:p>
      <w:pPr>
        <w:pStyle w:val="BodyText"/>
        <w:spacing w:line="240" w:lineRule="auto" w:before="69"/>
        <w:ind w:left="514" w:right="891"/>
        <w:jc w:val="left"/>
      </w:pPr>
      <w:r>
        <w:rPr>
          <w:rFonts w:ascii="Times New Roman" w:hAnsi="Times New Roman" w:cs="Times New Roman" w:eastAsia="Times New Roman" w:hint="default"/>
        </w:rPr>
        <w:t>5</w:t>
      </w:r>
      <w:r>
        <w:rPr/>
        <w:t>、机构方面：公司组织机构独立、完善，不存在与控股股东合署办公的情况。</w:t>
      </w:r>
    </w:p>
    <w:p>
      <w:pPr>
        <w:spacing w:line="240" w:lineRule="auto" w:before="0"/>
        <w:rPr>
          <w:rFonts w:ascii="宋体" w:hAnsi="宋体" w:cs="宋体" w:eastAsia="宋体" w:hint="default"/>
          <w:sz w:val="24"/>
          <w:szCs w:val="24"/>
        </w:rPr>
      </w:pPr>
    </w:p>
    <w:p>
      <w:pPr>
        <w:pStyle w:val="Heading2"/>
        <w:spacing w:line="240" w:lineRule="auto"/>
        <w:ind w:right="891"/>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91"/>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900"/>
        <w:gridCol w:w="900"/>
        <w:gridCol w:w="1594"/>
        <w:gridCol w:w="1595"/>
        <w:gridCol w:w="3292"/>
      </w:tblGrid>
      <w:tr>
        <w:trPr>
          <w:trHeight w:val="714" w:hRule="exact"/>
        </w:trPr>
        <w:tc>
          <w:tcPr>
            <w:tcW w:w="1260" w:type="dxa"/>
            <w:tcBorders>
              <w:top w:val="single" w:sz="4" w:space="0" w:color="000000"/>
              <w:left w:val="single" w:sz="4" w:space="0" w:color="000000"/>
              <w:bottom w:val="single" w:sz="8" w:space="0" w:color="C7EDCC"/>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292" w:type="dxa"/>
            <w:tcBorders>
              <w:top w:val="single" w:sz="4" w:space="0" w:color="000000"/>
              <w:left w:val="single" w:sz="4" w:space="0" w:color="000000"/>
              <w:bottom w:val="single" w:sz="8" w:space="0" w:color="C7EDCC"/>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w:t>
            </w:r>
          </w:p>
        </w:tc>
        <w:tc>
          <w:tcPr>
            <w:tcW w:w="90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72"/>
              <w:ind w:left="10" w:right="0"/>
              <w:jc w:val="left"/>
              <w:rPr>
                <w:rFonts w:ascii="宋体" w:hAnsi="宋体" w:cs="宋体" w:eastAsia="宋体" w:hint="default"/>
                <w:sz w:val="18"/>
                <w:szCs w:val="18"/>
              </w:rPr>
            </w:pPr>
            <w:r>
              <w:rPr>
                <w:rFonts w:ascii="宋体" w:hAnsi="宋体" w:cs="宋体" w:eastAsia="宋体" w:hint="default"/>
                <w:sz w:val="18"/>
                <w:szCs w:val="18"/>
              </w:rPr>
              <w:t>年度股东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52.85%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2"/>
              <w:ind w:right="41"/>
              <w:jc w:val="center"/>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900"/>
        <w:gridCol w:w="900"/>
        <w:gridCol w:w="1594"/>
        <w:gridCol w:w="1595"/>
        <w:gridCol w:w="3280"/>
      </w:tblGrid>
      <w:tr>
        <w:trPr>
          <w:trHeight w:val="67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2018-030</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2018-047</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2018-030</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2018-070</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2018-087</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91"/>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7"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7"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891"/>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独立董事对公司有关事项是否提出异议</w:t>
      </w:r>
    </w:p>
    <w:p>
      <w:pPr>
        <w:pStyle w:val="BodyText"/>
        <w:spacing w:line="340" w:lineRule="auto" w:before="116"/>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独立董事对公司有关建议是否被采纳</w:t>
      </w:r>
    </w:p>
    <w:p>
      <w:pPr>
        <w:pStyle w:val="BodyText"/>
        <w:spacing w:line="340" w:lineRule="auto" w:before="116"/>
        <w:ind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29" w:firstLine="290"/>
        <w:jc w:val="both"/>
      </w:pPr>
      <w:r>
        <w:rPr>
          <w:spacing w:val="-1"/>
        </w:rPr>
        <w:t>公司独立董事经常通过询问或实地考察的方式了解公司日常生产经营情况。同时，关注报纸、网络等媒体有关公司的宣</w:t>
      </w:r>
      <w:r>
        <w:rPr/>
        <w:t> </w:t>
      </w:r>
      <w:r>
        <w:rPr>
          <w:spacing w:val="-2"/>
        </w:rPr>
        <w:t>传和报道，及时获悉公司的运行动态。报告期内，公司独立董事对公司的重大决策提供了专业性意见，对公司财务及日常经</w:t>
      </w:r>
      <w:r>
        <w:rPr>
          <w:spacing w:val="-66"/>
        </w:rPr>
        <w:t> </w:t>
      </w:r>
      <w:r>
        <w:rPr>
          <w:spacing w:val="-66"/>
        </w:rPr>
      </w:r>
      <w:r>
        <w:rPr>
          <w:spacing w:val="-2"/>
        </w:rPr>
        <w:t>营活动进行了有效监督，对报告期内公司发生的各项需要独立董事发表意见的事项出具了独立、公正的独立董事意见，提高</w:t>
      </w:r>
      <w:r>
        <w:rPr>
          <w:spacing w:val="-66"/>
        </w:rPr>
        <w:t> </w:t>
      </w:r>
      <w:r>
        <w:rPr>
          <w:spacing w:val="-66"/>
        </w:rPr>
      </w:r>
      <w:r>
        <w:rPr/>
        <w:t>了公司决策的能力，对完善公司管理和监督机制发挥应有的作用。</w:t>
      </w:r>
    </w:p>
    <w:p>
      <w:pPr>
        <w:spacing w:line="240" w:lineRule="auto" w:before="10"/>
        <w:rPr>
          <w:rFonts w:ascii="宋体" w:hAnsi="宋体" w:cs="宋体" w:eastAsia="宋体" w:hint="default"/>
          <w:sz w:val="20"/>
          <w:szCs w:val="20"/>
        </w:rPr>
      </w:pPr>
    </w:p>
    <w:p>
      <w:pPr>
        <w:pStyle w:val="Heading2"/>
        <w:spacing w:line="240" w:lineRule="auto"/>
        <w:ind w:right="891"/>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153" w:right="1129" w:firstLine="290"/>
        <w:jc w:val="both"/>
      </w:pPr>
      <w:r>
        <w:rPr>
          <w:spacing w:val="-1"/>
        </w:rPr>
        <w:t>报告期内，董事会专门委员会共召开八次会议。其中，薪酬与考核委员会召开一次会议，审议通过了公司《</w:t>
      </w:r>
      <w:r>
        <w:rPr>
          <w:rFonts w:ascii="Times New Roman" w:hAnsi="Times New Roman" w:cs="Times New Roman" w:eastAsia="Times New Roman" w:hint="default"/>
          <w:spacing w:val="-1"/>
        </w:rPr>
        <w:t>2018</w:t>
      </w:r>
      <w:r>
        <w:rPr>
          <w:spacing w:val="-1"/>
        </w:rPr>
        <w:t>年度董</w:t>
      </w:r>
      <w:r>
        <w:rPr/>
        <w:t> </w:t>
      </w:r>
      <w:r>
        <w:rPr>
          <w:spacing w:val="-2"/>
        </w:rPr>
        <w:t>事、监事、高级管理人员薪酬与绩效考核方案》、《调整独立董事津贴的议案》；提名委员会召开三次会议，推荐了公司副</w:t>
      </w:r>
      <w:r>
        <w:rPr>
          <w:spacing w:val="-67"/>
        </w:rPr>
        <w:t> </w:t>
      </w:r>
      <w:r>
        <w:rPr>
          <w:spacing w:val="-67"/>
        </w:rPr>
      </w:r>
      <w:r>
        <w:rPr>
          <w:spacing w:val="-2"/>
        </w:rPr>
        <w:t>总经理、第七届董事会候选人，公司经理层人选和董事会专门委员会人选。审计委员会召开四次会议，审议了包括计提资产</w:t>
      </w:r>
      <w:r>
        <w:rPr>
          <w:spacing w:val="-66"/>
        </w:rPr>
        <w:t> </w:t>
      </w:r>
      <w:r>
        <w:rPr>
          <w:spacing w:val="-66"/>
        </w:rPr>
      </w:r>
      <w:r>
        <w:rPr>
          <w:spacing w:val="-2"/>
        </w:rPr>
        <w:t>减值准备、定期报告、内部控制评价报告、年度审计工作报告、关联交易、对外担保、聘任会计师事务所、募集资金存放与</w:t>
      </w:r>
      <w:r>
        <w:rPr>
          <w:spacing w:val="-65"/>
        </w:rPr>
        <w:t> </w:t>
      </w:r>
      <w:r>
        <w:rPr>
          <w:spacing w:val="-65"/>
        </w:rPr>
      </w:r>
      <w:r>
        <w:rPr>
          <w:spacing w:val="-2"/>
        </w:rPr>
        <w:t>使用情况、业绩承诺完成情况、修订内部审计制度等事项，出具了审计委员会意见。在年度审计过程中，审计委员会能够认</w:t>
      </w:r>
      <w:r>
        <w:rPr>
          <w:spacing w:val="-66"/>
        </w:rPr>
        <w:t> </w:t>
      </w:r>
      <w:r>
        <w:rPr>
          <w:spacing w:val="-66"/>
        </w:rPr>
      </w:r>
      <w:r>
        <w:rPr>
          <w:spacing w:val="-2"/>
        </w:rPr>
        <w:t>真履行督导职责，采用电话和书面方式通知年审会计师事务所项目负责人，督促其提交初步审计意见和审计报告，确保了公</w:t>
      </w:r>
      <w:r>
        <w:rPr>
          <w:spacing w:val="-66"/>
        </w:rPr>
        <w:t> </w:t>
      </w:r>
      <w:r>
        <w:rPr>
          <w:spacing w:val="-66"/>
        </w:rPr>
      </w:r>
      <w:r>
        <w:rPr/>
        <w:t>司审计报告的按时完成。充分发挥了审计委员会在定期报告编制、财务风险和信息披露方面的监督作用。</w:t>
      </w:r>
    </w:p>
    <w:p>
      <w:pPr>
        <w:spacing w:line="240" w:lineRule="auto" w:before="12"/>
        <w:rPr>
          <w:rFonts w:ascii="宋体" w:hAnsi="宋体" w:cs="宋体" w:eastAsia="宋体" w:hint="default"/>
          <w:sz w:val="20"/>
          <w:szCs w:val="20"/>
        </w:rPr>
      </w:pPr>
    </w:p>
    <w:p>
      <w:pPr>
        <w:pStyle w:val="Heading2"/>
        <w:spacing w:line="240" w:lineRule="auto"/>
        <w:ind w:right="891"/>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监事会在报告期内的监督活动中发现公司是否存在风险</w:t>
      </w:r>
    </w:p>
    <w:p>
      <w:pPr>
        <w:pStyle w:val="BodyText"/>
        <w:spacing w:line="357" w:lineRule="auto" w:before="117"/>
        <w:ind w:left="153" w:right="7691"/>
        <w:jc w:val="left"/>
      </w:pPr>
      <w:r>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right="891"/>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290"/>
        <w:jc w:val="both"/>
      </w:pPr>
      <w:r>
        <w:rPr>
          <w:spacing w:val="-1"/>
        </w:rPr>
        <w:t>公司高度重视对高级管理人员的绩效考评工作，制定了《董事、监事和高级管理人员薪酬管理制度》，逐步完善高级管</w:t>
      </w:r>
      <w:r>
        <w:rPr/>
        <w:t> </w:t>
      </w:r>
      <w:r>
        <w:rPr>
          <w:spacing w:val="-2"/>
        </w:rPr>
        <w:t>理人员的考评与激励机制。公司董事会根据下达的年度经营业绩指标，对高级管理人员实行收入与公司利润指标和销售收入</w:t>
      </w:r>
      <w:r>
        <w:rPr>
          <w:spacing w:val="-64"/>
        </w:rPr>
        <w:t> </w:t>
      </w:r>
      <w:r>
        <w:rPr>
          <w:spacing w:val="-64"/>
        </w:rPr>
      </w:r>
      <w:r>
        <w:rPr/>
        <w:t>双挂钩的考核激励办法，并按一定比例交纳风险抵押金，按年度进行考核。</w:t>
      </w:r>
    </w:p>
    <w:p>
      <w:pPr>
        <w:spacing w:line="240" w:lineRule="auto" w:before="10"/>
        <w:rPr>
          <w:rFonts w:ascii="宋体" w:hAnsi="宋体" w:cs="宋体" w:eastAsia="宋体" w:hint="default"/>
          <w:sz w:val="20"/>
          <w:szCs w:val="20"/>
        </w:rPr>
      </w:pPr>
    </w:p>
    <w:p>
      <w:pPr>
        <w:pStyle w:val="Heading2"/>
        <w:spacing w:line="240" w:lineRule="auto"/>
        <w:ind w:right="891"/>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是 √ 否</w:t>
      </w:r>
    </w:p>
    <w:p>
      <w:pPr>
        <w:spacing w:after="0" w:line="240"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r>
        <w:rPr/>
        <w:pict>
          <v:shape style="position:absolute;margin-left:56.459999pt;margin-top:102.659958pt;width:479.1pt;height:666.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年度内部控制评价报告》详见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63" w:hRule="exact"/>
                    </w:trPr>
                    <w:tc>
                      <w:tcPr>
                        <w:tcW w:w="3188" w:type="dxa"/>
                        <w:vMerge w:val="restart"/>
                        <w:tcBorders>
                          <w:top w:val="single" w:sz="4" w:space="0" w:color="000000"/>
                          <w:left w:val="single" w:sz="4" w:space="0" w:color="000000"/>
                          <w:right w:val="single" w:sz="4" w:space="0" w:color="000000"/>
                        </w:tcBorders>
                        <w:shd w:val="clear" w:color="auto" w:fill="D3D3D3"/>
                      </w:tcPr>
                      <w:p>
                        <w:pPr/>
                      </w:p>
                    </w:tc>
                    <w:tc>
                      <w:tcPr>
                        <w:tcW w:w="332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w:t>
                        </w:r>
                      </w:p>
                    </w:tc>
                    <w:tc>
                      <w:tcPr>
                        <w:tcW w:w="305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2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员舞弊</w:t>
                        </w:r>
                        <w:r>
                          <w:rPr>
                            <w:rFonts w:ascii="宋体" w:hAnsi="宋体" w:cs="宋体" w:eastAsia="宋体" w:hint="default"/>
                            <w:spacing w:val="-12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2"/>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业更正已公布的财务报告</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31"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5"/>
                          <w:ind w:left="2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）注册会计师发现当期财务报告存在重</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
                          <w:ind w:right="20"/>
                          <w:jc w:val="right"/>
                          <w:rPr>
                            <w:rFonts w:ascii="宋体" w:hAnsi="宋体" w:cs="宋体" w:eastAsia="宋体" w:hint="default"/>
                            <w:sz w:val="18"/>
                            <w:szCs w:val="18"/>
                          </w:rPr>
                        </w:pPr>
                        <w:r>
                          <w:rPr>
                            <w:rFonts w:ascii="宋体" w:hAnsi="宋体" w:cs="宋体" w:eastAsia="宋体" w:hint="default"/>
                            <w:spacing w:val="-4"/>
                            <w:sz w:val="18"/>
                            <w:szCs w:val="18"/>
                          </w:rPr>
                          <w:t>重大缺陷：违犯国家法律法规或规范性</w:t>
                        </w:r>
                      </w:p>
                    </w:tc>
                  </w:tr>
                  <w:tr>
                    <w:trPr>
                      <w:trHeight w:val="307"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大错报而内部控制在运行过程中未能发现</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1" w:lineRule="exact"/>
                          <w:ind w:right="20"/>
                          <w:jc w:val="right"/>
                          <w:rPr>
                            <w:rFonts w:ascii="宋体" w:hAnsi="宋体" w:cs="宋体" w:eastAsia="宋体" w:hint="default"/>
                            <w:sz w:val="18"/>
                            <w:szCs w:val="18"/>
                          </w:rPr>
                        </w:pPr>
                        <w:r>
                          <w:rPr>
                            <w:rFonts w:ascii="宋体" w:hAnsi="宋体" w:cs="宋体" w:eastAsia="宋体" w:hint="default"/>
                            <w:spacing w:val="-4"/>
                            <w:sz w:val="18"/>
                            <w:szCs w:val="18"/>
                          </w:rPr>
                          <w:t>文件、重大决策程序不科学、制度缺失</w:t>
                        </w:r>
                      </w:p>
                    </w:tc>
                  </w:tr>
                  <w:tr>
                    <w:trPr>
                      <w:trHeight w:val="317"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该错报</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）企业审计委员会和内部审计</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4"/>
                            <w:sz w:val="18"/>
                            <w:szCs w:val="18"/>
                          </w:rPr>
                          <w:t>可能导致系统性失效、关键岗位人员流</w:t>
                        </w:r>
                      </w:p>
                    </w:tc>
                  </w:tr>
                  <w:tr>
                    <w:trPr>
                      <w:trHeight w:val="308"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机构对内部控制的监督无效。</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1" w:lineRule="exact"/>
                          <w:ind w:right="20"/>
                          <w:jc w:val="right"/>
                          <w:rPr>
                            <w:rFonts w:ascii="宋体" w:hAnsi="宋体" w:cs="宋体" w:eastAsia="宋体" w:hint="default"/>
                            <w:sz w:val="18"/>
                            <w:szCs w:val="18"/>
                          </w:rPr>
                        </w:pPr>
                        <w:r>
                          <w:rPr>
                            <w:rFonts w:ascii="宋体" w:hAnsi="宋体" w:cs="宋体" w:eastAsia="宋体" w:hint="default"/>
                            <w:spacing w:val="-4"/>
                            <w:sz w:val="18"/>
                            <w:szCs w:val="18"/>
                          </w:rPr>
                          <w:t>失严重、被媒体频频曝光负面新闻、重</w:t>
                        </w:r>
                      </w:p>
                    </w:tc>
                  </w:tr>
                  <w:tr>
                    <w:trPr>
                      <w:trHeight w:val="356"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重要缺陷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）未依照公认会计准则选择</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大缺陷不能得到整改。</w:t>
                        </w:r>
                      </w:p>
                    </w:tc>
                  </w:tr>
                  <w:tr>
                    <w:trPr>
                      <w:trHeight w:val="100"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13" w:space="0" w:color="D3D3D3"/>
                          <w:right w:val="single" w:sz="4" w:space="0" w:color="000000"/>
                        </w:tcBorders>
                        <w:shd w:val="clear" w:color="auto" w:fill="C7EDCC"/>
                      </w:tcPr>
                      <w:p>
                        <w:pPr>
                          <w:pStyle w:val="TableParagraph"/>
                          <w:spacing w:line="240" w:lineRule="auto" w:before="15"/>
                          <w:ind w:left="16" w:right="0"/>
                          <w:jc w:val="left"/>
                          <w:rPr>
                            <w:rFonts w:ascii="宋体" w:hAnsi="宋体" w:cs="宋体" w:eastAsia="宋体" w:hint="default"/>
                            <w:sz w:val="18"/>
                            <w:szCs w:val="18"/>
                          </w:rPr>
                        </w:pPr>
                        <w:r>
                          <w:rPr>
                            <w:rFonts w:ascii="宋体" w:hAnsi="宋体" w:cs="宋体" w:eastAsia="宋体" w:hint="default"/>
                            <w:sz w:val="18"/>
                            <w:szCs w:val="18"/>
                          </w:rPr>
                          <w:t>和应用会计政策</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w:t>
                        </w:r>
                      </w:p>
                    </w:tc>
                    <w:tc>
                      <w:tcPr>
                        <w:tcW w:w="3050" w:type="dxa"/>
                        <w:vMerge w:val="restart"/>
                        <w:tcBorders>
                          <w:top w:val="nil" w:sz="6" w:space="0" w:color="auto"/>
                          <w:left w:val="single" w:sz="4" w:space="0" w:color="000000"/>
                          <w:right w:val="single" w:sz="4" w:space="0" w:color="000000"/>
                        </w:tcBorders>
                        <w:shd w:val="clear" w:color="auto" w:fill="C7EDC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重要缺陷：违反企业内部规章、重要业</w:t>
                        </w:r>
                      </w:p>
                    </w:tc>
                  </w:tr>
                  <w:tr>
                    <w:trPr>
                      <w:trHeight w:val="212" w:hRule="exact"/>
                    </w:trPr>
                    <w:tc>
                      <w:tcPr>
                        <w:tcW w:w="31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13" w:space="0" w:color="D3D3D3"/>
                          <w:bottom w:val="nil" w:sz="6" w:space="0" w:color="auto"/>
                          <w:right w:val="single" w:sz="4" w:space="0" w:color="000000"/>
                        </w:tcBorders>
                        <w:shd w:val="clear" w:color="auto" w:fill="C7EDCC"/>
                      </w:tcPr>
                      <w:p>
                        <w:pPr/>
                      </w:p>
                    </w:tc>
                    <w:tc>
                      <w:tcPr>
                        <w:tcW w:w="3050" w:type="dxa"/>
                        <w:vMerge/>
                        <w:tcBorders>
                          <w:left w:val="single" w:sz="4" w:space="0" w:color="000000"/>
                          <w:bottom w:val="nil" w:sz="6" w:space="0" w:color="auto"/>
                          <w:right w:val="single" w:sz="4" w:space="0" w:color="000000"/>
                        </w:tcBorders>
                        <w:shd w:val="clear" w:color="auto" w:fill="C7EDCC"/>
                      </w:tcPr>
                      <w:p>
                        <w:pPr/>
                      </w:p>
                    </w:tc>
                  </w:tr>
                  <w:tr>
                    <w:trPr>
                      <w:trHeight w:val="181"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13" w:space="0" w:color="D3D3D3"/>
                          <w:right w:val="single" w:sz="4" w:space="0" w:color="000000"/>
                        </w:tcBorders>
                        <w:shd w:val="clear" w:color="auto" w:fill="C7EDCC"/>
                      </w:tcPr>
                      <w:p>
                        <w:pPr>
                          <w:pStyle w:val="TableParagraph"/>
                          <w:spacing w:line="240" w:lineRule="auto" w:before="15"/>
                          <w:ind w:left="16" w:right="0"/>
                          <w:jc w:val="left"/>
                          <w:rPr>
                            <w:rFonts w:ascii="宋体" w:hAnsi="宋体" w:cs="宋体" w:eastAsia="宋体" w:hint="default"/>
                            <w:sz w:val="18"/>
                            <w:szCs w:val="18"/>
                          </w:rPr>
                        </w:pPr>
                        <w:r>
                          <w:rPr>
                            <w:rFonts w:ascii="宋体" w:hAnsi="宋体" w:cs="宋体" w:eastAsia="宋体" w:hint="default"/>
                            <w:sz w:val="18"/>
                            <w:szCs w:val="18"/>
                          </w:rPr>
                          <w:t>和控制措施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w:t>
                        </w:r>
                      </w:p>
                    </w:tc>
                    <w:tc>
                      <w:tcPr>
                        <w:tcW w:w="3050" w:type="dxa"/>
                        <w:vMerge w:val="restart"/>
                        <w:tcBorders>
                          <w:top w:val="nil" w:sz="6" w:space="0" w:color="auto"/>
                          <w:left w:val="single" w:sz="4" w:space="0" w:color="000000"/>
                          <w:right w:val="single" w:sz="4" w:space="0" w:color="000000"/>
                        </w:tcBorders>
                        <w:shd w:val="clear" w:color="auto" w:fill="C7EDC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务缺乏制度控制、被媒体曝光负面新</w:t>
                        </w:r>
                      </w:p>
                    </w:tc>
                  </w:tr>
                  <w:tr>
                    <w:trPr>
                      <w:trHeight w:val="131" w:hRule="exact"/>
                    </w:trPr>
                    <w:tc>
                      <w:tcPr>
                        <w:tcW w:w="3188" w:type="dxa"/>
                        <w:vMerge w:val="restart"/>
                        <w:tcBorders>
                          <w:top w:val="nil" w:sz="6" w:space="0" w:color="auto"/>
                          <w:left w:val="single" w:sz="4" w:space="0" w:color="000000"/>
                          <w:right w:val="single" w:sz="4" w:space="0" w:color="000000"/>
                        </w:tcBorders>
                        <w:shd w:val="clear" w:color="auto" w:fill="D3D3D3"/>
                      </w:tcPr>
                      <w:p>
                        <w:pPr/>
                      </w:p>
                    </w:tc>
                    <w:tc>
                      <w:tcPr>
                        <w:tcW w:w="3329" w:type="dxa"/>
                        <w:vMerge/>
                        <w:tcBorders>
                          <w:left w:val="single" w:sz="13" w:space="0" w:color="D3D3D3"/>
                          <w:bottom w:val="nil" w:sz="6" w:space="0" w:color="auto"/>
                          <w:right w:val="single" w:sz="4" w:space="0" w:color="000000"/>
                        </w:tcBorders>
                        <w:shd w:val="clear" w:color="auto" w:fill="C7EDCC"/>
                      </w:tcPr>
                      <w:p>
                        <w:pPr/>
                      </w:p>
                    </w:tc>
                    <w:tc>
                      <w:tcPr>
                        <w:tcW w:w="3050" w:type="dxa"/>
                        <w:vMerge/>
                        <w:tcBorders>
                          <w:left w:val="single" w:sz="4" w:space="0" w:color="000000"/>
                          <w:bottom w:val="nil" w:sz="6" w:space="0" w:color="auto"/>
                          <w:right w:val="single" w:sz="4" w:space="0" w:color="000000"/>
                        </w:tcBorders>
                        <w:shd w:val="clear" w:color="auto" w:fill="C7EDCC"/>
                      </w:tcPr>
                      <w:p>
                        <w:pPr/>
                      </w:p>
                    </w:tc>
                  </w:tr>
                  <w:tr>
                    <w:trPr>
                      <w:trHeight w:val="307"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的账务处理没有建立相应的控制机制或没</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1" w:lineRule="exact"/>
                          <w:ind w:right="20"/>
                          <w:jc w:val="right"/>
                          <w:rPr>
                            <w:rFonts w:ascii="宋体" w:hAnsi="宋体" w:cs="宋体" w:eastAsia="宋体" w:hint="default"/>
                            <w:sz w:val="18"/>
                            <w:szCs w:val="18"/>
                          </w:rPr>
                        </w:pPr>
                        <w:r>
                          <w:rPr>
                            <w:rFonts w:ascii="宋体" w:hAnsi="宋体" w:cs="宋体" w:eastAsia="宋体" w:hint="default"/>
                            <w:spacing w:val="-4"/>
                            <w:sz w:val="18"/>
                            <w:szCs w:val="18"/>
                          </w:rPr>
                          <w:t>闻、较重要业务缺乏制度控制或制度系</w:t>
                        </w:r>
                      </w:p>
                    </w:tc>
                  </w:tr>
                  <w:tr>
                    <w:trPr>
                      <w:trHeight w:val="318"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有实施且没有相应的补偿性控制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统性失效、重要缺陷的事项未得到整</w:t>
                        </w:r>
                      </w:p>
                    </w:tc>
                  </w:tr>
                  <w:tr>
                    <w:trPr>
                      <w:trHeight w:val="316"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于期末财务报告过程的控制存在一项或多</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改。</w:t>
                        </w:r>
                      </w:p>
                    </w:tc>
                  </w:tr>
                  <w:tr>
                    <w:trPr>
                      <w:trHeight w:val="323"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项缺陷且不能合理保证编制的财务报表达</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right="20"/>
                          <w:jc w:val="right"/>
                          <w:rPr>
                            <w:rFonts w:ascii="宋体" w:hAnsi="宋体" w:cs="宋体" w:eastAsia="宋体" w:hint="default"/>
                            <w:sz w:val="18"/>
                            <w:szCs w:val="18"/>
                          </w:rPr>
                        </w:pPr>
                        <w:r>
                          <w:rPr>
                            <w:rFonts w:ascii="宋体" w:hAnsi="宋体" w:cs="宋体" w:eastAsia="宋体" w:hint="default"/>
                            <w:spacing w:val="-4"/>
                            <w:sz w:val="18"/>
                            <w:szCs w:val="18"/>
                          </w:rPr>
                          <w:t>一般缺陷：未构成重大缺陷、重要缺陷</w:t>
                        </w:r>
                      </w:p>
                    </w:tc>
                  </w:tr>
                  <w:tr>
                    <w:trPr>
                      <w:trHeight w:val="33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left="28" w:right="0"/>
                          <w:jc w:val="left"/>
                          <w:rPr>
                            <w:rFonts w:ascii="宋体" w:hAnsi="宋体" w:cs="宋体" w:eastAsia="宋体" w:hint="default"/>
                            <w:sz w:val="18"/>
                            <w:szCs w:val="18"/>
                          </w:rPr>
                        </w:pPr>
                        <w:r>
                          <w:rPr>
                            <w:rFonts w:ascii="宋体" w:hAnsi="宋体" w:cs="宋体" w:eastAsia="宋体" w:hint="default"/>
                            <w:sz w:val="18"/>
                            <w:szCs w:val="18"/>
                          </w:rPr>
                          <w:t>到真实、准确的目标。</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标准的其他内部控制缺陷。</w:t>
                        </w:r>
                      </w:p>
                    </w:tc>
                  </w:tr>
                  <w:tr>
                    <w:trPr>
                      <w:trHeight w:val="32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一般缺陷：未构成重大缺陷、重要缺陷标</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3188" w:type="dxa"/>
                        <w:vMerge/>
                        <w:tcBorders>
                          <w:left w:val="single" w:sz="4" w:space="0" w:color="000000"/>
                          <w:bottom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准的其他内部控制缺陷。</w:t>
                        </w:r>
                      </w:p>
                    </w:tc>
                    <w:tc>
                      <w:tcPr>
                        <w:tcW w:w="305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7" w:hRule="exact"/>
                    </w:trPr>
                    <w:tc>
                      <w:tcPr>
                        <w:tcW w:w="3188" w:type="dxa"/>
                        <w:vMerge w:val="restart"/>
                        <w:tcBorders>
                          <w:top w:val="single" w:sz="4" w:space="0" w:color="000000"/>
                          <w:left w:val="single" w:sz="4" w:space="0" w:color="000000"/>
                          <w:right w:val="single" w:sz="4" w:space="0" w:color="000000"/>
                        </w:tcBorders>
                        <w:shd w:val="clear" w:color="auto" w:fill="D3D3D3"/>
                      </w:tcPr>
                      <w:p>
                        <w:pPr/>
                      </w:p>
                    </w:tc>
                    <w:tc>
                      <w:tcPr>
                        <w:tcW w:w="332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定量标准以税前利润、所有者权益总</w:t>
                        </w:r>
                      </w:p>
                    </w:tc>
                    <w:tc>
                      <w:tcPr>
                        <w:tcW w:w="305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额作为衡量指标。内部控制缺陷可能导致</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8"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或导致的损失与利润表相关的，以税前利</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sz w:val="18"/>
                            <w:szCs w:val="18"/>
                          </w:rPr>
                          <w:t>重大缺陷：≥所有者权益总额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w:t>
                        </w:r>
                      </w:p>
                    </w:tc>
                  </w:tr>
                  <w:tr>
                    <w:trPr>
                      <w:trHeight w:val="306"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润指标衡量。如果该缺陷单独或连同其他</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已经对外正式披露并对公司定期报告</w:t>
                        </w: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缺陷可能导致的财务报告错报金额小于税</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4"/>
                            <w:sz w:val="18"/>
                            <w:szCs w:val="18"/>
                          </w:rPr>
                          <w:t>披露造成负面影响；企业关键岗位人员</w:t>
                        </w:r>
                      </w:p>
                    </w:tc>
                  </w:tr>
                  <w:tr>
                    <w:trPr>
                      <w:trHeight w:val="317"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2"/>
                            <w:sz w:val="18"/>
                            <w:szCs w:val="18"/>
                          </w:rPr>
                          <w:t>前利润的</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，则认定为一般缺陷；如果超</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流失严重；被媒体频频曝光负面新闻</w:t>
                        </w: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pacing w:val="4"/>
                            <w:sz w:val="18"/>
                            <w:szCs w:val="18"/>
                          </w:rPr>
                          <w:t>过税前利润的</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但小于</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，则为重要缺</w:t>
                        </w:r>
                        <w:r>
                          <w:rPr>
                            <w:rFonts w:ascii="宋体" w:hAnsi="宋体" w:cs="宋体" w:eastAsia="宋体" w:hint="default"/>
                            <w:sz w:val="18"/>
                            <w:szCs w:val="18"/>
                          </w:rPr>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77"/>
                          <w:jc w:val="right"/>
                          <w:rPr>
                            <w:rFonts w:ascii="宋体" w:hAnsi="宋体" w:cs="宋体" w:eastAsia="宋体" w:hint="default"/>
                            <w:sz w:val="18"/>
                            <w:szCs w:val="18"/>
                          </w:rPr>
                        </w:pPr>
                        <w:r>
                          <w:rPr>
                            <w:rFonts w:ascii="宋体" w:hAnsi="宋体" w:cs="宋体" w:eastAsia="宋体" w:hint="default"/>
                            <w:sz w:val="18"/>
                            <w:szCs w:val="18"/>
                          </w:rPr>
                          <w:t>重要缺陷：所有者权益总额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≤直</w:t>
                        </w:r>
                      </w:p>
                    </w:tc>
                  </w:tr>
                  <w:tr>
                    <w:trPr>
                      <w:trHeight w:val="111"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13" w:space="0" w:color="D3D3D3"/>
                          <w:right w:val="single" w:sz="4" w:space="0" w:color="000000"/>
                        </w:tcBorders>
                        <w:shd w:val="clear" w:color="auto" w:fill="C7EDCC"/>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pacing w:val="-2"/>
                            <w:sz w:val="18"/>
                            <w:szCs w:val="18"/>
                          </w:rPr>
                          <w:t>陷；如果超过税前利润的</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，则认定为重</w:t>
                        </w:r>
                      </w:p>
                    </w:tc>
                    <w:tc>
                      <w:tcPr>
                        <w:tcW w:w="305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接损失＜所有者权益总额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或受到</w:t>
                        </w:r>
                      </w:p>
                    </w:tc>
                  </w:tr>
                  <w:tr>
                    <w:trPr>
                      <w:trHeight w:val="201" w:hRule="exact"/>
                    </w:trPr>
                    <w:tc>
                      <w:tcPr>
                        <w:tcW w:w="31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3D3D3"/>
                          <w:bottom w:val="nil" w:sz="6" w:space="0" w:color="auto"/>
                          <w:right w:val="single" w:sz="4" w:space="0" w:color="000000"/>
                        </w:tcBorders>
                        <w:shd w:val="clear" w:color="auto" w:fill="C7EDCC"/>
                      </w:tcPr>
                      <w:p>
                        <w:pPr/>
                      </w:p>
                    </w:tc>
                    <w:tc>
                      <w:tcPr>
                        <w:tcW w:w="3050" w:type="dxa"/>
                        <w:vMerge/>
                        <w:tcBorders>
                          <w:left w:val="single" w:sz="4" w:space="0" w:color="000000"/>
                          <w:bottom w:val="nil" w:sz="6" w:space="0" w:color="auto"/>
                          <w:right w:val="single" w:sz="4" w:space="0" w:color="000000"/>
                        </w:tcBorders>
                        <w:shd w:val="clear" w:color="auto" w:fill="C7EDCC"/>
                      </w:tcPr>
                      <w:p>
                        <w:pPr/>
                      </w:p>
                    </w:tc>
                  </w:tr>
                  <w:tr>
                    <w:trPr>
                      <w:trHeight w:val="192"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13" w:space="0" w:color="D3D3D3"/>
                          <w:right w:val="single" w:sz="4" w:space="0" w:color="000000"/>
                        </w:tcBorders>
                        <w:shd w:val="clear" w:color="auto" w:fill="C7EDCC"/>
                      </w:tcPr>
                      <w:p>
                        <w:pPr>
                          <w:pStyle w:val="TableParagraph"/>
                          <w:spacing w:line="240" w:lineRule="auto" w:before="6"/>
                          <w:ind w:left="16" w:right="0"/>
                          <w:jc w:val="left"/>
                          <w:rPr>
                            <w:rFonts w:ascii="宋体" w:hAnsi="宋体" w:cs="宋体" w:eastAsia="宋体" w:hint="default"/>
                            <w:sz w:val="18"/>
                            <w:szCs w:val="18"/>
                          </w:rPr>
                        </w:pPr>
                        <w:r>
                          <w:rPr>
                            <w:rFonts w:ascii="宋体" w:hAnsi="宋体" w:cs="宋体" w:eastAsia="宋体" w:hint="default"/>
                            <w:sz w:val="18"/>
                            <w:szCs w:val="18"/>
                          </w:rPr>
                          <w:t>大缺陷。</w:t>
                        </w:r>
                      </w:p>
                    </w:tc>
                    <w:tc>
                      <w:tcPr>
                        <w:tcW w:w="305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国家政府部门处罚，但未对公司定期报</w:t>
                        </w:r>
                      </w:p>
                    </w:tc>
                  </w:tr>
                  <w:tr>
                    <w:trPr>
                      <w:trHeight w:val="116" w:hRule="exact"/>
                    </w:trPr>
                    <w:tc>
                      <w:tcPr>
                        <w:tcW w:w="3188" w:type="dxa"/>
                        <w:vMerge w:val="restart"/>
                        <w:tcBorders>
                          <w:top w:val="nil" w:sz="6" w:space="0" w:color="auto"/>
                          <w:left w:val="single" w:sz="4" w:space="0" w:color="000000"/>
                          <w:right w:val="single" w:sz="4" w:space="0" w:color="000000"/>
                        </w:tcBorders>
                        <w:shd w:val="clear" w:color="auto" w:fill="D3D3D3"/>
                      </w:tcPr>
                      <w:p>
                        <w:pPr/>
                      </w:p>
                    </w:tc>
                    <w:tc>
                      <w:tcPr>
                        <w:tcW w:w="3329" w:type="dxa"/>
                        <w:vMerge/>
                        <w:tcBorders>
                          <w:left w:val="single" w:sz="13" w:space="0" w:color="D3D3D3"/>
                          <w:bottom w:val="nil" w:sz="6" w:space="0" w:color="auto"/>
                          <w:right w:val="single" w:sz="4" w:space="0" w:color="000000"/>
                        </w:tcBorders>
                        <w:shd w:val="clear" w:color="auto" w:fill="C7EDCC"/>
                      </w:tcPr>
                      <w:p>
                        <w:pPr/>
                      </w:p>
                    </w:tc>
                    <w:tc>
                      <w:tcPr>
                        <w:tcW w:w="3050" w:type="dxa"/>
                        <w:vMerge/>
                        <w:tcBorders>
                          <w:left w:val="single" w:sz="4" w:space="0" w:color="000000"/>
                          <w:bottom w:val="nil" w:sz="6" w:space="0" w:color="auto"/>
                          <w:right w:val="single" w:sz="4" w:space="0" w:color="000000"/>
                        </w:tcBorders>
                        <w:shd w:val="clear" w:color="auto" w:fill="C7EDCC"/>
                      </w:tcPr>
                      <w:p>
                        <w:pPr/>
                      </w:p>
                    </w:tc>
                  </w:tr>
                  <w:tr>
                    <w:trPr>
                      <w:trHeight w:val="33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内部控制缺陷可能导致或导致的损失与资</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4"/>
                            <w:sz w:val="18"/>
                            <w:szCs w:val="18"/>
                          </w:rPr>
                          <w:t>告披露造成负面影响；被媒体曝光且产</w:t>
                        </w: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28" w:right="0"/>
                          <w:jc w:val="left"/>
                          <w:rPr>
                            <w:rFonts w:ascii="宋体" w:hAnsi="宋体" w:cs="宋体" w:eastAsia="宋体" w:hint="default"/>
                            <w:sz w:val="18"/>
                            <w:szCs w:val="18"/>
                          </w:rPr>
                        </w:pPr>
                        <w:r>
                          <w:rPr>
                            <w:rFonts w:ascii="宋体" w:hAnsi="宋体" w:cs="宋体" w:eastAsia="宋体" w:hint="default"/>
                            <w:sz w:val="18"/>
                            <w:szCs w:val="18"/>
                          </w:rPr>
                          <w:t>产管理相关的，以所有者权益总额指标衡</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6" w:lineRule="exact"/>
                          <w:ind w:right="20"/>
                          <w:jc w:val="right"/>
                          <w:rPr>
                            <w:rFonts w:ascii="宋体" w:hAnsi="宋体" w:cs="宋体" w:eastAsia="宋体" w:hint="default"/>
                            <w:sz w:val="18"/>
                            <w:szCs w:val="18"/>
                          </w:rPr>
                        </w:pPr>
                        <w:r>
                          <w:rPr>
                            <w:rFonts w:ascii="宋体" w:hAnsi="宋体" w:cs="宋体" w:eastAsia="宋体" w:hint="default"/>
                            <w:spacing w:val="-4"/>
                            <w:sz w:val="18"/>
                            <w:szCs w:val="18"/>
                          </w:rPr>
                          <w:t>生负面影响。一般缺陷：＜所有者权益</w:t>
                        </w: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28" w:right="0"/>
                          <w:jc w:val="left"/>
                          <w:rPr>
                            <w:rFonts w:ascii="宋体" w:hAnsi="宋体" w:cs="宋体" w:eastAsia="宋体" w:hint="default"/>
                            <w:sz w:val="18"/>
                            <w:szCs w:val="18"/>
                          </w:rPr>
                        </w:pPr>
                        <w:r>
                          <w:rPr>
                            <w:rFonts w:ascii="宋体" w:hAnsi="宋体" w:cs="宋体" w:eastAsia="宋体" w:hint="default"/>
                            <w:sz w:val="18"/>
                            <w:szCs w:val="18"/>
                          </w:rPr>
                          <w:t>量。如果该缺陷单独或连同其他缺陷可能</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9" w:lineRule="exact"/>
                          <w:ind w:right="77"/>
                          <w:jc w:val="righ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或受到省级（含省级）以下</w:t>
                        </w:r>
                      </w:p>
                    </w:tc>
                  </w:tr>
                  <w:tr>
                    <w:trPr>
                      <w:trHeight w:val="313"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28" w:right="0"/>
                          <w:jc w:val="left"/>
                          <w:rPr>
                            <w:rFonts w:ascii="宋体" w:hAnsi="宋体" w:cs="宋体" w:eastAsia="宋体" w:hint="default"/>
                            <w:sz w:val="18"/>
                            <w:szCs w:val="18"/>
                          </w:rPr>
                        </w:pPr>
                        <w:r>
                          <w:rPr>
                            <w:rFonts w:ascii="宋体" w:hAnsi="宋体" w:cs="宋体" w:eastAsia="宋体" w:hint="default"/>
                            <w:sz w:val="18"/>
                            <w:szCs w:val="18"/>
                          </w:rPr>
                          <w:t>导致的财务报告错报金额小于所有者权益</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政府部门处罚但未对公司定期报告披</w:t>
                        </w:r>
                      </w:p>
                    </w:tc>
                  </w:tr>
                  <w:tr>
                    <w:trPr>
                      <w:trHeight w:val="337"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0"/>
                          <w:ind w:left="28"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，则认定为一般缺陷；如果超</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露造成负面影响。</w:t>
                        </w: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过所有者权益总额的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认</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3188" w:type="dxa"/>
                        <w:vMerge/>
                        <w:tcBorders>
                          <w:left w:val="single" w:sz="4" w:space="0" w:color="000000"/>
                          <w:bottom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定为重要缺陷；如果超过所有者权益总额</w:t>
                        </w:r>
                      </w:p>
                    </w:tc>
                    <w:tc>
                      <w:tcPr>
                        <w:tcW w:w="3050" w:type="dxa"/>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before="44"/>
        <w:ind w:left="0" w:right="1163"/>
        <w:jc w:val="right"/>
      </w:pPr>
      <w:r>
        <w:rPr/>
        <w:t>。</w:t>
      </w:r>
    </w:p>
    <w:p>
      <w:pPr>
        <w:spacing w:after="0" w:line="240" w:lineRule="auto"/>
        <w:jc w:val="righ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，则认定为重大缺陷。</w:t>
            </w:r>
          </w:p>
        </w:tc>
        <w:tc>
          <w:tcPr>
            <w:tcW w:w="305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891"/>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我们认为，常山北明于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年度内部控制审计报告》详见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91"/>
        <w:jc w:val="left"/>
      </w:pPr>
      <w:r>
        <w:rPr/>
        <w:t>会计师事务所是否出具非标准意见的内部控制审计报告</w:t>
      </w:r>
    </w:p>
    <w:p>
      <w:pPr>
        <w:pStyle w:val="BodyText"/>
        <w:spacing w:line="360" w:lineRule="auto" w:before="116"/>
        <w:ind w:left="153" w:right="4631"/>
        <w:jc w:val="left"/>
      </w:pPr>
      <w:r>
        <w:rPr/>
        <w:t>□ 是 √ 否 会计师事务所出具的内部控制审计报告与董事会的自我评价报告意见是否一致</w:t>
      </w:r>
    </w:p>
    <w:p>
      <w:pPr>
        <w:pStyle w:val="BodyText"/>
        <w:spacing w:line="240" w:lineRule="auto" w:before="26"/>
        <w:ind w:left="153" w:right="891"/>
        <w:jc w:val="left"/>
      </w:pPr>
      <w:r>
        <w:rPr/>
        <w:t>√ 是 □ 否</w:t>
      </w:r>
    </w:p>
    <w:p>
      <w:pPr>
        <w:spacing w:after="0" w:line="240"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5" w:right="891"/>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891"/>
        <w:jc w:val="left"/>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9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王飞、王凤岐</w:t>
            </w:r>
          </w:p>
        </w:tc>
      </w:tr>
    </w:tbl>
    <w:p>
      <w:pPr>
        <w:pStyle w:val="BodyText"/>
        <w:spacing w:line="240" w:lineRule="auto" w:before="51"/>
        <w:ind w:left="4433" w:right="891"/>
        <w:jc w:val="left"/>
      </w:pPr>
      <w:r>
        <w:rPr/>
        <w:t>审计报告正文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line="357" w:lineRule="auto" w:before="0"/>
        <w:ind w:left="514" w:right="6790" w:firstLine="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19" w:lineRule="auto" w:before="26"/>
        <w:ind w:right="891" w:firstLine="360"/>
        <w:jc w:val="left"/>
      </w:pPr>
      <w:r>
        <w:rPr>
          <w:spacing w:val="-2"/>
        </w:rPr>
        <w:t>我们审计了石家庄常山北明科技股份有限公司（以下简称“常山北明”）财务报表，包括2018年12月31日的合并及公司</w:t>
      </w:r>
      <w:r>
        <w:rPr/>
        <w:t> 资产负债表，2018年度的合并及公司利润表、合并及公司现金流量表、合并及公司股东权益变动表以及财务报表附注。</w:t>
      </w:r>
    </w:p>
    <w:p>
      <w:pPr>
        <w:pStyle w:val="BodyText"/>
        <w:spacing w:line="319" w:lineRule="auto" w:before="56"/>
        <w:ind w:right="1113" w:firstLine="360"/>
        <w:jc w:val="left"/>
      </w:pPr>
      <w:r>
        <w:rPr/>
        <w:t>我们认为，后附的财务报表在所有重大方面按照企业会计准则的规定编制，公允反映了常山北明</w:t>
      </w:r>
      <w:r>
        <w:rPr>
          <w:spacing w:val="7"/>
        </w:rPr>
        <w:t> </w:t>
      </w:r>
      <w:r>
        <w:rPr/>
        <w:t>2018年12月31日的合</w:t>
      </w:r>
      <w:r>
        <w:rPr/>
        <w:t> 并及公司财务状况以及2018年度的合并及公司经营成果和现金流量。</w:t>
      </w:r>
    </w:p>
    <w:p>
      <w:pPr>
        <w:pStyle w:val="BodyText"/>
        <w:spacing w:line="357" w:lineRule="auto" w:before="56"/>
        <w:ind w:left="514" w:right="891"/>
        <w:jc w:val="left"/>
      </w:pPr>
      <w:r>
        <w:rPr>
          <w:rFonts w:ascii="宋体" w:hAnsi="宋体" w:cs="宋体" w:eastAsia="宋体" w:hint="default"/>
          <w:b/>
          <w:bCs/>
        </w:rPr>
        <w:t>二、形成审计意见的基础</w:t>
      </w:r>
      <w:r>
        <w:rPr>
          <w:rFonts w:ascii="宋体" w:hAnsi="宋体" w:cs="宋体" w:eastAsia="宋体" w:hint="default"/>
          <w:b/>
          <w:bCs/>
          <w:spacing w:val="1"/>
          <w:w w:val="99"/>
        </w:rPr>
        <w:t> </w:t>
      </w:r>
      <w:r>
        <w:rPr>
          <w:spacing w:val="-2"/>
        </w:rPr>
        <w:t>我们按照中国注册会计师审计准则的规定执行了审计工作。审计报告的“注册会计师对财务报表审计的责任”部分进一</w:t>
      </w:r>
    </w:p>
    <w:p>
      <w:pPr>
        <w:pStyle w:val="BodyText"/>
        <w:spacing w:line="224" w:lineRule="exact"/>
        <w:ind w:right="891"/>
        <w:jc w:val="left"/>
      </w:pPr>
      <w:r>
        <w:rPr/>
        <w:t>步阐述了我们在这些准则下的责任。按照中国注册会计师职业道德守则，我们独立于常山北明，并履行了职业道德方面的其</w:t>
      </w:r>
    </w:p>
    <w:p>
      <w:pPr>
        <w:pStyle w:val="BodyText"/>
        <w:spacing w:line="360" w:lineRule="auto" w:before="77"/>
        <w:ind w:left="514" w:right="3730" w:hanging="360"/>
        <w:jc w:val="left"/>
        <w:rPr>
          <w:rFonts w:ascii="宋体" w:hAnsi="宋体" w:cs="宋体" w:eastAsia="宋体" w:hint="default"/>
        </w:rPr>
      </w:pPr>
      <w:r>
        <w:rPr/>
        <w:t>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9" w:lineRule="auto" w:before="25"/>
        <w:ind w:right="891" w:firstLine="360"/>
        <w:jc w:val="left"/>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pStyle w:val="BodyText"/>
        <w:spacing w:line="360" w:lineRule="auto" w:before="56"/>
        <w:ind w:left="514" w:right="8590"/>
        <w:jc w:val="left"/>
      </w:pPr>
      <w:r>
        <w:rPr/>
        <w:t>（一）商誉的减值测试 1、事项描述</w:t>
      </w:r>
    </w:p>
    <w:p>
      <w:pPr>
        <w:pStyle w:val="BodyText"/>
        <w:spacing w:line="319" w:lineRule="auto" w:before="25"/>
        <w:ind w:right="1030" w:firstLine="360"/>
        <w:jc w:val="left"/>
      </w:pPr>
      <w:r>
        <w:rPr/>
        <w:t>截至2018年12月31日，常山北明合并财务报表中商誉的账面余额为217,224.13万元，商誉减值准备余额4,358.11万元， </w:t>
      </w:r>
      <w:r>
        <w:rPr>
          <w:spacing w:val="-2"/>
        </w:rPr>
        <w:t>相关信息披露详见财务报表附注五19、附注七15描述。管理层确定资产组的可回收金额时对其中涉及的关键假设做出了重大</w:t>
      </w:r>
      <w:r>
        <w:rPr>
          <w:spacing w:val="-60"/>
        </w:rPr>
        <w:t> </w:t>
      </w:r>
      <w:r>
        <w:rPr>
          <w:spacing w:val="-60"/>
        </w:rPr>
      </w:r>
      <w:r>
        <w:rPr>
          <w:spacing w:val="-2"/>
        </w:rPr>
        <w:t>判断，包括：五年期预算、永续年收入增长率、毛利率及折现率等。由于商誉金额重大，且管理层需要做出重大判断，因此</w:t>
      </w:r>
      <w:r>
        <w:rPr>
          <w:spacing w:val="-65"/>
        </w:rPr>
        <w:t> </w:t>
      </w:r>
      <w:r>
        <w:rPr>
          <w:spacing w:val="-65"/>
        </w:rPr>
      </w:r>
      <w:r>
        <w:rPr/>
        <w:t>我们将商誉减值测试确定为关键审计事项。</w:t>
      </w:r>
    </w:p>
    <w:p>
      <w:pPr>
        <w:pStyle w:val="BodyText"/>
        <w:spacing w:line="360" w:lineRule="auto" w:before="56"/>
        <w:ind w:left="514" w:right="4450"/>
        <w:jc w:val="left"/>
      </w:pPr>
      <w:r>
        <w:rPr/>
        <w:t>2、审计应对 我们针对商誉减值测试相关的上述关键审计事项执行的主要审计程序如下：</w:t>
      </w:r>
    </w:p>
    <w:p>
      <w:pPr>
        <w:pStyle w:val="BodyText"/>
        <w:spacing w:line="240" w:lineRule="auto" w:before="26"/>
        <w:ind w:left="514" w:right="891"/>
        <w:jc w:val="left"/>
      </w:pPr>
      <w:r>
        <w:rPr/>
        <w:t>（1）对常山北明商誉减值测试相关内部控制的设计和执行进行评估。</w:t>
      </w:r>
    </w:p>
    <w:p>
      <w:pPr>
        <w:pStyle w:val="BodyText"/>
        <w:spacing w:line="319" w:lineRule="auto" w:before="115"/>
        <w:ind w:right="891" w:firstLine="360"/>
        <w:jc w:val="left"/>
      </w:pPr>
      <w:r>
        <w:rPr>
          <w:spacing w:val="-2"/>
        </w:rPr>
        <w:t>（2）我们对管理层对商誉减值测试中的关键假设进行评估，包括五年期预算、永续年收入增长率、毛利率及折现率等。</w:t>
      </w:r>
      <w:r>
        <w:rPr/>
        <w:t> 我们也利用内部估值专家的工作，评估管理层的商誉减值测试方法的合理性。</w:t>
      </w:r>
    </w:p>
    <w:p>
      <w:pPr>
        <w:pStyle w:val="BodyText"/>
        <w:spacing w:line="240" w:lineRule="auto" w:before="56"/>
        <w:ind w:left="514" w:right="891"/>
        <w:jc w:val="left"/>
      </w:pPr>
      <w:r>
        <w:rPr>
          <w:spacing w:val="-3"/>
        </w:rPr>
        <w:t>（3）我们通过参考行业惯例，评估管理层对包含商誉的相关资产组进行未来现金流量预测时使用的估值方法的适当性；</w:t>
      </w:r>
    </w:p>
    <w:p>
      <w:pPr>
        <w:pStyle w:val="BodyText"/>
        <w:spacing w:line="240" w:lineRule="auto" w:before="117"/>
        <w:ind w:left="514" w:right="891"/>
        <w:jc w:val="left"/>
      </w:pPr>
      <w:r>
        <w:rPr/>
        <w:t>（4）我们取得管理层聘请的外部评估机构出具的对合并形成的商誉进行减值测试的资产评估报告；</w:t>
      </w:r>
    </w:p>
    <w:p>
      <w:pPr>
        <w:pStyle w:val="BodyText"/>
        <w:spacing w:line="240" w:lineRule="auto" w:before="116"/>
        <w:ind w:left="514" w:right="891"/>
        <w:jc w:val="left"/>
      </w:pPr>
      <w:r>
        <w:rPr/>
        <w:t>（5）我们检查未来现金流量净现值的计算是否准确。</w:t>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8410"/>
        <w:jc w:val="left"/>
      </w:pPr>
      <w:r>
        <w:rPr/>
        <w:t>（二）存货跌价准备计提 1、事项描述</w:t>
      </w:r>
    </w:p>
    <w:p>
      <w:pPr>
        <w:pStyle w:val="BodyText"/>
        <w:spacing w:line="319" w:lineRule="auto" w:before="28"/>
        <w:ind w:right="1128" w:firstLine="360"/>
        <w:jc w:val="both"/>
      </w:pPr>
      <w:r>
        <w:rPr>
          <w:spacing w:val="-2"/>
        </w:rPr>
        <w:t>截至2018年12月31日，常山北明合并财务报表中存货的账面余额为230,340.26万元，存货跌价准备账面余额为9,914.92</w:t>
      </w:r>
      <w:r>
        <w:rPr/>
        <w:t> 万元，相关信息披露详见财务报表附注五11、附注七5描述。管理层在预测中需要做出重大判断和假设，特别是对于未来售</w:t>
      </w:r>
      <w:r>
        <w:rPr>
          <w:spacing w:val="-83"/>
        </w:rPr>
        <w:t> </w:t>
      </w:r>
      <w:r>
        <w:rPr>
          <w:spacing w:val="-83"/>
        </w:rPr>
      </w:r>
      <w:r>
        <w:rPr>
          <w:spacing w:val="-2"/>
        </w:rPr>
        <w:t>价、销售费用以及相关税费等方面。由于存货账面价值较高，存货跌价准备计提对财务报表影响较为重大，且管理层需要做</w:t>
      </w:r>
      <w:r>
        <w:rPr>
          <w:spacing w:val="-66"/>
        </w:rPr>
        <w:t> </w:t>
      </w:r>
      <w:r>
        <w:rPr>
          <w:spacing w:val="-66"/>
        </w:rPr>
      </w:r>
      <w:r>
        <w:rPr/>
        <w:t>出重大判断，因此我们将存货跌价准备计提确定为关键审计事项。</w:t>
      </w:r>
    </w:p>
    <w:p>
      <w:pPr>
        <w:pStyle w:val="BodyText"/>
        <w:spacing w:line="357" w:lineRule="auto" w:before="56"/>
        <w:ind w:left="514" w:right="4090"/>
        <w:jc w:val="left"/>
      </w:pPr>
      <w:r>
        <w:rPr/>
        <w:t>2、审计应对 我们针对存货跌价准备计提相关的上述关键审计事项执行的主要审计程序如下：</w:t>
      </w:r>
    </w:p>
    <w:p>
      <w:pPr>
        <w:pStyle w:val="BodyText"/>
        <w:spacing w:line="240" w:lineRule="auto" w:before="29"/>
        <w:ind w:left="514" w:right="891"/>
        <w:jc w:val="left"/>
      </w:pPr>
      <w:r>
        <w:rPr/>
        <w:t>（1）对常山北明存货跌价准备相关的内部控制的设计与执行进行了评估；</w:t>
      </w:r>
    </w:p>
    <w:p>
      <w:pPr>
        <w:pStyle w:val="BodyText"/>
        <w:spacing w:line="240" w:lineRule="auto" w:before="116"/>
        <w:ind w:left="514" w:right="891"/>
        <w:jc w:val="left"/>
      </w:pPr>
      <w:r>
        <w:rPr/>
        <w:t>（2）对常山北明存货实施监盘，检查存货的数量、品质状况等；</w:t>
      </w:r>
    </w:p>
    <w:p>
      <w:pPr>
        <w:pStyle w:val="BodyText"/>
        <w:spacing w:line="319" w:lineRule="auto" w:before="115"/>
        <w:ind w:right="1128" w:firstLine="360"/>
        <w:jc w:val="both"/>
      </w:pPr>
      <w:r>
        <w:rPr/>
        <w:t>（3）获取常山北明存货跌价准备明细表，执行存货减值测试。检查是否按常山北明相关会计政策执行；通过与市场售 </w:t>
      </w:r>
      <w:r>
        <w:rPr>
          <w:spacing w:val="-2"/>
        </w:rPr>
        <w:t>价及企业审计年度售价比较，检查减值测试中的预计售价是否合理；通过与审计年度销售收入、销售费用、税金及附加的比</w:t>
      </w:r>
      <w:r>
        <w:rPr>
          <w:spacing w:val="-66"/>
        </w:rPr>
        <w:t> </w:t>
      </w:r>
      <w:r>
        <w:rPr>
          <w:spacing w:val="-66"/>
        </w:rPr>
      </w:r>
      <w:r>
        <w:rPr>
          <w:spacing w:val="-2"/>
        </w:rPr>
        <w:t>较，检查减值测试中的预计销售费用、税金及附加是否合理；检查以前年度计提的存货跌价本期的变化情况等，分析存货跌</w:t>
      </w:r>
      <w:r>
        <w:rPr>
          <w:spacing w:val="-66"/>
        </w:rPr>
        <w:t> </w:t>
      </w:r>
      <w:r>
        <w:rPr>
          <w:spacing w:val="-66"/>
        </w:rPr>
      </w:r>
      <w:r>
        <w:rPr/>
        <w:t>价准备计提是否充分。</w:t>
      </w:r>
    </w:p>
    <w:p>
      <w:pPr>
        <w:pStyle w:val="BodyText"/>
        <w:spacing w:line="357" w:lineRule="auto" w:before="58"/>
        <w:ind w:left="514" w:right="9130"/>
        <w:jc w:val="left"/>
      </w:pPr>
      <w:r>
        <w:rPr/>
        <w:t>（三）政府补助 1、事项描述</w:t>
      </w:r>
    </w:p>
    <w:p>
      <w:pPr>
        <w:pStyle w:val="BodyText"/>
        <w:spacing w:line="319" w:lineRule="auto" w:before="26"/>
        <w:ind w:right="1128" w:firstLine="360"/>
        <w:jc w:val="both"/>
      </w:pPr>
      <w:r>
        <w:rPr/>
        <w:t>根据政府补助准则的规定，常山北明2018年度计入其他收益、营业外收入、冲减成本费用的政府补助分别为29,871.49 万元、221.32万元、2.71万元，合计影响2018年度损益30,095.52万元，相关信息披露详见财务报表附注五25、附注七41、</w:t>
      </w:r>
      <w:r>
        <w:rPr>
          <w:spacing w:val="-84"/>
        </w:rPr>
        <w:t> </w:t>
      </w:r>
      <w:r>
        <w:rPr>
          <w:spacing w:val="-84"/>
        </w:rPr>
      </w:r>
      <w:r>
        <w:rPr/>
        <w:t>附注七44、附注七51描述。常山北明当年利润总额为27,539.24万元，通过政府补助计入当期损益金额对2018年度利润总额</w:t>
      </w:r>
      <w:r>
        <w:rPr>
          <w:spacing w:val="-85"/>
        </w:rPr>
        <w:t> </w:t>
      </w:r>
      <w:r>
        <w:rPr>
          <w:spacing w:val="-85"/>
        </w:rPr>
      </w:r>
      <w:r>
        <w:rPr/>
        <w:t>影响重大，因此我们将政府补助列为关键审计事项。</w:t>
      </w:r>
    </w:p>
    <w:p>
      <w:pPr>
        <w:pStyle w:val="BodyText"/>
        <w:spacing w:line="357" w:lineRule="auto" w:before="58"/>
        <w:ind w:left="514" w:right="4810"/>
        <w:jc w:val="left"/>
      </w:pPr>
      <w:r>
        <w:rPr/>
        <w:t>2、审计应对 我们针对政府补助相关的上述关键审计事项执行的主要审计程序如下：</w:t>
      </w:r>
    </w:p>
    <w:p>
      <w:pPr>
        <w:pStyle w:val="BodyText"/>
        <w:spacing w:line="240" w:lineRule="auto" w:before="28"/>
        <w:ind w:left="514" w:right="891"/>
        <w:jc w:val="left"/>
      </w:pPr>
      <w:r>
        <w:rPr/>
        <w:t>（1）对常山北明政府补助相关内部控制的设计和执行进行了评估；</w:t>
      </w:r>
    </w:p>
    <w:p>
      <w:pPr>
        <w:pStyle w:val="BodyText"/>
        <w:spacing w:line="319" w:lineRule="auto" w:before="116"/>
        <w:ind w:right="1128" w:firstLine="360"/>
        <w:jc w:val="both"/>
      </w:pPr>
      <w:r>
        <w:rPr/>
        <w:t>（2）检查政府拨款文件、收款凭证、银行回单等支持性文件，以评价政府补助的真实性以及是否记录于恰当的会计期 间；</w:t>
      </w:r>
    </w:p>
    <w:p>
      <w:pPr>
        <w:pStyle w:val="BodyText"/>
        <w:spacing w:line="240" w:lineRule="auto" w:before="56"/>
        <w:ind w:left="514" w:right="891"/>
        <w:jc w:val="left"/>
      </w:pPr>
      <w:r>
        <w:rPr/>
        <w:t>（3）分析补助款项的用途，判断政府补助与资产相关还是与收益相关；</w:t>
      </w:r>
    </w:p>
    <w:p>
      <w:pPr>
        <w:pStyle w:val="BodyText"/>
        <w:spacing w:line="319" w:lineRule="auto" w:before="115"/>
        <w:ind w:right="1128" w:firstLine="360"/>
        <w:jc w:val="both"/>
      </w:pPr>
      <w:r>
        <w:rPr/>
        <w:t>（4）复核常山北明计入递延收益、其他收益、营业外收入的政府补助明细表及摊销计算表，以确认本期结转收益的金 额是否正确。</w:t>
      </w:r>
    </w:p>
    <w:p>
      <w:pPr>
        <w:spacing w:before="58"/>
        <w:ind w:left="514" w:right="891" w:firstLine="0"/>
        <w:jc w:val="left"/>
        <w:rPr>
          <w:rFonts w:ascii="宋体" w:hAnsi="宋体" w:cs="宋体" w:eastAsia="宋体" w:hint="default"/>
          <w:sz w:val="18"/>
          <w:szCs w:val="18"/>
        </w:rPr>
      </w:pP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319" w:lineRule="auto" w:before="115"/>
        <w:ind w:right="1129" w:firstLine="360"/>
        <w:jc w:val="both"/>
      </w:pPr>
      <w:r>
        <w:rPr/>
        <w:t>常山北明管理层（以下简称管理层）对其他信息负责。其他信息包括常山北明</w:t>
      </w:r>
      <w:r>
        <w:rPr>
          <w:spacing w:val="-40"/>
        </w:rPr>
        <w:t> </w:t>
      </w:r>
      <w:r>
        <w:rPr/>
        <w:t>2018</w:t>
      </w:r>
      <w:r>
        <w:rPr>
          <w:spacing w:val="-40"/>
        </w:rPr>
        <w:t> </w:t>
      </w:r>
      <w:r>
        <w:rPr/>
        <w:t>年年度报告中涵盖的信息，但不包</w:t>
      </w:r>
      <w:r>
        <w:rPr/>
        <w:t> 括财务报表和我们的审计报告。</w:t>
      </w:r>
    </w:p>
    <w:p>
      <w:pPr>
        <w:pStyle w:val="BodyText"/>
        <w:spacing w:line="357" w:lineRule="auto" w:before="56"/>
        <w:ind w:left="514" w:right="891"/>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891"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891"/>
        <w:jc w:val="left"/>
      </w:pPr>
      <w:r>
        <w:rPr/>
        <w:t>报告。</w:t>
      </w:r>
    </w:p>
    <w:p>
      <w:pPr>
        <w:spacing w:line="357" w:lineRule="auto" w:before="116"/>
        <w:ind w:left="514" w:right="891"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57" w:lineRule="auto"/>
        <w:ind w:left="514" w:right="891" w:hanging="360"/>
        <w:jc w:val="left"/>
      </w:pPr>
      <w:r>
        <w:rPr/>
        <w:t>务报表不存在由于舞弊或错误导致的重大错报。 </w:t>
      </w:r>
      <w:r>
        <w:rPr>
          <w:spacing w:val="-2"/>
        </w:rPr>
        <w:t>在编制财务报表时，管理层负责评估常山北明的持续经营能力，披露与持续经营相关的事项（如适用），并运用持续经</w:t>
      </w:r>
    </w:p>
    <w:p>
      <w:pPr>
        <w:pStyle w:val="BodyText"/>
        <w:spacing w:line="225" w:lineRule="exact"/>
        <w:ind w:right="891"/>
        <w:jc w:val="left"/>
      </w:pPr>
      <w:r>
        <w:rPr/>
        <w:t>营假设，除非管理层计划清算常山北明、终止运营或别无其他现实的选择。</w:t>
      </w:r>
    </w:p>
    <w:p>
      <w:pPr>
        <w:spacing w:after="0" w:line="225" w:lineRule="exact"/>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spacing w:line="357" w:lineRule="auto" w:before="44"/>
        <w:ind w:left="514" w:right="6970" w:firstLine="0"/>
        <w:jc w:val="left"/>
        <w:rPr>
          <w:rFonts w:ascii="宋体" w:hAnsi="宋体" w:cs="宋体" w:eastAsia="宋体" w:hint="default"/>
          <w:sz w:val="18"/>
          <w:szCs w:val="18"/>
        </w:rPr>
      </w:pPr>
      <w:r>
        <w:rPr>
          <w:rFonts w:ascii="宋体" w:hAnsi="宋体" w:cs="宋体" w:eastAsia="宋体" w:hint="default"/>
          <w:sz w:val="18"/>
          <w:szCs w:val="18"/>
        </w:rPr>
        <w:t>治理层负责监督常山北明的财务报告过程。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28"/>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514" w:right="891"/>
        <w:jc w:val="left"/>
      </w:pPr>
      <w:r>
        <w:rPr/>
        <w:t>在按照审计准则执行审计工作的过程中，我们运用职业判断，并保持职业怀疑。 同时，我们也执行以下工作：</w:t>
      </w:r>
    </w:p>
    <w:p>
      <w:pPr>
        <w:pStyle w:val="BodyText"/>
        <w:spacing w:line="319" w:lineRule="auto" w:before="115"/>
        <w:ind w:right="1030" w:firstLine="360"/>
        <w:jc w:val="left"/>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8"/>
        <w:ind w:left="514" w:right="891"/>
        <w:jc w:val="left"/>
      </w:pPr>
      <w:r>
        <w:rPr/>
        <w:t>（2）了解与审计相关的内部控制，以设计恰当的审计程序。</w:t>
      </w:r>
    </w:p>
    <w:p>
      <w:pPr>
        <w:pStyle w:val="BodyText"/>
        <w:spacing w:line="240" w:lineRule="auto" w:before="116"/>
        <w:ind w:left="514" w:right="891"/>
        <w:jc w:val="left"/>
      </w:pPr>
      <w:r>
        <w:rPr/>
        <w:t>（3）评价管理层选用会计政策的恰当性和作出会计估计及相关披露的合理性。</w:t>
      </w:r>
    </w:p>
    <w:p>
      <w:pPr>
        <w:pStyle w:val="BodyText"/>
        <w:spacing w:line="319" w:lineRule="auto" w:before="115"/>
        <w:ind w:right="1128" w:firstLine="360"/>
        <w:jc w:val="both"/>
      </w:pPr>
      <w:r>
        <w:rPr/>
        <w:t>（4）对管理层使用持续经营假设的恰当性得出结论。同时，根据获取的审计证据，就可能导致对常山北明持续经营能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于截至审计报告日可获得的信息。然而，未来的事项或情况可能导致常山北明不能持续经营。</w:t>
      </w:r>
    </w:p>
    <w:p>
      <w:pPr>
        <w:pStyle w:val="BodyText"/>
        <w:spacing w:line="240" w:lineRule="auto" w:before="58"/>
        <w:ind w:left="514" w:right="891"/>
        <w:jc w:val="left"/>
      </w:pPr>
      <w:r>
        <w:rPr/>
        <w:t>（5）评价财务报表的总体列报、结构和内容（包括披露），并评价财务报表是否公允反映相关交易和事项。</w:t>
      </w:r>
    </w:p>
    <w:p>
      <w:pPr>
        <w:pStyle w:val="BodyText"/>
        <w:spacing w:line="319" w:lineRule="auto" w:before="115"/>
        <w:ind w:right="1129" w:firstLine="360"/>
        <w:jc w:val="both"/>
      </w:pPr>
      <w:r>
        <w:rPr>
          <w:spacing w:val="-2"/>
        </w:rPr>
        <w:t>（6）就常山北明中实体或业务活动的财务信息获取充分、适当的审计证据，以对财</w:t>
      </w:r>
      <w:r>
        <w:rPr>
          <w:spacing w:val="17"/>
        </w:rPr>
        <w:t> </w:t>
      </w:r>
      <w:r>
        <w:rPr>
          <w:spacing w:val="-2"/>
        </w:rPr>
        <w:t>务报表发表审计意见。我们负责指</w:t>
      </w:r>
      <w:r>
        <w:rPr/>
        <w:t> 导、监督和执行集团审计，并对审计意见承担全部责任。</w:t>
      </w:r>
    </w:p>
    <w:p>
      <w:pPr>
        <w:pStyle w:val="BodyText"/>
        <w:spacing w:line="319" w:lineRule="auto" w:before="55"/>
        <w:ind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6"/>
        <w:ind w:right="1131" w:firstLine="360"/>
        <w:jc w:val="both"/>
      </w:pPr>
      <w:r>
        <w:rPr>
          <w:spacing w:val="-2"/>
        </w:rPr>
        <w:t>我们还就遵守与独立性相关的职业道德要求向治理层提供声明，并与治理层沟通可能被合理认为影响我们独立性的所有</w:t>
      </w:r>
      <w:r>
        <w:rPr/>
        <w:t> 关系和其他事项，以及相关的防范措施（如适用）。</w:t>
      </w:r>
    </w:p>
    <w:p>
      <w:pPr>
        <w:pStyle w:val="BodyText"/>
        <w:spacing w:line="319" w:lineRule="auto" w:before="55"/>
        <w:ind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tabs>
          <w:tab w:pos="6003" w:val="left" w:leader="none"/>
        </w:tabs>
        <w:spacing w:line="240" w:lineRule="auto"/>
        <w:ind w:left="514" w:right="891"/>
        <w:jc w:val="left"/>
      </w:pPr>
      <w:r>
        <w:rPr/>
        <w:t>中兴财光华会计师事务所</w:t>
        <w:tab/>
        <w:t>中国注册会计师：王飞</w:t>
      </w:r>
    </w:p>
    <w:p>
      <w:pPr>
        <w:pStyle w:val="BodyText"/>
        <w:tabs>
          <w:tab w:pos="6183" w:val="left" w:leader="none"/>
        </w:tabs>
        <w:spacing w:line="240" w:lineRule="auto" w:before="116"/>
        <w:ind w:left="514" w:right="891"/>
        <w:jc w:val="left"/>
      </w:pPr>
      <w:r>
        <w:rPr/>
        <w:t>（特殊普通合伙）</w:t>
        <w:tab/>
        <w:t>（项目合伙人）</w:t>
      </w:r>
    </w:p>
    <w:p>
      <w:pPr>
        <w:pStyle w:val="BodyText"/>
        <w:spacing w:line="240" w:lineRule="auto" w:before="116"/>
        <w:ind w:left="6064" w:right="891"/>
        <w:jc w:val="left"/>
      </w:pPr>
      <w:r>
        <w:rPr/>
        <w:t>中国注册会计师：王凤岐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tabs>
          <w:tab w:pos="5459" w:val="left" w:leader="none"/>
        </w:tabs>
        <w:spacing w:line="240" w:lineRule="auto"/>
        <w:ind w:left="0" w:right="2544"/>
        <w:jc w:val="center"/>
      </w:pPr>
      <w:r>
        <w:rPr>
          <w:spacing w:val="-1"/>
        </w:rPr>
        <w:t>中国</w:t>
      </w:r>
      <w:r>
        <w:rPr>
          <w:rFonts w:ascii="Times New Roman" w:hAnsi="Times New Roman" w:cs="Times New Roman" w:eastAsia="Times New Roman" w:hint="default"/>
          <w:spacing w:val="-1"/>
        </w:rPr>
        <w:t>•</w:t>
      </w:r>
      <w:r>
        <w:rPr>
          <w:spacing w:val="-1"/>
        </w:rPr>
        <w:t>北京</w:t>
        <w:tab/>
      </w:r>
      <w:r>
        <w:rPr/>
        <w:t>2019年4月28日</w:t>
      </w:r>
    </w:p>
    <w:p>
      <w:pPr>
        <w:spacing w:after="0" w:line="240" w:lineRule="auto"/>
        <w:jc w:val="center"/>
        <w:sectPr>
          <w:pgSz w:w="11910" w:h="16840"/>
          <w:pgMar w:header="747" w:footer="941" w:top="1060" w:bottom="114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91"/>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91"/>
        <w:jc w:val="left"/>
      </w:pPr>
      <w:r>
        <w:rPr/>
        <w:t>编制单位：石家庄常山北明科技股份有限公司</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77"/>
        <w:gridCol w:w="2578"/>
        <w:gridCol w:w="2474"/>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2,017,099,006.92</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1,522,019,165.99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2,739,477,499.57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2,662,662,296.88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219,857,833.38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339,593,872.54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2,519,619,666.19</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2,323,068,424.34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1,255,956,527.38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1,231,194,830.55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177,798,512.65</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202,417,433.33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2,204,253,459.52</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1,902,596,426.33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74,288,269.55</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43,017,117.56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8,468,873,275.59</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7,563,907,270.64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30,392,173.20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2,811,408.56</w:t>
            </w:r>
          </w:p>
        </w:tc>
        <w:tc>
          <w:tcPr>
            <w:tcW w:w="24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578"/>
        <w:gridCol w:w="2474"/>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26,501,436.31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18,505,505.64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157,014,698.61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161,885,841.69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2,227,945,503.31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1,620,033,422.94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583,884,575.89</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750,119,869.85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332,273,424.56</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245,242,365.63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94,108,890.38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109,653,285.10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2,128,660,219.57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2,150,159,339.72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25,996,921.57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19,356,911.77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64,345,636.18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119,824,420.08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5,673,871,744.28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5,225,307,236.83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14,142,745,019.87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12,789,214,507.47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2,861,501,687.06</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2,421,139,085.99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2,559,560,953.65</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1,734,120,613.79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375,989,591.47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310,370,614.89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15,176,196.83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14,073,753.49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168,332,546.05</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144,083,808.39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276,107,083.30</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383,894,697.45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5,642,118.74</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2,766,145.70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29,968,422.13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78"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82"/>
        <w:gridCol w:w="2474"/>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164,019,901.11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793,655,218.58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6,420,687,959.47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5,801,337,792.58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1,175,000,000.00</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668,002,727.00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167,214,716.54</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38,433,048.09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283,031,909.46</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262,934,708.45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4,380,563.48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5,915,299.33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1,629,627,189.48</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975,285,782.87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8,050,315,148.95</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6,776,623,575.45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1,652,874,961.00</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1,652,874,961.00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2,897,090,367.86</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2,897,090,367.86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26,954,164.03</w:t>
            </w: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246,855,939.63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235,290,682.29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82" w:type="dxa"/>
            <w:tcBorders>
              <w:top w:val="single" w:sz="4" w:space="0" w:color="000000"/>
              <w:left w:val="single" w:sz="10" w:space="0" w:color="D3D3D3"/>
              <w:bottom w:val="single" w:sz="4" w:space="0" w:color="000000"/>
              <w:right w:val="single" w:sz="4" w:space="0" w:color="000000"/>
            </w:tcBorders>
          </w:tcPr>
          <w:p>
            <w:pPr/>
          </w:p>
        </w:tc>
        <w:tc>
          <w:tcPr>
            <w:tcW w:w="24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1,314,594,063.13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1,222,830,477.61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6,084,461,167.59</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6,008,086,488.76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7,968,703.33</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4,504,443.26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6,092,429,870.92</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6,012,590,932.02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14,142,745,019.87</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12,789,214,507.47</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891"/>
        <w:jc w:val="left"/>
      </w:pPr>
      <w:r>
        <w:rPr/>
        <w:t>法定代表人：肖荣智</w:t>
        <w:tab/>
        <w:t>主管会计工作负责人：曹金霞</w:t>
        <w:tab/>
        <w:t>会计机构负责人：曹金霞</w:t>
      </w:r>
    </w:p>
    <w:p>
      <w:pPr>
        <w:spacing w:after="0" w:line="240"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20"/>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698,470,968.97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795,546,194.79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280,774,636.46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309,236,046.03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54,668,124.21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6,199,000.00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226,106,512.25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303,037,046.03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1,199,724,650.13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1,143,208,307.77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5,570,513.83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424,520,774.48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695,683,675.20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682,809,220.57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52,821,261.75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22,354,095.89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2,933,045,706.34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3,377,674,639.53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28,654,928.13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28,852,173.20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3,234,907,550.82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3,158,137,788.00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1,639,220,455.52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1,027,833,942.55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580,160,467.01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718,381,294.28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138,136,780.39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141,549,668.11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35,889,047.33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95,241,068.02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20"/>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5,813,983,927.81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5,331,881,775.85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8,709,556,415.38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1,361,700,000.00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503,065,941.15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295,338,676.53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50,852,605.73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65,072,540.68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4,636,848.87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5,587,479.28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4,668,203.16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8,321,024.09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178,136,177.95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209,977,031.59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181,250.00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51,359,378.38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673,830,889.42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2,480,419,155.24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2,619,827,641.59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568,002,727.00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97,205,613.70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240,029,405.34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219,854,390.48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997,235,019.04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787,857,117.48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3,477,654,174.28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3,407,684,759.07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5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2,884,526,399.32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2,884,526,399.32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240,612,986.37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229,047,729.03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518,315,277.21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535,422,566.96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5,269,375,459.87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5,301,871,656.31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8,709,556,415.38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9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9,656,109,155.27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11,254,467,684.79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9,656,109,155.27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11,254,467,684.79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9,736,832,016.52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11,535,997,696.30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8,764,152,039.41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10,437,891,538.37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56,916,127.44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51,520,071.84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227,904,951.31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212,029,475.95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292,797,506.34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276,023,417.02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46,048,176.15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62,287,701.89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260,725,175.13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221,506,407.02</w:t>
            </w:r>
          </w:p>
        </w:tc>
      </w:tr>
      <w:tr>
        <w:trPr>
          <w:trHeight w:val="401"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211,564,568.56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193,780,731.44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040"/>
        <w:gridCol w:w="2340"/>
        <w:gridCol w:w="2160"/>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7,099,070.57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6,434,241.55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88,288,040.74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274,739,084.21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298,754,692.00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613,742,690.82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2,026,262.66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16,811,307.58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-8,806.14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-801,983.95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-4,186,397.14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-24,159,652.59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215,871,696.27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324,864,334.30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63,628,938.32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23,984,615.01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4,108,267.70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1,375,068.91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275,392,366.89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347,473,880.40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92,456,515.91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-7,563,998.04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355,037,878.44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355,037,878.44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185,972,590.91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355,095,034.93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-3,036,739.93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-57,156.49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345,053,298.58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185,972,590.91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345,110,455.07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-3,036,739.93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-57,156.49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1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w w:val="95"/>
                <w:sz w:val="18"/>
              </w:rPr>
              <w:t>0.11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1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w w:val="95"/>
                <w:sz w:val="18"/>
              </w:rPr>
              <w:t>0.11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bl>
    <w:p>
      <w:pPr>
        <w:pStyle w:val="BodyText"/>
        <w:tabs>
          <w:tab w:pos="3573" w:val="left" w:leader="none"/>
          <w:tab w:pos="7713" w:val="left" w:leader="none"/>
        </w:tabs>
        <w:spacing w:line="624" w:lineRule="auto" w:before="51"/>
        <w:ind w:left="153" w:right="1228"/>
        <w:jc w:val="left"/>
      </w:pPr>
      <w:r>
        <w:rPr/>
        <w:t>本期发生同一控制下企业合并的，被合并方在合并前实现的净利润为：元，上期被合并方实现的净利润为：元。 法定代表人：肖荣智</w:t>
        <w:tab/>
        <w:t>主管会计工作负责人：曹金霞</w:t>
        <w:tab/>
        <w:t>会计机构负责人：曹金霞</w:t>
      </w:r>
    </w:p>
    <w:p>
      <w:pPr>
        <w:pStyle w:val="Heading3"/>
        <w:spacing w:line="240" w:lineRule="auto" w:before="63"/>
        <w:ind w:right="891"/>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4,201,182,168.10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5,920,565,468.80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4,182,690,985.97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5,963,035,668.82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34,665,460.53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33,571,720.34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10,280,206.54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9,998,284.48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90,377,735.44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132,507,075.09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134,134,564.05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131,029,124.53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119,968,031.00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116,384,680.02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4,629,779.19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4,272,942.06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24,144,691.21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213,644,968.51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284,502,062.14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603,512,445.37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131,381,894.81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17,363,510.68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-653,173.99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-637,300.58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-3,961,079.23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-23,983,353.15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136,811,402.08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33,671,229.93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278,917.98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238,122.36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636,583.73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136,453,736.33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33,789,352.29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59,352,020.69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-35,056,456.91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77,101,715.64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68,845,809.20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73"/>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77,101,715.64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68,845,809.20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73"/>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275" w:right="0"/>
              <w:jc w:val="left"/>
              <w:rPr>
                <w:rFonts w:ascii="Times New Roman" w:hAnsi="Times New Roman" w:cs="Times New Roman" w:eastAsia="Times New Roman" w:hint="default"/>
                <w:sz w:val="18"/>
                <w:szCs w:val="18"/>
              </w:rPr>
            </w:pPr>
            <w:r>
              <w:rPr>
                <w:rFonts w:ascii="Times New Roman"/>
                <w:sz w:val="18"/>
              </w:rPr>
              <w:t>77,101,715.64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58,861,229.34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1"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10,840,651,354.69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11,797,603,112.88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16,768,529.10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16,125,653.15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322,788,931.41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564,551,993.68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11,180,208,815.20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12,378,280,759.71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9,354,494,079.42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11,086,916,627.09</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473,739,330.40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480,618,318.05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205,580,738.60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192,934,171.49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278,684,332.17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235,023,449.16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10,312,498,480.59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11,995,492,565.79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867,710,334.61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382,788,193.92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23,143,236.94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2,035,068.80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4,124,352.15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9,356,640.76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16,852,038.00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11,391,709.56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44,119,627.09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438,320,168.56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245,591,389.36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49,607,000.00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65,062,000.00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495,927,168.56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314,653,389.36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-484,535,459.00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-270,533,762.27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4,049,319,687.06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3,493,651,085.99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4,327,620,687.06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3,497,651,085.99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3,716,189,812.99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3,788,080,130.63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285,635,709.44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262,451,692.98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173,856,006.78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150,929,305.50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80"/>
        <w:gridCol w:w="1980"/>
        <w:gridCol w:w="1980"/>
      </w:tblGrid>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4,175,681,529.21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4,201,461,129.11</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151,939,157.85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-703,810,043.12</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274,784.68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-103,797.86</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535,388,818.14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-591,659,409.33</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1,258,554,529.02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1,850,213,938.35</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1,793,943,347.16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1,258,554,529.02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9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1"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4,447,991,089.51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6,739,543,376.38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347,727,891.20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504,560,404.42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4,795,718,980.71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7,244,103,780.80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4,372,931,264.74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6,538,941,005.03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163,633,582.52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210,734,565.04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59,994,223.42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52,304,954.57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19,420,696.67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50,418,103.18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4,615,979,767.35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6,852,398,627.82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179,739,213.36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391,705,152.98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19,901,560.04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2,035,068.80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4,124,352.15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9,278,708.00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16,768,188.00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11,313,776.80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40,794,100.19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292,759,178.18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127,018,691.15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77,418,200.00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195,511,680.28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370,177,378.18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322,530,371.43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-358,863,601.38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-281,736,271.24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2,147,700,000.00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623,814,942.35</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2,771,514,942.35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2,303,932,727.00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2,325,439,091.00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204,152,249.82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189,901,107.82</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133,716,664.03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108,312,500.00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2,641,801,640.85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2,623,652,698.82</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129,713,301.50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-580,452,698.82</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-49,411,086.52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-470,483,817.08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702,266,595.89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1,172,750,412.97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652,855,509.37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702,266,595.89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t>本期金额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0"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4"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4"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874,96</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1.00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90,367.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235,290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,682.29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30,477.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4,504,4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43.26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90,932.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02</w:t>
            </w:r>
          </w:p>
        </w:tc>
      </w:tr>
      <w:tr>
        <w:trPr>
          <w:trHeight w:val="393"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6"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104"/>
              <w:ind w:left="29" w:right="0"/>
              <w:jc w:val="left"/>
              <w:rPr>
                <w:rFonts w:ascii="Times New Roman" w:hAnsi="Times New Roman" w:cs="Times New Roman" w:eastAsia="Times New Roman" w:hint="default"/>
                <w:sz w:val="18"/>
                <w:szCs w:val="18"/>
              </w:rPr>
            </w:pPr>
            <w:r>
              <w:rPr>
                <w:rFonts w:ascii="Times New Roman"/>
                <w:sz w:val="18"/>
              </w:rPr>
              <w:t>874,96</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2,897,0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90,367.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235,290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,682.29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1,222,8</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30,477.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4,504,4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43.26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6,012,5</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90,932.</w:t>
            </w:r>
          </w:p>
        </w:tc>
      </w:tr>
      <w:tr>
        <w:trPr>
          <w:trHeight w:val="393"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0"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8.820007pt;margin-top:105.599998pt;width:26.55pt;height:20.8pt;mso-position-horizontal-relative:page;mso-position-vertical-relative:page;z-index:-1219960" coordorigin="2576,2112" coordsize="531,416">
            <v:group style="position:absolute;left:2588;top:2124;width:2;height:392" coordorigin="2588,2124" coordsize="2,392">
              <v:shape style="position:absolute;left:2588;top:2124;width:2;height:392" coordorigin="2588,2124" coordsize="0,392" path="m2588,2124l2588,2516e" filled="false" stroked="true" strokeweight="1.2pt" strokecolor="#ffffff">
                <v:path arrowok="t"/>
              </v:shape>
            </v:group>
            <v:group style="position:absolute;left:2600;top:2124;width:507;height:392" coordorigin="2600,2124" coordsize="507,392">
              <v:shape style="position:absolute;left:2600;top:2124;width:507;height:392" coordorigin="2600,2124" coordsize="507,392" path="m2600,2515l3107,2515,3107,2124,2600,2124,2600,25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11,565,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257.34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91,763,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585.52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3,464,2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60.07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79,838,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938.90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185,972</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,590.91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-3,036,7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39.93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182,935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,850.98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-20,453,</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164.03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164.03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11,565,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257.34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-94,209,</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005.39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748.05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11,565,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257.34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-11,565,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257.34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748.05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748.05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9.960007pt;margin-top:565.200012pt;width:25.35pt;height:15.6pt;mso-position-horizontal-relative:page;mso-position-vertical-relative:page;z-index:-1219936" coordorigin="2599,11304" coordsize="507,312">
            <v:shape style="position:absolute;left:2599;top:11304;width:507;height:312" coordorigin="2599,11304" coordsize="507,312" path="m2599,11616l3106,11616,3106,11304,2599,11304,2599,1161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874,96</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90,367.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246,855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,939.63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1,314,5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94,063.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7,968,7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03.33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6,092,4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29,870.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92</w:t>
            </w:r>
          </w:p>
        </w:tc>
      </w:tr>
    </w:tbl>
    <w:p>
      <w:pPr>
        <w:pStyle w:val="BodyText"/>
        <w:spacing w:line="240" w:lineRule="auto" w:before="51"/>
        <w:ind w:right="891"/>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21"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7"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21"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99"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8"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3"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3"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83"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224,963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,810.91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954,348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,850.74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4,561,5</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99.75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83"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224,963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,810.91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954,348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,850.74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4,561,5</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99.75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319" w:lineRule="auto" w:before="51"/>
              <w:ind w:left="11"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65"/>
              <w:ind w:left="-147"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2,683.</w:t>
            </w:r>
          </w:p>
          <w:p>
            <w:pPr>
              <w:pStyle w:val="TableParagraph"/>
              <w:spacing w:line="240" w:lineRule="auto" w:before="104"/>
              <w:ind w:left="32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871.38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268,481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,626.87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-57,156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268,766</w:t>
            </w:r>
          </w:p>
          <w:p>
            <w:pPr>
              <w:pStyle w:val="TableParagraph"/>
              <w:spacing w:line="240" w:lineRule="auto" w:before="106"/>
              <w:ind w:left="84" w:right="0"/>
              <w:jc w:val="left"/>
              <w:rPr>
                <w:rFonts w:ascii="Times New Roman" w:hAnsi="Times New Roman" w:cs="Times New Roman" w:eastAsia="Times New Roman" w:hint="default"/>
                <w:sz w:val="18"/>
                <w:szCs w:val="18"/>
              </w:rPr>
            </w:pPr>
            <w:r>
              <w:rPr>
                <w:rFonts w:ascii="Times New Roman"/>
                <w:sz w:val="18"/>
              </w:rPr>
              <w:t>,761.90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355,095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,034.93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-57,156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345,053</w:t>
            </w:r>
          </w:p>
          <w:p>
            <w:pPr>
              <w:pStyle w:val="TableParagraph"/>
              <w:spacing w:line="240" w:lineRule="auto" w:before="106"/>
              <w:ind w:left="84" w:right="0"/>
              <w:jc w:val="left"/>
              <w:rPr>
                <w:rFonts w:ascii="Times New Roman" w:hAnsi="Times New Roman" w:cs="Times New Roman" w:eastAsia="Times New Roman" w:hint="default"/>
                <w:sz w:val="18"/>
                <w:szCs w:val="18"/>
              </w:rPr>
            </w:pPr>
            <w:r>
              <w:rPr>
                <w:rFonts w:ascii="Times New Roman"/>
                <w:sz w:val="18"/>
              </w:rPr>
              <w:t>,298.58</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4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871.38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-86,613,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408.06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536.68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871.38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871.38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536.68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536.68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2,683.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2,683.0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2,683.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2,683.0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874,96</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90,367.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235,290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30,477.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4,504,4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43.26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90,932.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
        <w:rPr>
          <w:rFonts w:ascii="Times New Roman" w:hAnsi="Times New Roman" w:cs="Times New Roman" w:eastAsia="Times New Roman" w:hint="default"/>
          <w:sz w:val="28"/>
          <w:szCs w:val="28"/>
        </w:rPr>
      </w:pPr>
      <w:r>
        <w:rPr/>
        <w:pict>
          <v:group style="position:absolute;margin-left:129pt;margin-top:376.630005pt;width:32.9pt;height:20.65pt;mso-position-horizontal-relative:page;mso-position-vertical-relative:page;z-index:-1219912" coordorigin="2580,7533" coordsize="658,413">
            <v:group style="position:absolute;left:2591;top:7544;width:2;height:390" coordorigin="2591,7544" coordsize="2,390">
              <v:shape style="position:absolute;left:2591;top:7544;width:2;height:390" coordorigin="2591,7544" coordsize="0,390" path="m2591,7544l2591,7934e" filled="false" stroked="true" strokeweight="1.140pt" strokecolor="#ffffff">
                <v:path arrowok="t"/>
              </v:shape>
            </v:group>
            <v:group style="position:absolute;left:2603;top:7543;width:635;height:392" coordorigin="2603,7543" coordsize="635,392">
              <v:shape style="position:absolute;left:2603;top:7543;width:635;height:392" coordorigin="2603,7543" coordsize="635,392" path="m2603,7934l3238,7934,3238,7543,2603,7543,2603,7934xe" filled="true" fillcolor="#ffffff" stroked="false">
                <v:path arrowok="t"/>
                <v:fill type="solid"/>
              </v:shape>
            </v:group>
            <w10:wrap type="none"/>
          </v:group>
        </w:pict>
      </w:r>
    </w:p>
    <w:p>
      <w:pPr>
        <w:pStyle w:val="Heading3"/>
        <w:spacing w:line="240" w:lineRule="auto" w:before="35"/>
        <w:ind w:right="891"/>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91"/>
        <w:jc w:val="left"/>
      </w:pPr>
      <w:r>
        <w:rPr/>
        <w:t>本期金额</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1"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5"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2"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4,961.00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,399.32</w:t>
            </w:r>
          </w:p>
        </w:tc>
        <w:tc>
          <w:tcPr>
            <w:tcW w:w="798" w:type="dxa"/>
            <w:vMerge w:val="restart"/>
            <w:tcBorders>
              <w:top w:val="single" w:sz="21" w:space="0" w:color="D3D3D3"/>
              <w:left w:val="single" w:sz="4" w:space="0" w:color="000000"/>
              <w:right w:val="single" w:sz="4" w:space="0" w:color="000000"/>
            </w:tcBorders>
          </w:tcPr>
          <w:p>
            <w:pPr/>
          </w:p>
        </w:tc>
        <w:tc>
          <w:tcPr>
            <w:tcW w:w="798" w:type="dxa"/>
            <w:vMerge w:val="restart"/>
            <w:tcBorders>
              <w:top w:val="single" w:sz="21"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229,047,7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29.03</w:t>
            </w:r>
          </w:p>
        </w:tc>
        <w:tc>
          <w:tcPr>
            <w:tcW w:w="676" w:type="dxa"/>
            <w:vMerge w:val="restart"/>
            <w:tcBorders>
              <w:top w:val="single" w:sz="21" w:space="0" w:color="D3D3D3"/>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535,422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,566.96</w:t>
            </w:r>
          </w:p>
        </w:tc>
        <w:tc>
          <w:tcPr>
            <w:tcW w:w="781" w:type="dxa"/>
            <w:vMerge w:val="restart"/>
            <w:tcBorders>
              <w:top w:val="single" w:sz="21" w:space="0" w:color="D3D3D3"/>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5,301,871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,656.31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4,961.00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,399.32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229,047,7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29.03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535,422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,566.96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5,301,871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,656.31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70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11,565,25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-17,107,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289.75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-32,496,1</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96.44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77,101,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715.64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77,101,71</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5.64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64.03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64.03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11,565,25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-94,209,</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005.39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-82,643,7</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48.05</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11,565,25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-11,565,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257.34</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748.05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-82,643,7</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48.05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r>
        <w:rPr/>
        <w:pict>
          <v:group style="position:absolute;margin-left:129pt;margin-top:670.929993pt;width:32.9pt;height:36.35pt;mso-position-horizontal-relative:page;mso-position-vertical-relative:page;z-index:-1219888" coordorigin="2580,13419" coordsize="658,727">
            <v:group style="position:absolute;left:2591;top:13430;width:2;height:704" coordorigin="2591,13430" coordsize="2,704">
              <v:shape style="position:absolute;left:2591;top:13430;width:2;height:704" coordorigin="2591,13430" coordsize="0,704" path="m2591,13430l2591,14134e" filled="false" stroked="true" strokeweight="1.140pt" strokecolor="#ffffff">
                <v:path arrowok="t"/>
              </v:shape>
            </v:group>
            <v:group style="position:absolute;left:2603;top:13429;width:635;height:353" coordorigin="2603,13429" coordsize="635,353">
              <v:shape style="position:absolute;left:2603;top:13429;width:635;height:353" coordorigin="2603,13429" coordsize="635,353" path="m2603,13782l3238,13782,3238,13429,2603,13429,2603,13782xe" filled="true" fillcolor="#ffffff" stroked="false">
                <v:path arrowok="t"/>
                <v:fill type="solid"/>
              </v:shape>
            </v:group>
            <v:group style="position:absolute;left:2603;top:13782;width:635;height:352" coordorigin="2603,13782" coordsize="635,352">
              <v:shape style="position:absolute;left:2603;top:13782;width:635;height:352" coordorigin="2603,13782" coordsize="635,352" path="m2603,14134l3238,14134,3238,13782,2603,13782,2603,1413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4,961.00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,399.32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240,612,9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86.37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518,315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,277.21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5,269,375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,459.87</w:t>
            </w:r>
          </w:p>
        </w:tc>
      </w:tr>
    </w:tbl>
    <w:p>
      <w:pPr>
        <w:pStyle w:val="BodyText"/>
        <w:spacing w:line="240" w:lineRule="auto" w:before="51"/>
        <w:ind w:right="891"/>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6"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1"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6"/>
              <w:ind w:left="31" w:right="0"/>
              <w:jc w:val="left"/>
              <w:rPr>
                <w:rFonts w:ascii="Times New Roman" w:hAnsi="Times New Roman" w:cs="Times New Roman" w:eastAsia="Times New Roman" w:hint="default"/>
                <w:sz w:val="18"/>
                <w:szCs w:val="18"/>
              </w:rPr>
            </w:pPr>
            <w:r>
              <w:rPr>
                <w:rFonts w:ascii="Times New Roman"/>
                <w:sz w:val="18"/>
              </w:rPr>
              <w:t>2,278.00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vMerge w:val="restart"/>
            <w:tcBorders>
              <w:top w:val="single" w:sz="20" w:space="0" w:color="D3D3D3"/>
              <w:left w:val="single" w:sz="4" w:space="0" w:color="000000"/>
              <w:right w:val="single" w:sz="4" w:space="0" w:color="000000"/>
            </w:tcBorders>
          </w:tcPr>
          <w:p>
            <w:pPr/>
          </w:p>
        </w:tc>
        <w:tc>
          <w:tcPr>
            <w:tcW w:w="798" w:type="dxa"/>
            <w:vMerge w:val="restart"/>
            <w:tcBorders>
              <w:top w:val="single" w:sz="20" w:space="0" w:color="D3D3D3"/>
              <w:left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8"/>
                <w:szCs w:val="18"/>
              </w:rPr>
            </w:pPr>
            <w:r>
              <w:rPr>
                <w:rFonts w:ascii="Times New Roman"/>
                <w:sz w:val="18"/>
              </w:rPr>
              <w:t>9,984,579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218,720,8</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57.65</w:t>
            </w:r>
          </w:p>
        </w:tc>
        <w:tc>
          <w:tcPr>
            <w:tcW w:w="676" w:type="dxa"/>
            <w:vMerge w:val="restart"/>
            <w:tcBorders>
              <w:top w:val="single" w:sz="20" w:space="0" w:color="D3D3D3"/>
              <w:left w:val="single" w:sz="4" w:space="0" w:color="000000"/>
              <w:right w:val="single" w:sz="4" w:space="0" w:color="000000"/>
            </w:tcBorders>
          </w:tcPr>
          <w:p>
            <w:pPr>
              <w:pStyle w:val="TableParagraph"/>
              <w:spacing w:line="240" w:lineRule="auto" w:before="71"/>
              <w:ind w:left="58" w:right="0"/>
              <w:jc w:val="left"/>
              <w:rPr>
                <w:rFonts w:ascii="Times New Roman" w:hAnsi="Times New Roman" w:cs="Times New Roman" w:eastAsia="Times New Roman" w:hint="default"/>
                <w:sz w:val="18"/>
                <w:szCs w:val="18"/>
              </w:rPr>
            </w:pPr>
            <w:r>
              <w:rPr>
                <w:rFonts w:ascii="Times New Roman"/>
                <w:sz w:val="18"/>
              </w:rPr>
              <w:t>553,190</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,165.82</w:t>
            </w:r>
          </w:p>
        </w:tc>
        <w:tc>
          <w:tcPr>
            <w:tcW w:w="781" w:type="dxa"/>
            <w:vMerge w:val="restart"/>
            <w:tcBorders>
              <w:top w:val="single" w:sz="20" w:space="0" w:color="D3D3D3"/>
              <w:left w:val="single" w:sz="4" w:space="0" w:color="000000"/>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5,319,296</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,963.65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6"/>
              <w:ind w:left="31" w:right="0"/>
              <w:jc w:val="left"/>
              <w:rPr>
                <w:rFonts w:ascii="Times New Roman" w:hAnsi="Times New Roman" w:cs="Times New Roman" w:eastAsia="Times New Roman" w:hint="default"/>
                <w:sz w:val="18"/>
                <w:szCs w:val="18"/>
              </w:rPr>
            </w:pPr>
            <w:r>
              <w:rPr>
                <w:rFonts w:ascii="Times New Roman"/>
                <w:sz w:val="18"/>
              </w:rPr>
              <w:t>2,278.00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9,984,579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218,720,8</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57.65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553,190</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,165.82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5,319,296</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,963.65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70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8"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171"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42"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-9,984,57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10,326,87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1.38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-17,767,</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598.86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-17,425,3</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07.34</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-9,984,57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68,845,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809.20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58,861,22</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9.34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10,326,87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-86,613,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408.06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-76,286,5</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36.68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10,326,87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871.38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536.68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-76,286,5</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36.68</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4,961.00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,399.32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229,047,7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29.03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535,422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,566.96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5,301,871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,656.31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pStyle w:val="Heading2"/>
        <w:spacing w:line="240" w:lineRule="auto" w:before="26"/>
        <w:ind w:right="891"/>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128" w:firstLine="290"/>
        <w:jc w:val="both"/>
      </w:pPr>
      <w:r>
        <w:rPr/>
        <w:t>石家庄常山北明科技股份有限公司（以下简称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）系经河北省人民政府股份制领导小组办公室</w:t>
      </w:r>
      <w:r>
        <w:rPr>
          <w:rFonts w:ascii="Times New Roman" w:hAnsi="Times New Roman" w:cs="Times New Roman" w:eastAsia="Times New Roman" w:hint="default"/>
        </w:rPr>
        <w:t>“</w:t>
      </w:r>
      <w:r>
        <w:rPr/>
        <w:t>冀股办 </w:t>
      </w:r>
      <w:r>
        <w:rPr>
          <w:rFonts w:ascii="Times New Roman" w:hAnsi="Times New Roman" w:cs="Times New Roman" w:eastAsia="Times New Roman" w:hint="default"/>
        </w:rPr>
        <w:t>[1998]64</w:t>
      </w:r>
      <w:r>
        <w:rPr/>
        <w:t>号</w:t>
      </w:r>
      <w:r>
        <w:rPr>
          <w:rFonts w:ascii="Times New Roman" w:hAnsi="Times New Roman" w:cs="Times New Roman" w:eastAsia="Times New Roman" w:hint="default"/>
        </w:rPr>
        <w:t>”</w:t>
      </w:r>
      <w:r>
        <w:rPr/>
        <w:t>文件批准，由石家庄常山纺织集团有限责任公司作为主发起人，联合河北省宏远国际经贸集团公司、河北华鑫</w:t>
      </w:r>
      <w:r>
        <w:rPr>
          <w:spacing w:val="-26"/>
        </w:rPr>
        <w:t> </w:t>
      </w:r>
      <w:r>
        <w:rPr>
          <w:spacing w:val="-26"/>
        </w:rPr>
      </w:r>
      <w:r>
        <w:rPr>
          <w:spacing w:val="-5"/>
        </w:rPr>
        <w:t>集团公司、河北宁纺集团有限责任公司和石家庄市星球服装鞋帽联合（集团）公司共同发起设立的股份有限公司。公司于</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日在河北省工商行政管理局注册登记正式成立，注册资本</w:t>
      </w:r>
      <w:r>
        <w:rPr>
          <w:rFonts w:ascii="Times New Roman" w:hAnsi="Times New Roman" w:cs="Times New Roman" w:eastAsia="Times New Roman" w:hint="default"/>
        </w:rPr>
        <w:t>3</w:t>
      </w:r>
      <w:r>
        <w:rPr/>
        <w:t>亿元。</w:t>
      </w:r>
    </w:p>
    <w:p>
      <w:pPr>
        <w:spacing w:line="240" w:lineRule="auto" w:before="7"/>
        <w:rPr>
          <w:rFonts w:ascii="宋体" w:hAnsi="宋体" w:cs="宋体" w:eastAsia="宋体" w:hint="default"/>
          <w:sz w:val="17"/>
          <w:szCs w:val="17"/>
        </w:rPr>
      </w:pPr>
    </w:p>
    <w:p>
      <w:pPr>
        <w:pStyle w:val="BodyText"/>
        <w:spacing w:line="300" w:lineRule="auto"/>
        <w:ind w:right="1041" w:firstLine="290"/>
        <w:jc w:val="both"/>
      </w:pPr>
      <w:r>
        <w:rPr/>
        <w:t>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[2000]91</w:t>
      </w:r>
      <w:r>
        <w:rPr/>
        <w:t>号</w:t>
      </w:r>
      <w:r>
        <w:rPr>
          <w:rFonts w:ascii="Times New Roman" w:hAnsi="Times New Roman" w:cs="Times New Roman" w:eastAsia="Times New Roman" w:hint="default"/>
        </w:rPr>
        <w:t>”</w:t>
      </w:r>
      <w:r>
        <w:rPr/>
        <w:t>文件批准，公司于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日通过深圳证券交易所交易系统，采用上网定价的</w:t>
      </w:r>
      <w:r>
        <w:rPr>
          <w:spacing w:val="1"/>
        </w:rPr>
        <w:t> </w:t>
      </w:r>
      <w:r>
        <w:rPr/>
        <w:t>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w:t>
      </w:r>
      <w:r>
        <w:rPr>
          <w:spacing w:val="-66"/>
        </w:rPr>
        <w:t> </w:t>
      </w:r>
      <w:r>
        <w:rPr>
          <w:spacing w:val="-5"/>
        </w:rPr>
        <w:t>批准，本公司的</w:t>
      </w:r>
      <w:r>
        <w:rPr>
          <w:rFonts w:ascii="Times New Roman" w:hAnsi="Times New Roman" w:cs="Times New Roman" w:eastAsia="Times New Roman" w:hint="default"/>
          <w:spacing w:val="-5"/>
        </w:rPr>
        <w:t>1</w:t>
      </w:r>
      <w:r>
        <w:rPr>
          <w:spacing w:val="-5"/>
        </w:rPr>
        <w:t>亿股</w:t>
      </w:r>
      <w:r>
        <w:rPr>
          <w:rFonts w:ascii="Times New Roman" w:hAnsi="Times New Roman" w:cs="Times New Roman" w:eastAsia="Times New Roman" w:hint="default"/>
          <w:spacing w:val="-5"/>
        </w:rPr>
        <w:t>A</w:t>
      </w:r>
      <w:r>
        <w:rPr>
          <w:spacing w:val="-5"/>
        </w:rPr>
        <w:t>股股票已于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日在深圳证券交易所上市挂牌交易。股票简称</w:t>
      </w:r>
      <w:r>
        <w:rPr>
          <w:rFonts w:ascii="Times New Roman" w:hAnsi="Times New Roman" w:cs="Times New Roman" w:eastAsia="Times New Roman" w:hint="default"/>
          <w:spacing w:val="-5"/>
        </w:rPr>
        <w:t>“</w:t>
      </w:r>
      <w:r>
        <w:rPr>
          <w:spacing w:val="-5"/>
        </w:rPr>
        <w:t>常山北明</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“000158”</w:t>
      </w:r>
      <w:r>
        <w:rPr>
          <w:spacing w:val="-5"/>
        </w:rPr>
        <w:t>。</w:t>
      </w:r>
    </w:p>
    <w:p>
      <w:pPr>
        <w:spacing w:line="240" w:lineRule="auto" w:before="7"/>
        <w:rPr>
          <w:rFonts w:ascii="宋体" w:hAnsi="宋体" w:cs="宋体" w:eastAsia="宋体" w:hint="default"/>
          <w:sz w:val="17"/>
          <w:szCs w:val="17"/>
        </w:rPr>
      </w:pPr>
    </w:p>
    <w:p>
      <w:pPr>
        <w:pStyle w:val="BodyText"/>
        <w:spacing w:line="300" w:lineRule="auto"/>
        <w:ind w:right="1129" w:firstLine="290"/>
        <w:jc w:val="both"/>
      </w:pPr>
      <w:r>
        <w:rPr>
          <w:spacing w:val="-1"/>
        </w:rPr>
        <w:t>根据公司股东大会决议通过的配股方案，并经中国证监会</w:t>
      </w:r>
      <w:r>
        <w:rPr>
          <w:rFonts w:ascii="Times New Roman" w:hAnsi="Times New Roman" w:cs="Times New Roman" w:eastAsia="Times New Roman" w:hint="default"/>
          <w:spacing w:val="-1"/>
        </w:rPr>
        <w:t>“</w:t>
      </w:r>
      <w:r>
        <w:rPr>
          <w:spacing w:val="-1"/>
        </w:rPr>
        <w:t>证监发行字</w:t>
      </w:r>
      <w:r>
        <w:rPr>
          <w:rFonts w:ascii="Times New Roman" w:hAnsi="Times New Roman" w:cs="Times New Roman" w:eastAsia="Times New Roman" w:hint="default"/>
          <w:spacing w:val="-1"/>
        </w:rPr>
        <w:t>[2003]91</w:t>
      </w:r>
      <w:r>
        <w:rPr>
          <w:spacing w:val="-1"/>
        </w:rPr>
        <w:t>号</w:t>
      </w:r>
      <w:r>
        <w:rPr>
          <w:rFonts w:ascii="Times New Roman" w:hAnsi="Times New Roman" w:cs="Times New Roman" w:eastAsia="Times New Roman" w:hint="default"/>
          <w:spacing w:val="-1"/>
        </w:rPr>
        <w:t>”</w:t>
      </w:r>
      <w:r>
        <w:rPr>
          <w:spacing w:val="-1"/>
        </w:rPr>
        <w:t>文核准，本公司于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8</w:t>
      </w:r>
      <w:r>
        <w:rPr>
          <w:spacing w:val="-1"/>
        </w:rPr>
        <w:t>月向社会公</w:t>
      </w:r>
      <w:r>
        <w:rPr/>
        <w:t> 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 </w:t>
      </w:r>
      <w:r>
        <w:rPr/>
        <w:t>募集资金净额为</w:t>
      </w:r>
      <w:r>
        <w:rPr>
          <w:rFonts w:ascii="Times New Roman" w:hAnsi="Times New Roman" w:cs="Times New Roman" w:eastAsia="Times New Roman" w:hint="default"/>
        </w:rPr>
        <w:t>140,968,464.08</w:t>
      </w:r>
      <w:r>
        <w:rPr/>
        <w:t>元。此次配售社会公众股</w:t>
      </w:r>
      <w:r>
        <w:rPr>
          <w:spacing w:val="-53"/>
        </w:rPr>
        <w:t> </w:t>
      </w:r>
      <w:r>
        <w:rPr>
          <w:spacing w:val="-53"/>
        </w:rPr>
      </w:r>
      <w:r>
        <w:rPr/>
        <w:t>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right="1131" w:firstLine="290"/>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日召开的股权分置改革相关股东会议表决通过了公司对价方案即以股权登记日（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日）登记在</w:t>
      </w:r>
      <w:r>
        <w:rPr>
          <w:spacing w:val="1"/>
        </w:rPr>
        <w:t> </w:t>
      </w:r>
      <w:r>
        <w:rPr/>
        <w:t>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w:t>
      </w:r>
    </w:p>
    <w:p>
      <w:pPr>
        <w:spacing w:line="240" w:lineRule="auto" w:before="7"/>
        <w:rPr>
          <w:rFonts w:ascii="宋体" w:hAnsi="宋体" w:cs="宋体" w:eastAsia="宋体" w:hint="default"/>
          <w:sz w:val="17"/>
          <w:szCs w:val="17"/>
        </w:rPr>
      </w:pPr>
    </w:p>
    <w:p>
      <w:pPr>
        <w:pStyle w:val="BodyText"/>
        <w:spacing w:line="304" w:lineRule="auto"/>
        <w:ind w:right="1030" w:firstLine="290"/>
        <w:jc w:val="left"/>
      </w:pPr>
      <w:r>
        <w:rPr/>
        <w:t>公司根据</w:t>
      </w:r>
      <w:r>
        <w:rPr>
          <w:rFonts w:ascii="Times New Roman" w:hAnsi="Times New Roman" w:cs="Times New Roman" w:eastAsia="Times New Roman" w:hint="default"/>
        </w:rPr>
        <w:t>2007</w:t>
      </w:r>
      <w:r>
        <w:rPr/>
        <w:t>年第一次临时股东大会决议和修改后章程的规定，申请新增注册资本人民币</w:t>
      </w:r>
      <w:r>
        <w:rPr>
          <w:rFonts w:ascii="Times New Roman" w:hAnsi="Times New Roman" w:cs="Times New Roman" w:eastAsia="Times New Roman" w:hint="default"/>
        </w:rPr>
        <w:t>72,700,000</w:t>
      </w:r>
      <w:r>
        <w:rPr/>
        <w:t>元。经中国证券监</w:t>
      </w:r>
      <w:r>
        <w:rPr>
          <w:spacing w:val="1"/>
        </w:rPr>
        <w:t> </w:t>
      </w:r>
      <w:r>
        <w:rPr/>
        <w:t>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w:t>
      </w:r>
      <w:r>
        <w:rPr>
          <w:spacing w:val="-68"/>
        </w:rPr>
        <w:t> </w:t>
      </w:r>
      <w:r>
        <w:rPr>
          <w:spacing w:val="-68"/>
        </w:rPr>
      </w:r>
      <w:r>
        <w:rPr/>
        <w:t>有限公司、长江证券有限责任公司、尹太阳、上海合邦投资有限公司、上海景贤投资有限公司、珠海市华粤投资有限公司、 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r>
        <w:rPr>
          <w:spacing w:val="-44"/>
        </w:rPr>
        <w:t> </w:t>
      </w:r>
      <w:r>
        <w:rPr>
          <w:spacing w:val="-44"/>
        </w:rPr>
      </w: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w:t>
      </w:r>
    </w:p>
    <w:p>
      <w:pPr>
        <w:spacing w:line="240" w:lineRule="auto" w:before="3"/>
        <w:rPr>
          <w:rFonts w:ascii="宋体" w:hAnsi="宋体" w:cs="宋体" w:eastAsia="宋体" w:hint="default"/>
          <w:sz w:val="17"/>
          <w:szCs w:val="17"/>
        </w:rPr>
      </w:pPr>
    </w:p>
    <w:p>
      <w:pPr>
        <w:pStyle w:val="BodyText"/>
        <w:spacing w:line="300" w:lineRule="auto"/>
        <w:ind w:right="1030" w:firstLine="319"/>
        <w:jc w:val="left"/>
      </w:pPr>
      <w:r>
        <w:rPr/>
        <w:t>公司根据</w:t>
      </w:r>
      <w:r>
        <w:rPr>
          <w:rFonts w:ascii="Times New Roman" w:hAnsi="Times New Roman" w:cs="Times New Roman" w:eastAsia="Times New Roman" w:hint="default"/>
        </w:rPr>
        <w:t>2007</w:t>
      </w:r>
      <w:r>
        <w:rPr/>
        <w:t>年度股东大会决议和修改后章程的规定，申请新增的注册资本为人民币</w:t>
      </w:r>
      <w:r>
        <w:rPr>
          <w:rFonts w:ascii="Times New Roman" w:hAnsi="Times New Roman" w:cs="Times New Roman" w:eastAsia="Times New Roman" w:hint="default"/>
        </w:rPr>
        <w:t>216,161,000</w:t>
      </w:r>
      <w:r>
        <w:rPr/>
        <w:t>元，公司以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 </w:t>
      </w:r>
      <w:r>
        <w:rPr/>
        <w:t>日非公开发行后的总股本</w:t>
      </w:r>
      <w:r>
        <w:rPr>
          <w:rFonts w:ascii="Times New Roman" w:hAnsi="Times New Roman" w:cs="Times New Roman" w:eastAsia="Times New Roman" w:hint="default"/>
        </w:rPr>
        <w:t>50,270</w:t>
      </w:r>
      <w:r>
        <w:rPr/>
        <w:t>万股计算，按每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4.3</w:t>
      </w:r>
      <w:r>
        <w:rPr/>
        <w:t>股的比例，以资本公积向全体股东转增股份总额</w:t>
      </w:r>
      <w:r>
        <w:rPr>
          <w:rFonts w:ascii="Times New Roman" w:hAnsi="Times New Roman" w:cs="Times New Roman" w:eastAsia="Times New Roman" w:hint="default"/>
        </w:rPr>
        <w:t>216,161,000</w:t>
      </w:r>
      <w:r>
        <w:rPr/>
        <w:t>股， 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spacing w:line="240" w:lineRule="auto" w:before="7"/>
        <w:rPr>
          <w:rFonts w:ascii="宋体" w:hAnsi="宋体" w:cs="宋体" w:eastAsia="宋体" w:hint="default"/>
          <w:sz w:val="17"/>
          <w:szCs w:val="17"/>
        </w:rPr>
      </w:pPr>
    </w:p>
    <w:p>
      <w:pPr>
        <w:pStyle w:val="BodyText"/>
        <w:spacing w:line="300" w:lineRule="auto"/>
        <w:ind w:right="1128" w:firstLine="319"/>
        <w:jc w:val="both"/>
      </w:pPr>
      <w:r>
        <w:rPr/>
        <w:t>公司根据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日召开的第五届董事会第十八次会议决议，</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2014</w:t>
      </w:r>
      <w:r>
        <w:rPr/>
        <w:t>年第二次临时股东大会</w:t>
      </w:r>
      <w:r>
        <w:rPr>
          <w:spacing w:val="1"/>
        </w:rPr>
        <w:t> </w:t>
      </w:r>
      <w:r>
        <w:rPr/>
        <w:t>决议和修改后的章程规定，经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日中国证券监督管理委员会《关于核准石家庄常山纺织股份有限公司向北京北明</w:t>
      </w:r>
      <w:r>
        <w:rPr>
          <w:spacing w:val="-83"/>
        </w:rPr>
        <w:t> </w:t>
      </w:r>
      <w:r>
        <w:rPr>
          <w:spacing w:val="-83"/>
        </w:rPr>
      </w:r>
      <w:r>
        <w:rPr>
          <w:spacing w:val="-1"/>
        </w:rPr>
        <w:t>伟业控股有限公司等发行股份购买资产并募集配套资金的批复》（证监许可</w:t>
      </w:r>
      <w:r>
        <w:rPr>
          <w:rFonts w:ascii="Times New Roman" w:hAnsi="Times New Roman" w:cs="Times New Roman" w:eastAsia="Times New Roman" w:hint="default"/>
          <w:spacing w:val="-1"/>
        </w:rPr>
        <w:t>[2015]469</w:t>
      </w:r>
      <w:r>
        <w:rPr>
          <w:spacing w:val="-1"/>
        </w:rPr>
        <w:t>号）文件核准，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日公司向</w:t>
      </w:r>
      <w:r>
        <w:rPr>
          <w:spacing w:val="-52"/>
        </w:rPr>
        <w:t> </w:t>
      </w:r>
      <w:r>
        <w:rPr>
          <w:spacing w:val="-1"/>
        </w:rPr>
        <w:t>北京北明伟业控股有限公司等</w:t>
      </w:r>
      <w:r>
        <w:rPr>
          <w:rFonts w:ascii="Times New Roman" w:hAnsi="Times New Roman" w:cs="Times New Roman" w:eastAsia="Times New Roman" w:hint="default"/>
          <w:spacing w:val="-1"/>
        </w:rPr>
        <w:t>47</w:t>
      </w:r>
      <w:r>
        <w:rPr>
          <w:spacing w:val="-1"/>
        </w:rPr>
        <w:t>名交易对方发行</w:t>
      </w:r>
      <w:r>
        <w:rPr>
          <w:rFonts w:ascii="Times New Roman" w:hAnsi="Times New Roman" w:cs="Times New Roman" w:eastAsia="Times New Roman" w:hint="default"/>
          <w:spacing w:val="-1"/>
        </w:rPr>
        <w:t>441,056,890</w:t>
      </w:r>
      <w:r>
        <w:rPr>
          <w:spacing w:val="-1"/>
        </w:rPr>
        <w:t>股人民币普通股，每股面值为人民币</w:t>
      </w:r>
      <w:r>
        <w:rPr>
          <w:rFonts w:ascii="Times New Roman" w:hAnsi="Times New Roman" w:cs="Times New Roman" w:eastAsia="Times New Roman" w:hint="default"/>
          <w:spacing w:val="-1"/>
        </w:rPr>
        <w:t>1.00</w:t>
      </w:r>
      <w:r>
        <w:rPr>
          <w:spacing w:val="-1"/>
        </w:rPr>
        <w:t>元，用于购买其持有的</w:t>
      </w:r>
      <w:r>
        <w:rPr>
          <w:spacing w:val="-65"/>
        </w:rPr>
        <w:t> </w:t>
      </w:r>
      <w:r>
        <w:rPr>
          <w:spacing w:val="-65"/>
        </w:rPr>
      </w:r>
      <w:r>
        <w:rPr/>
        <w:t>北明软件有限公司</w:t>
      </w:r>
      <w:r>
        <w:rPr>
          <w:rFonts w:ascii="Times New Roman" w:hAnsi="Times New Roman" w:cs="Times New Roman" w:eastAsia="Times New Roman" w:hint="default"/>
        </w:rPr>
        <w:t>100%</w:t>
      </w:r>
      <w:r>
        <w:rPr/>
        <w:t>的股权，发行后的注册资本为人民币</w:t>
      </w:r>
      <w:r>
        <w:rPr>
          <w:rFonts w:ascii="Times New Roman" w:hAnsi="Times New Roman" w:cs="Times New Roman" w:eastAsia="Times New Roman" w:hint="default"/>
        </w:rPr>
        <w:t>1,159,917,890</w:t>
      </w:r>
      <w:r>
        <w:rPr/>
        <w:t>元，已经中兴财光华会计师事务所（特殊普通合</w:t>
      </w:r>
      <w:r>
        <w:rPr>
          <w:spacing w:val="-27"/>
        </w:rPr>
        <w:t> </w:t>
      </w:r>
      <w:r>
        <w:rPr>
          <w:spacing w:val="-27"/>
        </w:rPr>
      </w:r>
      <w:r>
        <w:rPr/>
        <w:t>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03002</w:t>
      </w:r>
      <w:r>
        <w:rPr/>
        <w:t>号</w:t>
      </w:r>
      <w:r>
        <w:rPr>
          <w:rFonts w:ascii="Times New Roman" w:hAnsi="Times New Roman" w:cs="Times New Roman" w:eastAsia="Times New Roman" w:hint="default"/>
        </w:rPr>
        <w:t>”</w:t>
      </w:r>
      <w:r>
        <w:rPr/>
        <w:t>验资报告验证。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日公司募集配套资金非公开发行 </w:t>
      </w:r>
      <w:r>
        <w:rPr>
          <w:rFonts w:ascii="Times New Roman" w:hAnsi="Times New Roman" w:cs="Times New Roman" w:eastAsia="Times New Roman" w:hint="default"/>
        </w:rPr>
        <w:t>111,524,388</w:t>
      </w:r>
      <w:r>
        <w:rPr/>
        <w:t>股人</w:t>
      </w:r>
      <w:r>
        <w:rPr>
          <w:spacing w:val="-73"/>
        </w:rPr>
        <w:t> </w:t>
      </w:r>
      <w:r>
        <w:rPr/>
        <w:t>民币普通股，每股面值为人民币</w:t>
      </w:r>
      <w:r>
        <w:rPr>
          <w:rFonts w:ascii="Times New Roman" w:hAnsi="Times New Roman" w:cs="Times New Roman" w:eastAsia="Times New Roman" w:hint="default"/>
        </w:rPr>
        <w:t>1.00</w:t>
      </w:r>
      <w:r>
        <w:rPr/>
        <w:t>元，发行后的注册资本为人民币</w:t>
      </w:r>
      <w:r>
        <w:rPr>
          <w:rFonts w:ascii="Times New Roman" w:hAnsi="Times New Roman" w:cs="Times New Roman" w:eastAsia="Times New Roman" w:hint="default"/>
        </w:rPr>
        <w:t>1,271,442,278</w:t>
      </w:r>
      <w:r>
        <w:rPr/>
        <w:t>元，已经中兴财光华会计师事务所（特殊</w:t>
      </w:r>
      <w:r>
        <w:rPr>
          <w:spacing w:val="-87"/>
        </w:rPr>
        <w:t> </w:t>
      </w:r>
      <w:r>
        <w:rPr>
          <w:spacing w:val="-87"/>
        </w:rPr>
      </w:r>
      <w:r>
        <w:rPr/>
        <w:t>普通合伙）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03003</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right="1038" w:firstLine="319"/>
        <w:jc w:val="left"/>
      </w:pPr>
      <w:r>
        <w:rPr/>
        <w:t>公司根据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日召开的第六届董事会第十五次会议决议、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2016</w:t>
      </w:r>
      <w:r>
        <w:rPr/>
        <w:t>年度股东大会决议和修改后 的公司章程规定，公司增加注册资本人民币</w:t>
      </w:r>
      <w:r>
        <w:rPr>
          <w:rFonts w:ascii="Times New Roman" w:hAnsi="Times New Roman" w:cs="Times New Roman" w:eastAsia="Times New Roman" w:hint="default"/>
        </w:rPr>
        <w:t>381,432,683.00</w:t>
      </w:r>
      <w:r>
        <w:rPr/>
        <w:t>元，由资本公积转增股本，转增基准日期为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日，变更 </w:t>
      </w:r>
      <w:r>
        <w:rPr>
          <w:spacing w:val="-4"/>
        </w:rPr>
        <w:t>后注册资本为人民币</w:t>
      </w:r>
      <w:r>
        <w:rPr>
          <w:rFonts w:ascii="Times New Roman" w:hAnsi="Times New Roman" w:cs="Times New Roman" w:eastAsia="Times New Roman" w:hint="default"/>
          <w:spacing w:val="-4"/>
        </w:rPr>
        <w:t>1,652,874,961.00</w:t>
      </w:r>
      <w:r>
        <w:rPr>
          <w:spacing w:val="-4"/>
        </w:rPr>
        <w:t>元。本次增资已经中兴财光华会计师事务所（特殊普通合伙）</w:t>
      </w:r>
      <w:r>
        <w:rPr>
          <w:rFonts w:ascii="Times New Roman" w:hAnsi="Times New Roman" w:cs="Times New Roman" w:eastAsia="Times New Roman" w:hint="default"/>
          <w:spacing w:val="-4"/>
        </w:rPr>
        <w:t>“</w:t>
      </w:r>
      <w:r>
        <w:rPr>
          <w:spacing w:val="-4"/>
        </w:rPr>
        <w:t>中兴财光华审验字（</w:t>
      </w:r>
      <w:r>
        <w:rPr>
          <w:rFonts w:ascii="Times New Roman" w:hAnsi="Times New Roman" w:cs="Times New Roman" w:eastAsia="Times New Roman" w:hint="default"/>
          <w:spacing w:val="-4"/>
        </w:rPr>
        <w:t>2017</w:t>
      </w:r>
      <w:r>
        <w:rPr>
          <w:spacing w:val="-4"/>
        </w:rPr>
        <w:t>）</w:t>
      </w:r>
      <w:r>
        <w:rPr>
          <w:spacing w:val="-82"/>
        </w:rPr>
        <w:t> </w:t>
      </w:r>
      <w:r>
        <w:rPr/>
        <w:t>第</w:t>
      </w:r>
      <w:r>
        <w:rPr>
          <w:rFonts w:ascii="Times New Roman" w:hAnsi="Times New Roman" w:cs="Times New Roman" w:eastAsia="Times New Roman" w:hint="default"/>
        </w:rPr>
        <w:t>103008</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right="1128" w:firstLine="319"/>
        <w:jc w:val="both"/>
      </w:pPr>
      <w:r>
        <w:rPr>
          <w:spacing w:val="-1"/>
        </w:rPr>
        <w:t>石家庄常山北明科技股份有限公司因公司发展需要，经第六届董事会第十五次会议和</w:t>
      </w:r>
      <w:r>
        <w:rPr>
          <w:rFonts w:ascii="Times New Roman" w:hAnsi="Times New Roman" w:cs="Times New Roman" w:eastAsia="Times New Roman" w:hint="default"/>
          <w:spacing w:val="-1"/>
        </w:rPr>
        <w:t>2016</w:t>
      </w:r>
      <w:r>
        <w:rPr>
          <w:spacing w:val="-1"/>
        </w:rPr>
        <w:t>年度股东大会审议通过《关于</w:t>
      </w:r>
      <w:r>
        <w:rPr/>
        <w:t> </w:t>
      </w:r>
      <w:r>
        <w:rPr>
          <w:spacing w:val="-4"/>
        </w:rPr>
        <w:t>变更公司全称的议案》，公司名称由</w:t>
      </w:r>
      <w:r>
        <w:rPr>
          <w:rFonts w:ascii="Times New Roman" w:hAnsi="Times New Roman" w:cs="Times New Roman" w:eastAsia="Times New Roman" w:hint="default"/>
          <w:spacing w:val="-4"/>
        </w:rPr>
        <w:t>“</w:t>
      </w:r>
      <w:r>
        <w:rPr>
          <w:spacing w:val="-4"/>
        </w:rPr>
        <w:t>石家庄常山纺织股份有限公司</w:t>
      </w:r>
      <w:r>
        <w:rPr>
          <w:rFonts w:ascii="Times New Roman" w:hAnsi="Times New Roman" w:cs="Times New Roman" w:eastAsia="Times New Roman" w:hint="default"/>
          <w:spacing w:val="-4"/>
        </w:rPr>
        <w:t>”</w:t>
      </w:r>
      <w:r>
        <w:rPr>
          <w:spacing w:val="-4"/>
        </w:rPr>
        <w:t>变更为</w:t>
      </w:r>
      <w:r>
        <w:rPr>
          <w:rFonts w:ascii="Times New Roman" w:hAnsi="Times New Roman" w:cs="Times New Roman" w:eastAsia="Times New Roman" w:hint="default"/>
          <w:spacing w:val="-4"/>
        </w:rPr>
        <w:t>“</w:t>
      </w:r>
      <w:r>
        <w:rPr>
          <w:spacing w:val="-4"/>
        </w:rPr>
        <w:t>石家庄常山北明科技股份有限公司</w:t>
      </w:r>
      <w:r>
        <w:rPr>
          <w:rFonts w:ascii="Times New Roman" w:hAnsi="Times New Roman" w:cs="Times New Roman" w:eastAsia="Times New Roman" w:hint="default"/>
          <w:spacing w:val="-4"/>
        </w:rPr>
        <w:t>”</w:t>
      </w:r>
      <w:r>
        <w:rPr>
          <w:spacing w:val="-4"/>
        </w:rPr>
        <w:t>。公司于</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日完成了工商变更登记手续，公司名称由</w:t>
      </w:r>
      <w:r>
        <w:rPr>
          <w:rFonts w:ascii="Times New Roman" w:hAnsi="Times New Roman" w:cs="Times New Roman" w:eastAsia="Times New Roman" w:hint="default"/>
        </w:rPr>
        <w:t>“</w:t>
      </w:r>
      <w:r>
        <w:rPr/>
        <w:t>石家庄常山纺织股份有限公司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石家庄常山北明科技股份有限公</w:t>
      </w:r>
    </w:p>
    <w:p>
      <w:pPr>
        <w:spacing w:after="0" w:line="300"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91"/>
        <w:jc w:val="left"/>
      </w:pPr>
      <w:r>
        <w:rPr/>
        <w:t>司</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BodyText"/>
        <w:spacing w:line="508" w:lineRule="auto"/>
        <w:ind w:left="444" w:right="1237" w:firstLine="28"/>
        <w:jc w:val="left"/>
      </w:pPr>
      <w:r>
        <w:rPr/>
        <w:t>本公司第一大股东为石家庄常山纺织集团有限责任公司，截止报告期末持有本公司</w:t>
      </w:r>
      <w:r>
        <w:rPr>
          <w:rFonts w:ascii="Times New Roman" w:hAnsi="Times New Roman" w:cs="Times New Roman" w:eastAsia="Times New Roman" w:hint="default"/>
        </w:rPr>
        <w:t>455,296,184</w:t>
      </w:r>
      <w:r>
        <w:rPr/>
        <w:t>股，持股比例</w:t>
      </w:r>
      <w:r>
        <w:rPr>
          <w:rFonts w:ascii="Times New Roman" w:hAnsi="Times New Roman" w:cs="Times New Roman" w:eastAsia="Times New Roman" w:hint="default"/>
        </w:rPr>
        <w:t>27.55%</w:t>
      </w:r>
      <w:r>
        <w:rPr/>
        <w:t>。 公司在石家庄市工商行政管理局领取统一社会信用代码</w:t>
      </w:r>
      <w:r>
        <w:rPr>
          <w:rFonts w:ascii="Times New Roman" w:hAnsi="Times New Roman" w:cs="Times New Roman" w:eastAsia="Times New Roman" w:hint="default"/>
        </w:rPr>
        <w:t>91130100700715920E</w:t>
      </w:r>
      <w:r>
        <w:rPr/>
        <w:t>的企业法人营业执照。 公司注册地：石家庄市长安区和平东路</w:t>
      </w:r>
      <w:r>
        <w:rPr>
          <w:rFonts w:ascii="Times New Roman" w:hAnsi="Times New Roman" w:cs="Times New Roman" w:eastAsia="Times New Roman" w:hint="default"/>
        </w:rPr>
        <w:t>183</w:t>
      </w:r>
      <w:r>
        <w:rPr/>
        <w:t>号。</w:t>
      </w:r>
    </w:p>
    <w:p>
      <w:pPr>
        <w:pStyle w:val="BodyText"/>
        <w:spacing w:line="508" w:lineRule="auto" w:before="55"/>
        <w:ind w:left="444" w:right="6590"/>
        <w:jc w:val="left"/>
      </w:pPr>
      <w:r>
        <w:rPr/>
        <w:t>公司总部地址：石家庄市长安区和平东路</w:t>
      </w:r>
      <w:r>
        <w:rPr>
          <w:rFonts w:ascii="Times New Roman" w:hAnsi="Times New Roman" w:cs="Times New Roman" w:eastAsia="Times New Roman" w:hint="default"/>
        </w:rPr>
        <w:t>183</w:t>
      </w:r>
      <w:r>
        <w:rPr/>
        <w:t>号。 法定代表人：肖荣智。</w:t>
      </w:r>
    </w:p>
    <w:p>
      <w:pPr>
        <w:pStyle w:val="BodyText"/>
        <w:spacing w:line="240" w:lineRule="auto" w:before="91"/>
        <w:ind w:left="446" w:right="891"/>
        <w:jc w:val="left"/>
      </w:pPr>
      <w:r>
        <w:rPr/>
        <w:t>注册资本：（人民币）壹拾陆亿伍仟贰佰捌拾柒万肆仟玖佰陆拾壹元整。</w:t>
      </w:r>
    </w:p>
    <w:p>
      <w:pPr>
        <w:spacing w:line="240" w:lineRule="auto" w:before="5"/>
        <w:rPr>
          <w:rFonts w:ascii="宋体" w:hAnsi="宋体" w:cs="宋体" w:eastAsia="宋体" w:hint="default"/>
          <w:sz w:val="22"/>
          <w:szCs w:val="22"/>
        </w:rPr>
      </w:pPr>
    </w:p>
    <w:p>
      <w:pPr>
        <w:pStyle w:val="BodyText"/>
        <w:spacing w:line="316" w:lineRule="auto"/>
        <w:ind w:right="1030" w:firstLine="480"/>
        <w:jc w:val="left"/>
      </w:pPr>
      <w:r>
        <w:rPr/>
        <w:t>公司经营范围：计算机软件技术开发、技术服务、技术咨询，棉花、办公设备、电子元器件、通信设备、计算机及零 </w:t>
      </w:r>
      <w:r>
        <w:rPr>
          <w:spacing w:val="-2"/>
        </w:rPr>
        <w:t>配件、计算机软件、仪器仪表、光伏设备的批发零售；通信设备、计算机零配件的租赁，计算机系统集成；自营和代理各类</w:t>
      </w:r>
      <w:r>
        <w:rPr>
          <w:spacing w:val="-65"/>
        </w:rPr>
        <w:t> </w:t>
      </w:r>
      <w:r>
        <w:rPr>
          <w:spacing w:val="-65"/>
        </w:rPr>
      </w:r>
      <w:r>
        <w:rPr/>
        <w:t>商品及技术的进出口业务；天然纤维和人造纤维的纺织品、针织品、服装加工；家用服饰、纺织品、产业用纺织品的设计、 </w:t>
      </w:r>
      <w:r>
        <w:rPr>
          <w:spacing w:val="-2"/>
        </w:rPr>
        <w:t>开发、制造（限分支机构经营）、销售；本企业和本企业成员企业生产、科研所需的原辅料、机械设备、仪器仪表、零配件</w:t>
      </w:r>
      <w:r>
        <w:rPr>
          <w:spacing w:val="-69"/>
        </w:rPr>
        <w:t> </w:t>
      </w:r>
      <w:r>
        <w:rPr>
          <w:spacing w:val="-69"/>
        </w:rPr>
      </w:r>
      <w:r>
        <w:rPr>
          <w:spacing w:val="-2"/>
        </w:rPr>
        <w:t>及相关技术的进出口业务（国家限定公司经营或禁止出口的商品除外）；机电设备（特种设备除外）、新风净化器及配件的</w:t>
      </w:r>
      <w:r>
        <w:rPr>
          <w:spacing w:val="-70"/>
        </w:rPr>
        <w:t> </w:t>
      </w:r>
      <w:r>
        <w:rPr>
          <w:spacing w:val="-70"/>
        </w:rPr>
      </w:r>
      <w:r>
        <w:rPr>
          <w:spacing w:val="-4"/>
        </w:rPr>
        <w:t>生产（限分支机构经营）、销售；经营本企业的进料加工；化学原料及产品（不含危险化学品及其他前置性行政许可项目）；</w:t>
      </w:r>
      <w:r>
        <w:rPr>
          <w:spacing w:val="-46"/>
        </w:rPr>
        <w:t> </w:t>
      </w:r>
      <w:r>
        <w:rPr>
          <w:spacing w:val="-46"/>
        </w:rPr>
      </w:r>
      <w:r>
        <w:rPr/>
        <w:t>房屋租赁。（依法须经批准的项目，经相关部门批准后方可开展经营活动）</w:t>
      </w:r>
    </w:p>
    <w:p>
      <w:pPr>
        <w:spacing w:line="240" w:lineRule="auto" w:before="12"/>
        <w:rPr>
          <w:rFonts w:ascii="宋体" w:hAnsi="宋体" w:cs="宋体" w:eastAsia="宋体" w:hint="default"/>
          <w:sz w:val="17"/>
          <w:szCs w:val="17"/>
        </w:rPr>
      </w:pPr>
    </w:p>
    <w:p>
      <w:pPr>
        <w:pStyle w:val="BodyText"/>
        <w:spacing w:line="300" w:lineRule="auto"/>
        <w:ind w:left="153" w:right="1125" w:firstLine="290"/>
        <w:jc w:val="left"/>
      </w:pPr>
      <w:r>
        <w:rPr>
          <w:spacing w:val="-3"/>
        </w:rPr>
        <w:t>本公司</w:t>
      </w:r>
      <w:r>
        <w:rPr>
          <w:rFonts w:ascii="Times New Roman" w:hAnsi="Times New Roman" w:cs="Times New Roman" w:eastAsia="Times New Roman" w:hint="default"/>
          <w:spacing w:val="-3"/>
        </w:rPr>
        <w:t>2018</w:t>
      </w:r>
      <w:r>
        <w:rPr>
          <w:spacing w:val="-3"/>
        </w:rPr>
        <w:t>年度纳入合并范围的子公司共</w:t>
      </w:r>
      <w:r>
        <w:rPr>
          <w:rFonts w:ascii="Times New Roman" w:hAnsi="Times New Roman" w:cs="Times New Roman" w:eastAsia="Times New Roman" w:hint="default"/>
          <w:spacing w:val="-3"/>
        </w:rPr>
        <w:t>30</w:t>
      </w:r>
      <w:r>
        <w:rPr>
          <w:spacing w:val="-3"/>
        </w:rPr>
        <w:t>户，本年度比上年度增加</w:t>
      </w:r>
      <w:r>
        <w:rPr>
          <w:rFonts w:ascii="Times New Roman" w:hAnsi="Times New Roman" w:cs="Times New Roman" w:eastAsia="Times New Roman" w:hint="default"/>
          <w:spacing w:val="-3"/>
        </w:rPr>
        <w:t>4</w:t>
      </w:r>
      <w:r>
        <w:rPr>
          <w:spacing w:val="-3"/>
        </w:rPr>
        <w:t>户，详见本附注八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和本附注九</w:t>
      </w:r>
      <w:r>
        <w:rPr>
          <w:rFonts w:ascii="Times New Roman" w:hAnsi="Times New Roman" w:cs="Times New Roman" w:eastAsia="Times New Roman" w:hint="default"/>
          <w:spacing w:val="-3"/>
        </w:rPr>
        <w:t>“</w:t>
      </w:r>
      <w:r>
        <w:rPr>
          <w:spacing w:val="-3"/>
        </w:rPr>
        <w:t>在</w:t>
      </w:r>
      <w:r>
        <w:rPr/>
        <w:t> 其他主体中的权益</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p>
      <w:pPr>
        <w:pStyle w:val="BodyText"/>
        <w:spacing w:line="240" w:lineRule="auto"/>
        <w:ind w:left="444" w:right="891"/>
        <w:jc w:val="left"/>
      </w:pPr>
      <w:r>
        <w:rPr/>
        <w:t>本财务报表及财务报表附注业经本公司第七届四次董事会会议于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p>
    <w:p>
      <w:pPr>
        <w:spacing w:line="240" w:lineRule="auto" w:before="2"/>
        <w:rPr>
          <w:rFonts w:ascii="宋体" w:hAnsi="宋体" w:cs="宋体" w:eastAsia="宋体" w:hint="default"/>
          <w:sz w:val="24"/>
          <w:szCs w:val="24"/>
        </w:rPr>
      </w:pPr>
    </w:p>
    <w:p>
      <w:pPr>
        <w:pStyle w:val="Heading2"/>
        <w:spacing w:line="240" w:lineRule="auto"/>
        <w:ind w:right="891"/>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29" w:firstLine="290"/>
        <w:jc w:val="both"/>
      </w:pPr>
      <w:r>
        <w:rPr/>
        <w:t>本公司财务报表以持续经营假设为基础，根据实际发生的交易和事项，按照财政部于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日及以后颁布的《企</w:t>
      </w:r>
      <w:r>
        <w:rPr>
          <w:spacing w:val="1"/>
        </w:rPr>
        <w:t> </w:t>
      </w:r>
      <w:r>
        <w:rPr>
          <w:spacing w:val="-3"/>
        </w:rPr>
        <w:t>业会计准则</w:t>
      </w:r>
      <w:r>
        <w:rPr>
          <w:rFonts w:ascii="Times New Roman" w:hAnsi="Times New Roman" w:cs="Times New Roman" w:eastAsia="Times New Roman" w:hint="default"/>
          <w:spacing w:val="-3"/>
        </w:rPr>
        <w:t>——</w:t>
      </w:r>
      <w:r>
        <w:rPr>
          <w:spacing w:val="-3"/>
        </w:rPr>
        <w:t>基本准则》和各项具体会计准则、企业会计准则应用指南、企业会计准则解释及其他相关规定（以下合称</w:t>
      </w:r>
      <w:r>
        <w:rPr>
          <w:rFonts w:ascii="Times New Roman" w:hAnsi="Times New Roman" w:cs="Times New Roman" w:eastAsia="Times New Roman" w:hint="default"/>
          <w:spacing w:val="-3"/>
        </w:rPr>
        <w:t>“</w:t>
      </w:r>
      <w:r>
        <w:rPr>
          <w:spacing w:val="-3"/>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13"/>
        <w:ind w:right="891"/>
        <w:jc w:val="left"/>
      </w:pPr>
      <w:r>
        <w:rPr/>
        <w:t>（</w:t>
      </w:r>
      <w:r>
        <w:rPr>
          <w:rFonts w:ascii="Times New Roman" w:hAnsi="Times New Roman" w:cs="Times New Roman" w:eastAsia="Times New Roman" w:hint="default"/>
        </w:rPr>
        <w:t>2014</w:t>
      </w:r>
      <w:r>
        <w:rPr/>
        <w:t>年修订）的披露规定编制。</w:t>
      </w:r>
    </w:p>
    <w:p>
      <w:pPr>
        <w:spacing w:line="240" w:lineRule="auto" w:before="4"/>
        <w:rPr>
          <w:rFonts w:ascii="宋体" w:hAnsi="宋体" w:cs="宋体" w:eastAsia="宋体" w:hint="default"/>
          <w:sz w:val="21"/>
          <w:szCs w:val="21"/>
        </w:rPr>
      </w:pPr>
    </w:p>
    <w:p>
      <w:pPr>
        <w:pStyle w:val="BodyText"/>
        <w:spacing w:line="316" w:lineRule="auto"/>
        <w:ind w:right="1129" w:firstLine="361"/>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1" w:right="891"/>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891"/>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spacing w:after="0" w:line="36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7871"/>
        <w:jc w:val="left"/>
      </w:pPr>
      <w:r>
        <w:rPr/>
        <w:t>软件与信息技术服务业 具体会计政策和会计估计提示： 不适用</w:t>
      </w:r>
    </w:p>
    <w:p>
      <w:pPr>
        <w:spacing w:line="240" w:lineRule="auto" w:before="2"/>
        <w:rPr>
          <w:rFonts w:ascii="宋体" w:hAnsi="宋体" w:cs="宋体" w:eastAsia="宋体" w:hint="default"/>
          <w:sz w:val="20"/>
          <w:szCs w:val="20"/>
        </w:rPr>
      </w:pPr>
    </w:p>
    <w:p>
      <w:pPr>
        <w:pStyle w:val="Heading3"/>
        <w:spacing w:line="240" w:lineRule="auto"/>
        <w:ind w:right="891"/>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891" w:firstLine="290"/>
        <w:jc w:val="left"/>
      </w:pPr>
      <w:r>
        <w:rPr>
          <w:spacing w:val="-1"/>
        </w:rPr>
        <w:t>本财务报表符合企业会计准则的要求，真实、完整地反映了本公司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日的合并及公司财务状况以及</w:t>
      </w:r>
      <w:r>
        <w:rPr>
          <w:rFonts w:ascii="Times New Roman" w:hAnsi="Times New Roman" w:cs="Times New Roman" w:eastAsia="Times New Roman" w:hint="default"/>
          <w:spacing w:val="-1"/>
        </w:rPr>
        <w:t>2018</w:t>
      </w:r>
      <w:r>
        <w:rPr>
          <w:spacing w:val="-1"/>
        </w:rPr>
        <w:t>年度</w:t>
      </w:r>
      <w:r>
        <w:rPr/>
        <w:t> 合并及公司的经营成果和现金流量。</w:t>
      </w:r>
    </w:p>
    <w:p>
      <w:pPr>
        <w:spacing w:line="240" w:lineRule="auto" w:before="6"/>
        <w:rPr>
          <w:rFonts w:ascii="宋体" w:hAnsi="宋体" w:cs="宋体" w:eastAsia="宋体" w:hint="default"/>
          <w:sz w:val="23"/>
          <w:szCs w:val="23"/>
        </w:rPr>
      </w:pPr>
    </w:p>
    <w:p>
      <w:pPr>
        <w:pStyle w:val="Heading3"/>
        <w:spacing w:line="240" w:lineRule="auto"/>
        <w:ind w:right="891"/>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00" w:firstLine="29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281" w:firstLine="29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89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891"/>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91" w:firstLine="290"/>
        <w:jc w:val="left"/>
      </w:pPr>
      <w:r>
        <w:rPr>
          <w:spacing w:val="-1"/>
        </w:rPr>
        <w:t>企业合并，是指将两个或两个以上单独的企业合并形成一个报告主体的交易或事项。企业合并分为同一控制下企业合并</w:t>
      </w:r>
      <w:r>
        <w:rPr/>
        <w:t> 和非同一控制下企业合并。</w:t>
      </w:r>
    </w:p>
    <w:p>
      <w:pPr>
        <w:pStyle w:val="BodyText"/>
        <w:spacing w:line="528" w:lineRule="exact" w:before="22"/>
        <w:ind w:left="444" w:right="891" w:hanging="74"/>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参与合并的企业在合并前后均受同一方或相同的多方最终控制，且该控制并非暂时性的，为同一控制下的企业合并。同</w:t>
      </w:r>
    </w:p>
    <w:p>
      <w:pPr>
        <w:pStyle w:val="BodyText"/>
        <w:spacing w:line="316" w:lineRule="auto"/>
        <w:ind w:left="153" w:right="891"/>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spacing w:line="240" w:lineRule="auto" w:before="12"/>
        <w:rPr>
          <w:rFonts w:ascii="宋体" w:hAnsi="宋体" w:cs="宋体" w:eastAsia="宋体" w:hint="default"/>
          <w:sz w:val="17"/>
          <w:szCs w:val="17"/>
        </w:rPr>
      </w:pPr>
    </w:p>
    <w:p>
      <w:pPr>
        <w:pStyle w:val="BodyText"/>
        <w:spacing w:line="316" w:lineRule="auto"/>
        <w:ind w:left="153" w:right="1031" w:firstLine="290"/>
        <w:jc w:val="left"/>
      </w:pPr>
      <w:r>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spacing w:line="240" w:lineRule="auto" w:before="12"/>
        <w:rPr>
          <w:rFonts w:ascii="宋体" w:hAnsi="宋体" w:cs="宋体" w:eastAsia="宋体" w:hint="default"/>
          <w:sz w:val="17"/>
          <w:szCs w:val="17"/>
        </w:rPr>
      </w:pPr>
    </w:p>
    <w:p>
      <w:pPr>
        <w:pStyle w:val="BodyText"/>
        <w:spacing w:line="240" w:lineRule="auto"/>
        <w:ind w:left="444" w:right="891"/>
        <w:jc w:val="left"/>
      </w:pPr>
      <w:r>
        <w:rPr/>
        <w:t>合并方为进行企业合并发生的各项直接费用，于发生时计入当期损益。</w:t>
      </w:r>
    </w:p>
    <w:p>
      <w:pPr>
        <w:pStyle w:val="BodyText"/>
        <w:spacing w:line="510" w:lineRule="atLeast" w:before="31"/>
        <w:ind w:left="444" w:right="891" w:hanging="74"/>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参与合并的企业在合并前后不受同一方或相同的多方最终控制的，为非同一控制下的企业合并。非同一控制下的企业合</w:t>
      </w:r>
    </w:p>
    <w:p>
      <w:pPr>
        <w:pStyle w:val="BodyText"/>
        <w:spacing w:line="316" w:lineRule="auto" w:before="76"/>
        <w:ind w:right="891"/>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spacing w:line="240" w:lineRule="auto" w:before="12"/>
        <w:rPr>
          <w:rFonts w:ascii="宋体" w:hAnsi="宋体" w:cs="宋体" w:eastAsia="宋体" w:hint="default"/>
          <w:sz w:val="17"/>
          <w:szCs w:val="17"/>
        </w:rPr>
      </w:pPr>
    </w:p>
    <w:p>
      <w:pPr>
        <w:pStyle w:val="BodyText"/>
        <w:spacing w:line="316" w:lineRule="auto"/>
        <w:ind w:left="153" w:right="891" w:firstLine="290"/>
        <w:jc w:val="left"/>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p>
    <w:p>
      <w:pPr>
        <w:spacing w:after="0" w:line="316"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1"/>
        <w:jc w:val="both"/>
      </w:pP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spacing w:line="240" w:lineRule="auto" w:before="1"/>
        <w:rPr>
          <w:rFonts w:ascii="宋体" w:hAnsi="宋体" w:cs="宋体" w:eastAsia="宋体" w:hint="default"/>
          <w:sz w:val="18"/>
          <w:szCs w:val="18"/>
        </w:rPr>
      </w:pPr>
    </w:p>
    <w:p>
      <w:pPr>
        <w:pStyle w:val="BodyText"/>
        <w:spacing w:line="312" w:lineRule="auto"/>
        <w:ind w:left="153" w:right="1131" w:firstLine="29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4"/>
        </w:rPr>
        <w:t> </w:t>
      </w:r>
      <w:r>
        <w:rPr>
          <w:spacing w:val="-64"/>
        </w:rPr>
      </w:r>
      <w:r>
        <w:rPr>
          <w:spacing w:val="-2"/>
        </w:rPr>
        <w:t>益能够实现的，则确认相关的递延所得税资产，同时减少商誉，商誉不足冲减的，差额部分确认为当期损益；除上述情况以</w:t>
      </w:r>
      <w:r>
        <w:rPr>
          <w:spacing w:val="-66"/>
        </w:rPr>
        <w:t> </w:t>
      </w:r>
      <w:r>
        <w:rPr>
          <w:spacing w:val="-66"/>
        </w:rPr>
      </w:r>
      <w:r>
        <w:rPr/>
        <w:t>外，确认与企业合并相关的递延所得税资产的，计入当期损益。</w:t>
      </w:r>
    </w:p>
    <w:p>
      <w:pPr>
        <w:spacing w:line="240" w:lineRule="auto" w:before="3"/>
        <w:rPr>
          <w:rFonts w:ascii="宋体" w:hAnsi="宋体" w:cs="宋体" w:eastAsia="宋体" w:hint="default"/>
          <w:sz w:val="18"/>
          <w:szCs w:val="18"/>
        </w:rPr>
      </w:pPr>
    </w:p>
    <w:p>
      <w:pPr>
        <w:pStyle w:val="BodyText"/>
        <w:spacing w:line="300" w:lineRule="auto"/>
        <w:ind w:left="153" w:right="891" w:firstLine="290"/>
        <w:jc w:val="left"/>
      </w:pPr>
      <w:r>
        <w:rPr>
          <w:spacing w:val="-4"/>
        </w:rPr>
        <w:t>通过多次交易分步实现的非同一控制下企业合并，根据《财政部关于印发企业会计准则解释第</w:t>
      </w:r>
      <w:r>
        <w:rPr>
          <w:rFonts w:ascii="Times New Roman" w:hAnsi="Times New Roman" w:cs="Times New Roman" w:eastAsia="Times New Roman" w:hint="default"/>
          <w:spacing w:val="-4"/>
        </w:rPr>
        <w:t>5</w:t>
      </w:r>
      <w:r>
        <w:rPr>
          <w:spacing w:val="-4"/>
        </w:rPr>
        <w:t>号的通知》（财会〔</w:t>
      </w:r>
      <w:r>
        <w:rPr>
          <w:rFonts w:ascii="Times New Roman" w:hAnsi="Times New Roman" w:cs="Times New Roman" w:eastAsia="Times New Roman" w:hint="default"/>
          <w:spacing w:val="-4"/>
        </w:rPr>
        <w:t>2012</w:t>
      </w:r>
      <w:r>
        <w:rPr>
          <w:spacing w:val="-4"/>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0"/>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w:t>
      </w:r>
      <w:r>
        <w:rPr>
          <w:spacing w:val="-17"/>
        </w:rPr>
        <w:t> </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 </w:t>
      </w:r>
      <w:r>
        <w:rPr/>
        <w:t>的，区分个别财务报表和合并财务报表进行相关会计处理：</w:t>
      </w:r>
    </w:p>
    <w:p>
      <w:pPr>
        <w:spacing w:line="240" w:lineRule="auto" w:before="12"/>
        <w:rPr>
          <w:rFonts w:ascii="宋体" w:hAnsi="宋体" w:cs="宋体" w:eastAsia="宋体" w:hint="default"/>
          <w:sz w:val="18"/>
          <w:szCs w:val="18"/>
        </w:rPr>
      </w:pPr>
    </w:p>
    <w:p>
      <w:pPr>
        <w:pStyle w:val="BodyText"/>
        <w:spacing w:line="316" w:lineRule="auto"/>
        <w:ind w:right="1129" w:firstLine="290"/>
        <w:jc w:val="both"/>
      </w:pPr>
      <w:r>
        <w:rPr>
          <w:spacing w:val="-1"/>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spacing w:line="240" w:lineRule="auto" w:before="12"/>
        <w:rPr>
          <w:rFonts w:ascii="宋体" w:hAnsi="宋体" w:cs="宋体" w:eastAsia="宋体" w:hint="default"/>
          <w:sz w:val="17"/>
          <w:szCs w:val="17"/>
        </w:rPr>
      </w:pPr>
    </w:p>
    <w:p>
      <w:pPr>
        <w:pStyle w:val="BodyText"/>
        <w:spacing w:line="316" w:lineRule="auto"/>
        <w:ind w:right="1129" w:firstLine="290"/>
        <w:jc w:val="both"/>
      </w:pPr>
      <w:r>
        <w:rPr>
          <w:spacing w:val="-1"/>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86"/>
        <w:ind w:left="444" w:right="891" w:hanging="74"/>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合并财务报表的合并范围以控制为基础予以确定。控制是指本公司拥有对被投资方的权力，通过参与被投资方的相关活</w:t>
      </w:r>
    </w:p>
    <w:p>
      <w:pPr>
        <w:pStyle w:val="BodyText"/>
        <w:spacing w:line="316" w:lineRule="auto" w:before="76"/>
        <w:ind w:right="891"/>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spacing w:line="240" w:lineRule="auto" w:before="12"/>
        <w:rPr>
          <w:rFonts w:ascii="宋体" w:hAnsi="宋体" w:cs="宋体" w:eastAsia="宋体" w:hint="default"/>
          <w:sz w:val="17"/>
          <w:szCs w:val="17"/>
        </w:rPr>
      </w:pPr>
    </w:p>
    <w:p>
      <w:pPr>
        <w:pStyle w:val="BodyText"/>
        <w:spacing w:line="240" w:lineRule="auto"/>
        <w:ind w:left="444" w:right="891"/>
        <w:jc w:val="left"/>
      </w:pPr>
      <w:r>
        <w:rPr/>
        <w:t>一旦相关事实和情况的变化导致上述控制定义涉及的相关要素发生了变化，本公司将进行重新评估。</w:t>
      </w:r>
    </w:p>
    <w:p>
      <w:pPr>
        <w:pStyle w:val="BodyText"/>
        <w:spacing w:line="510" w:lineRule="atLeast" w:before="31"/>
        <w:ind w:left="444" w:right="891" w:hanging="74"/>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从取得子公司的净资产和生产经营决策的实际控制权之日起，本公司开始将其纳入合并范围；从丧失实际控制权之日起</w:t>
      </w:r>
    </w:p>
    <w:p>
      <w:pPr>
        <w:pStyle w:val="BodyText"/>
        <w:spacing w:line="316" w:lineRule="auto" w:before="76"/>
        <w:ind w:right="891"/>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spacing w:after="0" w:line="316"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290"/>
        <w:jc w:val="both"/>
      </w:pPr>
      <w:r>
        <w:rPr>
          <w:spacing w:val="-1"/>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528" w:lineRule="exact" w:before="22"/>
        <w:ind w:left="443" w:right="891" w:firstLine="1"/>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子公司的股东权益及当期净损益中不属于本公司所拥有的部分分别作为少数股东权益及少数股东损益在合并财务报表</w:t>
      </w:r>
      <w:r>
        <w:rPr/>
      </w:r>
    </w:p>
    <w:p>
      <w:pPr>
        <w:pStyle w:val="BodyText"/>
        <w:spacing w:line="300" w:lineRule="auto"/>
        <w:ind w:right="112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line="240" w:lineRule="auto" w:before="12"/>
        <w:rPr>
          <w:rFonts w:ascii="宋体" w:hAnsi="宋体" w:cs="宋体" w:eastAsia="宋体" w:hint="default"/>
          <w:sz w:val="18"/>
          <w:szCs w:val="18"/>
        </w:rPr>
      </w:pPr>
    </w:p>
    <w:p>
      <w:pPr>
        <w:pStyle w:val="BodyText"/>
        <w:spacing w:line="312" w:lineRule="auto"/>
        <w:ind w:right="1128" w:firstLine="290"/>
        <w:jc w:val="both"/>
      </w:pPr>
      <w:r>
        <w:rPr>
          <w:spacing w:val="-1"/>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w:t>
      </w:r>
      <w:r>
        <w:rPr>
          <w:spacing w:val="-77"/>
        </w:rPr>
        <w:t> </w:t>
      </w:r>
      <w:r>
        <w:rPr>
          <w:spacing w:val="-77"/>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p>
      <w:pPr>
        <w:pStyle w:val="BodyText"/>
        <w:spacing w:line="312" w:lineRule="auto"/>
        <w:ind w:right="891" w:firstLine="373"/>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t>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510" w:lineRule="atLeast" w:before="86"/>
        <w:ind w:left="444" w:right="1026" w:hanging="74"/>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本公司发生的外币交易在初始确认时，按交易日的即期汇率（通常指中国人民银行公布的当日外汇牌价的中间价，下同）</w:t>
      </w:r>
    </w:p>
    <w:p>
      <w:pPr>
        <w:pStyle w:val="BodyText"/>
        <w:spacing w:line="316" w:lineRule="auto" w:before="76"/>
        <w:ind w:right="1130"/>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528" w:lineRule="exact" w:before="22"/>
        <w:ind w:left="444" w:right="891" w:hanging="74"/>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资产负债表日，对于外币货币性项目采用资产负债表日即期汇率折算，由此产生的汇兑差额，除：①属于与购建符合资</w:t>
      </w:r>
    </w:p>
    <w:p>
      <w:pPr>
        <w:pStyle w:val="BodyText"/>
        <w:spacing w:line="232" w:lineRule="exact"/>
        <w:ind w:right="0"/>
        <w:jc w:val="both"/>
      </w:pPr>
      <w:r>
        <w:rPr/>
        <w:t>本化条件的资产相关的外币专门借款产生的汇兑差额按照借款费用资本化的原则处理</w:t>
      </w:r>
      <w:r>
        <w:rPr>
          <w:spacing w:val="-82"/>
        </w:rPr>
        <w:t>；</w:t>
      </w:r>
      <w:r>
        <w:rPr/>
        <w:t>②可供出售的外币货币性项目除摊余</w:t>
      </w:r>
    </w:p>
    <w:p>
      <w:pPr>
        <w:spacing w:after="0" w:line="232" w:lineRule="exact"/>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891"/>
        <w:jc w:val="left"/>
      </w:pPr>
      <w:r>
        <w:rPr/>
        <w:t>成本之外的其他账面余额变动产生的汇兑差额计入其他综合收益之外，均计入当期损益。</w:t>
      </w:r>
    </w:p>
    <w:p>
      <w:pPr>
        <w:spacing w:line="240" w:lineRule="auto" w:before="5"/>
        <w:rPr>
          <w:rFonts w:ascii="宋体" w:hAnsi="宋体" w:cs="宋体" w:eastAsia="宋体" w:hint="default"/>
          <w:sz w:val="22"/>
          <w:szCs w:val="22"/>
        </w:rPr>
      </w:pPr>
    </w:p>
    <w:p>
      <w:pPr>
        <w:pStyle w:val="BodyText"/>
        <w:spacing w:line="316" w:lineRule="auto"/>
        <w:ind w:right="1131"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528" w:lineRule="exact" w:before="22"/>
        <w:ind w:left="444" w:right="891" w:hanging="74"/>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编制合并财务报表涉及境外经营的，如有实质上构成对境外经营净投资的外币货币性项目，因汇率变动而产生的汇兑差</w:t>
      </w:r>
    </w:p>
    <w:p>
      <w:pPr>
        <w:pStyle w:val="BodyText"/>
        <w:spacing w:line="245" w:lineRule="exact"/>
        <w:ind w:right="891"/>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4"/>
        <w:rPr>
          <w:rFonts w:ascii="宋体" w:hAnsi="宋体" w:cs="宋体" w:eastAsia="宋体" w:hint="default"/>
          <w:sz w:val="21"/>
          <w:szCs w:val="21"/>
        </w:rPr>
      </w:pPr>
    </w:p>
    <w:p>
      <w:pPr>
        <w:pStyle w:val="BodyText"/>
        <w:spacing w:line="314" w:lineRule="auto"/>
        <w:ind w:right="1129" w:firstLine="290"/>
        <w:jc w:val="both"/>
      </w:pPr>
      <w:r>
        <w:rPr>
          <w:spacing w:val="-1"/>
        </w:rPr>
        <w:t>境外经营的外币财务报表按以下方法折算为人民币报表：资产负债表中的资产和负债项目，采用资产负债表日的即期汇</w:t>
      </w:r>
      <w:r>
        <w:rPr/>
        <w:t> </w:t>
      </w: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spacing w:line="240" w:lineRule="auto" w:before="1"/>
        <w:rPr>
          <w:rFonts w:ascii="宋体" w:hAnsi="宋体" w:cs="宋体" w:eastAsia="宋体" w:hint="default"/>
          <w:sz w:val="18"/>
          <w:szCs w:val="18"/>
        </w:rPr>
      </w:pPr>
    </w:p>
    <w:p>
      <w:pPr>
        <w:pStyle w:val="BodyText"/>
        <w:spacing w:line="316" w:lineRule="auto"/>
        <w:ind w:right="1131" w:firstLine="290"/>
        <w:jc w:val="both"/>
      </w:pPr>
      <w:r>
        <w:rPr>
          <w:spacing w:val="-1"/>
        </w:rPr>
        <w:t>外币现金流量以及境外子公司的现金流量，采用现金流量发生日的即期汇率折算。汇率变动对现金的影响额作为调节项</w:t>
      </w:r>
      <w:r>
        <w:rPr/>
        <w:t> 目，在现金流量表中单独列报。</w:t>
      </w:r>
    </w:p>
    <w:p>
      <w:pPr>
        <w:pStyle w:val="BodyText"/>
        <w:spacing w:line="528" w:lineRule="exact" w:before="22"/>
        <w:ind w:left="444" w:right="891"/>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在处置本公司在境外经营的全部所有者权益或因处置部分股权投资或其他原因丧失了对境外经营控制权时，将资产负债</w:t>
      </w:r>
    </w:p>
    <w:p>
      <w:pPr>
        <w:pStyle w:val="BodyText"/>
        <w:spacing w:line="232" w:lineRule="exact"/>
        <w:ind w:right="891"/>
        <w:jc w:val="left"/>
      </w:pPr>
      <w:r>
        <w:rPr/>
        <w:t>表中股东权益项目下列示的、与该境外经营相关的归属于母公司所有者权益的外币报表折算差额，全部转入处置当期损益。</w:t>
      </w:r>
    </w:p>
    <w:p>
      <w:pPr>
        <w:spacing w:line="240" w:lineRule="auto" w:before="5"/>
        <w:rPr>
          <w:rFonts w:ascii="宋体" w:hAnsi="宋体" w:cs="宋体" w:eastAsia="宋体" w:hint="default"/>
          <w:sz w:val="22"/>
          <w:szCs w:val="22"/>
        </w:rPr>
      </w:pPr>
    </w:p>
    <w:p>
      <w:pPr>
        <w:pStyle w:val="BodyText"/>
        <w:spacing w:line="316" w:lineRule="auto"/>
        <w:ind w:right="1030" w:firstLine="290"/>
        <w:jc w:val="left"/>
      </w:pPr>
      <w:r>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5" w:firstLine="360"/>
        <w:jc w:val="both"/>
      </w:pPr>
      <w:r>
        <w:rPr/>
        <w:t>在本公司成为金融工具合同的一方时确认一项金融资产或金融负债。金融资产和金融负债在初始确认时以公允价值计</w:t>
      </w:r>
      <w:r>
        <w:rPr>
          <w:spacing w:val="2"/>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528" w:lineRule="exact" w:before="22"/>
        <w:ind w:left="514" w:right="891" w:hanging="143"/>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ind w:right="1030"/>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528" w:lineRule="exact" w:before="22"/>
        <w:ind w:left="514" w:right="891" w:hanging="143"/>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32" w:lineRule="exact"/>
        <w:ind w:right="891"/>
        <w:jc w:val="left"/>
      </w:pPr>
      <w:r>
        <w:rPr/>
        <w:t>计入当期损益的金融资产、持有至到期投资、贷款和应收款项以及可供出售金融资产。</w:t>
      </w:r>
    </w:p>
    <w:p>
      <w:pPr>
        <w:spacing w:after="0" w:line="232" w:lineRule="exact"/>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537" w:lineRule="auto" w:before="44"/>
        <w:ind w:left="514" w:right="891"/>
        <w:jc w:val="left"/>
      </w:pPr>
      <w:r>
        <w:rPr/>
        <w:t>①以公允价值计量且其变动计入当期损益的金融资产 包括交易性金融资产和指定为以公允价值计量且其变动计入当期损益的金融资产。</w:t>
      </w:r>
    </w:p>
    <w:p>
      <w:pPr>
        <w:pStyle w:val="BodyText"/>
        <w:spacing w:line="307" w:lineRule="auto" w:before="69"/>
        <w:ind w:right="1129" w:firstLine="360"/>
        <w:jc w:val="both"/>
      </w:pP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r>
        <w:rPr/>
        <w:t> </w:t>
      </w: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spacing w:line="240" w:lineRule="auto" w:before="7"/>
        <w:rPr>
          <w:rFonts w:ascii="宋体" w:hAnsi="宋体" w:cs="宋体" w:eastAsia="宋体" w:hint="default"/>
          <w:sz w:val="18"/>
          <w:szCs w:val="18"/>
        </w:rPr>
      </w:pPr>
    </w:p>
    <w:p>
      <w:pPr>
        <w:pStyle w:val="BodyText"/>
        <w:spacing w:line="307" w:lineRule="auto"/>
        <w:ind w:left="153" w:right="1131"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spacing w:line="240" w:lineRule="auto" w:before="6"/>
        <w:rPr>
          <w:rFonts w:ascii="宋体" w:hAnsi="宋体" w:cs="宋体" w:eastAsia="宋体" w:hint="default"/>
          <w:sz w:val="18"/>
          <w:szCs w:val="18"/>
        </w:rPr>
      </w:pPr>
    </w:p>
    <w:p>
      <w:pPr>
        <w:pStyle w:val="BodyText"/>
        <w:spacing w:line="316" w:lineRule="auto"/>
        <w:ind w:left="153"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528" w:lineRule="exact" w:before="22"/>
        <w:ind w:left="513" w:right="891"/>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32" w:lineRule="exact"/>
        <w:ind w:left="153" w:right="891"/>
        <w:jc w:val="left"/>
      </w:pPr>
      <w:r>
        <w:rPr/>
        <w:t>当期损益。</w:t>
      </w:r>
    </w:p>
    <w:p>
      <w:pPr>
        <w:spacing w:line="240" w:lineRule="auto" w:before="5"/>
        <w:rPr>
          <w:rFonts w:ascii="宋体" w:hAnsi="宋体" w:cs="宋体" w:eastAsia="宋体" w:hint="default"/>
          <w:sz w:val="22"/>
          <w:szCs w:val="22"/>
        </w:rPr>
      </w:pPr>
    </w:p>
    <w:p>
      <w:pPr>
        <w:pStyle w:val="BodyText"/>
        <w:spacing w:line="316" w:lineRule="auto"/>
        <w:ind w:left="153" w:right="113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528" w:lineRule="exact" w:before="22"/>
        <w:ind w:left="513" w:right="891"/>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232" w:lineRule="exact"/>
        <w:ind w:left="153" w:right="891"/>
        <w:jc w:val="left"/>
      </w:pPr>
      <w:r>
        <w:rPr/>
        <w:t>收票据、应收账款、应收利息、应收股利及其他应收款等。</w:t>
      </w:r>
    </w:p>
    <w:p>
      <w:pPr>
        <w:spacing w:line="240" w:lineRule="auto" w:before="5"/>
        <w:rPr>
          <w:rFonts w:ascii="宋体" w:hAnsi="宋体" w:cs="宋体" w:eastAsia="宋体" w:hint="default"/>
          <w:sz w:val="22"/>
          <w:szCs w:val="22"/>
        </w:rPr>
      </w:pPr>
    </w:p>
    <w:p>
      <w:pPr>
        <w:pStyle w:val="BodyText"/>
        <w:spacing w:line="316" w:lineRule="auto"/>
        <w:ind w:left="153" w:right="1131" w:firstLine="360"/>
        <w:jc w:val="both"/>
      </w:pPr>
      <w:r>
        <w:rPr>
          <w:spacing w:val="-2"/>
        </w:rPr>
        <w:t>贷款和应收款项采用实际利率法，按摊余成本进行后续计量，在终止确认、发生减值或摊销时产生的利得或损失，计入</w:t>
      </w:r>
      <w:r>
        <w:rPr/>
        <w:t> 当期损益。</w:t>
      </w:r>
    </w:p>
    <w:p>
      <w:pPr>
        <w:pStyle w:val="BodyText"/>
        <w:spacing w:line="528" w:lineRule="exact" w:before="22"/>
        <w:ind w:left="513" w:right="1031"/>
        <w:jc w:val="left"/>
      </w:pPr>
      <w:r>
        <w:rPr/>
        <w:t>④可供出售金融资产 包括初始确认时即被指定为可供出售的非衍生金融资产，以及除了以公允价值计量且其变动计入当期损益的金融资产、</w:t>
      </w:r>
    </w:p>
    <w:p>
      <w:pPr>
        <w:pStyle w:val="BodyText"/>
        <w:spacing w:line="232" w:lineRule="exact"/>
        <w:ind w:left="153" w:right="891"/>
        <w:jc w:val="left"/>
      </w:pPr>
      <w:r>
        <w:rPr/>
        <w:t>贷款和应收款项、持有至到期投资以外的金融资产。</w:t>
      </w:r>
    </w:p>
    <w:p>
      <w:pPr>
        <w:spacing w:line="240" w:lineRule="auto" w:before="5"/>
        <w:rPr>
          <w:rFonts w:ascii="宋体" w:hAnsi="宋体" w:cs="宋体" w:eastAsia="宋体" w:hint="default"/>
          <w:sz w:val="22"/>
          <w:szCs w:val="22"/>
        </w:rPr>
      </w:pPr>
    </w:p>
    <w:p>
      <w:pPr>
        <w:pStyle w:val="BodyText"/>
        <w:spacing w:line="316" w:lineRule="auto"/>
        <w:ind w:left="153" w:right="1130" w:firstLine="360"/>
        <w:jc w:val="both"/>
      </w:pPr>
      <w:r>
        <w:rPr>
          <w:spacing w:val="-2"/>
        </w:rPr>
        <w:t>可供出售债务工具投资的期末成本按照其摊余成本法确定，即初始确认金额扣除已偿还的本金，加上或减去采用实际利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spacing w:after="0" w:line="316"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spacing w:line="240" w:lineRule="auto" w:before="12"/>
        <w:rPr>
          <w:rFonts w:ascii="宋体" w:hAnsi="宋体" w:cs="宋体" w:eastAsia="宋体" w:hint="default"/>
          <w:sz w:val="17"/>
          <w:szCs w:val="17"/>
        </w:rPr>
      </w:pPr>
    </w:p>
    <w:p>
      <w:pPr>
        <w:pStyle w:val="BodyText"/>
        <w:spacing w:line="240" w:lineRule="auto"/>
        <w:ind w:left="514" w:right="891"/>
        <w:jc w:val="left"/>
      </w:pPr>
      <w:r>
        <w:rPr/>
        <w:t>可供出售金融资产持有期间取得的利息及被投资单位宣告发放的现金股利，计入投资收益。</w:t>
      </w:r>
    </w:p>
    <w:p>
      <w:pPr>
        <w:pStyle w:val="BodyText"/>
        <w:spacing w:line="510" w:lineRule="atLeast" w:before="31"/>
        <w:ind w:left="514" w:right="891" w:hanging="36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240" w:lineRule="auto" w:before="76"/>
        <w:ind w:right="0"/>
        <w:jc w:val="both"/>
      </w:pPr>
      <w:r>
        <w:rPr/>
        <w:t>检查，有客观证据表明金融资产发生减值的，计提减值准备。</w:t>
      </w:r>
    </w:p>
    <w:p>
      <w:pPr>
        <w:spacing w:line="240" w:lineRule="auto" w:before="5"/>
        <w:rPr>
          <w:rFonts w:ascii="宋体" w:hAnsi="宋体" w:cs="宋体" w:eastAsia="宋体" w:hint="default"/>
          <w:sz w:val="22"/>
          <w:szCs w:val="22"/>
        </w:rPr>
      </w:pPr>
    </w:p>
    <w:p>
      <w:pPr>
        <w:pStyle w:val="BodyText"/>
        <w:spacing w:line="316" w:lineRule="auto"/>
        <w:ind w:right="1129"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528" w:lineRule="exact" w:before="22"/>
        <w:ind w:left="514" w:right="891"/>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ind w:right="1129"/>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528" w:lineRule="exact" w:before="22"/>
        <w:ind w:left="514" w:right="891"/>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5" w:lineRule="exact"/>
        <w:ind w:right="0"/>
        <w:jc w:val="both"/>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21"/>
          <w:szCs w:val="21"/>
        </w:rPr>
      </w:pPr>
    </w:p>
    <w:p>
      <w:pPr>
        <w:pStyle w:val="BodyText"/>
        <w:spacing w:line="316" w:lineRule="auto"/>
        <w:ind w:right="1048"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spacing w:line="240" w:lineRule="auto" w:before="12"/>
        <w:rPr>
          <w:rFonts w:ascii="宋体" w:hAnsi="宋体" w:cs="宋体" w:eastAsia="宋体" w:hint="default"/>
          <w:sz w:val="17"/>
          <w:szCs w:val="17"/>
        </w:rPr>
      </w:pPr>
    </w:p>
    <w:p>
      <w:pPr>
        <w:pStyle w:val="BodyText"/>
        <w:spacing w:line="316" w:lineRule="auto"/>
        <w:ind w:right="1131"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spacing w:line="240" w:lineRule="auto" w:before="12"/>
        <w:rPr>
          <w:rFonts w:ascii="宋体" w:hAnsi="宋体" w:cs="宋体" w:eastAsia="宋体" w:hint="default"/>
          <w:sz w:val="17"/>
          <w:szCs w:val="17"/>
        </w:rPr>
      </w:pPr>
    </w:p>
    <w:p>
      <w:pPr>
        <w:pStyle w:val="BodyText"/>
        <w:spacing w:line="316" w:lineRule="auto"/>
        <w:ind w:right="1129"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528" w:lineRule="exact" w:before="22"/>
        <w:ind w:left="514" w:right="891" w:hanging="143"/>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ind w:right="1131"/>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spacing w:line="240" w:lineRule="auto" w:before="12"/>
        <w:rPr>
          <w:rFonts w:ascii="宋体" w:hAnsi="宋体" w:cs="宋体" w:eastAsia="宋体" w:hint="default"/>
          <w:sz w:val="17"/>
          <w:szCs w:val="17"/>
        </w:rPr>
      </w:pPr>
    </w:p>
    <w:p>
      <w:pPr>
        <w:pStyle w:val="BodyText"/>
        <w:spacing w:line="316" w:lineRule="auto"/>
        <w:ind w:right="1131"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spacing w:after="0" w:line="316"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spacing w:line="240" w:lineRule="auto" w:before="12"/>
        <w:rPr>
          <w:rFonts w:ascii="宋体" w:hAnsi="宋体" w:cs="宋体" w:eastAsia="宋体" w:hint="default"/>
          <w:sz w:val="17"/>
          <w:szCs w:val="17"/>
        </w:rPr>
      </w:pPr>
    </w:p>
    <w:p>
      <w:pPr>
        <w:pStyle w:val="BodyText"/>
        <w:spacing w:line="316" w:lineRule="auto"/>
        <w:ind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12"/>
        <w:rPr>
          <w:rFonts w:ascii="宋体" w:hAnsi="宋体" w:cs="宋体" w:eastAsia="宋体" w:hint="default"/>
          <w:sz w:val="17"/>
          <w:szCs w:val="17"/>
        </w:rPr>
      </w:pPr>
    </w:p>
    <w:p>
      <w:pPr>
        <w:pStyle w:val="BodyText"/>
        <w:spacing w:line="316" w:lineRule="auto"/>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528" w:lineRule="exact" w:before="22"/>
        <w:ind w:left="514" w:right="1030" w:hanging="14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ind w:right="891"/>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528" w:lineRule="exact" w:before="22"/>
        <w:ind w:left="514" w:right="121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232" w:lineRule="exact"/>
        <w:ind w:right="891"/>
        <w:jc w:val="left"/>
      </w:pPr>
      <w:r>
        <w:rPr/>
        <w:t>性金融资产和在初始确认时指定为以公允价值计量且其变动计入当期损益的金融资产的条件一致。</w:t>
      </w:r>
    </w:p>
    <w:p>
      <w:pPr>
        <w:spacing w:line="240" w:lineRule="auto" w:before="5"/>
        <w:rPr>
          <w:rFonts w:ascii="宋体" w:hAnsi="宋体" w:cs="宋体" w:eastAsia="宋体" w:hint="default"/>
          <w:sz w:val="22"/>
          <w:szCs w:val="22"/>
        </w:rPr>
      </w:pPr>
    </w:p>
    <w:p>
      <w:pPr>
        <w:pStyle w:val="BodyText"/>
        <w:spacing w:line="316" w:lineRule="auto"/>
        <w:ind w:right="1131" w:firstLine="360"/>
        <w:jc w:val="both"/>
      </w:pPr>
      <w:r>
        <w:rPr>
          <w:spacing w:val="-2"/>
        </w:rPr>
        <w:t>以公允价值计量且其变动计入当期损益的金融负债采用公允价值进行后续计量，公允价值的变动形成的利得或损失以及</w:t>
      </w:r>
      <w:r>
        <w:rPr/>
        <w:t> 与该等金融负债相关的股利和利息支出计入当期损益。</w:t>
      </w:r>
    </w:p>
    <w:p>
      <w:pPr>
        <w:pStyle w:val="BodyText"/>
        <w:spacing w:line="528" w:lineRule="exact" w:before="22"/>
        <w:ind w:left="514" w:right="891"/>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ind w:right="891"/>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528" w:lineRule="exact" w:before="22"/>
        <w:ind w:left="514" w:right="891" w:hanging="143"/>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ind w:right="891"/>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spacing w:line="240" w:lineRule="auto" w:before="12"/>
        <w:rPr>
          <w:rFonts w:ascii="宋体" w:hAnsi="宋体" w:cs="宋体" w:eastAsia="宋体" w:hint="default"/>
          <w:sz w:val="17"/>
          <w:szCs w:val="17"/>
        </w:rPr>
      </w:pPr>
    </w:p>
    <w:p>
      <w:pPr>
        <w:pStyle w:val="BodyText"/>
        <w:spacing w:line="316" w:lineRule="auto"/>
        <w:ind w:right="1131"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528" w:lineRule="exact" w:before="22"/>
        <w:ind w:left="514" w:right="891" w:hanging="143"/>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ind w:right="891"/>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line="240" w:lineRule="auto" w:before="12"/>
        <w:rPr>
          <w:rFonts w:ascii="宋体" w:hAnsi="宋体" w:cs="宋体" w:eastAsia="宋体" w:hint="default"/>
          <w:sz w:val="17"/>
          <w:szCs w:val="17"/>
        </w:rPr>
      </w:pPr>
    </w:p>
    <w:p>
      <w:pPr>
        <w:pStyle w:val="BodyText"/>
        <w:spacing w:line="240" w:lineRule="auto"/>
        <w:ind w:left="371" w:right="891"/>
        <w:jc w:val="left"/>
      </w:pPr>
      <w:r>
        <w:rPr/>
        <w:t>（</w:t>
      </w:r>
      <w:r>
        <w:rPr>
          <w:rFonts w:ascii="Times New Roman" w:hAnsi="Times New Roman" w:cs="Times New Roman" w:eastAsia="Times New Roman" w:hint="default"/>
        </w:rPr>
        <w:t>8</w:t>
      </w:r>
      <w:r>
        <w:rPr/>
        <w:t>）权益工具</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891" w:firstLine="360"/>
        <w:jc w:val="left"/>
      </w:pPr>
      <w:r>
        <w:rPr>
          <w:spacing w:val="-2"/>
        </w:rPr>
        <w:t>权益工具是指能证明拥有本公司在扣除所有负债后的资产中的剩余权益的合同。本公司发行（含再融资）、回购、出售</w:t>
      </w:r>
      <w:r>
        <w:rPr/>
        <w:t> </w:t>
      </w:r>
      <w:r>
        <w:rPr>
          <w:spacing w:val="-4"/>
        </w:rPr>
        <w:t>或注销权益工具作为权益的变动处理。本公司不确认权益工具的公允价值变动。与权益性交易相关的交易费用从权益中扣减。</w:t>
      </w:r>
    </w:p>
    <w:p>
      <w:pPr>
        <w:spacing w:line="240" w:lineRule="auto" w:before="12"/>
        <w:rPr>
          <w:rFonts w:ascii="宋体" w:hAnsi="宋体" w:cs="宋体" w:eastAsia="宋体" w:hint="default"/>
          <w:sz w:val="17"/>
          <w:szCs w:val="17"/>
        </w:rPr>
      </w:pPr>
    </w:p>
    <w:p>
      <w:pPr>
        <w:pStyle w:val="BodyText"/>
        <w:spacing w:line="240" w:lineRule="auto"/>
        <w:ind w:left="444" w:right="891"/>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10</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万元）以上的应收账款、余额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单独测试未发生减值的金融资产，包括在具有类似信用风险</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损失的应收款项，不再包括在具有类似信用风险特征的应收</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73"/>
        <w:gridCol w:w="4783"/>
      </w:tblGrid>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891"/>
        <w:jc w:val="left"/>
      </w:pPr>
      <w:r>
        <w:rPr/>
        <w:t>组合中，采用账龄分析法计提坏账准备的：</w:t>
      </w:r>
    </w:p>
    <w:p>
      <w:pPr>
        <w:pStyle w:val="BodyText"/>
        <w:spacing w:line="240" w:lineRule="auto" w:before="117"/>
        <w:ind w:left="153" w:right="89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91"/>
        <w:jc w:val="left"/>
      </w:pPr>
      <w:r>
        <w:rPr/>
        <w:t>组合中，采用余额百分比法计提坏账准备的：</w:t>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7510"/>
        <w:jc w:val="left"/>
      </w:pPr>
      <w:r>
        <w:rPr/>
        <w:t>□ 适用 √ 不适用 组合中，采用其他方法计提坏账准备的：</w:t>
      </w:r>
    </w:p>
    <w:p>
      <w:pPr>
        <w:pStyle w:val="BodyText"/>
        <w:spacing w:line="240" w:lineRule="auto" w:before="29"/>
        <w:ind w:right="89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11"/>
        <w:gridCol w:w="5929"/>
      </w:tblGrid>
      <w:tr>
        <w:trPr>
          <w:trHeight w:val="1649" w:hRule="exact"/>
        </w:trPr>
        <w:tc>
          <w:tcPr>
            <w:tcW w:w="361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9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20" w:firstLine="360"/>
              <w:jc w:val="both"/>
              <w:rPr>
                <w:rFonts w:ascii="宋体" w:hAnsi="宋体" w:cs="宋体" w:eastAsia="宋体" w:hint="default"/>
                <w:sz w:val="18"/>
                <w:szCs w:val="18"/>
              </w:rPr>
            </w:pPr>
            <w:r>
              <w:rPr>
                <w:rFonts w:ascii="宋体" w:hAnsi="宋体" w:cs="宋体" w:eastAsia="宋体" w:hint="default"/>
                <w:spacing w:val="-2"/>
                <w:sz w:val="18"/>
                <w:szCs w:val="18"/>
              </w:rPr>
              <w:t>本公司对于单项金额虽不重大但具备以下特征如：应收关联方款项；与</w:t>
            </w:r>
            <w:r>
              <w:rPr>
                <w:rFonts w:ascii="宋体" w:hAnsi="宋体" w:cs="宋体" w:eastAsia="宋体" w:hint="default"/>
                <w:sz w:val="18"/>
                <w:szCs w:val="18"/>
              </w:rPr>
              <w:t> </w:t>
            </w:r>
            <w:r>
              <w:rPr>
                <w:rFonts w:ascii="宋体" w:hAnsi="宋体" w:cs="宋体" w:eastAsia="宋体" w:hint="default"/>
                <w:spacing w:val="-2"/>
                <w:sz w:val="18"/>
                <w:szCs w:val="18"/>
              </w:rPr>
              <w:t>对方存在争议或涉及诉讼、仲裁的应收款项；已有明显迹象表明债务人很可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能无法履行还款义务的应收款项，单独进行减值测试，有客观证据表明其发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生了减值的，根据其未来现金流量现值低于其账面价值的差额，确认减值损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失，计提坏账准备。</w:t>
            </w:r>
          </w:p>
        </w:tc>
      </w:tr>
      <w:tr>
        <w:trPr>
          <w:trHeight w:val="714" w:hRule="exact"/>
        </w:trPr>
        <w:tc>
          <w:tcPr>
            <w:tcW w:w="361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9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11" w:right="20" w:firstLine="360"/>
              <w:jc w:val="left"/>
              <w:rPr>
                <w:rFonts w:ascii="宋体" w:hAnsi="宋体" w:cs="宋体" w:eastAsia="宋体" w:hint="default"/>
                <w:sz w:val="18"/>
                <w:szCs w:val="18"/>
              </w:rPr>
            </w:pPr>
            <w:r>
              <w:rPr>
                <w:rFonts w:ascii="宋体" w:hAnsi="宋体" w:cs="宋体" w:eastAsia="宋体" w:hint="default"/>
                <w:spacing w:val="-2"/>
                <w:sz w:val="18"/>
                <w:szCs w:val="18"/>
              </w:rPr>
              <w:t>单独进行减值测试，有客观证据表明其发生了减值的，根据其未来现金</w:t>
            </w:r>
            <w:r>
              <w:rPr>
                <w:rFonts w:ascii="宋体" w:hAnsi="宋体" w:cs="宋体" w:eastAsia="宋体" w:hint="default"/>
                <w:sz w:val="18"/>
                <w:szCs w:val="18"/>
              </w:rPr>
              <w:t> 流量现值低于其账面价值的差额，确认减值损失，计提坏账准备。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240" w:lineRule="auto" w:before="29"/>
        <w:ind w:left="153" w:right="0"/>
        <w:jc w:val="both"/>
      </w:pPr>
      <w:r>
        <w:rPr/>
        <w:t>软件与信息技术服务业</w:t>
      </w:r>
    </w:p>
    <w:p>
      <w:pPr>
        <w:pStyle w:val="BodyText"/>
        <w:spacing w:line="508" w:lineRule="auto" w:before="115"/>
        <w:ind w:left="516" w:right="3908" w:hanging="72"/>
        <w:jc w:val="left"/>
      </w:pPr>
      <w:r>
        <w:rPr/>
        <w:t>（</w:t>
      </w:r>
      <w:r>
        <w:rPr>
          <w:rFonts w:ascii="Times New Roman" w:hAnsi="Times New Roman" w:cs="Times New Roman" w:eastAsia="Times New Roman" w:hint="default"/>
        </w:rPr>
        <w:t>1</w:t>
      </w:r>
      <w:r>
        <w:rPr/>
        <w:t>）存货的分类 本公司存货分原材料、在产品、包装物、库存商品、委托加工材料、物资采购等。</w:t>
      </w:r>
    </w:p>
    <w:p>
      <w:pPr>
        <w:pStyle w:val="BodyText"/>
        <w:spacing w:line="240" w:lineRule="auto" w:before="91"/>
        <w:ind w:left="444" w:right="891"/>
        <w:jc w:val="left"/>
      </w:pPr>
      <w:r>
        <w:rPr/>
        <w:t>（</w:t>
      </w:r>
      <w:r>
        <w:rPr>
          <w:rFonts w:ascii="Times New Roman" w:hAnsi="Times New Roman" w:cs="Times New Roman" w:eastAsia="Times New Roman" w:hint="default"/>
        </w:rPr>
        <w:t>2</w:t>
      </w:r>
      <w:r>
        <w:rPr/>
        <w:t>）存货取得和发出的计价方法</w:t>
      </w:r>
    </w:p>
    <w:p>
      <w:pPr>
        <w:spacing w:line="240" w:lineRule="auto" w:before="4"/>
        <w:rPr>
          <w:rFonts w:ascii="宋体" w:hAnsi="宋体" w:cs="宋体" w:eastAsia="宋体" w:hint="default"/>
          <w:sz w:val="21"/>
          <w:szCs w:val="21"/>
        </w:rPr>
      </w:pPr>
    </w:p>
    <w:p>
      <w:pPr>
        <w:pStyle w:val="BodyText"/>
        <w:spacing w:line="316" w:lineRule="auto"/>
        <w:ind w:left="153" w:right="891" w:firstLine="480"/>
        <w:jc w:val="left"/>
      </w:pPr>
      <w:r>
        <w:rPr>
          <w:spacing w:val="-1"/>
        </w:rPr>
        <w:t>本公司存货取得时按实际成本计价。原料、在产品、库存商品、发出商品等发出时采用加权平均法计价，材料按计划</w:t>
      </w:r>
      <w:r>
        <w:rPr/>
        <w:t> 成本计价，材料成本差异按上月余额法计算结转。</w:t>
      </w:r>
    </w:p>
    <w:p>
      <w:pPr>
        <w:spacing w:line="240" w:lineRule="auto" w:before="12"/>
        <w:rPr>
          <w:rFonts w:ascii="宋体" w:hAnsi="宋体" w:cs="宋体" w:eastAsia="宋体" w:hint="default"/>
          <w:sz w:val="17"/>
          <w:szCs w:val="17"/>
        </w:rPr>
      </w:pPr>
    </w:p>
    <w:p>
      <w:pPr>
        <w:pStyle w:val="BodyText"/>
        <w:spacing w:line="240" w:lineRule="auto"/>
        <w:ind w:left="516" w:right="891"/>
        <w:jc w:val="left"/>
      </w:pPr>
      <w:r>
        <w:rPr/>
        <w:t>北明软件存货发出时，采取先进先出法确定其发生的实际成本。</w:t>
      </w:r>
    </w:p>
    <w:p>
      <w:pPr>
        <w:pStyle w:val="BodyText"/>
        <w:spacing w:line="510" w:lineRule="atLeast" w:before="31"/>
        <w:ind w:left="444" w:right="891" w:firstLine="88"/>
        <w:jc w:val="left"/>
      </w:pPr>
      <w:r>
        <w:rPr/>
        <w:t>（</w:t>
      </w:r>
      <w:r>
        <w:rPr>
          <w:rFonts w:ascii="Times New Roman" w:hAnsi="Times New Roman" w:cs="Times New Roman" w:eastAsia="Times New Roman" w:hint="default"/>
        </w:rPr>
        <w:t>3</w:t>
      </w:r>
      <w:r>
        <w:rPr/>
        <w:t>）存货跌价准备计提方法 </w:t>
      </w:r>
      <w:r>
        <w:rPr>
          <w:spacing w:val="-1"/>
        </w:rPr>
        <w:t>在资产负债表日，存货按照成本与可变现净值孰低计量。当其可变现净值低于成本时，提取存货跌价准备。存货跌价准</w:t>
      </w:r>
    </w:p>
    <w:p>
      <w:pPr>
        <w:pStyle w:val="BodyText"/>
        <w:spacing w:line="316" w:lineRule="auto" w:before="76"/>
        <w:ind w:left="153" w:right="1130"/>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spacing w:line="240" w:lineRule="auto" w:before="12"/>
        <w:rPr>
          <w:rFonts w:ascii="宋体" w:hAnsi="宋体" w:cs="宋体" w:eastAsia="宋体" w:hint="default"/>
          <w:sz w:val="17"/>
          <w:szCs w:val="17"/>
        </w:rPr>
      </w:pPr>
    </w:p>
    <w:p>
      <w:pPr>
        <w:pStyle w:val="BodyText"/>
        <w:spacing w:line="316" w:lineRule="auto"/>
        <w:ind w:left="153" w:right="891" w:firstLine="290"/>
        <w:jc w:val="left"/>
      </w:pPr>
      <w:r>
        <w:rPr>
          <w:spacing w:val="-1"/>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528" w:lineRule="exact" w:before="22"/>
        <w:ind w:left="516" w:right="1122" w:firstLine="16"/>
        <w:jc w:val="left"/>
      </w:pPr>
      <w:r>
        <w:rPr/>
        <w:t>（</w:t>
      </w:r>
      <w:r>
        <w:rPr>
          <w:rFonts w:ascii="Times New Roman" w:hAnsi="Times New Roman" w:cs="Times New Roman" w:eastAsia="Times New Roman" w:hint="default"/>
        </w:rPr>
        <w:t>4</w:t>
      </w:r>
      <w:r>
        <w:rPr/>
        <w:t>）存货可变现净值的确认方法 可变现净值是指在日常活动中，存货的估计售价减去至完工时估计将要发生的成本、</w:t>
      </w:r>
      <w:r>
        <w:rPr>
          <w:spacing w:val="-1"/>
        </w:rPr>
        <w:t> </w:t>
      </w:r>
      <w:r>
        <w:rPr/>
        <w:t>估计的销售费用以及相关税费后</w:t>
      </w:r>
    </w:p>
    <w:p>
      <w:pPr>
        <w:pStyle w:val="BodyText"/>
        <w:spacing w:line="232" w:lineRule="exact"/>
        <w:ind w:left="153" w:right="0"/>
        <w:jc w:val="both"/>
      </w:pPr>
      <w:r>
        <w:rPr>
          <w:spacing w:val="-4"/>
        </w:rPr>
        <w:t>的金额。在确定存货的可变现净值时，以取得的确凿证据为基础，同时考虑持有存货的目的以及资产负债表日后事项的影响。</w:t>
      </w:r>
    </w:p>
    <w:p>
      <w:pPr>
        <w:spacing w:line="240" w:lineRule="auto" w:before="5"/>
        <w:rPr>
          <w:rFonts w:ascii="宋体" w:hAnsi="宋体" w:cs="宋体" w:eastAsia="宋体" w:hint="default"/>
          <w:sz w:val="22"/>
          <w:szCs w:val="22"/>
        </w:rPr>
      </w:pPr>
    </w:p>
    <w:p>
      <w:pPr>
        <w:pStyle w:val="BodyText"/>
        <w:spacing w:line="240" w:lineRule="auto"/>
        <w:ind w:left="444" w:right="891"/>
        <w:jc w:val="left"/>
      </w:pPr>
      <w:r>
        <w:rPr/>
        <w:t>（</w:t>
      </w:r>
      <w:r>
        <w:rPr>
          <w:rFonts w:ascii="Times New Roman" w:hAnsi="Times New Roman" w:cs="Times New Roman" w:eastAsia="Times New Roman" w:hint="default"/>
        </w:rPr>
        <w:t>5</w:t>
      </w:r>
      <w:r>
        <w:rPr/>
        <w:t>）本公司存货盘存制度采用永续盘存制</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891"/>
        <w:jc w:val="left"/>
      </w:pPr>
      <w:r>
        <w:rPr/>
        <w:t>（</w:t>
      </w:r>
      <w:r>
        <w:rPr>
          <w:rFonts w:ascii="Times New Roman" w:hAnsi="Times New Roman" w:cs="Times New Roman" w:eastAsia="Times New Roman" w:hint="default"/>
        </w:rPr>
        <w:t>6</w:t>
      </w:r>
      <w:r>
        <w:rPr/>
        <w:t>）低值易耗品和包装物的摊销方法</w:t>
      </w:r>
    </w:p>
    <w:p>
      <w:pPr>
        <w:spacing w:line="240" w:lineRule="auto" w:before="4"/>
        <w:rPr>
          <w:rFonts w:ascii="宋体" w:hAnsi="宋体" w:cs="宋体" w:eastAsia="宋体" w:hint="default"/>
          <w:sz w:val="21"/>
          <w:szCs w:val="21"/>
        </w:rPr>
      </w:pPr>
    </w:p>
    <w:p>
      <w:pPr>
        <w:pStyle w:val="BodyText"/>
        <w:spacing w:line="240" w:lineRule="auto"/>
        <w:ind w:left="444" w:right="891"/>
        <w:jc w:val="left"/>
      </w:pPr>
      <w:r>
        <w:rPr/>
        <w:t>低值易耗品在领用时采用一次摊销法摊销；</w:t>
      </w:r>
      <w:r>
        <w:rPr>
          <w:spacing w:val="-23"/>
        </w:rPr>
        <w:t> </w:t>
      </w:r>
      <w:r>
        <w:rPr/>
        <w:t>包装物在领用时采用一次摊销法摊销。</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8" w:firstLine="290"/>
        <w:jc w:val="both"/>
      </w:pPr>
      <w:r>
        <w:rPr>
          <w:spacing w:val="-1"/>
        </w:rPr>
        <w:t>本公司将通过出售（包括具有商业实质的非货币性资产交换，下同）而非持续使用一项非流动资产或处置组收回其账面</w:t>
      </w:r>
      <w:r>
        <w:rPr/>
        <w:t> 价值，并同时满足以下两个条件的，划分为持有待售类别：</w:t>
      </w:r>
      <w:r>
        <w:rPr>
          <w:rFonts w:ascii="Times New Roman" w:hAnsi="Times New Roman" w:cs="Times New Roman" w:eastAsia="Times New Roman" w:hint="default"/>
        </w:rPr>
        <w:t>(1)</w:t>
      </w:r>
      <w:r>
        <w:rPr/>
        <w:t>某项非流动资产或处置组根据类似交易中出售此类资产或处</w:t>
      </w:r>
      <w:r>
        <w:rPr>
          <w:spacing w:val="-33"/>
        </w:rPr>
        <w:t> </w:t>
      </w:r>
      <w:r>
        <w:rPr>
          <w:spacing w:val="-33"/>
        </w:rPr>
      </w:r>
      <w:r>
        <w:rPr/>
        <w:t>置组的惯例，在当前状况下即可立即出售；</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本公司已经就出售计划作出决议且获得确定的购买承诺，预计出售将在一年 内完成。（有关规定要求相关权力机构或者监管部门批准后方可出售的，已经获得批准。）</w:t>
      </w:r>
    </w:p>
    <w:p>
      <w:pPr>
        <w:spacing w:line="240" w:lineRule="auto" w:before="7"/>
        <w:rPr>
          <w:rFonts w:ascii="宋体" w:hAnsi="宋体" w:cs="宋体" w:eastAsia="宋体" w:hint="default"/>
          <w:sz w:val="18"/>
          <w:szCs w:val="18"/>
        </w:rPr>
      </w:pPr>
    </w:p>
    <w:p>
      <w:pPr>
        <w:pStyle w:val="BodyText"/>
        <w:spacing w:line="300" w:lineRule="auto"/>
        <w:ind w:right="1128" w:firstLine="360"/>
        <w:jc w:val="both"/>
      </w:pPr>
      <w:r>
        <w:rPr>
          <w:spacing w:val="-2"/>
        </w:rPr>
        <w:t>本公司将专为转售而取得的非流动资产或处置组，在取得日满足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的规定条件，且短期（通常</w:t>
      </w:r>
      <w:r>
        <w:rPr/>
        <w:t> 为</w:t>
      </w:r>
      <w:r>
        <w:rPr>
          <w:rFonts w:ascii="Times New Roman" w:hAnsi="Times New Roman" w:cs="Times New Roman" w:eastAsia="Times New Roman" w:hint="default"/>
        </w:rPr>
        <w:t>3</w:t>
      </w:r>
      <w:r>
        <w:rPr/>
        <w:t>个月）内很可能满足持有待售类别的其他划分条件的，在取得日划分为持有待售类别。</w:t>
      </w:r>
    </w:p>
    <w:p>
      <w:pPr>
        <w:spacing w:line="240" w:lineRule="auto" w:before="7"/>
        <w:rPr>
          <w:rFonts w:ascii="宋体" w:hAnsi="宋体" w:cs="宋体" w:eastAsia="宋体" w:hint="default"/>
          <w:sz w:val="17"/>
          <w:szCs w:val="17"/>
        </w:rPr>
      </w:pPr>
    </w:p>
    <w:p>
      <w:pPr>
        <w:pStyle w:val="BodyText"/>
        <w:spacing w:line="314" w:lineRule="auto"/>
        <w:ind w:right="1030"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同时计提持有待售资产减值准备。对于持有待售的处置组确认的资产减值损失金额，先抵减处置组中商誉的账面价值，再根</w:t>
      </w:r>
      <w:r>
        <w:rPr>
          <w:spacing w:val="-66"/>
        </w:rPr>
        <w:t> </w:t>
      </w:r>
      <w:r>
        <w:rPr>
          <w:spacing w:val="-66"/>
        </w:rPr>
      </w:r>
      <w:r>
        <w:rPr>
          <w:spacing w:val="-2"/>
        </w:rPr>
        <w:t>据处置组中适用《企业会计准则第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持有待售的非流动资产、处置组和终止经营》计量规定的各项非流动资产账面价</w:t>
      </w:r>
      <w:r>
        <w:rPr>
          <w:spacing w:val="-64"/>
        </w:rPr>
        <w:t> </w:t>
      </w:r>
      <w:r>
        <w:rPr>
          <w:spacing w:val="-64"/>
        </w:rPr>
      </w:r>
      <w:r>
        <w:rPr/>
        <w:t>值所占比重，按比例抵减其账面价值。</w:t>
      </w:r>
    </w:p>
    <w:p>
      <w:pPr>
        <w:spacing w:line="240" w:lineRule="auto" w:before="1"/>
        <w:rPr>
          <w:rFonts w:ascii="宋体" w:hAnsi="宋体" w:cs="宋体" w:eastAsia="宋体" w:hint="default"/>
          <w:sz w:val="18"/>
          <w:szCs w:val="18"/>
        </w:rPr>
      </w:pPr>
    </w:p>
    <w:p>
      <w:pPr>
        <w:pStyle w:val="BodyText"/>
        <w:spacing w:line="312" w:lineRule="auto"/>
        <w:ind w:right="1129" w:firstLine="360"/>
        <w:jc w:val="both"/>
      </w:pPr>
      <w:r>
        <w:rPr>
          <w:spacing w:val="-2"/>
        </w:rPr>
        <w:t>后续资产负债表日持有待售的非流动资产公允价值减去出售费用后的净额增加的，以前减记的金额予以恢复，并在划分</w:t>
      </w:r>
      <w:r>
        <w:rPr/>
        <w:t> </w:t>
      </w:r>
      <w:r>
        <w:rPr>
          <w:spacing w:val="-2"/>
        </w:rPr>
        <w:t>为持有待售类别后确认的资产减值损失金额内转回，转回金额计入当期损益。划分为持有待售类别前确认的资产减值损失不</w:t>
      </w:r>
      <w:r>
        <w:rPr>
          <w:spacing w:val="-64"/>
        </w:rPr>
        <w:t> </w:t>
      </w:r>
      <w:r>
        <w:rPr>
          <w:spacing w:val="-64"/>
        </w:rPr>
      </w:r>
      <w:r>
        <w:rPr>
          <w:spacing w:val="-2"/>
        </w:rPr>
        <w:t>转回。持有待售的处置组以前减记的金额应当予以恢复，并在划分为持有待售类别后适用《企业会计准则第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64"/>
        </w:rPr>
        <w:t> </w:t>
      </w:r>
      <w:r>
        <w:rPr>
          <w:spacing w:val="-2"/>
        </w:rPr>
        <w:t>售的非流动资产、处置组和终止经营》计量规定的非流动资产确认的资产减值损失金额内转回，转回金额计入当期损益。已</w:t>
      </w:r>
      <w:r>
        <w:rPr>
          <w:spacing w:val="-66"/>
        </w:rPr>
        <w:t> </w:t>
      </w:r>
      <w:r>
        <w:rPr>
          <w:spacing w:val="-66"/>
        </w:rPr>
      </w:r>
      <w:r>
        <w:rPr>
          <w:spacing w:val="-2"/>
        </w:rPr>
        <w:t>抵减的商誉账面价值，以及适用《企业会计准则第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持有待售的非流动资产、处置组和终止经营》计量规定的非流动</w:t>
      </w:r>
      <w:r>
        <w:rPr>
          <w:spacing w:val="-64"/>
        </w:rPr>
        <w:t> </w:t>
      </w:r>
      <w:r>
        <w:rPr>
          <w:spacing w:val="-64"/>
        </w:rPr>
      </w:r>
      <w:r>
        <w:rPr/>
        <w:t>资产在划分为持有待售类别前确认的资产减值损失不得转回。</w:t>
      </w:r>
    </w:p>
    <w:p>
      <w:pPr>
        <w:spacing w:line="240" w:lineRule="auto" w:before="3"/>
        <w:rPr>
          <w:rFonts w:ascii="宋体" w:hAnsi="宋体" w:cs="宋体" w:eastAsia="宋体" w:hint="default"/>
          <w:sz w:val="18"/>
          <w:szCs w:val="18"/>
        </w:rPr>
      </w:pPr>
    </w:p>
    <w:p>
      <w:pPr>
        <w:pStyle w:val="BodyText"/>
        <w:spacing w:line="316" w:lineRule="auto"/>
        <w:ind w:right="1129" w:firstLine="360"/>
        <w:jc w:val="both"/>
      </w:pPr>
      <w:r>
        <w:rPr>
          <w:spacing w:val="-2"/>
        </w:rPr>
        <w:t>持有待售的非流动资产或处置组中的非流动资产不计提折旧或摊销，持有待售的处置组中负债的利息和其他费用继续予</w:t>
      </w:r>
      <w:r>
        <w:rPr/>
        <w:t> 以确认。</w:t>
      </w:r>
    </w:p>
    <w:p>
      <w:pPr>
        <w:spacing w:line="240" w:lineRule="auto" w:before="12"/>
        <w:rPr>
          <w:rFonts w:ascii="宋体" w:hAnsi="宋体" w:cs="宋体" w:eastAsia="宋体" w:hint="default"/>
          <w:sz w:val="17"/>
          <w:szCs w:val="17"/>
        </w:rPr>
      </w:pPr>
    </w:p>
    <w:p>
      <w:pPr>
        <w:pStyle w:val="BodyText"/>
        <w:spacing w:line="309" w:lineRule="auto"/>
        <w:ind w:right="1128" w:firstLine="360"/>
        <w:jc w:val="both"/>
      </w:pPr>
      <w:r>
        <w:rPr>
          <w:spacing w:val="-2"/>
        </w:rPr>
        <w:t>非流动资产或处置组因不再满足持有待售类别的划分条件时，本公司不再将其继续划分为持有待售类别或非流动资产从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w:t>
      </w:r>
      <w:r>
        <w:rPr>
          <w:spacing w:val="-83"/>
        </w:rPr>
        <w:t> </w:t>
      </w:r>
      <w:r>
        <w:rPr>
          <w:spacing w:val="-83"/>
        </w:rPr>
      </w:r>
      <w:r>
        <w:rPr/>
        <w:t>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12"/>
        <w:rPr>
          <w:rFonts w:ascii="宋体" w:hAnsi="宋体" w:cs="宋体" w:eastAsia="宋体" w:hint="default"/>
          <w:sz w:val="16"/>
          <w:szCs w:val="16"/>
        </w:rPr>
      </w:pPr>
    </w:p>
    <w:p>
      <w:pPr>
        <w:pStyle w:val="BodyText"/>
        <w:spacing w:line="240" w:lineRule="auto"/>
        <w:ind w:left="514" w:right="891"/>
        <w:jc w:val="left"/>
      </w:pPr>
      <w:r>
        <w:rPr/>
        <w:t>终止确认持有待售的非流动资产或处置组时，本公司将尚未确认的利得或损失计入当期损益。</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290"/>
        <w:jc w:val="both"/>
      </w:pPr>
      <w:r>
        <w:rPr>
          <w:spacing w:val="-1"/>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316" w:lineRule="auto"/>
        <w:ind w:left="153" w:right="1130" w:firstLine="290"/>
        <w:jc w:val="both"/>
      </w:pPr>
      <w:r>
        <w:rPr>
          <w:spacing w:val="-1"/>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spacing w:line="240" w:lineRule="auto" w:before="12"/>
        <w:rPr>
          <w:rFonts w:ascii="宋体" w:hAnsi="宋体" w:cs="宋体" w:eastAsia="宋体" w:hint="default"/>
          <w:sz w:val="17"/>
          <w:szCs w:val="17"/>
        </w:rPr>
      </w:pPr>
    </w:p>
    <w:p>
      <w:pPr>
        <w:pStyle w:val="BodyText"/>
        <w:spacing w:line="240" w:lineRule="auto"/>
        <w:ind w:left="444" w:right="891"/>
        <w:jc w:val="left"/>
      </w:pPr>
      <w:r>
        <w:rPr/>
        <w:t>（</w:t>
      </w:r>
      <w:r>
        <w:rPr>
          <w:rFonts w:ascii="Times New Roman" w:hAnsi="Times New Roman" w:cs="Times New Roman" w:eastAsia="Times New Roman" w:hint="default"/>
        </w:rPr>
        <w:t>1</w:t>
      </w:r>
      <w:r>
        <w:rPr/>
        <w:t>）投资成本的确定</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4" w:lineRule="auto" w:before="44"/>
        <w:ind w:left="153" w:right="1031" w:firstLine="290"/>
        <w:jc w:val="left"/>
      </w:pPr>
      <w:r>
        <w:rPr/>
        <w:t>对于同一控制下的企业合并取得的长期股权投资，在合并日按照被合并方股东权益在最终控制方合并财务报表中的账面 </w:t>
      </w: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r>
        <w:rPr>
          <w:spacing w:val="-76"/>
        </w:rPr>
        <w:t>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w:t>
      </w:r>
      <w:r>
        <w:rPr>
          <w:spacing w:val="-9"/>
        </w:rPr>
        <w:t> </w:t>
      </w:r>
      <w:r>
        <w:rPr>
          <w:spacing w:val="-9"/>
        </w:rPr>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spacing w:line="240" w:lineRule="auto" w:before="1"/>
        <w:rPr>
          <w:rFonts w:ascii="宋体" w:hAnsi="宋体" w:cs="宋体" w:eastAsia="宋体" w:hint="default"/>
          <w:sz w:val="18"/>
          <w:szCs w:val="18"/>
        </w:rPr>
      </w:pPr>
    </w:p>
    <w:p>
      <w:pPr>
        <w:pStyle w:val="BodyText"/>
        <w:spacing w:line="312" w:lineRule="auto"/>
        <w:ind w:right="1038" w:firstLine="290"/>
        <w:jc w:val="left"/>
      </w:pPr>
      <w:r>
        <w:rPr/>
        <w:t>对于非同一控制下的企业合并取得的长期股权投资，在购买日按照合并成本作为长期股权投资的初始投资成本，合并成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rPr>
        <w:t>取得控制权的交易进行会计处理。不属于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的，按照原持有被购买方的股权投资账面价值加上新增投资成本之和，</w:t>
      </w:r>
      <w:r>
        <w:rPr>
          <w:spacing w:val="-75"/>
        </w:rPr>
        <w:t> </w:t>
      </w:r>
      <w:r>
        <w:rPr>
          <w:spacing w:val="-75"/>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spacing w:line="240" w:lineRule="auto" w:before="3"/>
        <w:rPr>
          <w:rFonts w:ascii="宋体" w:hAnsi="宋体" w:cs="宋体" w:eastAsia="宋体" w:hint="default"/>
          <w:sz w:val="18"/>
          <w:szCs w:val="18"/>
        </w:rPr>
      </w:pPr>
    </w:p>
    <w:p>
      <w:pPr>
        <w:pStyle w:val="BodyText"/>
        <w:spacing w:line="316" w:lineRule="auto"/>
        <w:ind w:right="891" w:firstLine="290"/>
        <w:jc w:val="left"/>
      </w:pPr>
      <w:r>
        <w:rPr>
          <w:spacing w:val="-1"/>
        </w:rPr>
        <w:t>合并方或购买方为企业合并发生的审计、法律服务、评估咨询等中介费用以及其他相关管理费用，于发生时计入当期损</w:t>
      </w:r>
      <w:r>
        <w:rPr/>
        <w:t> 益。</w:t>
      </w:r>
    </w:p>
    <w:p>
      <w:pPr>
        <w:spacing w:line="240" w:lineRule="auto" w:before="12"/>
        <w:rPr>
          <w:rFonts w:ascii="宋体" w:hAnsi="宋体" w:cs="宋体" w:eastAsia="宋体" w:hint="default"/>
          <w:sz w:val="17"/>
          <w:szCs w:val="17"/>
        </w:rPr>
      </w:pPr>
    </w:p>
    <w:p>
      <w:pPr>
        <w:pStyle w:val="BodyText"/>
        <w:spacing w:line="314" w:lineRule="auto"/>
        <w:ind w:right="1129" w:firstLine="290"/>
        <w:jc w:val="both"/>
      </w:pPr>
      <w:r>
        <w:rPr>
          <w:spacing w:val="-1"/>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528" w:lineRule="exact" w:before="24"/>
        <w:ind w:left="444" w:right="891"/>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对被投资单位具有共同控制（构成共同经营者除外）或重大影响的长期股权投资，采用权益法核算。此外，公司财务报</w:t>
      </w:r>
    </w:p>
    <w:p>
      <w:pPr>
        <w:pStyle w:val="BodyText"/>
        <w:spacing w:line="232" w:lineRule="exact"/>
        <w:ind w:right="891"/>
        <w:jc w:val="left"/>
      </w:pPr>
      <w:r>
        <w:rPr/>
        <w:t>表采用成本法核算能够对被投资单位实施控制的长期股权投资。</w:t>
      </w:r>
    </w:p>
    <w:p>
      <w:pPr>
        <w:pStyle w:val="BodyText"/>
        <w:spacing w:line="520" w:lineRule="atLeast" w:before="8"/>
        <w:ind w:left="444" w:right="891"/>
        <w:jc w:val="left"/>
      </w:pPr>
      <w:r>
        <w:rPr/>
        <w:t>①成本法核算的长期股权投资 </w:t>
      </w:r>
      <w:r>
        <w:rPr>
          <w:spacing w:val="-1"/>
        </w:rPr>
        <w:t>采用成本法核算时，长期股权投资按初始投资成本计价，追加或收回投资调整长期股权投资的成本。除取得投资时实际</w:t>
      </w:r>
    </w:p>
    <w:p>
      <w:pPr>
        <w:pStyle w:val="BodyText"/>
        <w:spacing w:line="316" w:lineRule="auto" w:before="76"/>
        <w:ind w:right="891"/>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528" w:lineRule="exact" w:before="22"/>
        <w:ind w:left="444" w:right="891"/>
        <w:jc w:val="left"/>
      </w:pPr>
      <w:r>
        <w:rPr/>
        <w:t>②权益法核算的长期股权投资 </w:t>
      </w:r>
      <w:r>
        <w:rPr>
          <w:spacing w:val="-1"/>
        </w:rPr>
        <w:t>采用权益法核算时，长期股权投资的初始投资成本大于投资时应享有被投资单位可辨认净资产公允价值份额的，不调整</w:t>
      </w:r>
    </w:p>
    <w:p>
      <w:pPr>
        <w:pStyle w:val="BodyText"/>
        <w:spacing w:line="316" w:lineRule="auto"/>
        <w:ind w:right="891"/>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spacing w:after="0" w:line="316"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1" w:firstLine="290"/>
        <w:jc w:val="left"/>
      </w:pPr>
      <w:r>
        <w:rPr/>
        <w:t>采用权益法核算时，按照应享有或应分担的被投资单位实现的净损益和其他综合收益的份额，分别确认投资收益和其他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spacing w:line="240" w:lineRule="auto" w:before="12"/>
        <w:rPr>
          <w:rFonts w:ascii="宋体" w:hAnsi="宋体" w:cs="宋体" w:eastAsia="宋体" w:hint="default"/>
          <w:sz w:val="17"/>
          <w:szCs w:val="17"/>
        </w:rPr>
      </w:pPr>
    </w:p>
    <w:p>
      <w:pPr>
        <w:pStyle w:val="BodyText"/>
        <w:spacing w:line="316" w:lineRule="auto"/>
        <w:ind w:left="153" w:right="1131" w:firstLine="290"/>
        <w:jc w:val="both"/>
      </w:pPr>
      <w:r>
        <w:rPr>
          <w:spacing w:val="-1"/>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528" w:lineRule="exact" w:before="22"/>
        <w:ind w:left="444" w:right="891"/>
        <w:jc w:val="left"/>
      </w:pPr>
      <w:r>
        <w:rPr/>
        <w:t>③收购少数股权 </w:t>
      </w:r>
      <w:r>
        <w:rPr>
          <w:spacing w:val="-1"/>
        </w:rPr>
        <w:t>在编制合并财务报表时，因购买少数股权新增的长期股权投资与按照新增持股比例计算应享有子公司自购买日（或合并</w:t>
      </w:r>
    </w:p>
    <w:p>
      <w:pPr>
        <w:pStyle w:val="BodyText"/>
        <w:spacing w:line="232" w:lineRule="exact"/>
        <w:ind w:left="153" w:right="891"/>
        <w:jc w:val="left"/>
      </w:pPr>
      <w:r>
        <w:rPr/>
        <w:t>日）开始持续计算的净资产份额之间的差额，调整资本公积，资本公积不足冲减的，调整留存收益。</w:t>
      </w:r>
    </w:p>
    <w:p>
      <w:pPr>
        <w:pStyle w:val="BodyText"/>
        <w:spacing w:line="520" w:lineRule="atLeast" w:before="8"/>
        <w:ind w:left="444" w:right="891"/>
        <w:jc w:val="left"/>
      </w:pPr>
      <w:r>
        <w:rPr/>
        <w:t>④处置长期股权投资 </w:t>
      </w:r>
      <w:r>
        <w:rPr>
          <w:spacing w:val="-1"/>
        </w:rPr>
        <w:t>在合并财务报表中，母公司在不丧失控制权的情况下部分处置对子公司的长期股权投资，处置价款与处置长期股权投资</w:t>
      </w:r>
    </w:p>
    <w:p>
      <w:pPr>
        <w:pStyle w:val="BodyText"/>
        <w:spacing w:line="316" w:lineRule="auto" w:before="76"/>
        <w:ind w:left="153" w:right="891"/>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528" w:lineRule="exact" w:before="3"/>
        <w:ind w:left="444" w:right="891"/>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采用权益法核算的长期股权投资，处置后的剩余股权仍采用权益法核算的，在处置时将原计入股东权益的其他综合收益</w:t>
      </w:r>
    </w:p>
    <w:p>
      <w:pPr>
        <w:pStyle w:val="BodyText"/>
        <w:spacing w:line="316" w:lineRule="auto"/>
        <w:ind w:right="891"/>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spacing w:line="240" w:lineRule="auto" w:before="12"/>
        <w:rPr>
          <w:rFonts w:ascii="宋体" w:hAnsi="宋体" w:cs="宋体" w:eastAsia="宋体" w:hint="default"/>
          <w:sz w:val="17"/>
          <w:szCs w:val="17"/>
        </w:rPr>
      </w:pPr>
    </w:p>
    <w:p>
      <w:pPr>
        <w:pStyle w:val="BodyText"/>
        <w:spacing w:line="316" w:lineRule="auto"/>
        <w:ind w:right="1131" w:firstLine="290"/>
        <w:jc w:val="both"/>
      </w:pPr>
      <w:r>
        <w:rPr>
          <w:spacing w:val="-1"/>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12"/>
        <w:rPr>
          <w:rFonts w:ascii="宋体" w:hAnsi="宋体" w:cs="宋体" w:eastAsia="宋体" w:hint="default"/>
          <w:sz w:val="17"/>
          <w:szCs w:val="17"/>
        </w:rPr>
      </w:pPr>
    </w:p>
    <w:p>
      <w:pPr>
        <w:pStyle w:val="BodyText"/>
        <w:spacing w:line="316" w:lineRule="auto"/>
        <w:ind w:right="1131" w:firstLine="290"/>
        <w:jc w:val="both"/>
      </w:pPr>
      <w:r>
        <w:rPr>
          <w:spacing w:val="-1"/>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p>
    <w:p>
      <w:pPr>
        <w:spacing w:after="0" w:line="316" w:lineRule="auto"/>
        <w:jc w:val="both"/>
        <w:sectPr>
          <w:footerReference w:type="default" r:id="rId19"/>
          <w:pgSz w:w="11910" w:h="16840"/>
          <w:pgMar w:footer="941" w:header="747"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891"/>
        <w:jc w:val="left"/>
      </w:pP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spacing w:line="240" w:lineRule="auto" w:before="12"/>
        <w:rPr>
          <w:rFonts w:ascii="宋体" w:hAnsi="宋体" w:cs="宋体" w:eastAsia="宋体" w:hint="default"/>
          <w:sz w:val="17"/>
          <w:szCs w:val="17"/>
        </w:rPr>
      </w:pPr>
    </w:p>
    <w:p>
      <w:pPr>
        <w:pStyle w:val="BodyText"/>
        <w:spacing w:line="316" w:lineRule="auto"/>
        <w:ind w:left="153" w:right="1031" w:firstLine="290"/>
        <w:jc w:val="left"/>
      </w:pPr>
      <w:r>
        <w:rPr/>
        <w:t>本公司因处置部分股权投资丧失了对被投资单位的共同控制或重大影响的，处置后的剩余股权改按金融工具确认和计量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spacing w:line="240" w:lineRule="auto" w:before="12"/>
        <w:rPr>
          <w:rFonts w:ascii="宋体" w:hAnsi="宋体" w:cs="宋体" w:eastAsia="宋体" w:hint="default"/>
          <w:sz w:val="17"/>
          <w:szCs w:val="17"/>
        </w:rPr>
      </w:pPr>
    </w:p>
    <w:p>
      <w:pPr>
        <w:pStyle w:val="BodyText"/>
        <w:spacing w:line="316" w:lineRule="auto"/>
        <w:ind w:left="153" w:right="1131"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8951"/>
        <w:jc w:val="left"/>
      </w:pPr>
      <w:r>
        <w:rPr/>
        <w:t>投资性房地产计量模式 成本法计量 折旧或摊销方法</w:t>
      </w:r>
    </w:p>
    <w:p>
      <w:pPr>
        <w:pStyle w:val="BodyText"/>
        <w:spacing w:line="316" w:lineRule="auto" w:before="25"/>
        <w:ind w:left="153" w:right="891" w:firstLine="360"/>
        <w:jc w:val="left"/>
      </w:pPr>
      <w:r>
        <w:rPr>
          <w:spacing w:val="-4"/>
        </w:rPr>
        <w:t>投资性房地产是指为赚取租金或资本增值，或两者兼有而持有的房地产。本公司投资性房地产包括已出租的土地使用权、</w:t>
      </w:r>
      <w:r>
        <w:rPr/>
        <w:t> 持有并准备增值后转让的土地使用权、已出租的建筑物。</w:t>
      </w:r>
    </w:p>
    <w:p>
      <w:pPr>
        <w:spacing w:line="240" w:lineRule="auto" w:before="12"/>
        <w:rPr>
          <w:rFonts w:ascii="宋体" w:hAnsi="宋体" w:cs="宋体" w:eastAsia="宋体" w:hint="default"/>
          <w:sz w:val="17"/>
          <w:szCs w:val="17"/>
        </w:rPr>
      </w:pPr>
    </w:p>
    <w:p>
      <w:pPr>
        <w:pStyle w:val="BodyText"/>
        <w:spacing w:line="316" w:lineRule="auto"/>
        <w:ind w:left="153" w:right="891" w:firstLine="480"/>
        <w:jc w:val="left"/>
      </w:pPr>
      <w:r>
        <w:rPr>
          <w:spacing w:val="-1"/>
        </w:rPr>
        <w:t>本公司投资性房地产按照取得时的成本进行初始计量，与投资性房地产有关的后续支出，如果与该资产有关的经济利</w:t>
      </w:r>
      <w:r>
        <w:rPr/>
        <w:t> 益很可能流入且其成本能可靠地计量，则计入投资性房地产成本，其他后续支出，在发生时计入当期损益。</w:t>
      </w:r>
    </w:p>
    <w:p>
      <w:pPr>
        <w:spacing w:line="240" w:lineRule="auto" w:before="12"/>
        <w:rPr>
          <w:rFonts w:ascii="宋体" w:hAnsi="宋体" w:cs="宋体" w:eastAsia="宋体" w:hint="default"/>
          <w:sz w:val="17"/>
          <w:szCs w:val="17"/>
        </w:rPr>
      </w:pPr>
    </w:p>
    <w:p>
      <w:pPr>
        <w:pStyle w:val="BodyText"/>
        <w:spacing w:line="240" w:lineRule="auto"/>
        <w:ind w:left="580" w:right="891"/>
        <w:jc w:val="left"/>
      </w:pPr>
      <w:r>
        <w:rPr/>
        <w:t>本公司投资性房地产采用成本模式进行后续计量，并按照固定资产或无形资产的有关规定，按期计提折旧或摊销。</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891" w:firstLine="360"/>
        <w:jc w:val="left"/>
      </w:pPr>
      <w:r>
        <w:rPr>
          <w:spacing w:val="-2"/>
        </w:rPr>
        <w:t>本公司固定资产是指为生产商品、提供劳务、出租或经营管理而持有的，使用寿命超过一个会计年度的有形资产。与该</w:t>
      </w:r>
      <w:r>
        <w:rPr/>
        <w:t> 固定资产有关的经济利益很可能流入企业，并且该固定资产的成本能够可靠地计量时，固定资产才能予以确认。</w:t>
      </w:r>
    </w:p>
    <w:p>
      <w:pPr>
        <w:pStyle w:val="BodyText"/>
        <w:spacing w:line="240" w:lineRule="auto" w:before="58"/>
        <w:ind w:left="513" w:right="891"/>
        <w:jc w:val="left"/>
      </w:pPr>
      <w:r>
        <w:rPr/>
        <w:t>本公司固定资产按照取得时的实际成本进行初始计量。</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6.47-2.43</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11.88-3.39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41" w:header="747" w:top="1060" w:bottom="1140" w:left="980" w:right="0"/>
          <w:pgNumType w:start="101"/>
        </w:sectPr>
      </w:pPr>
    </w:p>
    <w:p>
      <w:pPr>
        <w:spacing w:line="240" w:lineRule="auto" w:before="10"/>
        <w:rPr>
          <w:rFonts w:ascii="宋体" w:hAnsi="宋体" w:cs="宋体" w:eastAsia="宋体" w:hint="default"/>
          <w:b/>
          <w:bCs/>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891"/>
        <w:jc w:val="left"/>
      </w:pPr>
      <w:r>
        <w:rPr/>
        <w:t>本公司租入的固定资产符合下列一项或数项标准时，确认为融资租入固定资产：</w:t>
      </w:r>
    </w:p>
    <w:p>
      <w:pPr>
        <w:pStyle w:val="BodyText"/>
        <w:spacing w:line="240" w:lineRule="auto" w:before="116"/>
        <w:ind w:left="513" w:right="891"/>
        <w:jc w:val="left"/>
      </w:pPr>
      <w:r>
        <w:rPr/>
        <w:t>①在租赁期届满时，租赁资产的所有权转移给本公司。</w:t>
      </w:r>
    </w:p>
    <w:p>
      <w:pPr>
        <w:pStyle w:val="BodyText"/>
        <w:spacing w:line="319" w:lineRule="auto" w:before="116"/>
        <w:ind w:left="153" w:right="1130" w:firstLine="360"/>
        <w:jc w:val="both"/>
      </w:pPr>
      <w:r>
        <w:rPr>
          <w:spacing w:val="-2"/>
        </w:rPr>
        <w:t>②本公司有购买租赁资产的选择权，所订立的购买价款预计将远低于行使选择权时租赁资产的公允价值，因而在租赁开</w:t>
      </w:r>
      <w:r>
        <w:rPr/>
        <w:t> 始日就可以合理确定本公司将会行使这种选择权。</w:t>
      </w:r>
    </w:p>
    <w:p>
      <w:pPr>
        <w:pStyle w:val="BodyText"/>
        <w:spacing w:line="240" w:lineRule="auto" w:before="56"/>
        <w:ind w:left="513" w:right="891"/>
        <w:jc w:val="left"/>
      </w:pPr>
      <w:r>
        <w:rPr/>
        <w:t>③即使资产的所有权不转移，但租赁期占租赁资产使用寿命的大部分。</w:t>
      </w:r>
    </w:p>
    <w:p>
      <w:pPr>
        <w:pStyle w:val="BodyText"/>
        <w:spacing w:line="240" w:lineRule="auto" w:before="116"/>
        <w:ind w:left="513" w:right="891"/>
        <w:jc w:val="left"/>
      </w:pPr>
      <w:r>
        <w:rPr/>
        <w:t>④本公司在租赁开始日的最低租赁付款额现值，几乎相当于租赁开始日租赁资产公允价值。</w:t>
      </w:r>
    </w:p>
    <w:p>
      <w:pPr>
        <w:pStyle w:val="BodyText"/>
        <w:spacing w:line="357" w:lineRule="auto" w:before="117"/>
        <w:ind w:left="513" w:right="1031"/>
        <w:jc w:val="left"/>
      </w:pPr>
      <w:r>
        <w:rPr/>
        <w:t>⑤租赁资产性质特殊，如果不作较大改造，只有本公司才能使用。 融资租入的固定资产，能够合理确定租赁期届满时将会取得租赁资产所有权的，在租赁资产尚可使用年限内计提折旧；</w:t>
      </w:r>
    </w:p>
    <w:p>
      <w:pPr>
        <w:pStyle w:val="BodyText"/>
        <w:spacing w:line="225" w:lineRule="exact"/>
        <w:ind w:left="153" w:right="891"/>
        <w:jc w:val="left"/>
      </w:pPr>
      <w:r>
        <w:rPr/>
        <w:t>无法合理确定租赁期届满时能够取得租赁资产所有权的，在租赁期与租赁资产尚可使用年限两者中较短的期间内计提折旧。</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240" w:lineRule="auto" w:before="29"/>
        <w:ind w:left="153" w:right="891"/>
        <w:jc w:val="left"/>
      </w:pPr>
      <w:r>
        <w:rPr/>
        <w:t>软件与信息技术服务业</w:t>
      </w:r>
    </w:p>
    <w:p>
      <w:pPr>
        <w:spacing w:line="240" w:lineRule="auto" w:before="12"/>
        <w:rPr>
          <w:rFonts w:ascii="宋体" w:hAnsi="宋体" w:cs="宋体" w:eastAsia="宋体" w:hint="default"/>
          <w:sz w:val="14"/>
          <w:szCs w:val="14"/>
        </w:rPr>
      </w:pPr>
    </w:p>
    <w:p>
      <w:pPr>
        <w:pStyle w:val="BodyText"/>
        <w:spacing w:line="316" w:lineRule="auto"/>
        <w:ind w:right="1130" w:firstLine="319"/>
        <w:jc w:val="both"/>
      </w:pPr>
      <w:r>
        <w:rPr>
          <w:spacing w:val="-1"/>
        </w:rPr>
        <w:t>本公司在建工程成本按实际工程支出确定﹐包括在建期间发生的各项必要工程支出、工程达到预定可使用状态前的应予</w:t>
      </w:r>
      <w:r>
        <w:rPr/>
        <w:t> 资本化的借款费用以及其他相关费用等。</w:t>
      </w:r>
    </w:p>
    <w:p>
      <w:pPr>
        <w:spacing w:line="240" w:lineRule="auto" w:before="12"/>
        <w:rPr>
          <w:rFonts w:ascii="宋体" w:hAnsi="宋体" w:cs="宋体" w:eastAsia="宋体" w:hint="default"/>
          <w:sz w:val="17"/>
          <w:szCs w:val="17"/>
        </w:rPr>
      </w:pPr>
    </w:p>
    <w:p>
      <w:pPr>
        <w:pStyle w:val="BodyText"/>
        <w:spacing w:line="240" w:lineRule="auto"/>
        <w:ind w:left="473" w:right="891"/>
        <w:jc w:val="left"/>
      </w:pPr>
      <w:r>
        <w:rPr/>
        <w:t>在建工程在达到预定可使用状态时转入固定资产。</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319"/>
        <w:jc w:val="both"/>
      </w:pPr>
      <w:r>
        <w:rPr>
          <w:spacing w:val="-1"/>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spacing w:line="240" w:lineRule="auto" w:before="12"/>
        <w:rPr>
          <w:rFonts w:ascii="宋体" w:hAnsi="宋体" w:cs="宋体" w:eastAsia="宋体" w:hint="default"/>
          <w:sz w:val="17"/>
          <w:szCs w:val="17"/>
        </w:rPr>
      </w:pPr>
    </w:p>
    <w:p>
      <w:pPr>
        <w:pStyle w:val="BodyText"/>
        <w:spacing w:line="316" w:lineRule="auto"/>
        <w:ind w:right="1131" w:firstLine="300"/>
        <w:jc w:val="both"/>
      </w:pPr>
      <w:r>
        <w:rPr>
          <w:spacing w:val="-1"/>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528" w:lineRule="exact" w:before="22"/>
        <w:ind w:left="473" w:right="1123"/>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符合资本化条件的资产指需要经过相当长时间的购建或者生产活动才能达到预定可使用或可销售状态的固定资产、投资</w:t>
      </w:r>
    </w:p>
    <w:p>
      <w:pPr>
        <w:pStyle w:val="BodyText"/>
        <w:spacing w:line="232" w:lineRule="exact"/>
        <w:ind w:right="891"/>
        <w:jc w:val="left"/>
      </w:pPr>
      <w:r>
        <w:rPr/>
        <w:t>性房地产和存货等资产。</w:t>
      </w:r>
    </w:p>
    <w:p>
      <w:pPr>
        <w:spacing w:line="240" w:lineRule="auto" w:before="5"/>
        <w:rPr>
          <w:rFonts w:ascii="宋体" w:hAnsi="宋体" w:cs="宋体" w:eastAsia="宋体" w:hint="default"/>
          <w:sz w:val="22"/>
          <w:szCs w:val="22"/>
        </w:rPr>
      </w:pPr>
    </w:p>
    <w:p>
      <w:pPr>
        <w:pStyle w:val="BodyText"/>
        <w:spacing w:line="300" w:lineRule="auto"/>
        <w:ind w:right="1128" w:firstLine="319"/>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after="0" w:line="300" w:lineRule="auto"/>
        <w:jc w:val="both"/>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319"/>
        <w:jc w:val="both"/>
      </w:pPr>
      <w:r>
        <w:rPr>
          <w:spacing w:val="-1"/>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6"/>
        </w:rPr>
        <w:t> </w:t>
      </w:r>
      <w:r>
        <w:rPr>
          <w:spacing w:val="-66"/>
        </w:rPr>
      </w:r>
      <w:r>
        <w:rPr/>
        <w:t>实现方式的，采用直线法摊销；使用寿命不确定的无形资产，不作摊销。</w:t>
      </w:r>
    </w:p>
    <w:p>
      <w:pPr>
        <w:pStyle w:val="BodyText"/>
        <w:spacing w:line="528" w:lineRule="exact" w:before="22"/>
        <w:ind w:left="473" w:right="891"/>
        <w:jc w:val="left"/>
      </w:pPr>
      <w:r>
        <w:rPr/>
        <w:t>使用寿命不确定的判断依据： </w:t>
      </w:r>
      <w:r>
        <w:rPr>
          <w:spacing w:val="2"/>
        </w:rPr>
        <w:t>本公司将无法预见该资产为公司带来经济利益的期限，或使用期限不确定等无形资产确定为使用寿命不确定的无形资</w:t>
      </w:r>
      <w:r>
        <w:rPr/>
      </w:r>
    </w:p>
    <w:p>
      <w:pPr>
        <w:pStyle w:val="BodyText"/>
        <w:spacing w:line="316" w:lineRule="auto"/>
        <w:ind w:right="1129"/>
        <w:jc w:val="both"/>
      </w:pPr>
      <w:r>
        <w:rPr>
          <w:spacing w:val="-2"/>
        </w:rPr>
        <w:t>产。使用寿命不确定的判断依据为：来源于合同性权利或其他法定权利，但合同规定或法律规定无明确使用年限；综合同行</w:t>
      </w:r>
      <w:r>
        <w:rPr>
          <w:spacing w:val="-66"/>
        </w:rPr>
        <w:t> </w:t>
      </w:r>
      <w:r>
        <w:rPr>
          <w:spacing w:val="-66"/>
        </w:rPr>
      </w:r>
      <w:r>
        <w:rPr/>
        <w:t>业情况或相关专家论证等，仍无法判断无形资产为公司带来经济利益的期限。</w:t>
      </w:r>
    </w:p>
    <w:p>
      <w:pPr>
        <w:spacing w:line="240" w:lineRule="auto" w:before="12"/>
        <w:rPr>
          <w:rFonts w:ascii="宋体" w:hAnsi="宋体" w:cs="宋体" w:eastAsia="宋体" w:hint="default"/>
          <w:sz w:val="17"/>
          <w:szCs w:val="17"/>
        </w:rPr>
      </w:pPr>
    </w:p>
    <w:p>
      <w:pPr>
        <w:pStyle w:val="BodyText"/>
        <w:spacing w:line="316" w:lineRule="auto"/>
        <w:ind w:right="1128" w:firstLine="319"/>
        <w:jc w:val="both"/>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pStyle w:val="BodyText"/>
        <w:spacing w:line="528" w:lineRule="exact" w:before="22"/>
        <w:ind w:left="473" w:right="1071"/>
        <w:jc w:val="left"/>
      </w:pPr>
      <w:r>
        <w:rPr/>
        <w:t>使用寿命有限的无形资产使用寿命估计： 本公司对使用寿命有限的无形资产，估计其使用寿命时通常考虑以下因素：①运用该资产生产的产品通常的寿命周期、</w:t>
      </w:r>
    </w:p>
    <w:p>
      <w:pPr>
        <w:pStyle w:val="BodyText"/>
        <w:spacing w:line="316" w:lineRule="auto"/>
        <w:ind w:right="1129"/>
        <w:jc w:val="both"/>
      </w:pPr>
      <w:r>
        <w:rPr>
          <w:spacing w:val="-2"/>
        </w:rPr>
        <w:t>可获得的类似资产使用寿命的信息；②技术、工艺等方面的现阶段情况及对未来发展趋势的估计；③以该资产生产的产品或</w:t>
      </w:r>
      <w:r>
        <w:rPr>
          <w:spacing w:val="-66"/>
        </w:rPr>
        <w:t> </w:t>
      </w:r>
      <w:r>
        <w:rPr>
          <w:spacing w:val="-66"/>
        </w:rPr>
      </w:r>
      <w:r>
        <w:rPr>
          <w:spacing w:val="-2"/>
        </w:rPr>
        <w:t>提供劳务的市场需求情况；④现在或潜在的竞争者预期采取的行动；⑤为维持该资产带来经济利益能力的预期维护支出，以</w:t>
      </w:r>
      <w:r>
        <w:rPr>
          <w:spacing w:val="-66"/>
        </w:rPr>
        <w:t> </w:t>
      </w:r>
      <w:r>
        <w:rPr>
          <w:spacing w:val="-66"/>
        </w:rPr>
      </w:r>
      <w:r>
        <w:rPr>
          <w:spacing w:val="-2"/>
        </w:rPr>
        <w:t>及公司预计支付有关支出的能力；⑥对该资产控制期限的相关法律规定或类似限制，如特许使用期、租赁期等；⑦与公司持</w:t>
      </w:r>
      <w:r>
        <w:rPr>
          <w:spacing w:val="-66"/>
        </w:rPr>
        <w:t> </w:t>
      </w:r>
      <w:r>
        <w:rPr>
          <w:spacing w:val="-66"/>
        </w:rPr>
      </w:r>
      <w:r>
        <w:rPr/>
        <w:t>有其他资产使用寿命的关联性等。</w:t>
      </w:r>
    </w:p>
    <w:p>
      <w:pPr>
        <w:spacing w:line="240" w:lineRule="auto" w:before="2"/>
        <w:rPr>
          <w:rFonts w:ascii="宋体" w:hAnsi="宋体" w:cs="宋体" w:eastAsia="宋体" w:hint="default"/>
          <w:sz w:val="17"/>
          <w:szCs w:val="17"/>
        </w:rPr>
      </w:pPr>
    </w:p>
    <w:tbl>
      <w:tblPr>
        <w:tblW w:w="0" w:type="auto"/>
        <w:jc w:val="left"/>
        <w:tblInd w:w="146" w:type="dxa"/>
        <w:tblLayout w:type="fixed"/>
        <w:tblCellMar>
          <w:top w:w="0" w:type="dxa"/>
          <w:left w:w="0" w:type="dxa"/>
          <w:bottom w:w="0" w:type="dxa"/>
          <w:right w:w="0" w:type="dxa"/>
        </w:tblCellMar>
        <w:tblLook w:val="01E0"/>
      </w:tblPr>
      <w:tblGrid>
        <w:gridCol w:w="2222"/>
        <w:gridCol w:w="2480"/>
        <w:gridCol w:w="4855"/>
      </w:tblGrid>
      <w:tr>
        <w:trPr>
          <w:trHeight w:val="350"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49"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50"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50"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9"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52"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受益年限</w:t>
            </w:r>
          </w:p>
        </w:tc>
      </w:tr>
    </w:tbl>
    <w:p>
      <w:pPr>
        <w:spacing w:line="240" w:lineRule="auto" w:before="8"/>
        <w:rPr>
          <w:rFonts w:ascii="宋体" w:hAnsi="宋体" w:cs="宋体" w:eastAsia="宋体" w:hint="default"/>
          <w:sz w:val="6"/>
          <w:szCs w:val="6"/>
        </w:rPr>
      </w:pPr>
    </w:p>
    <w:p>
      <w:pPr>
        <w:pStyle w:val="BodyText"/>
        <w:spacing w:line="316" w:lineRule="auto" w:before="44"/>
        <w:ind w:right="1123" w:firstLine="319"/>
        <w:jc w:val="left"/>
      </w:pPr>
      <w:r>
        <w:rPr>
          <w:spacing w:val="-1"/>
        </w:rPr>
        <w:t>本公司于每年年度终了，对使用寿命有限的无形资产的使用寿命及摊销方法进行复核，与以前估计不同的，调整原先估</w:t>
      </w:r>
      <w:r>
        <w:rPr/>
        <w:t> 计数，并按会计估计变更处理。</w:t>
      </w:r>
    </w:p>
    <w:p>
      <w:pPr>
        <w:spacing w:line="240" w:lineRule="auto" w:before="1"/>
        <w:rPr>
          <w:rFonts w:ascii="宋体" w:hAnsi="宋体" w:cs="宋体" w:eastAsia="宋体" w:hint="default"/>
          <w:sz w:val="18"/>
          <w:szCs w:val="18"/>
        </w:rPr>
      </w:pPr>
    </w:p>
    <w:p>
      <w:pPr>
        <w:pStyle w:val="BodyText"/>
        <w:spacing w:line="240" w:lineRule="auto"/>
        <w:ind w:left="444" w:right="891"/>
        <w:jc w:val="left"/>
      </w:pPr>
      <w:r>
        <w:rPr/>
        <w:t>本公司期末预计某项无形资产已经不能给企业带来未来经济利益的，将该项无形资产的账面价值全部转入当期损益。</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16"/>
          <w:szCs w:val="16"/>
        </w:rPr>
      </w:pPr>
    </w:p>
    <w:p>
      <w:pPr>
        <w:pStyle w:val="BodyText"/>
        <w:spacing w:line="432" w:lineRule="exact"/>
        <w:ind w:left="444" w:right="1124"/>
        <w:jc w:val="left"/>
      </w:pPr>
      <w:r>
        <w:rPr/>
        <w:t>内部研究开发项目的研究阶段和开发阶段具体标准，以及开发阶段支出符合资本化条件的具体标准 内部研究开发项目研究阶段的支出，于发生时计入当期损益。 </w:t>
      </w:r>
      <w:r>
        <w:rPr>
          <w:spacing w:val="-1"/>
        </w:rPr>
        <w:t>开发阶段的支出，同时满足下列条件的，确认为无形资产：</w:t>
      </w:r>
      <w:r>
        <w:rPr>
          <w:rFonts w:ascii="Times New Roman" w:hAnsi="Times New Roman" w:cs="Times New Roman" w:eastAsia="Times New Roman" w:hint="default"/>
          <w:spacing w:val="-1"/>
        </w:rPr>
        <w:t>(1)</w:t>
      </w:r>
      <w:r>
        <w:rPr>
          <w:spacing w:val="-1"/>
        </w:rPr>
        <w:t>完成该无形资产以使其能够使用或出售在技术上具有可行</w:t>
      </w:r>
    </w:p>
    <w:p>
      <w:pPr>
        <w:pStyle w:val="BodyText"/>
        <w:spacing w:line="300" w:lineRule="auto" w:before="15"/>
        <w:ind w:left="153" w:right="1127"/>
        <w:jc w:val="both"/>
      </w:pPr>
      <w:r>
        <w:rPr/>
        <w:t>性；</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(3)</w:t>
      </w:r>
      <w:r>
        <w:rPr/>
        <w:t>无形资产产生经济利益的方式，包括能够证明运用该无形资产生产的</w:t>
      </w:r>
      <w:r>
        <w:rPr>
          <w:spacing w:val="-57"/>
        </w:rPr>
        <w:t> </w:t>
      </w:r>
      <w:r>
        <w:rPr>
          <w:spacing w:val="-57"/>
        </w:rPr>
      </w:r>
      <w:r>
        <w:rPr/>
        <w:t>产品存在市场或无形资产自身存在市场，无形资产将在内部使用的，能证明其有用性；</w:t>
      </w:r>
      <w:r>
        <w:rPr>
          <w:rFonts w:ascii="Times New Roman" w:hAnsi="Times New Roman" w:cs="Times New Roman" w:eastAsia="Times New Roman" w:hint="default"/>
        </w:rPr>
        <w:t>(4)</w:t>
      </w:r>
      <w:r>
        <w:rPr/>
        <w:t>有足够的技术、财务资源和其他</w:t>
      </w:r>
      <w:r>
        <w:rPr>
          <w:spacing w:val="-33"/>
        </w:rPr>
        <w:t> </w:t>
      </w:r>
      <w:r>
        <w:rPr>
          <w:spacing w:val="-33"/>
        </w:rPr>
      </w:r>
      <w:r>
        <w:rPr/>
        <w:t>资源支持，以完成该无形资产的开发，并有能力使用或出售该无形资产；</w:t>
      </w:r>
      <w:r>
        <w:rPr>
          <w:rFonts w:ascii="Times New Roman" w:hAnsi="Times New Roman" w:cs="Times New Roman" w:eastAsia="Times New Roman" w:hint="default"/>
        </w:rPr>
        <w:t>(5)</w:t>
      </w:r>
      <w:r>
        <w:rPr/>
        <w:t>归属于该无形资产开发阶段的支出能够可靠地</w:t>
      </w:r>
      <w:r>
        <w:rPr>
          <w:spacing w:val="-33"/>
        </w:rPr>
        <w:t> </w:t>
      </w:r>
      <w:r>
        <w:rPr>
          <w:spacing w:val="-33"/>
        </w:rPr>
      </w:r>
      <w:r>
        <w:rPr/>
        <w:t>计量。</w:t>
      </w:r>
    </w:p>
    <w:p>
      <w:pPr>
        <w:spacing w:after="0" w:line="300"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0" w:firstLine="290"/>
        <w:jc w:val="both"/>
      </w:pPr>
      <w:r>
        <w:rPr>
          <w:spacing w:val="-1"/>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6"/>
        </w:rPr>
        <w:t> </w:t>
      </w:r>
      <w:r>
        <w:rPr>
          <w:spacing w:val="-66"/>
        </w:rPr>
      </w:r>
      <w:r>
        <w:rPr>
          <w:spacing w:val="-2"/>
        </w:rPr>
        <w:t>计，以生产出新的或具有实质性改进的材料、装置、产品等阶段，应确定为开发阶段，该阶段具有针对性和形成成果的可能</w:t>
      </w:r>
      <w:r>
        <w:rPr>
          <w:spacing w:val="-66"/>
        </w:rPr>
        <w:t> </w:t>
      </w:r>
      <w:r>
        <w:rPr>
          <w:spacing w:val="-66"/>
        </w:rPr>
      </w:r>
      <w:r>
        <w:rPr/>
        <w:t>性较大等特点。</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spacing w:line="240" w:lineRule="auto" w:before="12"/>
        <w:rPr>
          <w:rFonts w:ascii="宋体" w:hAnsi="宋体" w:cs="宋体" w:eastAsia="宋体" w:hint="default"/>
          <w:sz w:val="17"/>
          <w:szCs w:val="17"/>
        </w:rPr>
      </w:pPr>
    </w:p>
    <w:p>
      <w:pPr>
        <w:pStyle w:val="BodyText"/>
        <w:spacing w:line="316" w:lineRule="auto"/>
        <w:ind w:left="153" w:right="891" w:firstLine="290"/>
        <w:jc w:val="left"/>
      </w:pPr>
      <w:r>
        <w:rPr/>
        <w:t>减值测试结果表明资产的可收回金额低于其账面价值的，按其差额计提减值准备并计入减值损失。可收回金额为资产的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12"/>
        <w:rPr>
          <w:rFonts w:ascii="宋体" w:hAnsi="宋体" w:cs="宋体" w:eastAsia="宋体" w:hint="default"/>
          <w:sz w:val="17"/>
          <w:szCs w:val="17"/>
        </w:rPr>
      </w:pPr>
    </w:p>
    <w:p>
      <w:pPr>
        <w:pStyle w:val="BodyText"/>
        <w:spacing w:line="316" w:lineRule="auto"/>
        <w:ind w:right="1131" w:firstLine="319"/>
        <w:jc w:val="both"/>
      </w:pPr>
      <w:r>
        <w:rPr>
          <w:spacing w:val="-1"/>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spacing w:line="240" w:lineRule="auto" w:before="12"/>
        <w:rPr>
          <w:rFonts w:ascii="宋体" w:hAnsi="宋体" w:cs="宋体" w:eastAsia="宋体" w:hint="default"/>
          <w:sz w:val="17"/>
          <w:szCs w:val="17"/>
        </w:rPr>
      </w:pPr>
    </w:p>
    <w:p>
      <w:pPr>
        <w:pStyle w:val="BodyText"/>
        <w:spacing w:line="240" w:lineRule="auto"/>
        <w:ind w:left="444" w:right="891"/>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290"/>
        <w:jc w:val="both"/>
      </w:pPr>
      <w:r>
        <w:rPr>
          <w:spacing w:val="-1"/>
        </w:rPr>
        <w:t>本公司发生的长期待摊费用按实际成本计价，并按预计受益期限平均摊销。对不能使以后会计期间受益的长期待摊费用</w:t>
      </w:r>
      <w:r>
        <w:rPr/>
        <w:t> 项目，其摊余价值全部计入当期损益。</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91" w:firstLine="290"/>
        <w:jc w:val="left"/>
      </w:pPr>
      <w:r>
        <w:rPr/>
        <w:t>短期薪酬主要包括工资、奖金、津贴和补贴、职工福利费、医疗保险费、生育保险费、工伤保险费、住房公积金、工会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离职后福利主要包括设定提存计划。其中设定提存计划主要包括基本养老保险、失业保险以及年金等，相应的应缴存金</w:t>
      </w:r>
      <w:r>
        <w:rPr/>
        <w:t> 额于发生时计入相关资产成本或当期损益。</w:t>
      </w:r>
    </w:p>
    <w:p>
      <w:pPr>
        <w:spacing w:after="0" w:line="316" w:lineRule="auto"/>
        <w:jc w:val="both"/>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891" w:firstLine="290"/>
        <w:jc w:val="left"/>
      </w:pPr>
      <w:r>
        <w:rPr/>
        <w:t>在职工劳动合同到期之前解除与职工的劳动关系，或为鼓励职工自愿接受裁减而提出给予补偿的建议，在本公司不能单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12"/>
        <w:rPr>
          <w:rFonts w:ascii="宋体" w:hAnsi="宋体" w:cs="宋体" w:eastAsia="宋体" w:hint="default"/>
          <w:sz w:val="17"/>
          <w:szCs w:val="17"/>
        </w:rPr>
      </w:pPr>
    </w:p>
    <w:p>
      <w:pPr>
        <w:pStyle w:val="BodyText"/>
        <w:spacing w:line="316" w:lineRule="auto"/>
        <w:ind w:right="891" w:firstLine="290"/>
        <w:jc w:val="left"/>
      </w:pPr>
      <w:r>
        <w:rPr>
          <w:spacing w:val="-1"/>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91" w:firstLine="290"/>
        <w:jc w:val="left"/>
      </w:pPr>
      <w:r>
        <w:rPr>
          <w:spacing w:val="-1"/>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891"/>
        <w:jc w:val="left"/>
      </w:pPr>
      <w:r>
        <w:rPr/>
        <w:t>如果与或有事项相关的义务同时符合以下条件，本公司将其确认为预计负债：</w:t>
      </w:r>
    </w:p>
    <w:p>
      <w:pPr>
        <w:spacing w:line="240" w:lineRule="auto" w:before="5"/>
        <w:rPr>
          <w:rFonts w:ascii="宋体" w:hAnsi="宋体" w:cs="宋体" w:eastAsia="宋体" w:hint="default"/>
          <w:sz w:val="22"/>
          <w:szCs w:val="22"/>
        </w:rPr>
      </w:pPr>
    </w:p>
    <w:p>
      <w:pPr>
        <w:pStyle w:val="BodyText"/>
        <w:spacing w:line="240" w:lineRule="auto"/>
        <w:ind w:left="444" w:right="891"/>
        <w:jc w:val="left"/>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444" w:right="891"/>
        <w:jc w:val="left"/>
      </w:pPr>
      <w:r>
        <w:rPr/>
        <w:t>（</w:t>
      </w:r>
      <w:r>
        <w:rPr>
          <w:rFonts w:ascii="Times New Roman" w:hAnsi="Times New Roman" w:cs="Times New Roman" w:eastAsia="Times New Roman" w:hint="default"/>
        </w:rPr>
        <w:t>2</w:t>
      </w:r>
      <w:r>
        <w:rPr/>
        <w:t>）该义务的履行很可能导致经济利益流出本公司；</w:t>
      </w:r>
    </w:p>
    <w:p>
      <w:pPr>
        <w:pStyle w:val="BodyText"/>
        <w:spacing w:line="510" w:lineRule="atLeast" w:before="18"/>
        <w:ind w:left="444" w:right="891"/>
        <w:jc w:val="left"/>
      </w:pPr>
      <w:r>
        <w:rPr/>
        <w:t>（</w:t>
      </w:r>
      <w:r>
        <w:rPr>
          <w:rFonts w:ascii="Times New Roman" w:hAnsi="Times New Roman" w:cs="Times New Roman" w:eastAsia="Times New Roman" w:hint="default"/>
        </w:rPr>
        <w:t>3</w:t>
      </w:r>
      <w:r>
        <w:rPr/>
        <w:t>）该义务的金额能够可靠地计量。 </w:t>
      </w:r>
      <w:r>
        <w:rPr>
          <w:spacing w:val="-1"/>
        </w:rPr>
        <w:t>预计负债按照履行相关现时义务所需支出的最佳估计数进行初始计量，综合考虑与或有事项有关的风险、不确定性和货</w:t>
      </w:r>
    </w:p>
    <w:p>
      <w:pPr>
        <w:pStyle w:val="BodyText"/>
        <w:spacing w:line="240" w:lineRule="auto" w:before="76"/>
        <w:ind w:left="153" w:right="891"/>
        <w:jc w:val="left"/>
      </w:pPr>
      <w:r>
        <w:rPr/>
        <w:t>币时间价值等因素。货币时间价值影响重大的，通过对相关未来现金流出进行折现后确定最佳估计数。</w:t>
      </w:r>
    </w:p>
    <w:p>
      <w:pPr>
        <w:spacing w:line="240" w:lineRule="auto" w:before="5"/>
        <w:rPr>
          <w:rFonts w:ascii="宋体" w:hAnsi="宋体" w:cs="宋体" w:eastAsia="宋体" w:hint="default"/>
          <w:sz w:val="22"/>
          <w:szCs w:val="22"/>
        </w:rPr>
      </w:pPr>
    </w:p>
    <w:p>
      <w:pPr>
        <w:pStyle w:val="BodyText"/>
        <w:spacing w:line="316" w:lineRule="auto"/>
        <w:ind w:left="153" w:right="891" w:firstLine="290"/>
        <w:jc w:val="left"/>
      </w:pPr>
      <w:r>
        <w:rPr>
          <w:spacing w:val="-1"/>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left="444" w:right="4880" w:hanging="74"/>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91"/>
        <w:ind w:left="371" w:right="891"/>
        <w:jc w:val="left"/>
      </w:pPr>
      <w:r>
        <w:rPr/>
        <w:t>（</w:t>
      </w:r>
      <w:r>
        <w:rPr>
          <w:rFonts w:ascii="Times New Roman" w:hAnsi="Times New Roman" w:cs="Times New Roman" w:eastAsia="Times New Roman" w:hint="default"/>
        </w:rPr>
        <w:t>2</w:t>
      </w:r>
      <w:r>
        <w:rPr/>
        <w:t>）权益工具公允价值的确定方法</w:t>
      </w:r>
    </w:p>
    <w:p>
      <w:pPr>
        <w:spacing w:line="240" w:lineRule="auto" w:before="4"/>
        <w:rPr>
          <w:rFonts w:ascii="宋体" w:hAnsi="宋体" w:cs="宋体" w:eastAsia="宋体" w:hint="default"/>
          <w:sz w:val="21"/>
          <w:szCs w:val="21"/>
        </w:rPr>
      </w:pPr>
    </w:p>
    <w:p>
      <w:pPr>
        <w:pStyle w:val="BodyText"/>
        <w:spacing w:line="316" w:lineRule="auto"/>
        <w:ind w:left="153" w:right="891" w:firstLine="290"/>
        <w:jc w:val="left"/>
      </w:pPr>
      <w:r>
        <w:rPr>
          <w:spacing w:val="-1"/>
        </w:rPr>
        <w:t>本公司对于授予的存在活跃市场的期权等权益工具，按照活跃市场中的报价确定其公允价值。对于授予的不存在活跃市</w:t>
      </w:r>
      <w:r>
        <w:rPr/>
        <w:t> 场的期权等权益工具，采用期权定价模型等确定其公允价值。</w:t>
      </w:r>
    </w:p>
    <w:p>
      <w:pPr>
        <w:pStyle w:val="BodyText"/>
        <w:spacing w:line="528" w:lineRule="exact" w:before="22"/>
        <w:ind w:left="444" w:right="891" w:hanging="74"/>
        <w:jc w:val="left"/>
      </w:pPr>
      <w:r>
        <w:rPr/>
        <w:t>（</w:t>
      </w:r>
      <w:r>
        <w:rPr>
          <w:rFonts w:ascii="Times New Roman" w:hAnsi="Times New Roman" w:cs="Times New Roman" w:eastAsia="Times New Roman" w:hint="default"/>
        </w:rPr>
        <w:t>3</w:t>
      </w:r>
      <w:r>
        <w:rPr/>
        <w:t>）确认可行权权益工具最佳估计的依据 </w:t>
      </w:r>
      <w:r>
        <w:rPr>
          <w:spacing w:val="-1"/>
        </w:rPr>
        <w:t>等待期内每个资产负债表日，本公司根据最新取得的可行权职工人数变动等后续信息作出最佳估计，修正预计可行权的</w:t>
      </w:r>
    </w:p>
    <w:p>
      <w:pPr>
        <w:pStyle w:val="BodyText"/>
        <w:spacing w:line="232" w:lineRule="exact"/>
        <w:ind w:left="153" w:right="891"/>
        <w:jc w:val="left"/>
      </w:pPr>
      <w:r>
        <w:rPr/>
        <w:t>权益工具数量。在可行权日，最终预计可行权权益工具的数量应当与实际可行权数量一致。</w:t>
      </w:r>
    </w:p>
    <w:p>
      <w:pPr>
        <w:spacing w:after="0" w:line="232" w:lineRule="exact"/>
        <w:jc w:val="left"/>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240" w:lineRule="auto" w:before="29"/>
        <w:ind w:left="153" w:right="891"/>
        <w:jc w:val="left"/>
      </w:pPr>
      <w:r>
        <w:rPr/>
        <w:t>软件与信息技术服务业</w:t>
      </w:r>
    </w:p>
    <w:p>
      <w:pPr>
        <w:pStyle w:val="BodyText"/>
        <w:spacing w:line="240" w:lineRule="auto" w:before="116"/>
        <w:ind w:left="153" w:right="8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38" w:lineRule="auto" w:before="102"/>
        <w:ind w:left="444" w:right="891" w:hanging="111"/>
        <w:jc w:val="left"/>
      </w:pPr>
      <w:r>
        <w:rPr/>
        <w:t>（</w:t>
      </w:r>
      <w:r>
        <w:rPr>
          <w:rFonts w:ascii="Times New Roman" w:hAnsi="Times New Roman" w:cs="Times New Roman" w:eastAsia="Times New Roman" w:hint="default"/>
        </w:rPr>
        <w:t>1</w:t>
      </w:r>
      <w:r>
        <w:rPr/>
        <w:t>）销售商品 </w:t>
      </w:r>
      <w:r>
        <w:rPr>
          <w:spacing w:val="-1"/>
        </w:rPr>
        <w:t>对已将商品所有权上的主要风险或报酬转移给购货方，既没有保留通常与所有权相联系的继续管理权，也没有对已售商</w:t>
      </w:r>
    </w:p>
    <w:p>
      <w:pPr>
        <w:pStyle w:val="BodyText"/>
        <w:spacing w:line="319" w:lineRule="auto" w:before="2"/>
        <w:ind w:right="891"/>
        <w:jc w:val="left"/>
      </w:pPr>
      <w:r>
        <w:rPr>
          <w:spacing w:val="-2"/>
        </w:rPr>
        <w:t>品实施有效控制，收入的金额能够可靠地计量，相关的经济利益很可能流入企业，且相关的已发生或将发生的成本能够可靠</w:t>
      </w:r>
      <w:r>
        <w:rPr>
          <w:spacing w:val="-66"/>
        </w:rPr>
        <w:t> </w:t>
      </w:r>
      <w:r>
        <w:rPr>
          <w:spacing w:val="-66"/>
        </w:rPr>
      </w:r>
      <w:r>
        <w:rPr/>
        <w:t>地计量时，本公司确认商品销售收入的实现。</w:t>
      </w:r>
    </w:p>
    <w:p>
      <w:pPr>
        <w:pStyle w:val="BodyText"/>
        <w:spacing w:line="319" w:lineRule="auto" w:before="55"/>
        <w:ind w:right="1129" w:firstLine="290"/>
        <w:jc w:val="both"/>
      </w:pPr>
      <w:r>
        <w:rPr>
          <w:spacing w:val="-1"/>
        </w:rPr>
        <w:t>除北明软件外公司商品销售收入分为内销销售收入和外销销售收入，内销销售收入确认的具体原则为：商品已发出，并</w:t>
      </w:r>
      <w:r>
        <w:rPr/>
        <w:t> </w:t>
      </w:r>
      <w:r>
        <w:rPr>
          <w:spacing w:val="-2"/>
        </w:rPr>
        <w:t>取得货权转移的凭证，发票账单已交付，已收讫全部或部分货款或预计可收回货款，成本能够可靠计量；外销销售收入确认</w:t>
      </w:r>
      <w:r>
        <w:rPr>
          <w:spacing w:val="-66"/>
        </w:rPr>
        <w:t> </w:t>
      </w:r>
      <w:r>
        <w:rPr>
          <w:spacing w:val="-66"/>
        </w:rPr>
      </w:r>
      <w:r>
        <w:rPr/>
        <w:t>的具体原则为：取得商品出运运单，并向银行办理完毕交单手续。</w:t>
      </w:r>
    </w:p>
    <w:p>
      <w:pPr>
        <w:pStyle w:val="BodyText"/>
        <w:spacing w:line="340" w:lineRule="auto" w:before="56"/>
        <w:ind w:left="444" w:right="3260" w:hanging="111"/>
        <w:jc w:val="left"/>
      </w:pPr>
      <w:r>
        <w:rPr/>
        <w:t>（</w:t>
      </w:r>
      <w:r>
        <w:rPr>
          <w:rFonts w:ascii="Times New Roman" w:hAnsi="Times New Roman" w:cs="Times New Roman" w:eastAsia="Times New Roman" w:hint="default"/>
        </w:rPr>
        <w:t>2</w:t>
      </w:r>
      <w:r>
        <w:rPr/>
        <w:t>）提供劳务 对在提供劳务交易的结果能够可靠估计的情况下，本公司在期末按完工百分比法确认收入。</w:t>
      </w:r>
    </w:p>
    <w:p>
      <w:pPr>
        <w:pStyle w:val="BodyText"/>
        <w:spacing w:line="319" w:lineRule="auto" w:before="39"/>
        <w:ind w:right="1130" w:firstLine="290"/>
        <w:jc w:val="both"/>
      </w:pPr>
      <w:r>
        <w:rPr>
          <w:spacing w:val="-1"/>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19" w:lineRule="auto" w:before="55"/>
        <w:ind w:right="1131" w:firstLine="290"/>
        <w:jc w:val="both"/>
      </w:pPr>
      <w:r>
        <w:rPr>
          <w:spacing w:val="-1"/>
        </w:rPr>
        <w:t>除北明软件外公司与其他企业签订的合同或协议包括销售商品和提供劳务时，如销售商品部分和提供劳务部分能够区分</w:t>
      </w:r>
      <w:r>
        <w:rPr/>
        <w:t> </w:t>
      </w:r>
      <w:r>
        <w:rPr>
          <w:spacing w:val="-2"/>
        </w:rPr>
        <w:t>并单独计量的，将销售商品部分和提供劳务部分分别处理；如销售商品部分和提供劳务部分不能够区分，或虽能区分但不能</w:t>
      </w:r>
      <w:r>
        <w:rPr>
          <w:spacing w:val="-66"/>
        </w:rPr>
        <w:t> </w:t>
      </w:r>
      <w:r>
        <w:rPr>
          <w:spacing w:val="-66"/>
        </w:rPr>
      </w:r>
      <w:r>
        <w:rPr/>
        <w:t>够单独计量的，将该合同全部作为销售商品处理。</w:t>
      </w:r>
    </w:p>
    <w:p>
      <w:pPr>
        <w:pStyle w:val="BodyText"/>
        <w:spacing w:line="348" w:lineRule="auto" w:before="58"/>
        <w:ind w:left="514" w:right="2470" w:hanging="180"/>
        <w:jc w:val="left"/>
      </w:pPr>
      <w:r>
        <w:rPr/>
        <w:t>（</w:t>
      </w:r>
      <w:r>
        <w:rPr>
          <w:rFonts w:ascii="Times New Roman" w:hAnsi="Times New Roman" w:cs="Times New Roman" w:eastAsia="Times New Roman" w:hint="default"/>
        </w:rPr>
        <w:t>3</w:t>
      </w:r>
      <w:r>
        <w:rPr/>
        <w:t>）让渡资产使用权 与资产使用权让渡相关的经济利益很可能够流入及收入的金额能够可靠地计量时，本公司确认收入。 北明软件的软件收入会计政策如下：</w:t>
      </w:r>
    </w:p>
    <w:p>
      <w:pPr>
        <w:pStyle w:val="BodyText"/>
        <w:spacing w:line="338" w:lineRule="auto" w:before="36"/>
        <w:ind w:left="444" w:right="2900" w:hanging="146"/>
        <w:jc w:val="left"/>
      </w:pPr>
      <w:r>
        <w:rPr/>
        <w:t>（</w:t>
      </w:r>
      <w:r>
        <w:rPr>
          <w:rFonts w:ascii="Times New Roman" w:hAnsi="Times New Roman" w:cs="Times New Roman" w:eastAsia="Times New Roman" w:hint="default"/>
        </w:rPr>
        <w:t>1</w:t>
      </w:r>
      <w:r>
        <w:rPr/>
        <w:t>）主营业务收入的分类 公司收入主要由系统集成及行业解决方案、代理产品增值销售、定制软件及服务等三大类构成。</w:t>
      </w:r>
    </w:p>
    <w:p>
      <w:pPr>
        <w:pStyle w:val="BodyText"/>
        <w:spacing w:line="357" w:lineRule="auto" w:before="42"/>
        <w:ind w:left="444" w:right="891"/>
        <w:jc w:val="left"/>
      </w:pPr>
      <w:r>
        <w:rPr/>
        <w:t>①系统集成及行业解决方案 </w:t>
      </w:r>
      <w:r>
        <w:rPr>
          <w:spacing w:val="-1"/>
        </w:rPr>
        <w:t>是指根据客户业务需求，综合应用计算机、通信和网络技术，选择合适的软件及硬件产品，经过应用开发、集成设计和</w:t>
      </w:r>
    </w:p>
    <w:p>
      <w:pPr>
        <w:pStyle w:val="BodyText"/>
        <w:spacing w:line="237" w:lineRule="exact"/>
        <w:ind w:right="891"/>
        <w:jc w:val="left"/>
      </w:pPr>
      <w:r>
        <w:rPr/>
        <w:t>安装调试，将各个分离的设备</w:t>
      </w:r>
      <w:r>
        <w:rPr>
          <w:rFonts w:ascii="Times New Roman" w:hAnsi="Times New Roman" w:cs="Times New Roman" w:eastAsia="Times New Roman" w:hint="default"/>
        </w:rPr>
        <w:t>(</w:t>
      </w:r>
      <w:r>
        <w:rPr/>
        <w:t>如个人电脑</w:t>
      </w:r>
      <w:r>
        <w:rPr>
          <w:rFonts w:ascii="Times New Roman" w:hAnsi="Times New Roman" w:cs="Times New Roman" w:eastAsia="Times New Roman" w:hint="default"/>
        </w:rPr>
        <w:t>)</w:t>
      </w:r>
      <w:r>
        <w:rPr/>
        <w:t>、功能和信息等集成到相互关联、统一和协调的系统之中，将整体解决方案提交</w:t>
      </w:r>
    </w:p>
    <w:p>
      <w:pPr>
        <w:pStyle w:val="BodyText"/>
        <w:spacing w:line="240" w:lineRule="auto" w:before="64"/>
        <w:ind w:right="891"/>
        <w:jc w:val="left"/>
      </w:pPr>
      <w:r>
        <w:rPr/>
        <w:t>给用户。</w:t>
      </w:r>
    </w:p>
    <w:p>
      <w:pPr>
        <w:pStyle w:val="BodyText"/>
        <w:spacing w:line="309" w:lineRule="auto" w:before="115"/>
        <w:ind w:right="1129" w:firstLine="290"/>
        <w:jc w:val="both"/>
      </w:pPr>
      <w:r>
        <w:rPr>
          <w:spacing w:val="-1"/>
        </w:rPr>
        <w:t>对系统集成及行业解决方案收入划定的标准为：公司直接与行业用户客户签订的业务（项目）合同，在投标或项目实施</w:t>
      </w:r>
      <w:r>
        <w:rPr/>
        <w:t> </w:t>
      </w:r>
      <w:r>
        <w:rPr>
          <w:spacing w:val="-2"/>
        </w:rPr>
        <w:t>前期包含为该等客户提供集成设计服务或在为该等客户提供</w:t>
      </w:r>
      <w:r>
        <w:rPr>
          <w:rFonts w:ascii="Times New Roman" w:hAnsi="Times New Roman" w:cs="Times New Roman" w:eastAsia="Times New Roman" w:hint="default"/>
          <w:spacing w:val="-2"/>
        </w:rPr>
        <w:t>IT</w:t>
      </w:r>
      <w:r>
        <w:rPr>
          <w:spacing w:val="-2"/>
        </w:rPr>
        <w:t>产品（设备，以下同）、软件产品等的同时负责设备、软件等</w:t>
      </w:r>
      <w:r>
        <w:rPr>
          <w:spacing w:val="-55"/>
        </w:rPr>
        <w:t> </w:t>
      </w:r>
      <w:r>
        <w:rPr>
          <w:spacing w:val="-55"/>
        </w:rPr>
      </w:r>
      <w:r>
        <w:rPr/>
        <w:t>的安装、调试服务。</w:t>
      </w:r>
    </w:p>
    <w:p>
      <w:pPr>
        <w:pStyle w:val="BodyText"/>
        <w:spacing w:line="357" w:lineRule="auto" w:before="64"/>
        <w:ind w:left="444" w:right="1120"/>
        <w:jc w:val="left"/>
      </w:pPr>
      <w:r>
        <w:rPr/>
        <w:t>②代理产品增值销售 是指向</w:t>
      </w:r>
      <w:r>
        <w:rPr>
          <w:rFonts w:ascii="Times New Roman" w:hAnsi="Times New Roman" w:cs="Times New Roman" w:eastAsia="Times New Roman" w:hint="default"/>
        </w:rPr>
        <w:t>IT</w:t>
      </w:r>
      <w:r>
        <w:rPr/>
        <w:t>代理商和其他系统集成商销售公司代理的软件产品、</w:t>
      </w:r>
      <w:r>
        <w:rPr>
          <w:rFonts w:ascii="Times New Roman" w:hAnsi="Times New Roman" w:cs="Times New Roman" w:eastAsia="Times New Roman" w:hint="default"/>
        </w:rPr>
        <w:t>IT</w:t>
      </w:r>
      <w:r>
        <w:rPr/>
        <w:t>产品（设备），并提供各类增值服务，包括安装调试、</w:t>
      </w:r>
    </w:p>
    <w:p>
      <w:pPr>
        <w:pStyle w:val="BodyText"/>
        <w:spacing w:line="202" w:lineRule="exact"/>
        <w:ind w:right="891"/>
        <w:jc w:val="left"/>
      </w:pPr>
      <w:r>
        <w:rPr/>
        <w:t>测试、培训等。</w:t>
      </w:r>
    </w:p>
    <w:p>
      <w:pPr>
        <w:pStyle w:val="BodyText"/>
        <w:spacing w:line="357" w:lineRule="auto" w:before="116"/>
        <w:ind w:left="444" w:right="891"/>
        <w:jc w:val="left"/>
      </w:pPr>
      <w:r>
        <w:rPr/>
        <w:t>③定制软件及服务 </w:t>
      </w:r>
      <w:r>
        <w:rPr>
          <w:spacing w:val="-3"/>
        </w:rPr>
        <w:t>是指通过各种定制化、个性化的软件开发、技术服务，促进客户企业信息技术系统效能的发挥，帮助客户实现自身目标，</w:t>
      </w:r>
    </w:p>
    <w:p>
      <w:pPr>
        <w:pStyle w:val="BodyText"/>
        <w:spacing w:line="225" w:lineRule="exact"/>
        <w:ind w:right="891"/>
        <w:jc w:val="left"/>
      </w:pPr>
      <w:r>
        <w:rPr/>
        <w:t>包括各种信息技术咨询、软件开发、测试服务、数据处理服务、技术服务、培训服务、运维服务、信息增值服务等。</w:t>
      </w:r>
    </w:p>
    <w:p>
      <w:pPr>
        <w:pStyle w:val="BodyText"/>
        <w:spacing w:line="240" w:lineRule="auto" w:before="117"/>
        <w:ind w:left="334" w:right="891"/>
        <w:jc w:val="left"/>
      </w:pPr>
      <w:r>
        <w:rPr/>
        <w:t>（</w:t>
      </w:r>
      <w:r>
        <w:rPr>
          <w:rFonts w:ascii="Times New Roman" w:hAnsi="Times New Roman" w:cs="Times New Roman" w:eastAsia="Times New Roman" w:hint="default"/>
        </w:rPr>
        <w:t>2</w:t>
      </w:r>
      <w:r>
        <w:rPr/>
        <w:t>）主营业务收入确认原则与方法</w:t>
      </w:r>
    </w:p>
    <w:p>
      <w:pPr>
        <w:pStyle w:val="BodyText"/>
        <w:spacing w:line="357" w:lineRule="auto" w:before="102"/>
        <w:ind w:left="444" w:right="891" w:firstLine="216"/>
        <w:jc w:val="left"/>
      </w:pPr>
      <w:r>
        <w:rPr/>
        <w:t>①系统集成及行业解决方案 </w:t>
      </w:r>
      <w:r>
        <w:rPr>
          <w:spacing w:val="-1"/>
        </w:rPr>
        <w:t>按照产品销售收入确认原则进行收入的确认。即在同时满足以下条件时确认收入的实现：已将外购商品、软件产品所有</w:t>
      </w:r>
    </w:p>
    <w:p>
      <w:pPr>
        <w:spacing w:after="0" w:line="357"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1131"/>
        <w:jc w:val="both"/>
      </w:pPr>
      <w:r>
        <w:rPr>
          <w:spacing w:val="-2"/>
        </w:rPr>
        <w:t>权上的主要风险和报酬转移给购货方；公司既没有保留通常与所有权相联系的继续管理权，也没有对已售出的商品实施有效</w:t>
      </w:r>
      <w:r>
        <w:rPr>
          <w:spacing w:val="-64"/>
        </w:rPr>
        <w:t> </w:t>
      </w:r>
      <w:r>
        <w:rPr>
          <w:spacing w:val="-64"/>
        </w:rPr>
      </w:r>
      <w:r>
        <w:rPr>
          <w:spacing w:val="-2"/>
        </w:rPr>
        <w:t>控制；安装调试完毕并取得购货方的验收报告；与交易相关的经济利益能够流入企业；相关的收入和成本能可靠计量时，一</w:t>
      </w:r>
      <w:r>
        <w:rPr>
          <w:spacing w:val="-66"/>
        </w:rPr>
        <w:t> </w:t>
      </w:r>
      <w:r>
        <w:rPr>
          <w:spacing w:val="-66"/>
        </w:rPr>
      </w:r>
      <w:r>
        <w:rPr/>
        <w:t>次性确认收入实现。</w:t>
      </w:r>
    </w:p>
    <w:p>
      <w:pPr>
        <w:pStyle w:val="BodyText"/>
        <w:spacing w:line="360" w:lineRule="auto" w:before="56"/>
        <w:ind w:left="444" w:right="6860" w:firstLine="72"/>
        <w:jc w:val="left"/>
      </w:pPr>
      <w:r>
        <w:rPr/>
        <w:t>②代理产品增值销售 按照产品销售收入确认原则进行收入的确认。</w:t>
      </w:r>
    </w:p>
    <w:p>
      <w:pPr>
        <w:pStyle w:val="BodyText"/>
        <w:spacing w:line="240" w:lineRule="auto" w:before="26"/>
        <w:ind w:left="444" w:right="891"/>
        <w:jc w:val="left"/>
      </w:pPr>
      <w:r>
        <w:rPr/>
        <w:t>根据该等合同是否包含安装调试等条款具体再分以下两种情况确认收入的实现：</w:t>
      </w:r>
    </w:p>
    <w:p>
      <w:pPr>
        <w:pStyle w:val="BodyText"/>
        <w:spacing w:line="302" w:lineRule="auto" w:before="115"/>
        <w:ind w:left="153" w:right="1157" w:firstLine="289"/>
        <w:jc w:val="left"/>
      </w:pPr>
      <w:r>
        <w:rPr>
          <w:rFonts w:ascii="Times New Roman" w:hAnsi="Times New Roman" w:cs="Times New Roman" w:eastAsia="Times New Roman" w:hint="default"/>
        </w:rPr>
        <w:t>a.</w:t>
      </w:r>
      <w:r>
        <w:rPr/>
        <w:t>对于合同中规定了货物交付后需要安装调试条款的项目，公司于货物交付并取得安装调试验收报告时一次性确认收入 实现。</w:t>
      </w:r>
    </w:p>
    <w:p>
      <w:pPr>
        <w:pStyle w:val="BodyText"/>
        <w:spacing w:line="240" w:lineRule="auto" w:before="70"/>
        <w:ind w:left="444" w:right="891"/>
        <w:jc w:val="left"/>
      </w:pPr>
      <w:r>
        <w:rPr>
          <w:rFonts w:ascii="Times New Roman" w:hAnsi="Times New Roman" w:cs="Times New Roman" w:eastAsia="Times New Roman" w:hint="default"/>
        </w:rPr>
        <w:t>b.</w:t>
      </w:r>
      <w:r>
        <w:rPr/>
        <w:t>对于合同中只规定货物交付未规定安装调试条款的项目，公司在取得买方收货验收单时确认收入的实现。</w:t>
      </w:r>
    </w:p>
    <w:p>
      <w:pPr>
        <w:pStyle w:val="BodyText"/>
        <w:spacing w:line="357" w:lineRule="auto" w:before="102"/>
        <w:ind w:left="444" w:right="1100"/>
        <w:jc w:val="left"/>
      </w:pPr>
      <w:r>
        <w:rPr/>
        <w:t>③定制软件及服务 定制软件开发及技术服务系公司根据用户的实际需求进行专门的软件设计与开发，由此开发出来的软件不具有通用性。</w:t>
      </w:r>
    </w:p>
    <w:p>
      <w:pPr>
        <w:pStyle w:val="BodyText"/>
        <w:spacing w:line="348" w:lineRule="auto"/>
        <w:ind w:left="443" w:right="1146" w:hanging="290"/>
        <w:jc w:val="left"/>
      </w:pPr>
      <w:r>
        <w:rPr/>
        <w:t>定制软件业务实质上是提供劳务，公司按照劳务收入确认原则进行收入的确认。具体如下： </w:t>
      </w:r>
      <w:r>
        <w:rPr>
          <w:rFonts w:ascii="Times New Roman" w:hAnsi="Times New Roman" w:cs="Times New Roman" w:eastAsia="Times New Roman" w:hint="default"/>
        </w:rPr>
        <w:t>a.</w:t>
      </w:r>
      <w:r>
        <w:rPr/>
        <w:t>按合同约定已完成定制软件开发并经对方验收后确认收入。 </w:t>
      </w:r>
      <w:r>
        <w:rPr>
          <w:rFonts w:ascii="Times New Roman" w:hAnsi="Times New Roman" w:cs="Times New Roman" w:eastAsia="Times New Roman" w:hint="default"/>
        </w:rPr>
        <w:t>b.</w:t>
      </w:r>
      <w:r>
        <w:rPr/>
        <w:t>合同的执行期间跨不同的会计期间时，公司对合同成果能可靠估计的，在资产负债表日按完工百分比法确认收入的实</w:t>
      </w:r>
    </w:p>
    <w:p>
      <w:pPr>
        <w:pStyle w:val="BodyText"/>
        <w:spacing w:line="209" w:lineRule="exact"/>
        <w:ind w:left="153" w:right="891"/>
        <w:jc w:val="left"/>
      </w:pPr>
      <w:r>
        <w:rPr/>
        <w:t>现。即在资产负债表日按照合同收入总额乘以完工进度扣除以前会计期间累计已确认劳务收入后的金额，确认当期收入；同</w:t>
      </w:r>
    </w:p>
    <w:p>
      <w:pPr>
        <w:pStyle w:val="BodyText"/>
        <w:spacing w:line="240" w:lineRule="auto" w:before="77"/>
        <w:ind w:left="153" w:right="891"/>
        <w:jc w:val="left"/>
      </w:pPr>
      <w:r>
        <w:rPr/>
        <w:t>时，按照合同估计总成本乘以完工进度扣除以前会计期间累计已确认劳务成本后的金额，结转当期成本。</w:t>
      </w:r>
    </w:p>
    <w:p>
      <w:pPr>
        <w:pStyle w:val="BodyText"/>
        <w:spacing w:line="312" w:lineRule="auto" w:before="115"/>
        <w:ind w:left="153" w:right="891" w:firstLine="289"/>
        <w:jc w:val="left"/>
      </w:pPr>
      <w:r>
        <w:rPr>
          <w:rFonts w:ascii="Times New Roman" w:hAnsi="Times New Roman" w:cs="Times New Roman" w:eastAsia="Times New Roman" w:hint="default"/>
        </w:rPr>
        <w:t>c.</w:t>
      </w:r>
      <w:r>
        <w:rPr/>
        <w:t>对在资产负债表日合同成果不能可靠估计的，如果已经发生的成本预计能够得到补偿，按能够得到补偿的收入金额确 </w:t>
      </w:r>
      <w:r>
        <w:rPr>
          <w:spacing w:val="-2"/>
        </w:rPr>
        <w:t>认收入，并按相同的金额结转成本；如果已经发生的成本预计不能全部得到补偿，按能够得到补偿的收入金额确认收入，并</w:t>
      </w:r>
      <w:r>
        <w:rPr>
          <w:spacing w:val="-66"/>
        </w:rPr>
        <w:t> </w:t>
      </w:r>
      <w:r>
        <w:rPr>
          <w:spacing w:val="-66"/>
        </w:rPr>
      </w:r>
      <w:r>
        <w:rPr>
          <w:spacing w:val="-4"/>
        </w:rPr>
        <w:t>按已发生的成本结转成本，确认的收入金额小于已经发生的成本的差额，确认为损失；如果已发生的成本全部不能得到补偿，</w:t>
      </w:r>
      <w:r>
        <w:rPr>
          <w:spacing w:val="-44"/>
        </w:rPr>
        <w:t> </w:t>
      </w:r>
      <w:r>
        <w:rPr>
          <w:spacing w:val="-44"/>
        </w:rPr>
      </w:r>
      <w:r>
        <w:rPr/>
        <w:t>则不确认收入，但应将已发生的成本确认为费用。</w:t>
      </w:r>
    </w:p>
    <w:p>
      <w:pPr>
        <w:pStyle w:val="BodyText"/>
        <w:spacing w:line="302" w:lineRule="auto" w:before="62"/>
        <w:ind w:left="153" w:right="1146" w:firstLine="290"/>
        <w:jc w:val="left"/>
      </w:pPr>
      <w:r>
        <w:rPr>
          <w:rFonts w:ascii="Times New Roman" w:hAnsi="Times New Roman" w:cs="Times New Roman" w:eastAsia="Times New Roman" w:hint="default"/>
        </w:rPr>
        <w:t>d.</w:t>
      </w:r>
      <w:r>
        <w:rPr/>
        <w:t>对于单独与客户签订系统维护、性能优化、硬件维护与备件更新、技术与应用咨询、产品升级等技术服务合同的，公 司根据合同约定的服务期间按提供服务的进度分期确认收入的实现。</w:t>
      </w:r>
    </w:p>
    <w:p>
      <w:pPr>
        <w:spacing w:line="240" w:lineRule="auto" w:before="2"/>
        <w:rPr>
          <w:rFonts w:ascii="宋体" w:hAnsi="宋体" w:cs="宋体" w:eastAsia="宋体" w:hint="default"/>
          <w:sz w:val="23"/>
          <w:szCs w:val="23"/>
        </w:rPr>
      </w:pPr>
    </w:p>
    <w:p>
      <w:pPr>
        <w:pStyle w:val="Heading3"/>
        <w:spacing w:line="240" w:lineRule="auto"/>
        <w:ind w:right="891"/>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290"/>
        <w:jc w:val="both"/>
      </w:pPr>
      <w:r>
        <w:rPr>
          <w:spacing w:val="-1"/>
        </w:rPr>
        <w:t>政府补助是指本公司从政府无偿取得货币性资产或非货币性资产，不包括政府以投资者身份并享有相应所有者权益而投</w:t>
      </w:r>
      <w:r>
        <w:rPr/>
        <w:t> </w:t>
      </w:r>
      <w:r>
        <w:rPr>
          <w:spacing w:val="-2"/>
        </w:rPr>
        <w:t>入的资本。政府补助分为与资产相关的政府补助和与收益相关的政府补助。政府补助为货币性资产的，按照收到或应收的金</w:t>
      </w:r>
      <w:r>
        <w:rPr>
          <w:spacing w:val="-66"/>
        </w:rPr>
        <w:t> </w:t>
      </w:r>
      <w:r>
        <w:rPr>
          <w:spacing w:val="-66"/>
        </w:rPr>
      </w:r>
      <w:r>
        <w:rPr>
          <w:spacing w:val="-2"/>
        </w:rPr>
        <w:t>额计量。政府补助为非货币性资产的，应当按照公允价值计量；公允价值不能可靠取得的，按照名义金额计量。按照名义金</w:t>
      </w:r>
      <w:r>
        <w:rPr>
          <w:spacing w:val="-66"/>
        </w:rPr>
        <w:t> </w:t>
      </w:r>
      <w:r>
        <w:rPr>
          <w:spacing w:val="-66"/>
        </w:rPr>
      </w:r>
      <w:r>
        <w:rPr/>
        <w:t>额计量的政府补助，直接计入当期损益。</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528" w:lineRule="exact" w:before="22"/>
        <w:ind w:left="513" w:right="891"/>
        <w:jc w:val="left"/>
      </w:pPr>
      <w:r>
        <w:rPr/>
        <w:t>当本公司能够满足政府补助所附条件，且能够收到政府补助时，才能确认政府补助。 </w:t>
      </w:r>
      <w:r>
        <w:rPr>
          <w:spacing w:val="-2"/>
        </w:rPr>
        <w:t>政府补助分为与资产相关的政府补助和与收益相关的政府补助。与资产相关的政府补助，是指公司取得的、用于购建或</w:t>
      </w:r>
    </w:p>
    <w:p>
      <w:pPr>
        <w:pStyle w:val="BodyText"/>
        <w:spacing w:line="232" w:lineRule="exact"/>
        <w:ind w:left="153" w:right="891"/>
        <w:jc w:val="left"/>
      </w:pPr>
      <w:r>
        <w:rPr/>
        <w:t>以其他方式形成长期资产的政府补助。与收益相关的政府补助，是指除与资产相关的政府补助之外的政府补助。</w:t>
      </w:r>
    </w:p>
    <w:p>
      <w:pPr>
        <w:spacing w:line="240" w:lineRule="auto" w:before="5"/>
        <w:rPr>
          <w:rFonts w:ascii="宋体" w:hAnsi="宋体" w:cs="宋体" w:eastAsia="宋体" w:hint="default"/>
          <w:sz w:val="22"/>
          <w:szCs w:val="22"/>
        </w:rPr>
      </w:pPr>
    </w:p>
    <w:p>
      <w:pPr>
        <w:pStyle w:val="BodyText"/>
        <w:spacing w:line="316" w:lineRule="auto"/>
        <w:ind w:left="153" w:right="1048" w:firstLine="360"/>
        <w:jc w:val="both"/>
      </w:pPr>
      <w:r>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与收益相关的政府补助，采用总额法，用于补偿公司已发生的相关成本费用或损失时，直接计入当期损益；用于补偿以</w:t>
      </w:r>
      <w:r>
        <w:rPr/>
        <w:t> 后期间的相关成本费用或损失时，确认为递延收益，并在确认相关成本费用或损失的期间，计入当期损益。</w:t>
      </w:r>
    </w:p>
    <w:p>
      <w:pPr>
        <w:spacing w:after="0" w:line="316"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1" w:firstLine="360"/>
        <w:jc w:val="both"/>
      </w:pPr>
      <w:r>
        <w:rPr>
          <w:spacing w:val="-2"/>
        </w:rPr>
        <w:t>对于同时包含与资产相关部分和与收益相关部分的政府补助，区分不同部分分别进行会计处理；难以区分的，整体归类</w:t>
      </w:r>
      <w:r>
        <w:rPr/>
        <w:t> 为与收益相关的政府补助。</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与公司日常活动相关的政府补助，按照经济业务实质，计入其他收益或冲减相关成本费用。与公司日常活动无关的政府</w:t>
      </w:r>
      <w:r>
        <w:rPr/>
        <w:t> 补助，计入营业外收支。</w:t>
      </w:r>
    </w:p>
    <w:p>
      <w:pPr>
        <w:spacing w:line="240" w:lineRule="auto" w:before="12"/>
        <w:rPr>
          <w:rFonts w:ascii="宋体" w:hAnsi="宋体" w:cs="宋体" w:eastAsia="宋体" w:hint="default"/>
          <w:sz w:val="17"/>
          <w:szCs w:val="17"/>
        </w:rPr>
      </w:pPr>
    </w:p>
    <w:p>
      <w:pPr>
        <w:pStyle w:val="BodyText"/>
        <w:spacing w:line="316" w:lineRule="auto"/>
        <w:ind w:left="153" w:right="1131" w:firstLine="290"/>
        <w:jc w:val="both"/>
      </w:pPr>
      <w:r>
        <w:rPr>
          <w:spacing w:val="-1"/>
        </w:rPr>
        <w:t>已确认的政府补助需要返还时，存在相关递延收益余额的，冲减相关递延收益账面余额，超出部分计入当期损益；不存</w:t>
      </w:r>
      <w:r>
        <w:rPr/>
        <w:t> 在相关递延收益的，直接计入当期损益。</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290"/>
        <w:jc w:val="both"/>
      </w:pPr>
      <w:r>
        <w:rPr>
          <w:spacing w:val="-1"/>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line="240" w:lineRule="auto" w:before="12"/>
        <w:rPr>
          <w:rFonts w:ascii="宋体" w:hAnsi="宋体" w:cs="宋体" w:eastAsia="宋体" w:hint="default"/>
          <w:sz w:val="17"/>
          <w:szCs w:val="17"/>
        </w:rPr>
      </w:pPr>
    </w:p>
    <w:p>
      <w:pPr>
        <w:pStyle w:val="BodyText"/>
        <w:spacing w:line="316" w:lineRule="auto"/>
        <w:ind w:left="153" w:right="1129" w:firstLine="290"/>
        <w:jc w:val="both"/>
      </w:pPr>
      <w:r>
        <w:rPr>
          <w:spacing w:val="-1"/>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spacing w:line="240" w:lineRule="auto" w:before="12"/>
        <w:rPr>
          <w:rFonts w:ascii="宋体" w:hAnsi="宋体" w:cs="宋体" w:eastAsia="宋体" w:hint="default"/>
          <w:sz w:val="17"/>
          <w:szCs w:val="17"/>
        </w:rPr>
      </w:pPr>
    </w:p>
    <w:p>
      <w:pPr>
        <w:pStyle w:val="BodyText"/>
        <w:spacing w:line="316" w:lineRule="auto"/>
        <w:ind w:left="153" w:right="1129" w:firstLine="290"/>
        <w:jc w:val="both"/>
      </w:pPr>
      <w:r>
        <w:rPr>
          <w:spacing w:val="-1"/>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spacing w:line="240" w:lineRule="auto" w:before="12"/>
        <w:rPr>
          <w:rFonts w:ascii="宋体" w:hAnsi="宋体" w:cs="宋体" w:eastAsia="宋体" w:hint="default"/>
          <w:sz w:val="17"/>
          <w:szCs w:val="17"/>
        </w:rPr>
      </w:pPr>
    </w:p>
    <w:p>
      <w:pPr>
        <w:pStyle w:val="BodyText"/>
        <w:spacing w:line="316" w:lineRule="auto"/>
        <w:ind w:left="153" w:right="1131" w:firstLine="290"/>
        <w:jc w:val="both"/>
      </w:pPr>
      <w:r>
        <w:rPr>
          <w:spacing w:val="-1"/>
        </w:rPr>
        <w:t>对于能够结转以后年度的可抵扣亏损和税款抵减，以很可能获得用来抵扣可抵扣亏损和税款抵减的未来应纳税所得额为</w:t>
      </w:r>
      <w:r>
        <w:rPr/>
        <w:t> 限，确认相应的递延所得税资产。</w:t>
      </w:r>
    </w:p>
    <w:p>
      <w:pPr>
        <w:spacing w:line="240" w:lineRule="auto" w:before="12"/>
        <w:rPr>
          <w:rFonts w:ascii="宋体" w:hAnsi="宋体" w:cs="宋体" w:eastAsia="宋体" w:hint="default"/>
          <w:sz w:val="17"/>
          <w:szCs w:val="17"/>
        </w:rPr>
      </w:pPr>
    </w:p>
    <w:p>
      <w:pPr>
        <w:pStyle w:val="BodyText"/>
        <w:spacing w:line="316" w:lineRule="auto"/>
        <w:ind w:left="153" w:right="1131" w:firstLine="290"/>
        <w:jc w:val="both"/>
      </w:pPr>
      <w:r>
        <w:rPr>
          <w:spacing w:val="-1"/>
        </w:rPr>
        <w:t>资产负债表日，对于递延所得税资产和递延所得税负债，根据税法规定，按照预期收回相关资产或清偿相关负债期间的</w:t>
      </w:r>
      <w:r>
        <w:rPr/>
        <w:t> 适用税率计量。</w:t>
      </w:r>
    </w:p>
    <w:p>
      <w:pPr>
        <w:spacing w:line="240" w:lineRule="auto" w:before="12"/>
        <w:rPr>
          <w:rFonts w:ascii="宋体" w:hAnsi="宋体" w:cs="宋体" w:eastAsia="宋体" w:hint="default"/>
          <w:sz w:val="17"/>
          <w:szCs w:val="17"/>
        </w:rPr>
      </w:pPr>
    </w:p>
    <w:p>
      <w:pPr>
        <w:pStyle w:val="BodyText"/>
        <w:spacing w:line="316" w:lineRule="auto"/>
        <w:ind w:left="153" w:right="1130" w:firstLine="290"/>
        <w:jc w:val="both"/>
      </w:pPr>
      <w:r>
        <w:rPr>
          <w:spacing w:val="-1"/>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91"/>
        <w:jc w:val="left"/>
      </w:pPr>
      <w:r>
        <w:rPr/>
        <w:t>经营租赁的租金在租赁期内的各个期间按直线法计入相关资产成本或当期损益。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本公司将实质上转移了与资产所有权有关的全部风险和报酬的租赁确认为融资租赁，除融资租赁之外的其他租赁确认为</w:t>
      </w:r>
      <w:r>
        <w:rPr/>
        <w:t> 经营租赁。</w:t>
      </w:r>
    </w:p>
    <w:p>
      <w:pPr>
        <w:spacing w:after="0" w:line="316"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891" w:firstLine="290"/>
        <w:jc w:val="left"/>
      </w:pPr>
      <w:r>
        <w:rPr>
          <w:spacing w:val="-1"/>
        </w:rPr>
        <w:t>在租赁期开始日，本公司将租赁开始日租赁资产公允价值与最低租赁付款额现值中较低者作为租入资产的入账价值，将</w:t>
      </w:r>
      <w:r>
        <w:rPr/>
        <w:t> 最低租赁付款额作为长期应付款的入账价值，其差额作为未确认融资费用。</w:t>
      </w:r>
    </w:p>
    <w:p>
      <w:pPr>
        <w:spacing w:line="240" w:lineRule="auto" w:before="7"/>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无。</w:t>
      </w:r>
    </w:p>
    <w:p>
      <w:pPr>
        <w:spacing w:line="240" w:lineRule="auto" w:before="12"/>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69"/>
        <w:gridCol w:w="2160"/>
        <w:gridCol w:w="1800"/>
      </w:tblGrid>
      <w:tr>
        <w:trPr>
          <w:trHeight w:val="402" w:hRule="exact"/>
        </w:trPr>
        <w:tc>
          <w:tcPr>
            <w:tcW w:w="5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55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因执行新企业会计准则导致的会计政策变更。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日，财政</w:t>
            </w:r>
          </w:p>
          <w:p>
            <w:pPr>
              <w:pStyle w:val="TableParagraph"/>
              <w:spacing w:line="302" w:lineRule="auto" w:before="61"/>
              <w:ind w:left="11" w:right="23"/>
              <w:jc w:val="left"/>
              <w:rPr>
                <w:rFonts w:ascii="宋体" w:hAnsi="宋体" w:cs="宋体" w:eastAsia="宋体" w:hint="default"/>
                <w:sz w:val="18"/>
                <w:szCs w:val="18"/>
              </w:rPr>
            </w:pPr>
            <w:r>
              <w:rPr>
                <w:rFonts w:ascii="宋体" w:hAnsi="宋体" w:cs="宋体" w:eastAsia="宋体" w:hint="default"/>
                <w:sz w:val="18"/>
                <w:szCs w:val="18"/>
              </w:rPr>
              <w:t>部发布</w:t>
            </w:r>
            <w:r>
              <w:rPr>
                <w:rFonts w:ascii="宋体" w:hAnsi="宋体" w:cs="宋体" w:eastAsia="宋体" w:hint="default"/>
                <w:spacing w:val="-28"/>
                <w:sz w:val="18"/>
                <w:szCs w:val="18"/>
              </w:rPr>
              <w:t>了</w:t>
            </w:r>
            <w:r>
              <w:rPr>
                <w:rFonts w:ascii="宋体" w:hAnsi="宋体" w:cs="宋体" w:eastAsia="宋体" w:hint="default"/>
                <w:sz w:val="18"/>
                <w:szCs w:val="18"/>
              </w:rPr>
              <w:t>《关于修订印发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年度一般企业财务报表格式的通知</w:t>
            </w:r>
            <w:r>
              <w:rPr>
                <w:rFonts w:ascii="宋体" w:hAnsi="宋体" w:cs="宋体" w:eastAsia="宋体" w:hint="default"/>
                <w:spacing w:val="-118"/>
                <w:sz w:val="18"/>
                <w:szCs w:val="18"/>
              </w:rPr>
              <w:t>》</w:t>
            </w:r>
            <w:r>
              <w:rPr>
                <w:rFonts w:ascii="宋体" w:hAnsi="宋体" w:cs="宋体" w:eastAsia="宋体" w:hint="default"/>
                <w:sz w:val="18"/>
                <w:szCs w:val="18"/>
              </w:rPr>
              <w:t>（财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公司董事会七届四次会议 批准了该会计政策变更。</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10"/>
        <w:ind w:right="891"/>
        <w:jc w:val="left"/>
      </w:pPr>
      <w:r>
        <w:rPr/>
        <w:t>本公司执行此项会计政策对列报前期财务报表项目及金额的影响如下：</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045"/>
        <w:gridCol w:w="4535"/>
        <w:gridCol w:w="3960"/>
      </w:tblGrid>
      <w:tr>
        <w:trPr>
          <w:trHeight w:val="664" w:hRule="exact"/>
        </w:trPr>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57"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503" w:right="1249" w:hanging="25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53" w:hRule="exact"/>
        </w:trPr>
        <w:tc>
          <w:tcPr>
            <w:tcW w:w="104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-339,593,872.54</w:t>
            </w:r>
          </w:p>
        </w:tc>
      </w:tr>
      <w:tr>
        <w:trPr>
          <w:trHeight w:val="352" w:hRule="exact"/>
        </w:trPr>
        <w:tc>
          <w:tcPr>
            <w:tcW w:w="1045" w:type="dxa"/>
            <w:vMerge/>
            <w:tcBorders>
              <w:left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-2,323,068,424.34</w:t>
            </w:r>
          </w:p>
        </w:tc>
      </w:tr>
      <w:tr>
        <w:trPr>
          <w:trHeight w:val="352" w:hRule="exact"/>
        </w:trPr>
        <w:tc>
          <w:tcPr>
            <w:tcW w:w="1045" w:type="dxa"/>
            <w:vMerge/>
            <w:tcBorders>
              <w:left w:val="single" w:sz="8" w:space="0" w:color="000000"/>
              <w:bottom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+2,662,662,296.88</w:t>
            </w:r>
          </w:p>
        </w:tc>
      </w:tr>
      <w:tr>
        <w:trPr>
          <w:trHeight w:val="353" w:hRule="exact"/>
        </w:trPr>
        <w:tc>
          <w:tcPr>
            <w:tcW w:w="1045"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+11,150,294.95</w:t>
            </w:r>
          </w:p>
        </w:tc>
      </w:tr>
      <w:tr>
        <w:trPr>
          <w:trHeight w:val="352" w:hRule="exact"/>
        </w:trPr>
        <w:tc>
          <w:tcPr>
            <w:tcW w:w="1045" w:type="dxa"/>
            <w:vMerge/>
            <w:tcBorders>
              <w:left w:val="single" w:sz="8" w:space="0" w:color="000000"/>
              <w:bottom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-11,150,294.95</w:t>
            </w:r>
          </w:p>
        </w:tc>
      </w:tr>
      <w:tr>
        <w:trPr>
          <w:trHeight w:val="352" w:hRule="exact"/>
        </w:trPr>
        <w:tc>
          <w:tcPr>
            <w:tcW w:w="104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-717,797,920.64</w:t>
            </w:r>
          </w:p>
        </w:tc>
      </w:tr>
      <w:tr>
        <w:trPr>
          <w:trHeight w:val="353" w:hRule="exact"/>
        </w:trPr>
        <w:tc>
          <w:tcPr>
            <w:tcW w:w="1045" w:type="dxa"/>
            <w:vMerge/>
            <w:tcBorders>
              <w:left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-1,016,322,693.15</w:t>
            </w:r>
          </w:p>
        </w:tc>
      </w:tr>
      <w:tr>
        <w:trPr>
          <w:trHeight w:val="352" w:hRule="exact"/>
        </w:trPr>
        <w:tc>
          <w:tcPr>
            <w:tcW w:w="1045" w:type="dxa"/>
            <w:vMerge/>
            <w:tcBorders>
              <w:left w:val="single" w:sz="8" w:space="0" w:color="000000"/>
              <w:bottom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+1,734,120,613.79</w:t>
            </w:r>
          </w:p>
        </w:tc>
      </w:tr>
      <w:tr>
        <w:trPr>
          <w:trHeight w:val="352" w:hRule="exact"/>
        </w:trPr>
        <w:tc>
          <w:tcPr>
            <w:tcW w:w="104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-2,766,145.70</w:t>
            </w:r>
          </w:p>
        </w:tc>
      </w:tr>
      <w:tr>
        <w:trPr>
          <w:trHeight w:val="353" w:hRule="exact"/>
        </w:trPr>
        <w:tc>
          <w:tcPr>
            <w:tcW w:w="1045" w:type="dxa"/>
            <w:vMerge/>
            <w:tcBorders>
              <w:left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352" w:hRule="exact"/>
        </w:trPr>
        <w:tc>
          <w:tcPr>
            <w:tcW w:w="1045" w:type="dxa"/>
            <w:vMerge/>
            <w:tcBorders>
              <w:left w:val="single" w:sz="8" w:space="0" w:color="000000"/>
              <w:bottom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+32,734,567.83</w:t>
            </w:r>
          </w:p>
        </w:tc>
      </w:tr>
      <w:tr>
        <w:trPr>
          <w:trHeight w:val="352" w:hRule="exact"/>
        </w:trPr>
        <w:tc>
          <w:tcPr>
            <w:tcW w:w="1045"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-62,287,701.89</w:t>
            </w:r>
          </w:p>
        </w:tc>
      </w:tr>
      <w:tr>
        <w:trPr>
          <w:trHeight w:val="353" w:hRule="exact"/>
        </w:trPr>
        <w:tc>
          <w:tcPr>
            <w:tcW w:w="1045" w:type="dxa"/>
            <w:vMerge/>
            <w:tcBorders>
              <w:left w:val="single" w:sz="8" w:space="0" w:color="000000"/>
              <w:bottom w:val="single" w:sz="8" w:space="0" w:color="000000"/>
              <w:right w:val="single" w:sz="8" w:space="0" w:color="000000"/>
            </w:tcBorders>
          </w:tcPr>
          <w:p>
            <w:pPr/>
          </w:p>
        </w:tc>
        <w:tc>
          <w:tcPr>
            <w:tcW w:w="45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+62,287,701.89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891"/>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1"/>
        <w:gridCol w:w="3190"/>
        <w:gridCol w:w="3194"/>
      </w:tblGrid>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891"/>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山东成功科技信息有限责任公司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941" w:header="747" w:top="1060" w:bottom="1140" w:left="980" w:right="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北明云山（武汉）软件开发有限公司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河北北明兴云互联网科技有限责任公司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石家庄爱意科技有限公司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30" w:lineRule="atLeast" w:before="2"/>
        <w:ind w:left="514" w:right="891"/>
        <w:jc w:val="left"/>
      </w:pPr>
      <w:r>
        <w:rPr/>
        <w:t>（</w:t>
      </w:r>
      <w:r>
        <w:rPr>
          <w:rFonts w:ascii="Times New Roman" w:hAnsi="Times New Roman" w:cs="Times New Roman" w:eastAsia="Times New Roman" w:hint="default"/>
        </w:rPr>
        <w:t>1</w:t>
      </w:r>
      <w:r>
        <w:rPr/>
        <w:t>）增值税 根据《财政部、国家税务总局关于软件产品增值税政策的通知》（财税</w:t>
      </w:r>
      <w:r>
        <w:rPr>
          <w:rFonts w:ascii="Times New Roman" w:hAnsi="Times New Roman" w:cs="Times New Roman" w:eastAsia="Times New Roman" w:hint="default"/>
        </w:rPr>
        <w:t>[2011]100</w:t>
      </w:r>
      <w:r>
        <w:rPr/>
        <w:t>号）文规定、《财政部、国家税务总</w:t>
      </w:r>
    </w:p>
    <w:p>
      <w:pPr>
        <w:pStyle w:val="BodyText"/>
        <w:spacing w:line="307" w:lineRule="auto" w:before="63"/>
        <w:ind w:right="1127"/>
        <w:jc w:val="both"/>
      </w:pPr>
      <w:r>
        <w:rPr/>
        <w:t>局关于财政性资金、行政事业性收费、政府性基金有关企业所得税政策问题的通知》（财税</w:t>
      </w:r>
      <w:r>
        <w:rPr>
          <w:rFonts w:ascii="Times New Roman" w:hAnsi="Times New Roman" w:cs="Times New Roman" w:eastAsia="Times New Roman" w:hint="default"/>
        </w:rPr>
        <w:t>[2008]151</w:t>
      </w:r>
      <w:r>
        <w:rPr/>
        <w:t>号）、《国务院关于</w:t>
      </w:r>
      <w:r>
        <w:rPr>
          <w:spacing w:val="-34"/>
        </w:rPr>
        <w:t> </w:t>
      </w:r>
      <w:r>
        <w:rPr>
          <w:spacing w:val="-34"/>
        </w:rPr>
      </w:r>
      <w:r>
        <w:rPr/>
        <w:t>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）号）文规定，本公司子公司北明软件有限</w:t>
      </w:r>
      <w:r>
        <w:rPr>
          <w:spacing w:val="-84"/>
        </w:rPr>
        <w:t> </w:t>
      </w:r>
      <w:r>
        <w:rPr>
          <w:spacing w:val="-84"/>
        </w:rPr>
      </w:r>
      <w:r>
        <w:rPr>
          <w:spacing w:val="-2"/>
        </w:rPr>
        <w:t>公司、北明云智（武汉）网软有限公司、珠海市震星信息技术有限公司、广州市龙泰信息技术有限公司、北京北明正实科技</w:t>
      </w:r>
      <w:r>
        <w:rPr>
          <w:spacing w:val="-68"/>
        </w:rPr>
        <w:t> </w:t>
      </w:r>
      <w:r>
        <w:rPr>
          <w:spacing w:val="-68"/>
        </w:rPr>
      </w:r>
      <w:r>
        <w:rPr>
          <w:spacing w:val="-2"/>
        </w:rPr>
        <w:t>有限公司、山东成功信息技术有限公司、北京天时前程自动化工程技术有限公司、索科维尔（北京）软件系统有限公司、北</w:t>
      </w:r>
      <w:r>
        <w:rPr>
          <w:spacing w:val="-67"/>
        </w:rPr>
        <w:t> </w:t>
      </w:r>
      <w:r>
        <w:rPr>
          <w:spacing w:val="-67"/>
        </w:rPr>
      </w:r>
      <w:r>
        <w:rPr/>
        <w:t>京明润华创科技有限责任公司、北京金实盈信科技有限公司等共</w:t>
      </w:r>
      <w:r>
        <w:rPr>
          <w:rFonts w:ascii="Times New Roman" w:hAnsi="Times New Roman" w:cs="Times New Roman" w:eastAsia="Times New Roman" w:hint="default"/>
        </w:rPr>
        <w:t>10</w:t>
      </w:r>
      <w:r>
        <w:rPr/>
        <w:t>家软件企业，享受增值税实际税负超过</w:t>
      </w:r>
      <w:r>
        <w:rPr>
          <w:rFonts w:ascii="Times New Roman" w:hAnsi="Times New Roman" w:cs="Times New Roman" w:eastAsia="Times New Roman" w:hint="default"/>
        </w:rPr>
        <w:t>3%</w:t>
      </w:r>
      <w:r>
        <w:rPr/>
        <w:t>的部分即征即</w:t>
      </w:r>
      <w:r>
        <w:rPr>
          <w:spacing w:val="-57"/>
        </w:rPr>
        <w:t> </w:t>
      </w:r>
      <w:r>
        <w:rPr>
          <w:spacing w:val="-57"/>
        </w:rPr>
      </w:r>
      <w:r>
        <w:rPr/>
        <w:t>退的优惠政策。</w:t>
      </w:r>
    </w:p>
    <w:p>
      <w:pPr>
        <w:pStyle w:val="BodyText"/>
        <w:spacing w:line="528" w:lineRule="exact" w:before="30"/>
        <w:ind w:left="514" w:right="891"/>
        <w:jc w:val="left"/>
      </w:pPr>
      <w:r>
        <w:rPr/>
        <w:t>（</w:t>
      </w:r>
      <w:r>
        <w:rPr>
          <w:rFonts w:ascii="Times New Roman" w:hAnsi="Times New Roman" w:cs="Times New Roman" w:eastAsia="Times New Roman" w:hint="default"/>
        </w:rPr>
        <w:t>2</w:t>
      </w:r>
      <w:r>
        <w:rPr/>
        <w:t>）企业所得税 </w:t>
      </w:r>
      <w:r>
        <w:rPr>
          <w:spacing w:val="-2"/>
        </w:rPr>
        <w:t>北明软件有限公司于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月取得中华人民共和国国家发展和改革委员会、中华人民共和国工业和信息化部、中华人</w:t>
      </w:r>
    </w:p>
    <w:p>
      <w:pPr>
        <w:pStyle w:val="BodyText"/>
        <w:spacing w:line="307" w:lineRule="auto"/>
        <w:ind w:left="153" w:right="1128"/>
        <w:jc w:val="both"/>
      </w:pPr>
      <w:r>
        <w:rPr>
          <w:spacing w:val="-2"/>
        </w:rPr>
        <w:t>民共和国财政部、中华人民共和国商务部、国家税务总局联合颁发的国家规划布局内重点软件企业证书。北明软件有限公司</w:t>
      </w:r>
      <w:r>
        <w:rPr>
          <w:spacing w:val="-66"/>
        </w:rPr>
        <w:t> </w:t>
      </w:r>
      <w:r>
        <w:rPr>
          <w:spacing w:val="-66"/>
        </w:rPr>
      </w:r>
      <w:r>
        <w:rPr>
          <w:spacing w:val="-1"/>
        </w:rPr>
        <w:t>依据最新下发财税【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spacing w:val="-1"/>
        </w:rPr>
        <w:t>号文，在广州市天河区地方税务局对</w:t>
      </w:r>
      <w:r>
        <w:rPr>
          <w:rFonts w:ascii="Times New Roman" w:hAnsi="Times New Roman" w:cs="Times New Roman" w:eastAsia="Times New Roman" w:hint="default"/>
          <w:spacing w:val="-1"/>
        </w:rPr>
        <w:t>2017</w:t>
      </w:r>
      <w:r>
        <w:rPr>
          <w:spacing w:val="-1"/>
        </w:rPr>
        <w:t>年度所得税做了优惠事项备案，减按</w:t>
      </w:r>
      <w:r>
        <w:rPr>
          <w:rFonts w:ascii="Times New Roman" w:hAnsi="Times New Roman" w:cs="Times New Roman" w:eastAsia="Times New Roman" w:hint="default"/>
          <w:spacing w:val="-1"/>
        </w:rPr>
        <w:t>10%</w:t>
      </w:r>
      <w:r>
        <w:rPr>
          <w:spacing w:val="-1"/>
        </w:rPr>
        <w:t>征收，并通</w:t>
      </w:r>
      <w:r>
        <w:rPr>
          <w:spacing w:val="-84"/>
        </w:rPr>
        <w:t> </w:t>
      </w:r>
      <w:r>
        <w:rPr>
          <w:spacing w:val="-84"/>
        </w:rPr>
      </w:r>
      <w:r>
        <w:rPr>
          <w:spacing w:val="-1"/>
        </w:rPr>
        <w:t>过发改委、工业和信息化部门的核查。</w:t>
      </w:r>
      <w:r>
        <w:rPr>
          <w:rFonts w:ascii="Times New Roman" w:hAnsi="Times New Roman" w:cs="Times New Roman" w:eastAsia="Times New Roman" w:hint="default"/>
          <w:spacing w:val="-1"/>
        </w:rPr>
        <w:t>2018</w:t>
      </w:r>
      <w:r>
        <w:rPr>
          <w:spacing w:val="-1"/>
        </w:rPr>
        <w:t>年同样执行财税【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spacing w:val="-1"/>
        </w:rPr>
        <w:t>号文，减按</w:t>
      </w:r>
      <w:r>
        <w:rPr>
          <w:rFonts w:ascii="Times New Roman" w:hAnsi="Times New Roman" w:cs="Times New Roman" w:eastAsia="Times New Roman" w:hint="default"/>
          <w:spacing w:val="-1"/>
        </w:rPr>
        <w:t>10%</w:t>
      </w:r>
      <w:r>
        <w:rPr>
          <w:spacing w:val="-1"/>
        </w:rPr>
        <w:t>征收，相关优惠事项备案手续正在办</w:t>
      </w:r>
      <w:r>
        <w:rPr>
          <w:spacing w:val="-84"/>
        </w:rPr>
        <w:t> </w:t>
      </w:r>
      <w:r>
        <w:rPr>
          <w:spacing w:val="-84"/>
        </w:rPr>
      </w:r>
      <w:r>
        <w:rPr/>
        <w:t>理中。</w:t>
      </w:r>
    </w:p>
    <w:p>
      <w:pPr>
        <w:spacing w:line="240" w:lineRule="auto" w:before="7"/>
        <w:rPr>
          <w:rFonts w:ascii="宋体" w:hAnsi="宋体" w:cs="宋体" w:eastAsia="宋体" w:hint="default"/>
          <w:sz w:val="18"/>
          <w:szCs w:val="18"/>
        </w:rPr>
      </w:pPr>
    </w:p>
    <w:p>
      <w:pPr>
        <w:pStyle w:val="BodyText"/>
        <w:spacing w:line="300" w:lineRule="auto"/>
        <w:ind w:left="153" w:right="1130" w:firstLine="360"/>
        <w:jc w:val="both"/>
      </w:pPr>
      <w:r>
        <w:rPr>
          <w:spacing w:val="-2"/>
        </w:rPr>
        <w:t>子公司北京北明正实科技有限公司于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日取得北京市科学技术委员会、北京财政局、国家税务总局北京市税</w:t>
      </w:r>
      <w:r>
        <w:rPr/>
        <w:t> </w:t>
      </w:r>
      <w:r>
        <w:rPr>
          <w:spacing w:val="-2"/>
        </w:rPr>
        <w:t>务局三家联合颁发的证书</w:t>
      </w:r>
      <w:r>
        <w:rPr>
          <w:rFonts w:ascii="Times New Roman" w:hAnsi="Times New Roman" w:cs="Times New Roman" w:eastAsia="Times New Roman" w:hint="default"/>
          <w:spacing w:val="-2"/>
        </w:rPr>
        <w:t>GR20181100838</w:t>
      </w:r>
      <w:r>
        <w:rPr>
          <w:spacing w:val="-2"/>
        </w:rPr>
        <w:t>号高新技术认定证书，根据《中华人民共和国企业所得税法》及其实施条例的相关</w:t>
      </w:r>
      <w:r>
        <w:rPr>
          <w:spacing w:val="-47"/>
        </w:rPr>
        <w:t> </w:t>
      </w:r>
      <w:r>
        <w:rPr>
          <w:spacing w:val="-47"/>
        </w:rPr>
      </w:r>
      <w:r>
        <w:rPr/>
        <w:t>规定，北京北明正实科技有限公司自</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税率缴纳企业所得税的税收优惠政策。</w:t>
      </w:r>
    </w:p>
    <w:p>
      <w:pPr>
        <w:pStyle w:val="BodyText"/>
        <w:spacing w:line="300" w:lineRule="auto" w:before="63"/>
        <w:ind w:left="153" w:right="1129" w:firstLine="360"/>
        <w:jc w:val="both"/>
      </w:pPr>
      <w:r>
        <w:rPr>
          <w:spacing w:val="-2"/>
        </w:rPr>
        <w:t>子公司珠海市震星信息技术有限公司于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日经广东省科学技术厅、广东省财政厅、广东省国家税务局、广东</w:t>
      </w:r>
      <w:r>
        <w:rPr/>
        <w:t> 省地方税务局批准取得编号</w:t>
      </w:r>
      <w:r>
        <w:rPr>
          <w:rFonts w:ascii="Times New Roman" w:hAnsi="Times New Roman" w:cs="Times New Roman" w:eastAsia="Times New Roman" w:hint="default"/>
        </w:rPr>
        <w:t>GR201644001353</w:t>
      </w:r>
      <w:r>
        <w:rPr/>
        <w:t>号高新技术企业证书，根据《中华人民共和国企业所得税法》及其实施条例的</w:t>
      </w:r>
      <w:r>
        <w:rPr>
          <w:spacing w:val="-69"/>
        </w:rPr>
        <w:t> </w:t>
      </w:r>
      <w:r>
        <w:rPr>
          <w:spacing w:val="-69"/>
        </w:rPr>
      </w:r>
      <w:r>
        <w:rPr/>
        <w:t>相关规定，珠海市震星信息技术有限公司自</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w:t>
      </w:r>
    </w:p>
    <w:p>
      <w:pPr>
        <w:pStyle w:val="BodyText"/>
        <w:spacing w:line="300" w:lineRule="auto" w:before="63"/>
        <w:ind w:right="1128" w:firstLine="270"/>
        <w:jc w:val="both"/>
      </w:pPr>
      <w:r>
        <w:rPr/>
        <w:t>子公司索科维尔（北京）软件系统有限公司于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日取得北京科学技术委员会、北京市财政局、北京市国家税 务局、北京市地方税务局四家联合颁发的证书</w:t>
      </w:r>
      <w:r>
        <w:rPr>
          <w:rFonts w:ascii="Times New Roman" w:hAnsi="Times New Roman" w:cs="Times New Roman" w:eastAsia="Times New Roman" w:hint="default"/>
        </w:rPr>
        <w:t>GR201711002038</w:t>
      </w:r>
      <w:r>
        <w:rPr/>
        <w:t>号高新技术企业认定书，根据《中华人民共和国企业所得税</w:t>
      </w:r>
      <w:r>
        <w:rPr>
          <w:spacing w:val="-80"/>
        </w:rPr>
        <w:t> </w:t>
      </w:r>
      <w:r>
        <w:rPr>
          <w:spacing w:val="-80"/>
        </w:rPr>
      </w:r>
      <w:r>
        <w:rPr>
          <w:spacing w:val="-1"/>
        </w:rPr>
        <w:t>法》及其实施条例的相关规定，索科维尔（北京）软件系统有限公司自</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年减按</w:t>
      </w:r>
      <w:r>
        <w:rPr>
          <w:rFonts w:ascii="Times New Roman" w:hAnsi="Times New Roman" w:cs="Times New Roman" w:eastAsia="Times New Roman" w:hint="default"/>
          <w:spacing w:val="-1"/>
        </w:rPr>
        <w:t>15%</w:t>
      </w:r>
      <w:r>
        <w:rPr>
          <w:spacing w:val="-1"/>
        </w:rPr>
        <w:t>税率缴纳企业所得税的税收</w:t>
      </w:r>
      <w:r>
        <w:rPr>
          <w:spacing w:val="-87"/>
        </w:rPr>
        <w:t> </w:t>
      </w:r>
      <w:r>
        <w:rPr/>
        <w:t>优惠政策。</w:t>
      </w:r>
    </w:p>
    <w:p>
      <w:pPr>
        <w:pStyle w:val="BodyText"/>
        <w:spacing w:line="300" w:lineRule="auto" w:before="80"/>
        <w:ind w:right="1129" w:firstLine="360"/>
        <w:jc w:val="both"/>
      </w:pPr>
      <w:r>
        <w:rPr/>
        <w:t>子公司北京天时前程自动化工程技术有限公司于</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8</w:t>
      </w:r>
      <w:r>
        <w:rPr/>
        <w:t>月</w:t>
      </w:r>
      <w:r>
        <w:rPr>
          <w:spacing w:val="-3"/>
        </w:rPr>
        <w:t> </w:t>
      </w:r>
      <w:r>
        <w:rPr>
          <w:rFonts w:ascii="Times New Roman" w:hAnsi="Times New Roman" w:cs="Times New Roman" w:eastAsia="Times New Roman" w:hint="default"/>
        </w:rPr>
        <w:t>10</w:t>
      </w:r>
      <w:r>
        <w:rPr/>
        <w:t>日由北京市科学技术委员会、北京市财政局、北京市国 </w:t>
      </w:r>
      <w:r>
        <w:rPr>
          <w:spacing w:val="-3"/>
        </w:rPr>
        <w:t>家税务局及北京市地方税务局共同认定为高新技术企业，己取得高新技术企业证书，证书编号为</w:t>
      </w:r>
      <w:r>
        <w:rPr>
          <w:rFonts w:ascii="Times New Roman" w:hAnsi="Times New Roman" w:cs="Times New Roman" w:eastAsia="Times New Roman" w:hint="default"/>
          <w:spacing w:val="-3"/>
        </w:rPr>
        <w:t>GR201711000868</w:t>
      </w:r>
      <w:r>
        <w:rPr>
          <w:spacing w:val="-3"/>
        </w:rPr>
        <w:t>，根据《中</w:t>
      </w:r>
      <w:r>
        <w:rPr>
          <w:spacing w:val="-75"/>
        </w:rPr>
        <w:t> </w:t>
      </w:r>
      <w:r>
        <w:rPr>
          <w:spacing w:val="-75"/>
        </w:rPr>
      </w:r>
      <w:r>
        <w:rPr>
          <w:spacing w:val="-1"/>
        </w:rPr>
        <w:t>华人民共和国企业所得税法》及其实施条例的相关规定，北京天时前程自动化工程技术有限公司自</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年减按</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40"/>
        </w:rPr>
        <w:t> </w:t>
      </w:r>
      <w:r>
        <w:rPr/>
        <w:t>税率缴纳企业所得税。</w:t>
      </w:r>
    </w:p>
    <w:p>
      <w:pPr>
        <w:pStyle w:val="BodyText"/>
        <w:spacing w:line="300" w:lineRule="auto" w:before="82"/>
        <w:ind w:right="1048" w:firstLine="270"/>
        <w:jc w:val="both"/>
      </w:pPr>
      <w:r>
        <w:rPr/>
        <w:t>子公司北京明润华创科技有限责任公司于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日取得北京科学技术委员会、北京市财政局、北京市国家税务局、 北京市地方税务局四家联合颁发的证书</w:t>
      </w:r>
      <w:r>
        <w:rPr>
          <w:rFonts w:ascii="Times New Roman" w:hAnsi="Times New Roman" w:cs="Times New Roman" w:eastAsia="Times New Roman" w:hint="default"/>
        </w:rPr>
        <w:t>GR201711005994</w:t>
      </w:r>
      <w:r>
        <w:rPr/>
        <w:t>号高新技术企业认定书，根据《中华人民共和国企业所得税法》及</w:t>
      </w:r>
    </w:p>
    <w:p>
      <w:pPr>
        <w:spacing w:after="0" w:line="300" w:lineRule="auto"/>
        <w:jc w:val="both"/>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041"/>
        <w:jc w:val="right"/>
      </w:pPr>
      <w:r>
        <w:rPr/>
        <w:t>其实施条例的相关规定，北京明润华创科技有限责任公司自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税率缴纳企业所得税的税收优惠政策。</w:t>
      </w:r>
    </w:p>
    <w:p>
      <w:pPr>
        <w:pStyle w:val="BodyText"/>
        <w:spacing w:line="300" w:lineRule="auto" w:before="113"/>
        <w:ind w:left="153" w:right="891" w:firstLine="270"/>
        <w:jc w:val="left"/>
      </w:pPr>
      <w:r>
        <w:rPr>
          <w:spacing w:val="-2"/>
        </w:rPr>
        <w:t>子公司山东成功信息技术有限公司于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日取得山东省科学技厅、山东省财政厅、国家税务总局山东省税务局三</w:t>
      </w:r>
      <w:r>
        <w:rPr/>
        <w:t> </w:t>
      </w:r>
      <w:r>
        <w:rPr>
          <w:spacing w:val="-2"/>
        </w:rPr>
        <w:t>家联合颁发的证书</w:t>
      </w:r>
      <w:r>
        <w:rPr>
          <w:rFonts w:ascii="Times New Roman" w:hAnsi="Times New Roman" w:cs="Times New Roman" w:eastAsia="Times New Roman" w:hint="default"/>
          <w:spacing w:val="-2"/>
        </w:rPr>
        <w:t>GR201837000330</w:t>
      </w:r>
      <w:r>
        <w:rPr>
          <w:spacing w:val="-2"/>
        </w:rPr>
        <w:t>号高新技术企业证书，根据《中华人民共和国企业所得税法》及其实施条例的相关规定，</w:t>
      </w:r>
      <w:r>
        <w:rPr>
          <w:spacing w:val="-46"/>
        </w:rPr>
        <w:t> </w:t>
      </w:r>
      <w:r>
        <w:rPr>
          <w:spacing w:val="-46"/>
        </w:rPr>
      </w:r>
      <w:r>
        <w:rPr/>
        <w:t>山东成功信息技术有限公司自</w:t>
      </w:r>
      <w:r>
        <w:rPr>
          <w:rFonts w:ascii="Times New Roman" w:hAnsi="Times New Roman" w:cs="Times New Roman" w:eastAsia="Times New Roman" w:hint="default"/>
        </w:rPr>
        <w:t>2018</w:t>
      </w:r>
      <w:r>
        <w:rPr/>
        <w:t>年开始三年内企业所得税率为</w:t>
      </w:r>
      <w:r>
        <w:rPr>
          <w:rFonts w:ascii="Times New Roman" w:hAnsi="Times New Roman" w:cs="Times New Roman" w:eastAsia="Times New Roman" w:hint="default"/>
        </w:rPr>
        <w:t>15%</w:t>
      </w:r>
      <w:r>
        <w:rPr/>
        <w:t>。</w:t>
      </w:r>
    </w:p>
    <w:p>
      <w:pPr>
        <w:pStyle w:val="BodyText"/>
        <w:spacing w:line="300" w:lineRule="auto" w:before="62"/>
        <w:ind w:left="153" w:right="1130" w:firstLine="270"/>
        <w:jc w:val="both"/>
      </w:pPr>
      <w:r>
        <w:rPr>
          <w:spacing w:val="-1"/>
        </w:rPr>
        <w:t>子公司北京金实盈信科技有限公司于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日取得软件企业认定证书，编号</w:t>
      </w:r>
      <w:r>
        <w:rPr>
          <w:rFonts w:ascii="Times New Roman" w:hAnsi="Times New Roman" w:cs="Times New Roman" w:eastAsia="Times New Roman" w:hint="default"/>
          <w:spacing w:val="-1"/>
        </w:rPr>
        <w:t>:</w:t>
      </w:r>
      <w:r>
        <w:rPr>
          <w:spacing w:val="-1"/>
        </w:rPr>
        <w:t>京</w:t>
      </w:r>
      <w:r>
        <w:rPr>
          <w:rFonts w:ascii="Times New Roman" w:hAnsi="Times New Roman" w:cs="Times New Roman" w:eastAsia="Times New Roman" w:hint="default"/>
          <w:spacing w:val="-1"/>
        </w:rPr>
        <w:t>R-2014-0624</w:t>
      </w:r>
      <w:r>
        <w:rPr>
          <w:spacing w:val="-1"/>
        </w:rPr>
        <w:t>，根据《国家税务总局</w:t>
      </w:r>
      <w:r>
        <w:rPr/>
        <w:t> </w:t>
      </w:r>
      <w:r>
        <w:rPr>
          <w:spacing w:val="-2"/>
        </w:rPr>
        <w:t>关于执行软件企业所得税优惠政策有关问题的公告》（国家税务总局公告</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43</w:t>
      </w:r>
      <w:r>
        <w:rPr>
          <w:spacing w:val="-2"/>
        </w:rPr>
        <w:t>号）规定，经核定为软件企业享受自获</w:t>
      </w:r>
      <w:r>
        <w:rPr>
          <w:spacing w:val="-59"/>
        </w:rPr>
        <w:t> </w:t>
      </w:r>
      <w:r>
        <w:rPr>
          <w:spacing w:val="-59"/>
        </w:rPr>
      </w:r>
      <w:r>
        <w:rPr>
          <w:spacing w:val="-2"/>
        </w:rPr>
        <w:t>利年度开始</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的所得税税收优惠政策。北京金实盈信科技有限公司已在北京市东城区国家税务局第一税务所进行</w:t>
      </w:r>
      <w:r>
        <w:rPr>
          <w:spacing w:val="-44"/>
        </w:rPr>
        <w:t> </w:t>
      </w:r>
      <w:r>
        <w:rPr>
          <w:spacing w:val="-44"/>
        </w:rPr>
      </w:r>
      <w:r>
        <w:rPr/>
        <w:t>税收优惠的免税备案。</w:t>
      </w:r>
      <w:r>
        <w:rPr>
          <w:rFonts w:ascii="Times New Roman" w:hAnsi="Times New Roman" w:cs="Times New Roman" w:eastAsia="Times New Roman" w:hint="default"/>
        </w:rPr>
        <w:t>2018</w:t>
      </w:r>
      <w:r>
        <w:rPr/>
        <w:t>年为第三个减半征收企业所得税年度。</w:t>
      </w:r>
    </w:p>
    <w:p>
      <w:pPr>
        <w:pStyle w:val="BodyText"/>
        <w:spacing w:line="300" w:lineRule="auto" w:before="63"/>
        <w:ind w:left="153" w:right="1128" w:firstLine="360"/>
        <w:jc w:val="both"/>
      </w:pPr>
      <w:r>
        <w:rPr>
          <w:spacing w:val="-2"/>
        </w:rPr>
        <w:t>子公司北明云智（武汉）网软有限公司、北明云山（武汉）软件开发有限公司、根据财税〔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77</w:t>
      </w:r>
      <w:r>
        <w:rPr>
          <w:spacing w:val="-2"/>
        </w:rPr>
        <w:t>号；</w:t>
      </w:r>
      <w:r>
        <w:rPr>
          <w:rFonts w:ascii="Times New Roman" w:hAnsi="Times New Roman" w:cs="Times New Roman" w:eastAsia="Times New Roman" w:hint="default"/>
          <w:spacing w:val="-2"/>
        </w:rPr>
        <w:t>2018</w:t>
      </w:r>
      <w:r>
        <w:rPr>
          <w:spacing w:val="-2"/>
        </w:rPr>
        <w:t>小微企业</w:t>
      </w:r>
      <w:r>
        <w:rPr/>
        <w:t> 所得税优惠新政策：自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日，将小型微利企业的年应纳税所得额上限由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w:t>
      </w:r>
      <w:r>
        <w:rPr>
          <w:spacing w:val="-83"/>
        </w:rPr>
        <w:t> </w:t>
      </w:r>
      <w:r>
        <w:rPr>
          <w:spacing w:val="-1"/>
        </w:rPr>
        <w:t>对年应纳税所得额低于</w:t>
      </w:r>
      <w:r>
        <w:rPr>
          <w:rFonts w:ascii="Times New Roman" w:hAnsi="Times New Roman" w:cs="Times New Roman" w:eastAsia="Times New Roman" w:hint="default"/>
          <w:spacing w:val="-1"/>
        </w:rPr>
        <w:t>100</w:t>
      </w:r>
      <w:r>
        <w:rPr>
          <w:spacing w:val="-1"/>
        </w:rPr>
        <w:t>万元（含</w:t>
      </w:r>
      <w:r>
        <w:rPr>
          <w:rFonts w:ascii="Times New Roman" w:hAnsi="Times New Roman" w:cs="Times New Roman" w:eastAsia="Times New Roman" w:hint="default"/>
          <w:spacing w:val="-1"/>
        </w:rPr>
        <w:t>100</w:t>
      </w:r>
      <w:r>
        <w:rPr>
          <w:spacing w:val="-1"/>
        </w:rPr>
        <w:t>万元）的小型微利企业，其所得减按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的税率缴纳企业</w:t>
      </w:r>
      <w:r>
        <w:rPr>
          <w:spacing w:val="-54"/>
        </w:rPr>
        <w:t> </w:t>
      </w:r>
      <w:r>
        <w:rPr>
          <w:spacing w:val="-54"/>
        </w:rPr>
      </w:r>
      <w:r>
        <w:rPr/>
        <w:t>所得税。</w:t>
      </w:r>
    </w:p>
    <w:p>
      <w:pPr>
        <w:pStyle w:val="BodyText"/>
        <w:spacing w:line="240" w:lineRule="auto" w:before="31"/>
        <w:ind w:left="461" w:right="891"/>
        <w:jc w:val="left"/>
      </w:pPr>
      <w:r>
        <w:rPr/>
        <w:t>本报告期，公司收到软件增值税退税款共计</w:t>
      </w:r>
      <w:r>
        <w:rPr>
          <w:rFonts w:ascii="Times New Roman" w:hAnsi="Times New Roman" w:cs="Times New Roman" w:eastAsia="Times New Roman" w:hint="default"/>
        </w:rPr>
        <w:t>6,870,384.53</w:t>
      </w:r>
      <w:r>
        <w:rPr/>
        <w:t>元，影响利润总额增加</w:t>
      </w:r>
      <w:r>
        <w:rPr>
          <w:rFonts w:ascii="Times New Roman" w:hAnsi="Times New Roman" w:cs="Times New Roman" w:eastAsia="Times New Roman" w:hint="default"/>
        </w:rPr>
        <w:t>6,870,384.53</w:t>
      </w:r>
      <w:r>
        <w:rPr/>
        <w:t>元。</w:t>
      </w:r>
    </w:p>
    <w:p>
      <w:pPr>
        <w:spacing w:line="240" w:lineRule="auto" w:before="2"/>
        <w:rPr>
          <w:rFonts w:ascii="宋体" w:hAnsi="宋体" w:cs="宋体" w:eastAsia="宋体" w:hint="default"/>
          <w:sz w:val="24"/>
          <w:szCs w:val="24"/>
        </w:rPr>
      </w:pPr>
    </w:p>
    <w:p>
      <w:pPr>
        <w:pStyle w:val="Heading2"/>
        <w:spacing w:line="240" w:lineRule="auto"/>
        <w:ind w:right="891"/>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485,441.01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975,617.99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1,793,457,906.15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1,235,805,207.35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223,155,659.76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285,238,340.65</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2,017,099,006.92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1,522,019,165.99</w:t>
            </w:r>
          </w:p>
        </w:tc>
      </w:tr>
    </w:tbl>
    <w:p>
      <w:pPr>
        <w:pStyle w:val="BodyText"/>
        <w:spacing w:line="240" w:lineRule="auto" w:before="51"/>
        <w:ind w:right="891"/>
        <w:jc w:val="left"/>
      </w:pPr>
      <w:r>
        <w:rPr/>
        <w:t>其他说明</w:t>
      </w:r>
    </w:p>
    <w:p>
      <w:pPr>
        <w:pStyle w:val="BodyText"/>
        <w:spacing w:line="240" w:lineRule="auto" w:before="115"/>
        <w:ind w:left="444" w:right="891"/>
        <w:jc w:val="left"/>
      </w:pPr>
      <w:r>
        <w:rPr/>
        <w:t>其他货币资金中使用受到限制的存款为票据保证金</w:t>
      </w:r>
      <w:r>
        <w:rPr>
          <w:rFonts w:ascii="Times New Roman" w:hAnsi="Times New Roman" w:cs="Times New Roman" w:eastAsia="Times New Roman" w:hint="default"/>
        </w:rPr>
        <w:t>182,849,434.60</w:t>
      </w:r>
      <w:r>
        <w:rPr/>
        <w:t>元、农民工工资保证金</w:t>
      </w:r>
      <w:r>
        <w:rPr>
          <w:rFonts w:ascii="Times New Roman" w:hAnsi="Times New Roman" w:cs="Times New Roman" w:eastAsia="Times New Roman" w:hint="default"/>
        </w:rPr>
        <w:t>506,608.76</w:t>
      </w:r>
      <w:r>
        <w:rPr/>
        <w:t>元、保函保证金</w:t>
      </w:r>
    </w:p>
    <w:p>
      <w:pPr>
        <w:pStyle w:val="BodyText"/>
        <w:spacing w:line="240" w:lineRule="auto" w:before="63"/>
        <w:ind w:left="153" w:right="891"/>
        <w:jc w:val="left"/>
      </w:pPr>
      <w:r>
        <w:rPr>
          <w:rFonts w:ascii="Times New Roman" w:hAnsi="Times New Roman" w:cs="Times New Roman" w:eastAsia="Times New Roman" w:hint="default"/>
        </w:rPr>
        <w:t>39,799,616.40</w:t>
      </w:r>
      <w:r>
        <w:rPr/>
        <w:t>元。</w:t>
      </w:r>
    </w:p>
    <w:p>
      <w:pPr>
        <w:spacing w:line="240" w:lineRule="auto" w:before="11"/>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219,857,833.38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339,593,872.54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2,519,619,666.19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2,323,068,424.34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2,739,477,499.57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2,662,662,296.88</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after="0" w:line="240" w:lineRule="auto"/>
        <w:jc w:val="righ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93,273,765.48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178,077,712.90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126,584,067.90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161,516,159.64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219,857,833.38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339,593,872.54</w:t>
            </w:r>
          </w:p>
        </w:tc>
      </w:tr>
    </w:tbl>
    <w:p>
      <w:pPr>
        <w:pStyle w:val="BodyText"/>
        <w:spacing w:line="240" w:lineRule="auto" w:before="51"/>
        <w:ind w:right="891"/>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323,014,755.33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323,014,755.33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2"/>
        <w:gridCol w:w="775"/>
        <w:gridCol w:w="762"/>
        <w:gridCol w:w="762"/>
        <w:gridCol w:w="762"/>
        <w:gridCol w:w="790"/>
        <w:gridCol w:w="654"/>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22"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2"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2,677,14</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1,411.50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157,521,</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745.31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2,519,619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,666.19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65,967.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99.76%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117,197,5</w:t>
            </w:r>
          </w:p>
          <w:p>
            <w:pPr>
              <w:pStyle w:val="TableParagraph"/>
              <w:spacing w:line="240" w:lineRule="auto" w:before="106"/>
              <w:ind w:left="374" w:right="0"/>
              <w:jc w:val="left"/>
              <w:rPr>
                <w:rFonts w:ascii="Times New Roman" w:hAnsi="Times New Roman" w:cs="Times New Roman" w:eastAsia="Times New Roman" w:hint="default"/>
                <w:sz w:val="18"/>
                <w:szCs w:val="18"/>
              </w:rPr>
            </w:pPr>
            <w:r>
              <w:rPr>
                <w:rFonts w:ascii="Times New Roman"/>
                <w:sz w:val="18"/>
              </w:rPr>
              <w:t>43.57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2,323,068,4</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24.34</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14,263,2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14,263,2</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07.17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5,871,027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2,691,40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4,618.67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171,784,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952.48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6.38%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2,519,619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,666.19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123,068,5</w:t>
            </w:r>
          </w:p>
          <w:p>
            <w:pPr>
              <w:pStyle w:val="TableParagraph"/>
              <w:spacing w:line="240" w:lineRule="auto" w:before="106"/>
              <w:ind w:left="374" w:right="0"/>
              <w:jc w:val="left"/>
              <w:rPr>
                <w:rFonts w:ascii="Times New Roman" w:hAnsi="Times New Roman" w:cs="Times New Roman" w:eastAsia="Times New Roman" w:hint="default"/>
                <w:sz w:val="18"/>
                <w:szCs w:val="18"/>
              </w:rPr>
            </w:pPr>
            <w:r>
              <w:rPr>
                <w:rFonts w:ascii="Times New Roman"/>
                <w:sz w:val="18"/>
              </w:rPr>
              <w:t>71.03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2,323,068,4</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24.34</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6"/>
        <w:ind w:left="153" w:right="161"/>
        <w:jc w:val="left"/>
      </w:pPr>
      <w:r>
        <w:rPr/>
        <w:t>□ 适用 √ 不适用 组合中，按账龄分析法计提坏账准备的应收账款：</w:t>
      </w:r>
    </w:p>
    <w:p>
      <w:pPr>
        <w:pStyle w:val="BodyText"/>
        <w:spacing w:line="240" w:lineRule="auto" w:before="26"/>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4295" w:space="453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1" w:hRule="exact"/>
        </w:trPr>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6" w:type="dxa"/>
            <w:vMerge/>
            <w:tcBorders>
              <w:left w:val="single" w:sz="4" w:space="0" w:color="000000"/>
              <w:bottom w:val="single" w:sz="4" w:space="0" w:color="000000"/>
              <w:right w:val="single" w:sz="4" w:space="0" w:color="000000"/>
            </w:tcBorders>
            <w:shd w:val="clear" w:color="auto" w:fill="D3D3D3"/>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9"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319" w:right="0"/>
              <w:jc w:val="left"/>
              <w:rPr>
                <w:rFonts w:ascii="Times New Roman" w:hAnsi="Times New Roman" w:cs="Times New Roman" w:eastAsia="Times New Roman" w:hint="default"/>
                <w:sz w:val="18"/>
                <w:szCs w:val="18"/>
              </w:rPr>
            </w:pPr>
            <w:r>
              <w:rPr>
                <w:rFonts w:ascii="Times New Roman"/>
                <w:sz w:val="18"/>
              </w:rPr>
              <w:t>42,353,013.22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1,694,120.54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4"/>
        <w:gridCol w:w="2420"/>
        <w:gridCol w:w="2392"/>
        <w:gridCol w:w="2392"/>
      </w:tblGrid>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25,297,686.61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1,517,861.20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4,562,061.08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684,307.16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26,182,604.42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10,473,041.77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98,395,365.33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14,369,330.67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420"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1,726,846,655.12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17,268,466.55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198,646,585.56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9,932,329.29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466,865,096.58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46,686,509.66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145,801,993.15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43,740,597.95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27,103,654.29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13,551,827.15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7,546,887.13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6,037,509.70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5,935,174.34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5,935,174.34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2,578,746,046.17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143,152,414.64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r>
    </w:tbl>
    <w:p>
      <w:pPr>
        <w:pStyle w:val="BodyText"/>
        <w:spacing w:line="360" w:lineRule="auto" w:before="51"/>
        <w:ind w:left="153" w:right="6431"/>
        <w:jc w:val="left"/>
      </w:pPr>
      <w:r>
        <w:rPr/>
        <w:t>确定该组合依据的说明： 组合中，采用余额百分比法计提坏账准备的应收账款：</w:t>
      </w:r>
    </w:p>
    <w:p>
      <w:pPr>
        <w:pStyle w:val="BodyText"/>
        <w:spacing w:line="360" w:lineRule="auto" w:before="26"/>
        <w:ind w:left="153" w:right="6791"/>
        <w:jc w:val="left"/>
      </w:pPr>
      <w:r>
        <w:rPr/>
        <w:t>□ 适用 √ 不适用 组合中，采用其他方法计提坏账准备的应收账款：</w:t>
      </w:r>
    </w:p>
    <w:p>
      <w:pPr>
        <w:pStyle w:val="BodyText"/>
        <w:spacing w:line="240" w:lineRule="auto" w:before="26"/>
        <w:ind w:left="153" w:right="8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89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891"/>
        <w:jc w:val="left"/>
      </w:pPr>
      <w:r>
        <w:rPr/>
        <w:t>本期计提坏账准备金额</w:t>
      </w:r>
      <w:r>
        <w:rPr>
          <w:spacing w:val="-47"/>
        </w:rPr>
        <w:t> </w:t>
      </w:r>
      <w:r>
        <w:rPr>
          <w:rFonts w:ascii="Times New Roman" w:hAnsi="Times New Roman" w:cs="Times New Roman" w:eastAsia="Times New Roman" w:hint="default"/>
        </w:rPr>
        <w:t>48,716,381.45</w:t>
      </w:r>
      <w:r>
        <w:rPr>
          <w:rFonts w:ascii="Times New Roman" w:hAnsi="Times New Roman" w:cs="Times New Roman" w:eastAsia="Times New Roman" w:hint="default"/>
          <w:spacing w:val="-2"/>
        </w:rPr>
        <w:t> </w:t>
      </w:r>
      <w:r>
        <w:rPr/>
        <w:t>元；本期收回或转回坏账准备金额元。</w:t>
      </w:r>
    </w:p>
    <w:p>
      <w:pPr>
        <w:pStyle w:val="BodyText"/>
        <w:spacing w:line="338" w:lineRule="auto" w:before="102"/>
        <w:ind w:left="634" w:right="891" w:hanging="480"/>
        <w:jc w:val="left"/>
      </w:pPr>
      <w:r>
        <w:rPr>
          <w:rFonts w:ascii="Times New Roman" w:hAnsi="Times New Roman" w:cs="Times New Roman" w:eastAsia="Times New Roman" w:hint="default"/>
        </w:rPr>
        <w:t>3)</w:t>
      </w:r>
      <w:r>
        <w:rPr/>
        <w:t>按欠款方归集的期末余额前五名的应收账款情况 </w:t>
      </w:r>
      <w:r>
        <w:rPr>
          <w:spacing w:val="4"/>
        </w:rPr>
        <w:t>本报告期按欠款方归集的期末余额前五名应收账款汇总金额</w:t>
      </w:r>
      <w:r>
        <w:rPr>
          <w:rFonts w:ascii="Times New Roman" w:hAnsi="Times New Roman" w:cs="Times New Roman" w:eastAsia="Times New Roman" w:hint="default"/>
          <w:spacing w:val="4"/>
        </w:rPr>
        <w:t>547,895,302.71</w:t>
      </w:r>
      <w:r>
        <w:rPr>
          <w:spacing w:val="4"/>
        </w:rPr>
        <w:t>元，占应收账款期末余额合计数的比例</w:t>
      </w:r>
    </w:p>
    <w:p>
      <w:pPr>
        <w:pStyle w:val="BodyText"/>
        <w:spacing w:line="230" w:lineRule="exact"/>
        <w:ind w:right="891"/>
        <w:jc w:val="left"/>
      </w:pPr>
      <w:r>
        <w:rPr>
          <w:rFonts w:ascii="Times New Roman" w:hAnsi="Times New Roman" w:cs="Times New Roman" w:eastAsia="Times New Roman" w:hint="default"/>
        </w:rPr>
        <w:t>20.36%</w:t>
      </w:r>
      <w:r>
        <w:rPr/>
        <w:t>，相应计提的坏账准备期末余额金额</w:t>
      </w:r>
      <w:r>
        <w:rPr>
          <w:spacing w:val="-23"/>
        </w:rPr>
        <w:t> </w:t>
      </w:r>
      <w:r>
        <w:rPr>
          <w:rFonts w:ascii="Times New Roman" w:hAnsi="Times New Roman" w:cs="Times New Roman" w:eastAsia="Times New Roman" w:hint="default"/>
        </w:rPr>
        <w:t>10,901,696.73</w:t>
      </w:r>
      <w:r>
        <w:rPr/>
        <w:t>元。</w:t>
      </w:r>
    </w:p>
    <w:p>
      <w:pPr>
        <w:spacing w:line="240" w:lineRule="auto" w:before="11"/>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0"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2"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1,020,569,103.85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999,558,473.36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51,543,568.08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81,647,125.40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57,241,013.65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49,435,141.60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126,602,841.80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100,554,090.19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1,255,956,527.38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1,231,194,830.55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9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891"/>
        <w:jc w:val="left"/>
      </w:pPr>
      <w:r>
        <w:rPr/>
        <w:t>账龄超过</w:t>
      </w:r>
      <w:r>
        <w:rPr>
          <w:rFonts w:ascii="Times New Roman" w:hAnsi="Times New Roman" w:cs="Times New Roman" w:eastAsia="Times New Roman" w:hint="default"/>
        </w:rPr>
        <w:t>1</w:t>
      </w:r>
      <w:r>
        <w:rPr/>
        <w:t>年且金额重大的预付账款主要为土地款，未及时结算的原因系尚未达到结算条件。</w:t>
      </w:r>
    </w:p>
    <w:p>
      <w:pPr>
        <w:spacing w:line="240" w:lineRule="auto" w:before="11"/>
        <w:rPr>
          <w:rFonts w:ascii="宋体" w:hAnsi="宋体" w:cs="宋体" w:eastAsia="宋体" w:hint="default"/>
          <w:sz w:val="25"/>
          <w:szCs w:val="25"/>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3"/>
        <w:jc w:val="right"/>
      </w:pPr>
      <w:r>
        <w:rPr>
          <w:spacing w:val="3"/>
        </w:rPr>
        <w:t>本报告期按预付对象归集的期末余额前五名预付账款汇总金额</w:t>
      </w:r>
      <w:r>
        <w:rPr>
          <w:rFonts w:ascii="Times New Roman" w:hAnsi="Times New Roman" w:cs="Times New Roman" w:eastAsia="Times New Roman" w:hint="default"/>
          <w:spacing w:val="3"/>
        </w:rPr>
        <w:t>292,455,518.89</w:t>
      </w:r>
      <w:r>
        <w:rPr>
          <w:spacing w:val="3"/>
        </w:rPr>
        <w:t>元，占预付账款期末余额合计数的比例</w:t>
      </w:r>
    </w:p>
    <w:p>
      <w:pPr>
        <w:pStyle w:val="BodyText"/>
        <w:spacing w:line="240" w:lineRule="auto" w:before="63"/>
        <w:ind w:left="153" w:right="891"/>
        <w:jc w:val="left"/>
      </w:pPr>
      <w:r>
        <w:rPr>
          <w:rFonts w:ascii="Times New Roman" w:hAnsi="Times New Roman" w:cs="Times New Roman" w:eastAsia="Times New Roman" w:hint="default"/>
        </w:rPr>
        <w:t>23.29%</w:t>
      </w:r>
      <w:r>
        <w:rPr/>
        <w:t>。</w:t>
      </w:r>
    </w:p>
    <w:p>
      <w:pPr>
        <w:spacing w:line="240" w:lineRule="auto" w:before="11"/>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177,798,512.65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202,417,433.33</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177,798,512.65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202,417,433.33</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790"/>
        <w:gridCol w:w="654"/>
        <w:gridCol w:w="762"/>
        <w:gridCol w:w="812"/>
        <w:gridCol w:w="932"/>
        <w:gridCol w:w="932"/>
      </w:tblGrid>
      <w:tr>
        <w:trPr>
          <w:trHeight w:val="401"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2" w:type="dxa"/>
            <w:vMerge/>
            <w:tcBorders>
              <w:left w:val="single" w:sz="4" w:space="0" w:color="000000"/>
              <w:bottom w:val="single" w:sz="6"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22" w:type="dxa"/>
            <w:vMerge w:val="restart"/>
            <w:tcBorders>
              <w:top w:val="single" w:sz="6" w:space="0" w:color="FFFFFF"/>
              <w:left w:val="single" w:sz="4" w:space="0" w:color="000000"/>
              <w:right w:val="single" w:sz="4" w:space="0" w:color="000000"/>
            </w:tcBorders>
            <w:shd w:val="clear" w:color="auto" w:fill="D3D3D3"/>
          </w:tcPr>
          <w:p>
            <w:pPr/>
          </w:p>
        </w:tc>
        <w:tc>
          <w:tcPr>
            <w:tcW w:w="764"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188,390,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346.07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10,591,8</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33.42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177,798,5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12.65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210,277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,336.31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99.09%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7,859,902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202,417,43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3.33</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2,222,32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0.69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2,222,32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1,927,7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1,927,753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10" w:space="0" w:color="D3D3D3"/>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190,612,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666.76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12,814,1</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54.11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6.79%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177,798,5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12.65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212,205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,090.28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9,787,656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202,417,43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3.33</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4475" w:space="435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1,788,025.83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71,521.03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128,414.39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1,271,325.72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190,698.86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2,228,985.99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891,594.40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5,416,751.93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1,161,519.15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63,933,072.38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639,330.73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13,115,489.23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655,774.47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26,702,578.69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2,670,257.86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7,386,667.71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2,216,000.31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2,900,050.39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1,450,025.20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646,007.00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516,805.60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1,282,120.10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1,282,120.10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115,965,985.50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9,430,314.27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57,007,608.64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67,007,608.64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pStyle w:val="BodyText"/>
        <w:spacing w:line="360" w:lineRule="auto" w:before="51"/>
        <w:ind w:left="153" w:right="1779"/>
        <w:jc w:val="left"/>
      </w:pPr>
      <w:r>
        <w:rPr/>
        <w:t>确定该组合依据的说明： 组合中，采用余额百分比法计提坏账准备的其他应收款：</w:t>
      </w:r>
    </w:p>
    <w:p>
      <w:pPr>
        <w:pStyle w:val="BodyText"/>
        <w:spacing w:line="340" w:lineRule="auto" w:before="26"/>
        <w:ind w:right="2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77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8"/>
        <w:jc w:val="left"/>
      </w:pPr>
      <w:r>
        <w:rPr/>
        <w:t>本期计提坏账准备金额</w:t>
      </w:r>
      <w:r>
        <w:rPr>
          <w:spacing w:val="-46"/>
        </w:rPr>
        <w:t> </w:t>
      </w:r>
      <w:r>
        <w:rPr>
          <w:rFonts w:ascii="Times New Roman" w:hAnsi="Times New Roman" w:cs="Times New Roman" w:eastAsia="Times New Roman" w:hint="default"/>
        </w:rPr>
        <w:t>3,026,497.16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779"/>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6453" w:space="2375"/>
            <w:col w:w="2102"/>
          </w:cols>
        </w:sectPr>
      </w:pP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1"/>
        <w:gridCol w:w="3191"/>
      </w:tblGrid>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26,851,768.73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18,619,268.91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58,612,965.63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61,904,753.14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79,748,061.24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119,117,255.78</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11,790,771.16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12,563,812.45</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13,609,100.00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190,612,666.76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212,205,090.28</w:t>
            </w:r>
          </w:p>
        </w:tc>
      </w:tr>
    </w:tbl>
    <w:p>
      <w:pPr>
        <w:pStyle w:val="BodyText"/>
        <w:spacing w:line="240" w:lineRule="auto" w:before="51"/>
        <w:ind w:right="891"/>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40"/>
        <w:gridCol w:w="1594"/>
        <w:gridCol w:w="1286"/>
        <w:gridCol w:w="1080"/>
        <w:gridCol w:w="1595"/>
        <w:gridCol w:w="1595"/>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58,612,965.63</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642,142.80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田华</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5,443,640.00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54,436.40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张艳</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5,443,640.00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54,436.40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广东省商务厅</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5,371,840.00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537,184.00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84,872,085.63</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1,288,199.60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511"/>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7"/>
        <w:gridCol w:w="1367"/>
        <w:gridCol w:w="1368"/>
        <w:gridCol w:w="1367"/>
        <w:gridCol w:w="1367"/>
      </w:tblGrid>
      <w:tr>
        <w:trPr>
          <w:trHeight w:val="201"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415,743,988.61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415,743,988.61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355,336,294.30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355,336,294.30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31,426,130.72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31,426,130.72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35,111,235.89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35,111,235.89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1,163,967,306.80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99,149,176.86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1,064,818,129.94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1,361,026,365.03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310,792,065.16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1,050,234,299.87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691,001,573.53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691,001,573.53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456,794,745.79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456,794,745.79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1,263,636.72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1,263,636.72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5,119,850.48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5,119,850.48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2,303,402,636.38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99,149,176.86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2,204,253,459.52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2,213,388,491.49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310,792,065.16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1,902,596,426.33</w:t>
            </w:r>
          </w:p>
        </w:tc>
      </w:tr>
    </w:tbl>
    <w:p>
      <w:pPr>
        <w:pStyle w:val="BodyText"/>
        <w:spacing w:line="340" w:lineRule="auto" w:before="51"/>
        <w:ind w:right="247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0"/>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3"/>
        <w:rPr>
          <w:rFonts w:ascii="宋体" w:hAnsi="宋体" w:cs="宋体" w:eastAsia="宋体" w:hint="default"/>
          <w:sz w:val="20"/>
          <w:szCs w:val="20"/>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7"/>
        <w:gridCol w:w="1367"/>
        <w:gridCol w:w="1355"/>
        <w:gridCol w:w="1382"/>
        <w:gridCol w:w="1379"/>
        <w:gridCol w:w="1355"/>
      </w:tblGrid>
      <w:tr>
        <w:trPr>
          <w:trHeight w:val="200"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3D3D3"/>
          </w:tcPr>
          <w:p>
            <w:pPr/>
          </w:p>
        </w:tc>
        <w:tc>
          <w:tcPr>
            <w:tcW w:w="2761" w:type="dxa"/>
            <w:gridSpan w:val="2"/>
            <w:vMerge/>
            <w:tcBorders>
              <w:left w:val="single" w:sz="4" w:space="0" w:color="000000"/>
              <w:bottom w:val="single" w:sz="4" w:space="0" w:color="000000"/>
              <w:right w:val="single" w:sz="4" w:space="0" w:color="000000"/>
            </w:tcBorders>
            <w:shd w:val="clear" w:color="auto" w:fill="D3D3D3"/>
          </w:tcPr>
          <w:p>
            <w:pPr/>
          </w:p>
        </w:tc>
        <w:tc>
          <w:tcPr>
            <w:tcW w:w="13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355"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82"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310,792,065.16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6,047,653.16</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217,690,541.46</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99,149,176.86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310,792,065.16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6,047,653.16</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217,690,541.46</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99,149,176.86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28" w:type="dxa"/>
        <w:tblLayout w:type="fixed"/>
        <w:tblCellMar>
          <w:top w:w="0" w:type="dxa"/>
          <w:left w:w="0" w:type="dxa"/>
          <w:bottom w:w="0" w:type="dxa"/>
          <w:right w:w="0" w:type="dxa"/>
        </w:tblCellMar>
        <w:tblLook w:val="01E0"/>
      </w:tblPr>
      <w:tblGrid>
        <w:gridCol w:w="1276"/>
        <w:gridCol w:w="2700"/>
        <w:gridCol w:w="2700"/>
        <w:gridCol w:w="2880"/>
      </w:tblGrid>
      <w:tr>
        <w:trPr>
          <w:trHeight w:val="515"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left="35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left="170"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left="170"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900"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336" w:lineRule="auto" w:before="151"/>
              <w:ind w:left="98" w:right="84"/>
              <w:jc w:val="left"/>
              <w:rPr>
                <w:rFonts w:ascii="宋体" w:hAnsi="宋体" w:cs="宋体" w:eastAsia="宋体" w:hint="default"/>
                <w:sz w:val="24"/>
                <w:szCs w:val="24"/>
              </w:rPr>
            </w:pPr>
            <w:r>
              <w:rPr>
                <w:rFonts w:ascii="宋体" w:hAnsi="宋体" w:cs="宋体" w:eastAsia="宋体" w:hint="default"/>
                <w:spacing w:val="12"/>
                <w:sz w:val="18"/>
                <w:szCs w:val="18"/>
              </w:rPr>
              <w:t>期末存货成本高于其可变现净 </w:t>
            </w:r>
            <w:r>
              <w:rPr>
                <w:rFonts w:ascii="宋体" w:hAnsi="宋体" w:cs="宋体" w:eastAsia="宋体" w:hint="default"/>
                <w:sz w:val="18"/>
                <w:szCs w:val="18"/>
              </w:rPr>
              <w:t>值的，计提存货跌价准备</w:t>
            </w:r>
            <w:r>
              <w:rPr>
                <w:rFonts w:ascii="宋体" w:hAnsi="宋体" w:cs="宋体" w:eastAsia="宋体" w:hint="default"/>
                <w:sz w:val="24"/>
                <w:szCs w:val="24"/>
              </w:rPr>
              <w:t>。</w:t>
            </w:r>
          </w:p>
        </w:tc>
        <w:tc>
          <w:tcPr>
            <w:tcW w:w="2700" w:type="dxa"/>
            <w:tcBorders>
              <w:top w:val="single" w:sz="8" w:space="0" w:color="000000"/>
              <w:left w:val="single" w:sz="8" w:space="0" w:color="000000"/>
              <w:bottom w:val="single" w:sz="8" w:space="0" w:color="000000"/>
              <w:right w:val="single" w:sz="8" w:space="0" w:color="000000"/>
            </w:tcBorders>
          </w:tcPr>
          <w:p>
            <w:pP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r>
    </w:tbl>
    <w:p>
      <w:pPr>
        <w:spacing w:line="240" w:lineRule="auto" w:before="4"/>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2,247,927.25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2,125,536.88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w:t>
            </w:r>
            <w:r>
              <w:rPr>
                <w:rFonts w:ascii="Times New Roman" w:hAnsi="Times New Roman" w:cs="Times New Roman" w:eastAsia="Times New Roman" w:hint="default"/>
                <w:sz w:val="18"/>
                <w:szCs w:val="18"/>
              </w:rPr>
              <w:t>/</w:t>
            </w: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72,040,342.30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40,891,580.68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74,288,269.55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43,017,117.56</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8"/>
        <w:gridCol w:w="1367"/>
        <w:gridCol w:w="1367"/>
      </w:tblGrid>
      <w:tr>
        <w:trPr>
          <w:trHeight w:val="200"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8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21,562,016.87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21,364,771.80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30,392,173.20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21,562,016.87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21,364,771.80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30,392,173.20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21,562,016.87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30,194,928.13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21,364,771.80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30,392,173.20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8"/>
        <w:gridCol w:w="1092"/>
        <w:gridCol w:w="427"/>
        <w:gridCol w:w="540"/>
        <w:gridCol w:w="870"/>
        <w:gridCol w:w="1043"/>
        <w:gridCol w:w="870"/>
        <w:gridCol w:w="870"/>
        <w:gridCol w:w="870"/>
        <w:gridCol w:w="870"/>
        <w:gridCol w:w="870"/>
      </w:tblGrid>
      <w:tr>
        <w:trPr>
          <w:trHeight w:val="402" w:hRule="exact"/>
        </w:trPr>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292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6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248" w:type="dxa"/>
            <w:vMerge/>
            <w:tcBorders>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河北国信投资 控股集团股份 有限公司</w:t>
            </w:r>
          </w:p>
        </w:tc>
        <w:tc>
          <w:tcPr>
            <w:tcW w:w="10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283,445.00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283,445.00</w:t>
            </w:r>
          </w:p>
        </w:tc>
        <w:tc>
          <w:tcPr>
            <w:tcW w:w="104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紫光创新投资 有限公司</w:t>
            </w:r>
          </w:p>
        </w:tc>
        <w:tc>
          <w:tcPr>
            <w:tcW w:w="10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21,364,771.8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197,245.07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21,562,016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河北银行股份 有限公司</w:t>
            </w:r>
          </w:p>
        </w:tc>
        <w:tc>
          <w:tcPr>
            <w:tcW w:w="10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25,933,500.0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4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2,035,068.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80</w:t>
            </w: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北京未名雅集 文化传播中心</w:t>
            </w:r>
          </w:p>
        </w:tc>
        <w:tc>
          <w:tcPr>
            <w:tcW w:w="109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540,000.00</w:t>
            </w:r>
          </w:p>
        </w:tc>
        <w:tc>
          <w:tcPr>
            <w:tcW w:w="104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3.86%</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080"/>
        <w:gridCol w:w="427"/>
        <w:gridCol w:w="540"/>
        <w:gridCol w:w="870"/>
        <w:gridCol w:w="1043"/>
        <w:gridCol w:w="870"/>
        <w:gridCol w:w="870"/>
        <w:gridCol w:w="870"/>
        <w:gridCol w:w="870"/>
        <w:gridCol w:w="870"/>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北京北明兆业 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51,756,945.0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51,756,945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21,364,771.8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197,245.07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21,562,016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2,035,068.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21,364,771.80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21,364,771.80</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197,245.07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197,245.07</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21,562,016.87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21,562,016.87</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00"/>
        <w:gridCol w:w="1168"/>
        <w:gridCol w:w="1030"/>
        <w:gridCol w:w="1166"/>
        <w:gridCol w:w="1136"/>
        <w:gridCol w:w="1049"/>
        <w:gridCol w:w="1165"/>
        <w:gridCol w:w="1026"/>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7"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26" w:type="dxa"/>
            <w:vMerge/>
            <w:tcBorders>
              <w:left w:val="single" w:sz="4" w:space="0" w:color="000000"/>
              <w:bottom w:val="single" w:sz="4" w:space="0" w:color="000000"/>
              <w:right w:val="single" w:sz="4" w:space="0" w:color="000000"/>
            </w:tcBorders>
            <w:shd w:val="clear" w:color="auto" w:fill="D3D3D3"/>
          </w:tcPr>
          <w:p>
            <w:pPr/>
          </w:p>
        </w:tc>
      </w:tr>
      <w:tr>
        <w:trPr>
          <w:trHeight w:val="407" w:hRule="exact"/>
        </w:trPr>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舞钢项目建设应收款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left"/>
              <w:rPr>
                <w:rFonts w:ascii="Times New Roman" w:hAnsi="Times New Roman" w:cs="Times New Roman" w:eastAsia="Times New Roman" w:hint="default"/>
                <w:sz w:val="18"/>
                <w:szCs w:val="18"/>
              </w:rPr>
            </w:pPr>
            <w:r>
              <w:rPr>
                <w:rFonts w:ascii="Times New Roman"/>
                <w:sz w:val="18"/>
              </w:rPr>
              <w:t>2,811,408.56</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left"/>
              <w:rPr>
                <w:rFonts w:ascii="Times New Roman" w:hAnsi="Times New Roman" w:cs="Times New Roman" w:eastAsia="Times New Roman" w:hint="default"/>
                <w:sz w:val="18"/>
                <w:szCs w:val="18"/>
              </w:rPr>
            </w:pPr>
            <w:r>
              <w:rPr>
                <w:rFonts w:ascii="Times New Roman"/>
                <w:sz w:val="18"/>
              </w:rPr>
              <w:t>2,811,408.56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2,811,408.56</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2,811,408.56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0"/>
        <w:gridCol w:w="797"/>
        <w:gridCol w:w="797"/>
        <w:gridCol w:w="566"/>
        <w:gridCol w:w="798"/>
        <w:gridCol w:w="798"/>
        <w:gridCol w:w="798"/>
        <w:gridCol w:w="798"/>
        <w:gridCol w:w="798"/>
        <w:gridCol w:w="562"/>
        <w:gridCol w:w="798"/>
        <w:gridCol w:w="798"/>
      </w:tblGrid>
      <w:tr>
        <w:trPr>
          <w:trHeight w:val="403" w:hRule="exact"/>
        </w:trPr>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1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34"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260"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0"/>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荣家纺有限公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49,173.07</w:t>
            </w:r>
          </w:p>
        </w:tc>
        <w:tc>
          <w:tcPr>
            <w:tcW w:w="79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6,734.91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55,907.98</w:t>
            </w:r>
          </w:p>
        </w:tc>
        <w:tc>
          <w:tcPr>
            <w:tcW w:w="798" w:type="dxa"/>
            <w:vMerge/>
            <w:tcBorders>
              <w:left w:val="single" w:sz="4" w:space="0" w:color="000000"/>
              <w:right w:val="single" w:sz="4" w:space="0" w:color="000000"/>
            </w:tcBorders>
          </w:tcPr>
          <w:p>
            <w:pP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石家庄赛孚纺 织有限公司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14,596,41</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4,736.81</w:t>
            </w:r>
          </w:p>
        </w:tc>
        <w:tc>
          <w:tcPr>
            <w:tcW w:w="5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-653,173.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3,859,917</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8,000,000</w:t>
            </w:r>
          </w:p>
        </w:tc>
        <w:tc>
          <w:tcPr>
            <w:tcW w:w="566"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637,632.9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12,497,55</w:t>
            </w:r>
          </w:p>
        </w:tc>
        <w:tc>
          <w:tcPr>
            <w:tcW w:w="798" w:type="dxa"/>
            <w:vMerge w:val="restart"/>
            <w:tcBorders>
              <w:top w:val="single" w:sz="4" w:space="0" w:color="000000"/>
              <w:left w:val="single" w:sz="4" w:space="0" w:color="000000"/>
              <w:right w:val="single" w:sz="4" w:space="0" w:color="000000"/>
            </w:tcBorders>
          </w:tcPr>
          <w:p>
            <w:pPr/>
          </w:p>
        </w:tc>
      </w:tr>
      <w:tr>
        <w:trPr>
          <w:trHeight w:val="353"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566"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4</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0.70</w:t>
            </w: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797"/>
        <w:gridCol w:w="797"/>
        <w:gridCol w:w="566"/>
        <w:gridCol w:w="798"/>
        <w:gridCol w:w="798"/>
        <w:gridCol w:w="798"/>
        <w:gridCol w:w="798"/>
        <w:gridCol w:w="798"/>
        <w:gridCol w:w="562"/>
        <w:gridCol w:w="798"/>
        <w:gridCol w:w="798"/>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8,004,736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-8,806.14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26,501,43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8,004,736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-8,806.14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26,501,43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6.31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1700"/>
        <w:gridCol w:w="1620"/>
        <w:gridCol w:w="1620"/>
        <w:gridCol w:w="1552"/>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）存货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在建工程转入</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38,643,926.43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38,643,926.43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43,515,069.51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43,515,069.51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41" w:header="747" w:top="1060" w:bottom="114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31"/>
        <w:gridCol w:w="1717"/>
        <w:gridCol w:w="1620"/>
        <w:gridCol w:w="1620"/>
        <w:gridCol w:w="1552"/>
      </w:tblGrid>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157,014,698.61</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161,885,841.69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199"/>
        <w:gridCol w:w="3187"/>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2,218,418,198.24</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1,608,883,127.99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9,527,305.07</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11,150,294.95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2,227,945,503.31</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1,620,033,422.94</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1466"/>
        <w:gridCol w:w="1440"/>
        <w:gridCol w:w="1440"/>
        <w:gridCol w:w="1440"/>
        <w:gridCol w:w="1594"/>
      </w:tblGrid>
      <w:tr>
        <w:trPr>
          <w:trHeight w:val="402" w:hRule="exact"/>
        </w:trPr>
        <w:tc>
          <w:tcPr>
            <w:tcW w:w="2160" w:type="dxa"/>
            <w:tcBorders>
              <w:top w:val="single" w:sz="4" w:space="0" w:color="000000"/>
              <w:left w:val="single" w:sz="4" w:space="0" w:color="000000"/>
              <w:bottom w:val="single" w:sz="4" w:space="0" w:color="000000"/>
              <w:right w:val="single" w:sz="13" w:space="0" w:color="E1FFFF"/>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790,727,579.76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1,467,276,283.12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20,347,724.43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105,700,873.00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2,384,052,460.31</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359,973,375.93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339,537,503.12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1,272,070.70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64,832,280.43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765,615,230.18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85,688.05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1,272,070.70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25,877,982.29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27,235,741.04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359,973,375.93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339,451,815.07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38,954,298.14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738,379,489.14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127,299.00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105,568,718.98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1,887,614.37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4,593,263.99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112,176,896.34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127,299.00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105,568,718.98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1,887,614.37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4,593,263.99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112,176,896.34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1,150,573,656.69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1,701,245,067.26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19,732,180.76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165,939,889.44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3,037,490,794.15</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148,870,284.72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563,473,305.51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11,167,982.98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51,657,759.11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775,169,332.32</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28,031,705.61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85,751,617.64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1,486,763.77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20,078,599.07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135,348,686.09</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28,031,705.61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85,751,617.64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1,486,763.77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20,078,599.07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135,348,686.09</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82,094.57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85,527,957.67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1,653,510.77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4,278,527.76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91,542,090.77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82,094.57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85,527,957.67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1,653,510.77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4,278,527.76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91,542,090.77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176,819,895.76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563,696,965.48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11,001,235.98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67,457,830.42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818,975,927.64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1"/>
        <w:gridCol w:w="1495"/>
        <w:gridCol w:w="1440"/>
        <w:gridCol w:w="1440"/>
        <w:gridCol w:w="1440"/>
        <w:gridCol w:w="1594"/>
      </w:tblGrid>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96,668.27</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96,668.27</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96,668.27</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973,753,760.93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1,137,548,101.78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8,729,310.78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98,387,024.75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2,218,418,198.24</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641,857,295.04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903,802,977.61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9,179,741.45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54,043,113.89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1,608,883,127.99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部分房产建筑物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78,710,955.72</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3"/>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9,527,305.07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11,150,294.95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9,527,305.07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11,150,294.95</w:t>
            </w:r>
          </w:p>
        </w:tc>
      </w:tr>
    </w:tbl>
    <w:p>
      <w:pPr>
        <w:pStyle w:val="BodyText"/>
        <w:spacing w:line="240" w:lineRule="auto" w:before="51"/>
        <w:ind w:right="891"/>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444" w:right="89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日固定资产清理账面余额</w:t>
      </w:r>
      <w:r>
        <w:rPr>
          <w:rFonts w:ascii="Times New Roman" w:hAnsi="Times New Roman" w:cs="Times New Roman" w:eastAsia="Times New Roman" w:hint="default"/>
        </w:rPr>
        <w:t>18,231,780.55</w:t>
      </w:r>
      <w:r>
        <w:rPr/>
        <w:t>元，本期计提资产减值准备</w:t>
      </w:r>
      <w:r>
        <w:rPr>
          <w:rFonts w:ascii="Times New Roman" w:hAnsi="Times New Roman" w:cs="Times New Roman" w:eastAsia="Times New Roman" w:hint="default"/>
        </w:rPr>
        <w:t>8,704,475.48</w:t>
      </w:r>
      <w:r>
        <w:rPr/>
        <w:t>元。</w:t>
      </w:r>
    </w:p>
    <w:p>
      <w:pPr>
        <w:spacing w:line="240" w:lineRule="auto" w:before="11"/>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3"/>
        <w:gridCol w:w="3815"/>
        <w:gridCol w:w="3858"/>
      </w:tblGrid>
      <w:tr>
        <w:trPr>
          <w:trHeight w:val="402" w:hRule="exact"/>
        </w:trPr>
        <w:tc>
          <w:tcPr>
            <w:tcW w:w="1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583,884,575.89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750,119,869.85</w:t>
            </w:r>
          </w:p>
        </w:tc>
      </w:tr>
      <w:tr>
        <w:trPr>
          <w:trHeight w:val="402" w:hRule="exact"/>
        </w:trPr>
        <w:tc>
          <w:tcPr>
            <w:tcW w:w="1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583,884,575.89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750,119,869.85</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08"/>
        <w:gridCol w:w="1380"/>
        <w:gridCol w:w="972"/>
        <w:gridCol w:w="1260"/>
        <w:gridCol w:w="1260"/>
        <w:gridCol w:w="866"/>
        <w:gridCol w:w="1294"/>
      </w:tblGrid>
      <w:tr>
        <w:trPr>
          <w:trHeight w:val="402" w:hRule="exact"/>
        </w:trPr>
        <w:tc>
          <w:tcPr>
            <w:tcW w:w="25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508" w:type="dxa"/>
            <w:vMerge/>
            <w:tcBorders>
              <w:left w:val="single" w:sz="4" w:space="0" w:color="000000"/>
              <w:bottom w:val="single" w:sz="4" w:space="0" w:color="000000"/>
              <w:right w:val="single" w:sz="4" w:space="0" w:color="000000"/>
            </w:tcBorders>
            <w:shd w:val="clear" w:color="auto" w:fill="D3D3D3"/>
          </w:tcPr>
          <w:p>
            <w:pP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 装及绿色环保服装面料项目</w:t>
            </w:r>
          </w:p>
        </w:tc>
        <w:tc>
          <w:tcPr>
            <w:tcW w:w="1380" w:type="dxa"/>
            <w:tcBorders>
              <w:top w:val="single" w:sz="4" w:space="0" w:color="000000"/>
              <w:left w:val="single" w:sz="10" w:space="0" w:color="C7EDCC"/>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679,749,094.66</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679,749,094.66</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常山云数据中心一期工程</w:t>
            </w:r>
          </w:p>
        </w:tc>
        <w:tc>
          <w:tcPr>
            <w:tcW w:w="138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526,533,315.38</w:t>
            </w: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526,533,315.38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28,719,540.09</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28,719,540.09</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智能物流仓库项目</w:t>
            </w:r>
          </w:p>
        </w:tc>
        <w:tc>
          <w:tcPr>
            <w:tcW w:w="138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35,876,678.73</w:t>
            </w: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35,876,678.73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9,645,738.14</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9,645,738.14</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常山恒宏纺织服装综合建设项 目一期工程</w:t>
            </w:r>
          </w:p>
        </w:tc>
        <w:tc>
          <w:tcPr>
            <w:tcW w:w="138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2,528,987.35</w:t>
            </w: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2,528,987.35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1,358,265.03</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1,358,265.03</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自动络筒机升级改造</w:t>
            </w:r>
          </w:p>
        </w:tc>
        <w:tc>
          <w:tcPr>
            <w:tcW w:w="1380" w:type="dxa"/>
            <w:tcBorders>
              <w:top w:val="single" w:sz="4" w:space="0" w:color="000000"/>
              <w:left w:val="single" w:sz="10" w:space="0" w:color="C7EDCC"/>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30,380,310.54</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30,380,310.54</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纺织智能制造项目一期工程</w:t>
            </w:r>
          </w:p>
        </w:tc>
        <w:tc>
          <w:tcPr>
            <w:tcW w:w="138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16,442,016.57</w:t>
            </w: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16,442,016.57</w:t>
            </w:r>
          </w:p>
        </w:tc>
        <w:tc>
          <w:tcPr>
            <w:tcW w:w="126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2,503,577.86</w:t>
            </w: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2,503,577.86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266,921.39</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266,921.39</w:t>
            </w:r>
          </w:p>
        </w:tc>
      </w:tr>
      <w:tr>
        <w:trPr>
          <w:trHeight w:val="403"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c>
          <w:tcPr>
            <w:tcW w:w="97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750,119,869.85</w:t>
            </w:r>
          </w:p>
        </w:tc>
        <w:tc>
          <w:tcPr>
            <w:tcW w:w="86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750,119,869.85</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20"/>
        <w:gridCol w:w="748"/>
        <w:gridCol w:w="737"/>
        <w:gridCol w:w="736"/>
        <w:gridCol w:w="736"/>
        <w:gridCol w:w="737"/>
        <w:gridCol w:w="736"/>
        <w:gridCol w:w="736"/>
        <w:gridCol w:w="737"/>
        <w:gridCol w:w="736"/>
        <w:gridCol w:w="736"/>
        <w:gridCol w:w="737"/>
        <w:gridCol w:w="736"/>
      </w:tblGrid>
      <w:tr>
        <w:trPr>
          <w:trHeight w:val="1338"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7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整体改</w:t>
            </w:r>
          </w:p>
        </w:tc>
        <w:tc>
          <w:tcPr>
            <w:tcW w:w="748" w:type="dxa"/>
            <w:tcBorders>
              <w:top w:val="single" w:sz="4" w:space="0" w:color="000000"/>
              <w:left w:val="single" w:sz="13" w:space="0" w:color="C7EDCC"/>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造优化</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升级项</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w:t>
            </w:r>
          </w:p>
        </w:tc>
        <w:tc>
          <w:tcPr>
            <w:tcW w:w="748" w:type="dxa"/>
            <w:tcBorders>
              <w:top w:val="nil" w:sz="6" w:space="0" w:color="auto"/>
              <w:left w:val="single" w:sz="13" w:space="0" w:color="C7EDCC"/>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1,966,66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679,749,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094.66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25,209,9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704,959,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040.47</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center"/>
              <w:rPr>
                <w:rFonts w:ascii="Times New Roman" w:hAnsi="Times New Roman" w:cs="Times New Roman" w:eastAsia="Times New Roman" w:hint="default"/>
                <w:sz w:val="18"/>
                <w:szCs w:val="18"/>
              </w:rPr>
            </w:pPr>
            <w:r>
              <w:rPr>
                <w:rFonts w:ascii="Times New Roman"/>
                <w:sz w:val="18"/>
              </w:rPr>
              <w:t>85.34%</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项目已 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106,011,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661.50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6,846,60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8" w:right="0"/>
              <w:jc w:val="left"/>
              <w:rPr>
                <w:rFonts w:ascii="Times New Roman" w:hAnsi="Times New Roman" w:cs="Times New Roman" w:eastAsia="Times New Roman" w:hint="default"/>
                <w:sz w:val="18"/>
                <w:szCs w:val="18"/>
              </w:rPr>
            </w:pPr>
            <w:r>
              <w:rPr>
                <w:rFonts w:ascii="Times New Roman"/>
                <w:sz w:val="18"/>
              </w:rPr>
              <w:t>6.89%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12"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保服装</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面料项</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48" w:type="dxa"/>
            <w:tcBorders>
              <w:top w:val="nil" w:sz="6" w:space="0" w:color="auto"/>
              <w:left w:val="single" w:sz="13" w:space="0" w:color="C7EDCC"/>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常山恒</w:t>
            </w:r>
          </w:p>
        </w:tc>
        <w:tc>
          <w:tcPr>
            <w:tcW w:w="748" w:type="dxa"/>
            <w:tcBorders>
              <w:top w:val="single" w:sz="4" w:space="0" w:color="000000"/>
              <w:left w:val="single" w:sz="13" w:space="0" w:color="C7EDCC"/>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宏纺织</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服装综 合建设</w:t>
            </w:r>
          </w:p>
        </w:tc>
        <w:tc>
          <w:tcPr>
            <w:tcW w:w="748"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1,358,26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1,170,72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2.32</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2,528,98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0.43%</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08"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项目一</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期工程</w:t>
            </w:r>
          </w:p>
        </w:tc>
        <w:tc>
          <w:tcPr>
            <w:tcW w:w="748" w:type="dxa"/>
            <w:tcBorders>
              <w:top w:val="nil" w:sz="6" w:space="0" w:color="auto"/>
              <w:left w:val="single" w:sz="13" w:space="0" w:color="C7EDCC"/>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自动络 筒机升 级改造</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30,380,3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1,051,14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31,431,4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59.09%</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项目已 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常山云</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800,700,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28,719,5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497,813,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526,533,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65.76%</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项目进</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20"/>
        <w:gridCol w:w="748"/>
        <w:gridCol w:w="737"/>
        <w:gridCol w:w="736"/>
        <w:gridCol w:w="736"/>
        <w:gridCol w:w="737"/>
        <w:gridCol w:w="736"/>
        <w:gridCol w:w="736"/>
        <w:gridCol w:w="737"/>
        <w:gridCol w:w="736"/>
        <w:gridCol w:w="736"/>
        <w:gridCol w:w="737"/>
        <w:gridCol w:w="736"/>
      </w:tblGrid>
      <w:tr>
        <w:trPr>
          <w:trHeight w:val="98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45"/>
              <w:jc w:val="both"/>
              <w:rPr>
                <w:rFonts w:ascii="宋体" w:hAnsi="宋体" w:cs="宋体" w:eastAsia="宋体" w:hint="default"/>
                <w:sz w:val="18"/>
                <w:szCs w:val="18"/>
              </w:rPr>
            </w:pPr>
            <w:r>
              <w:rPr>
                <w:rFonts w:ascii="宋体" w:hAnsi="宋体" w:cs="宋体" w:eastAsia="宋体" w:hint="default"/>
                <w:sz w:val="18"/>
                <w:szCs w:val="18"/>
              </w:rPr>
              <w:t>数据中 心一期 工程</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40.09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775.29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315.38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341"/>
              <w:jc w:val="right"/>
              <w:rPr>
                <w:rFonts w:ascii="宋体" w:hAnsi="宋体" w:cs="宋体" w:eastAsia="宋体" w:hint="default"/>
                <w:sz w:val="18"/>
                <w:szCs w:val="18"/>
              </w:rPr>
            </w:pPr>
            <w:r>
              <w:rPr>
                <w:rFonts w:ascii="宋体" w:hAnsi="宋体" w:cs="宋体" w:eastAsia="宋体" w:hint="default"/>
                <w:sz w:val="18"/>
                <w:szCs w:val="18"/>
              </w:rPr>
              <w:t>行中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智能物 流仓库 项目</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64,100,0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9,645,73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26,230,9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35,876,6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55.97%</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纺织智 能制造 项目一 期工程</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22,877,2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16,442,0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16,442,0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71.86%</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3,454,33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749,852,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948.46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567,918,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546.18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736,390,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581,380,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998.03</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106,342,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6,951,82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88"/>
        <w:gridCol w:w="1208"/>
        <w:gridCol w:w="1195"/>
        <w:gridCol w:w="668"/>
        <w:gridCol w:w="1196"/>
        <w:gridCol w:w="1195"/>
        <w:gridCol w:w="1196"/>
        <w:gridCol w:w="1196"/>
      </w:tblGrid>
      <w:tr>
        <w:trPr>
          <w:trHeight w:val="161" w:hRule="exact"/>
        </w:trPr>
        <w:tc>
          <w:tcPr>
            <w:tcW w:w="17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49" w:right="56"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196" w:type="dxa"/>
            <w:vMerge w:val="restart"/>
            <w:tcBorders>
              <w:top w:val="single" w:sz="4" w:space="0" w:color="000000"/>
              <w:left w:val="single" w:sz="9" w:space="0" w:color="D3D3D3"/>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195"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6"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7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668" w:type="dxa"/>
            <w:vMerge/>
            <w:tcBorders>
              <w:left w:val="single" w:sz="4" w:space="0" w:color="000000"/>
              <w:right w:val="single" w:sz="4" w:space="0" w:color="000000"/>
            </w:tcBorders>
            <w:shd w:val="clear" w:color="auto" w:fill="D3D3D3"/>
          </w:tcPr>
          <w:p>
            <w:pPr/>
          </w:p>
        </w:tc>
        <w:tc>
          <w:tcPr>
            <w:tcW w:w="1196" w:type="dxa"/>
            <w:vMerge/>
            <w:tcBorders>
              <w:left w:val="single" w:sz="9" w:space="0" w:color="D3D3D3"/>
              <w:right w:val="single" w:sz="4" w:space="0" w:color="000000"/>
            </w:tcBorders>
            <w:shd w:val="clear" w:color="auto" w:fill="E1FFFF"/>
          </w:tcPr>
          <w:p>
            <w:pPr/>
          </w:p>
        </w:tc>
        <w:tc>
          <w:tcPr>
            <w:tcW w:w="1195" w:type="dxa"/>
            <w:vMerge/>
            <w:tcBorders>
              <w:left w:val="single" w:sz="4" w:space="0" w:color="000000"/>
              <w:right w:val="single" w:sz="4" w:space="0" w:color="000000"/>
            </w:tcBorders>
            <w:shd w:val="clear" w:color="auto" w:fill="E1FFFF"/>
          </w:tcPr>
          <w:p>
            <w:pPr/>
          </w:p>
        </w:tc>
        <w:tc>
          <w:tcPr>
            <w:tcW w:w="1196" w:type="dxa"/>
            <w:vMerge/>
            <w:tcBorders>
              <w:left w:val="single" w:sz="4" w:space="0" w:color="000000"/>
              <w:right w:val="single" w:sz="4" w:space="0" w:color="000000"/>
            </w:tcBorders>
            <w:shd w:val="clear" w:color="auto" w:fill="E1FFFF"/>
          </w:tcPr>
          <w:p>
            <w:pPr/>
          </w:p>
        </w:tc>
        <w:tc>
          <w:tcPr>
            <w:tcW w:w="1196" w:type="dxa"/>
            <w:vMerge/>
            <w:tcBorders>
              <w:left w:val="single" w:sz="4" w:space="0" w:color="000000"/>
              <w:right w:val="single" w:sz="4" w:space="0" w:color="000000"/>
            </w:tcBorders>
            <w:shd w:val="clear" w:color="auto" w:fill="D3D3D3"/>
          </w:tcPr>
          <w:p>
            <w:pPr/>
          </w:p>
        </w:tc>
      </w:tr>
      <w:tr>
        <w:trPr>
          <w:trHeight w:val="161" w:hRule="exact"/>
        </w:trPr>
        <w:tc>
          <w:tcPr>
            <w:tcW w:w="17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9" w:space="0" w:color="D3D3D3"/>
              <w:bottom w:val="single" w:sz="4" w:space="0" w:color="000000"/>
              <w:right w:val="single" w:sz="4" w:space="0" w:color="000000"/>
            </w:tcBorders>
            <w:shd w:val="clear" w:color="auto" w:fill="E1FFFF"/>
          </w:tcPr>
          <w:p>
            <w:pPr/>
          </w:p>
        </w:tc>
        <w:tc>
          <w:tcPr>
            <w:tcW w:w="1195" w:type="dxa"/>
            <w:vMerge/>
            <w:tcBorders>
              <w:left w:val="single" w:sz="4" w:space="0" w:color="000000"/>
              <w:bottom w:val="single" w:sz="4" w:space="0" w:color="000000"/>
              <w:right w:val="single" w:sz="4" w:space="0" w:color="000000"/>
            </w:tcBorders>
            <w:shd w:val="clear" w:color="auto" w:fill="E1FFFF"/>
          </w:tcPr>
          <w:p>
            <w:pPr/>
          </w:p>
        </w:tc>
        <w:tc>
          <w:tcPr>
            <w:tcW w:w="1196" w:type="dxa"/>
            <w:vMerge/>
            <w:tcBorders>
              <w:left w:val="single" w:sz="4" w:space="0" w:color="000000"/>
              <w:bottom w:val="single" w:sz="4" w:space="0" w:color="000000"/>
              <w:right w:val="single" w:sz="4" w:space="0" w:color="000000"/>
            </w:tcBorders>
            <w:shd w:val="clear" w:color="auto" w:fill="E1FFFF"/>
          </w:tcPr>
          <w:p>
            <w:pP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220,978,394.10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108,393,862.40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45,835,381.79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5,342,742.52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385,196,880.81</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100,609,424.18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11,669,544.37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2,164,954.37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114,443,922.92</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2,164,954.37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2,164,954.37</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100,609,424.18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11,669,544.37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112,278,968.55</w:t>
            </w:r>
          </w:p>
        </w:tc>
      </w:tr>
      <w:tr>
        <w:trPr>
          <w:trHeight w:val="714"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220,978,394.10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209,003,286.58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57,504,926.16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7,507,696.89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499,640,803.73</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37,990,976.72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2,648,503.75</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55,827,937.90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30,505,870.40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1,231,226.38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128,204,515.15</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4,570,737.80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877,448.19</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13,985,807.71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7,406,014.32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572,855.97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27,412,863.99</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4,570,737.80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877,448.19</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13,985,807.71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7,406,014.32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572,855.97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27,412,863.99</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42,561,714.52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3,525,951.94</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69,813,745.61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37,911,884.72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1,804,082.35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155,617,379.14</w:t>
            </w:r>
          </w:p>
        </w:tc>
      </w:tr>
      <w:tr>
        <w:trPr>
          <w:trHeight w:val="403"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1"/>
        <w:gridCol w:w="1225"/>
        <w:gridCol w:w="1195"/>
        <w:gridCol w:w="668"/>
        <w:gridCol w:w="1196"/>
        <w:gridCol w:w="1195"/>
        <w:gridCol w:w="1196"/>
        <w:gridCol w:w="1196"/>
      </w:tblGrid>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11,750,000.03</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11,750,000.03</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178,416,679.58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1,120,548.06</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139,189,540.97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7,843,041.41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5,703,614.54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332,273,424.56</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182,987,417.38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1,997,996.25</w:t>
            </w:r>
          </w:p>
        </w:tc>
        <w:tc>
          <w:tcPr>
            <w:tcW w:w="6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52,565,924.50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3,579,511.36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4,111,516.14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245,242,365.63</w:t>
            </w:r>
          </w:p>
        </w:tc>
      </w:tr>
    </w:tbl>
    <w:p>
      <w:pPr>
        <w:pStyle w:val="BodyText"/>
        <w:spacing w:line="240" w:lineRule="auto" w:before="51"/>
        <w:ind w:right="891"/>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22.91%</w:t>
      </w:r>
      <w:r>
        <w:rPr/>
        <w:t>。</w:t>
      </w:r>
    </w:p>
    <w:p>
      <w:pPr>
        <w:spacing w:line="240" w:lineRule="auto" w:before="10"/>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345.779999pt;margin-top:39.731995pt;width:17.495184pt;height:35.25pt;mso-position-horizontal-relative:page;mso-position-vertical-relative:paragraph;z-index:1456" type="#_x0000_t75" stroked="false">
            <v:imagedata r:id="rId23" o:title=""/>
          </v:shape>
        </w:pict>
      </w:r>
      <w:r>
        <w:rPr/>
        <w:pict>
          <v:shape style="position:absolute;margin-left:463.619995pt;margin-top:39.731995pt;width:16.656374pt;height:35.25pt;mso-position-horizontal-relative:page;mso-position-vertical-relative:paragraph;z-index:1480" type="#_x0000_t75" stroked="false">
            <v:imagedata r:id="rId24" o:title=""/>
          </v:shape>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68"/>
        <w:gridCol w:w="1272"/>
        <w:gridCol w:w="1260"/>
        <w:gridCol w:w="377"/>
        <w:gridCol w:w="360"/>
        <w:gridCol w:w="1260"/>
        <w:gridCol w:w="737"/>
        <w:gridCol w:w="343"/>
        <w:gridCol w:w="1210"/>
      </w:tblGrid>
      <w:tr>
        <w:trPr>
          <w:trHeight w:val="381" w:hRule="exact"/>
        </w:trPr>
        <w:tc>
          <w:tcPr>
            <w:tcW w:w="28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3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1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1" w:hRule="exact"/>
        </w:trPr>
        <w:tc>
          <w:tcPr>
            <w:tcW w:w="28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93" w:right="91"/>
              <w:jc w:val="left"/>
              <w:rPr>
                <w:rFonts w:ascii="宋体" w:hAnsi="宋体" w:cs="宋体" w:eastAsia="宋体" w:hint="default"/>
                <w:sz w:val="18"/>
                <w:szCs w:val="18"/>
              </w:rPr>
            </w:pPr>
            <w:r>
              <w:rPr>
                <w:rFonts w:ascii="宋体" w:hAnsi="宋体" w:cs="宋体" w:eastAsia="宋体" w:hint="default"/>
                <w:sz w:val="18"/>
                <w:szCs w:val="18"/>
              </w:rPr>
              <w:t>其 他</w:t>
            </w:r>
          </w:p>
        </w:tc>
        <w:tc>
          <w:tcPr>
            <w:tcW w:w="360" w:type="dxa"/>
            <w:vMerge w:val="restart"/>
            <w:tcBorders>
              <w:top w:val="single" w:sz="4" w:space="0" w:color="000000"/>
              <w:left w:val="single" w:sz="10" w:space="0" w:color="D3D3D3"/>
              <w:right w:val="single" w:sz="13" w:space="0" w:color="D3D3D3"/>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535" w:right="83"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94" w:right="90"/>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343" w:type="dxa"/>
            <w:vMerge w:val="restart"/>
            <w:tcBorders>
              <w:top w:val="single" w:sz="4" w:space="0" w:color="000000"/>
              <w:left w:val="single" w:sz="12" w:space="0" w:color="D3D3D3"/>
              <w:right w:val="single" w:sz="10" w:space="0" w:color="D3D3D3"/>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c>
          <w:tcPr>
            <w:tcW w:w="12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6" w:hRule="exact"/>
        </w:trPr>
        <w:tc>
          <w:tcPr>
            <w:tcW w:w="2868" w:type="dxa"/>
            <w:vMerge/>
            <w:tcBorders>
              <w:left w:val="single" w:sz="4" w:space="0" w:color="000000"/>
              <w:bottom w:val="nil" w:sz="6" w:space="0" w:color="auto"/>
              <w:right w:val="single" w:sz="4" w:space="0" w:color="000000"/>
            </w:tcBorders>
            <w:shd w:val="clear" w:color="auto" w:fill="D3D3D3"/>
          </w:tcPr>
          <w:p>
            <w:pPr/>
          </w:p>
        </w:tc>
        <w:tc>
          <w:tcPr>
            <w:tcW w:w="1272" w:type="dxa"/>
            <w:vMerge/>
            <w:tcBorders>
              <w:left w:val="single" w:sz="4" w:space="0" w:color="000000"/>
              <w:bottom w:val="nil" w:sz="6" w:space="0" w:color="auto"/>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377" w:type="dxa"/>
            <w:vMerge/>
            <w:tcBorders>
              <w:left w:val="single" w:sz="4" w:space="0" w:color="000000"/>
              <w:right w:val="single" w:sz="4" w:space="0" w:color="000000"/>
            </w:tcBorders>
            <w:shd w:val="clear" w:color="auto" w:fill="D3D3D3"/>
          </w:tcPr>
          <w:p>
            <w:pPr/>
          </w:p>
        </w:tc>
        <w:tc>
          <w:tcPr>
            <w:tcW w:w="360" w:type="dxa"/>
            <w:vMerge/>
            <w:tcBorders>
              <w:left w:val="single" w:sz="10" w:space="0" w:color="D3D3D3"/>
              <w:right w:val="single" w:sz="13" w:space="0" w:color="D3D3D3"/>
            </w:tcBorders>
          </w:tcPr>
          <w:p>
            <w:pPr/>
          </w:p>
        </w:tc>
        <w:tc>
          <w:tcPr>
            <w:tcW w:w="1260"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343" w:type="dxa"/>
            <w:vMerge/>
            <w:tcBorders>
              <w:left w:val="single" w:sz="12" w:space="0" w:color="D3D3D3"/>
              <w:right w:val="single" w:sz="10" w:space="0" w:color="D3D3D3"/>
            </w:tcBorders>
          </w:tcPr>
          <w:p>
            <w:pPr/>
          </w:p>
        </w:tc>
        <w:tc>
          <w:tcPr>
            <w:tcW w:w="1210"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2868" w:type="dxa"/>
            <w:vMerge w:val="restart"/>
            <w:tcBorders>
              <w:top w:val="nil" w:sz="6" w:space="0" w:color="auto"/>
              <w:left w:val="single" w:sz="4" w:space="0" w:color="000000"/>
              <w:right w:val="single" w:sz="4" w:space="0" w:color="000000"/>
            </w:tcBorders>
            <w:shd w:val="clear" w:color="auto" w:fill="D3D3D3"/>
          </w:tcPr>
          <w:p>
            <w:pPr/>
          </w:p>
        </w:tc>
        <w:tc>
          <w:tcPr>
            <w:tcW w:w="1272" w:type="dxa"/>
            <w:vMerge w:val="restart"/>
            <w:tcBorders>
              <w:top w:val="nil" w:sz="6" w:space="0" w:color="auto"/>
              <w:left w:val="single" w:sz="4" w:space="0" w:color="000000"/>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377" w:type="dxa"/>
            <w:vMerge/>
            <w:tcBorders>
              <w:left w:val="single" w:sz="4" w:space="0" w:color="000000"/>
              <w:right w:val="single" w:sz="4" w:space="0" w:color="000000"/>
            </w:tcBorders>
            <w:shd w:val="clear" w:color="auto" w:fill="D3D3D3"/>
          </w:tcPr>
          <w:p>
            <w:pPr/>
          </w:p>
        </w:tc>
        <w:tc>
          <w:tcPr>
            <w:tcW w:w="360" w:type="dxa"/>
            <w:vMerge/>
            <w:tcBorders>
              <w:left w:val="single" w:sz="10" w:space="0" w:color="D3D3D3"/>
              <w:right w:val="single" w:sz="13" w:space="0" w:color="D3D3D3"/>
            </w:tcBorders>
          </w:tcPr>
          <w:p>
            <w:pPr/>
          </w:p>
        </w:tc>
        <w:tc>
          <w:tcPr>
            <w:tcW w:w="1260"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343" w:type="dxa"/>
            <w:vMerge/>
            <w:tcBorders>
              <w:left w:val="single" w:sz="12" w:space="0" w:color="D3D3D3"/>
              <w:right w:val="single" w:sz="10" w:space="0" w:color="D3D3D3"/>
            </w:tcBorders>
          </w:tcPr>
          <w:p>
            <w:pPr/>
          </w:p>
        </w:tc>
        <w:tc>
          <w:tcPr>
            <w:tcW w:w="1210"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868" w:type="dxa"/>
            <w:vMerge/>
            <w:tcBorders>
              <w:left w:val="single" w:sz="4" w:space="0" w:color="000000"/>
              <w:bottom w:val="single" w:sz="4" w:space="0" w:color="000000"/>
              <w:right w:val="single" w:sz="4" w:space="0" w:color="000000"/>
            </w:tcBorders>
            <w:shd w:val="clear" w:color="auto" w:fill="D3D3D3"/>
          </w:tcPr>
          <w:p>
            <w:pPr/>
          </w:p>
        </w:tc>
        <w:tc>
          <w:tcPr>
            <w:tcW w:w="1272"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377" w:type="dxa"/>
            <w:vMerge/>
            <w:tcBorders>
              <w:left w:val="single" w:sz="4" w:space="0" w:color="000000"/>
              <w:bottom w:val="single" w:sz="4" w:space="0" w:color="000000"/>
              <w:right w:val="single" w:sz="4" w:space="0" w:color="000000"/>
            </w:tcBorders>
            <w:shd w:val="clear" w:color="auto" w:fill="D3D3D3"/>
          </w:tcPr>
          <w:p>
            <w:pPr/>
          </w:p>
        </w:tc>
        <w:tc>
          <w:tcPr>
            <w:tcW w:w="360" w:type="dxa"/>
            <w:vMerge/>
            <w:tcBorders>
              <w:left w:val="single" w:sz="10" w:space="0" w:color="D3D3D3"/>
              <w:bottom w:val="single" w:sz="4" w:space="0" w:color="000000"/>
              <w:right w:val="single" w:sz="13" w:space="0" w:color="D3D3D3"/>
            </w:tcBorders>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343" w:type="dxa"/>
            <w:vMerge/>
            <w:tcBorders>
              <w:left w:val="single" w:sz="12" w:space="0" w:color="D3D3D3"/>
              <w:bottom w:val="single" w:sz="4" w:space="0" w:color="000000"/>
              <w:right w:val="single" w:sz="10" w:space="0" w:color="D3D3D3"/>
            </w:tcBorders>
          </w:tcPr>
          <w:p>
            <w:pPr/>
          </w:p>
        </w:tc>
        <w:tc>
          <w:tcPr>
            <w:tcW w:w="121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云中心管理平台建设项目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39,749,035.89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1,432,321.51</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41,181,357.40</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智慧城市行业解决方案建设项目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34,410,413.94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1,966,832.35</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22,789,832.34</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13,587,413.95</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电子政务公共服务云平台</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部分</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2,746,626.01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2,549,430.75</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5,296,056.76</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智慧城市跨领域协同的云服务平台 研发及示范应用</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4,917,307.83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9,161.22</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4,926,469.05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电子政务公共服务云平台</w:t>
            </w:r>
            <w:r>
              <w:rPr>
                <w:rFonts w:ascii="Times New Roman" w:hAnsi="Times New Roman" w:cs="Times New Roman" w:eastAsia="Times New Roman" w:hint="default"/>
                <w:sz w:val="18"/>
                <w:szCs w:val="18"/>
              </w:rPr>
              <w:t>-IaaS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部分</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669,756.39</w:t>
            </w:r>
          </w:p>
        </w:tc>
        <w:tc>
          <w:tcPr>
            <w:tcW w:w="126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669,756.39</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面向科技创新服务的大数据技术研 发及示范应用</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2,839,506.07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49,837.08</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2,889,343.15</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玉溪政务大数据平台研发项目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3,185,456.86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1,454,149.07</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4,639,605.93</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基于大数据的保险客户智能数据服 务平台</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5,027,174.76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1,668,612.73</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6,695,787.49</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NLP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智能分析平台研发</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8,272,093.04</w:t>
            </w:r>
          </w:p>
        </w:tc>
        <w:tc>
          <w:tcPr>
            <w:tcW w:w="126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8,272,093.04</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北明大数据平台产品及行业解决方 案研发项目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3,227,178.45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1,751,834.90</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4,979,013.35</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基于大数据技术的检察院通用数据 应用分析服务平台</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3,950,803.48</w:t>
            </w:r>
          </w:p>
        </w:tc>
        <w:tc>
          <w:tcPr>
            <w:tcW w:w="126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3,950,803.48</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基于云计算的智慧政务协同及应用</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智慧城市行业解决方案系列项目</w:t>
            </w:r>
            <w:r>
              <w:rPr>
                <w:rFonts w:ascii="Times New Roman" w:hAnsi="Times New Roman" w:cs="Times New Roman" w:eastAsia="Times New Roman" w:hint="default"/>
                <w:sz w:val="18"/>
                <w:szCs w:val="18"/>
              </w:rPr>
              <w:t>)</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657,932.38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229,899.90</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887,832.28</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智慧城管大数据服务平台和示范应 用</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506,161.32</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506,161.32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68"/>
        <w:gridCol w:w="1272"/>
        <w:gridCol w:w="1260"/>
        <w:gridCol w:w="377"/>
        <w:gridCol w:w="360"/>
        <w:gridCol w:w="1260"/>
        <w:gridCol w:w="737"/>
        <w:gridCol w:w="343"/>
        <w:gridCol w:w="1210"/>
      </w:tblGrid>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北明城市智脑研发项目</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3,031,091.05</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3,031,091.05</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基于神经网络的海量文档相似性分 析技术及示范应用</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49,773.44</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49,773.44</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城市管理中的智能视频分析技术和 示范应用</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728,660.35</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728,660.35</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保险智慧反欺诈平台研发项目</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4,900,050.17</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4,900,050.17</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大数据治理平台研发项目</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6,769,494.20</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6,769,494.20</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矛盾纠纷多元化解一体化网络平台</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67,789,008.91</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67,789,008.91</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流动性风险管理系统</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1,848,254.88</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1,848,254.88</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109,653,285.10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96,734,573.83</w:t>
            </w:r>
          </w:p>
        </w:tc>
        <w:tc>
          <w:tcPr>
            <w:tcW w:w="377"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112,278,968.55</w:t>
            </w:r>
          </w:p>
        </w:tc>
        <w:tc>
          <w:tcPr>
            <w:tcW w:w="737"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94,108,890.38</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4"/>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941" w:top="1060" w:bottom="1140" w:left="980" w:right="0"/>
        </w:sectPr>
      </w:pPr>
    </w:p>
    <w:p>
      <w:pPr>
        <w:pStyle w:val="Heading3"/>
        <w:spacing w:line="240" w:lineRule="auto" w:before="35"/>
        <w:ind w:left="153" w:right="-1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1947" w:space="6881"/>
            <w:col w:w="210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8"/>
        <w:gridCol w:w="1379"/>
        <w:gridCol w:w="1367"/>
        <w:gridCol w:w="580"/>
        <w:gridCol w:w="827"/>
        <w:gridCol w:w="613"/>
        <w:gridCol w:w="1367"/>
      </w:tblGrid>
      <w:tr>
        <w:trPr>
          <w:trHeight w:val="201" w:hRule="exact"/>
        </w:trPr>
        <w:tc>
          <w:tcPr>
            <w:tcW w:w="34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34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6" w:type="dxa"/>
            <w:gridSpan w:val="2"/>
            <w:vMerge/>
            <w:tcBorders>
              <w:left w:val="single" w:sz="4" w:space="0" w:color="000000"/>
              <w:bottom w:val="single" w:sz="4" w:space="0" w:color="000000"/>
              <w:right w:val="single" w:sz="4" w:space="0" w:color="000000"/>
            </w:tcBorders>
            <w:shd w:val="clear" w:color="auto" w:fill="D3D3D3"/>
          </w:tcPr>
          <w:p>
            <w:pPr/>
          </w:p>
        </w:tc>
        <w:tc>
          <w:tcPr>
            <w:tcW w:w="1440"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3408"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80" w:type="dxa"/>
            <w:vMerge w:val="restart"/>
            <w:tcBorders>
              <w:top w:val="single" w:sz="4" w:space="0" w:color="000000"/>
              <w:left w:val="single" w:sz="12" w:space="0" w:color="D3D3D3"/>
              <w:right w:val="single" w:sz="13" w:space="0" w:color="D3D3D3"/>
            </w:tcBorders>
            <w:shd w:val="clear" w:color="auto" w:fill="E1FFFF"/>
          </w:tcPr>
          <w:p>
            <w:pPr/>
          </w:p>
        </w:tc>
        <w:tc>
          <w:tcPr>
            <w:tcW w:w="8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13" w:type="dxa"/>
            <w:vMerge w:val="restart"/>
            <w:tcBorders>
              <w:top w:val="single" w:sz="4" w:space="0" w:color="000000"/>
              <w:left w:val="single" w:sz="13" w:space="0" w:color="D3D3D3"/>
              <w:right w:val="single" w:sz="9" w:space="0" w:color="D3D3D3"/>
            </w:tcBorders>
            <w:shd w:val="clear" w:color="auto" w:fill="E1FFFF"/>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34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580" w:type="dxa"/>
            <w:vMerge/>
            <w:tcBorders>
              <w:left w:val="single" w:sz="12" w:space="0" w:color="D3D3D3"/>
              <w:bottom w:val="single" w:sz="4" w:space="0" w:color="000000"/>
              <w:right w:val="single" w:sz="13" w:space="0" w:color="D3D3D3"/>
            </w:tcBorders>
            <w:shd w:val="clear" w:color="auto" w:fill="E1FFFF"/>
          </w:tcPr>
          <w:p>
            <w:pPr/>
          </w:p>
        </w:tc>
        <w:tc>
          <w:tcPr>
            <w:tcW w:w="827" w:type="dxa"/>
            <w:vMerge/>
            <w:tcBorders>
              <w:left w:val="single" w:sz="4" w:space="0" w:color="000000"/>
              <w:bottom w:val="single" w:sz="4" w:space="0" w:color="000000"/>
              <w:right w:val="single" w:sz="4" w:space="0" w:color="000000"/>
            </w:tcBorders>
            <w:shd w:val="clear" w:color="auto" w:fill="D3D3D3"/>
          </w:tcPr>
          <w:p>
            <w:pPr/>
          </w:p>
        </w:tc>
        <w:tc>
          <w:tcPr>
            <w:tcW w:w="613" w:type="dxa"/>
            <w:vMerge/>
            <w:tcBorders>
              <w:left w:val="single" w:sz="13" w:space="0" w:color="D3D3D3"/>
              <w:bottom w:val="single" w:sz="4" w:space="0" w:color="000000"/>
              <w:right w:val="single" w:sz="9" w:space="0" w:color="D3D3D3"/>
            </w:tcBorders>
            <w:shd w:val="clear" w:color="auto" w:fill="E1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157,743,254.50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157,743,254.50</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2,172,241,342.13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2,172,241,342.13</w:t>
            </w:r>
          </w:p>
        </w:tc>
      </w:tr>
    </w:tbl>
    <w:p>
      <w:pPr>
        <w:spacing w:line="240" w:lineRule="auto" w:before="4"/>
        <w:rPr>
          <w:rFonts w:ascii="宋体" w:hAnsi="宋体" w:cs="宋体" w:eastAsia="宋体" w:hint="default"/>
          <w:sz w:val="5"/>
          <w:szCs w:val="5"/>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09"/>
        <w:gridCol w:w="1260"/>
        <w:gridCol w:w="1367"/>
        <w:gridCol w:w="580"/>
        <w:gridCol w:w="934"/>
        <w:gridCol w:w="613"/>
        <w:gridCol w:w="1367"/>
      </w:tblGrid>
      <w:tr>
        <w:trPr>
          <w:trHeight w:val="201" w:hRule="exact"/>
        </w:trPr>
        <w:tc>
          <w:tcPr>
            <w:tcW w:w="34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34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6" w:type="dxa"/>
            <w:gridSpan w:val="2"/>
            <w:vMerge/>
            <w:tcBorders>
              <w:left w:val="single" w:sz="4" w:space="0" w:color="000000"/>
              <w:bottom w:val="single" w:sz="4" w:space="0" w:color="000000"/>
              <w:right w:val="single" w:sz="4" w:space="0" w:color="000000"/>
            </w:tcBorders>
            <w:shd w:val="clear" w:color="auto" w:fill="D3D3D3"/>
          </w:tcPr>
          <w:p>
            <w:pPr/>
          </w:p>
        </w:tc>
        <w:tc>
          <w:tcPr>
            <w:tcW w:w="1547"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9" w:hRule="exact"/>
        </w:trPr>
        <w:tc>
          <w:tcPr>
            <w:tcW w:w="3409"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580" w:type="dxa"/>
            <w:vMerge w:val="restart"/>
            <w:tcBorders>
              <w:top w:val="single" w:sz="4" w:space="0" w:color="000000"/>
              <w:left w:val="single" w:sz="10" w:space="0" w:color="D3D3D3"/>
              <w:right w:val="single" w:sz="9" w:space="0" w:color="D3D3D3"/>
            </w:tcBorders>
            <w:shd w:val="clear" w:color="auto" w:fill="E1FFFF"/>
          </w:tcPr>
          <w:p>
            <w:pP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13" w:type="dxa"/>
            <w:vMerge w:val="restart"/>
            <w:tcBorders>
              <w:top w:val="single" w:sz="4" w:space="0" w:color="000000"/>
              <w:left w:val="single" w:sz="13" w:space="0" w:color="D3D3D3"/>
              <w:right w:val="single" w:sz="9" w:space="0" w:color="D3D3D3"/>
            </w:tcBorders>
            <w:shd w:val="clear" w:color="auto" w:fill="E1FFFF"/>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13" w:hRule="exact"/>
        </w:trPr>
        <w:tc>
          <w:tcPr>
            <w:tcW w:w="34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580" w:type="dxa"/>
            <w:vMerge/>
            <w:tcBorders>
              <w:left w:val="single" w:sz="10" w:space="0" w:color="D3D3D3"/>
              <w:bottom w:val="single" w:sz="4" w:space="0" w:color="000000"/>
              <w:right w:val="single" w:sz="9" w:space="0" w:color="D3D3D3"/>
            </w:tcBorders>
            <w:shd w:val="clear" w:color="auto" w:fill="E1FFFF"/>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613" w:type="dxa"/>
            <w:vMerge/>
            <w:tcBorders>
              <w:left w:val="single" w:sz="13" w:space="0" w:color="D3D3D3"/>
              <w:bottom w:val="single" w:sz="4" w:space="0" w:color="000000"/>
              <w:right w:val="single" w:sz="9" w:space="0" w:color="D3D3D3"/>
            </w:tcBorders>
            <w:shd w:val="clear" w:color="auto" w:fill="E1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40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22,082,002.41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22,082,002.41</w:t>
            </w:r>
          </w:p>
        </w:tc>
      </w:tr>
      <w:tr>
        <w:trPr>
          <w:trHeight w:val="402" w:hRule="exact"/>
        </w:trPr>
        <w:tc>
          <w:tcPr>
            <w:tcW w:w="340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c>
          <w:tcPr>
            <w:tcW w:w="58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r>
      <w:tr>
        <w:trPr>
          <w:trHeight w:val="402" w:hRule="exact"/>
        </w:trPr>
        <w:tc>
          <w:tcPr>
            <w:tcW w:w="340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c>
          <w:tcPr>
            <w:tcW w:w="58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r>
      <w:tr>
        <w:trPr>
          <w:trHeight w:val="402" w:hRule="exact"/>
        </w:trPr>
        <w:tc>
          <w:tcPr>
            <w:tcW w:w="3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22,082,002.41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21,499,120.15</w:t>
            </w:r>
          </w:p>
        </w:tc>
        <w:tc>
          <w:tcPr>
            <w:tcW w:w="58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43,581,122.56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4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233"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09" w:lineRule="auto" w:before="42"/>
        <w:ind w:left="233" w:right="0" w:firstLine="39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日，公司对商誉进行减值测试。包含商誉的资产组的可收回金额是依据管理层批准的五年期预算，采用 </w:t>
      </w:r>
      <w:r>
        <w:rPr>
          <w:spacing w:val="-2"/>
        </w:rPr>
        <w:t>预计未来现金流量折现方法计算。超过该五年期的未来现金流量采用估计的永续年增长率作出推算。各资产组采用预计未来</w:t>
      </w:r>
      <w:r>
        <w:rPr>
          <w:spacing w:val="-64"/>
        </w:rPr>
        <w:t> </w:t>
      </w:r>
      <w:r>
        <w:rPr>
          <w:spacing w:val="-64"/>
        </w:rPr>
      </w:r>
      <w:r>
        <w:rPr/>
        <w:t>现金流量折现方法的关键假设：</w:t>
      </w:r>
    </w:p>
    <w:tbl>
      <w:tblPr>
        <w:tblW w:w="0" w:type="auto"/>
        <w:jc w:val="left"/>
        <w:tblInd w:w="116" w:type="dxa"/>
        <w:tblLayout w:type="fixed"/>
        <w:tblCellMar>
          <w:top w:w="0" w:type="dxa"/>
          <w:left w:w="0" w:type="dxa"/>
          <w:bottom w:w="0" w:type="dxa"/>
          <w:right w:w="0" w:type="dxa"/>
        </w:tblCellMar>
        <w:tblLook w:val="01E0"/>
      </w:tblPr>
      <w:tblGrid>
        <w:gridCol w:w="3096"/>
        <w:gridCol w:w="772"/>
        <w:gridCol w:w="770"/>
        <w:gridCol w:w="796"/>
        <w:gridCol w:w="810"/>
        <w:gridCol w:w="810"/>
        <w:gridCol w:w="802"/>
        <w:gridCol w:w="770"/>
        <w:gridCol w:w="842"/>
      </w:tblGrid>
      <w:tr>
        <w:trPr>
          <w:trHeight w:val="643" w:hRule="exact"/>
        </w:trPr>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195" w:right="194"/>
              <w:jc w:val="left"/>
              <w:rPr>
                <w:rFonts w:ascii="宋体" w:hAnsi="宋体" w:cs="宋体" w:eastAsia="宋体" w:hint="default"/>
                <w:sz w:val="18"/>
                <w:szCs w:val="18"/>
              </w:rPr>
            </w:pPr>
            <w:r>
              <w:rPr>
                <w:rFonts w:ascii="宋体" w:hAnsi="宋体" w:cs="宋体" w:eastAsia="宋体" w:hint="default"/>
                <w:sz w:val="18"/>
                <w:szCs w:val="18"/>
              </w:rPr>
              <w:t>北明 软件</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195" w:right="193"/>
              <w:jc w:val="left"/>
              <w:rPr>
                <w:rFonts w:ascii="宋体" w:hAnsi="宋体" w:cs="宋体" w:eastAsia="宋体" w:hint="default"/>
                <w:sz w:val="18"/>
                <w:szCs w:val="18"/>
              </w:rPr>
            </w:pPr>
            <w:r>
              <w:rPr>
                <w:rFonts w:ascii="宋体" w:hAnsi="宋体" w:cs="宋体" w:eastAsia="宋体" w:hint="default"/>
                <w:sz w:val="18"/>
                <w:szCs w:val="18"/>
              </w:rPr>
              <w:t>珠海 震星</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07" w:right="206"/>
              <w:jc w:val="left"/>
              <w:rPr>
                <w:rFonts w:ascii="宋体" w:hAnsi="宋体" w:cs="宋体" w:eastAsia="宋体" w:hint="default"/>
                <w:sz w:val="18"/>
                <w:szCs w:val="18"/>
              </w:rPr>
            </w:pPr>
            <w:r>
              <w:rPr>
                <w:rFonts w:ascii="宋体" w:hAnsi="宋体" w:cs="宋体" w:eastAsia="宋体" w:hint="default"/>
                <w:sz w:val="18"/>
                <w:szCs w:val="18"/>
              </w:rPr>
              <w:t>北明 正实</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14" w:right="215"/>
              <w:jc w:val="left"/>
              <w:rPr>
                <w:rFonts w:ascii="宋体" w:hAnsi="宋体" w:cs="宋体" w:eastAsia="宋体" w:hint="default"/>
                <w:sz w:val="18"/>
                <w:szCs w:val="18"/>
              </w:rPr>
            </w:pPr>
            <w:r>
              <w:rPr>
                <w:rFonts w:ascii="宋体" w:hAnsi="宋体" w:cs="宋体" w:eastAsia="宋体" w:hint="default"/>
                <w:sz w:val="18"/>
                <w:szCs w:val="18"/>
              </w:rPr>
              <w:t>天时 前程</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14" w:right="215"/>
              <w:jc w:val="left"/>
              <w:rPr>
                <w:rFonts w:ascii="宋体" w:hAnsi="宋体" w:cs="宋体" w:eastAsia="宋体" w:hint="default"/>
                <w:sz w:val="18"/>
                <w:szCs w:val="18"/>
              </w:rPr>
            </w:pPr>
            <w:r>
              <w:rPr>
                <w:rFonts w:ascii="宋体" w:hAnsi="宋体" w:cs="宋体" w:eastAsia="宋体" w:hint="default"/>
                <w:sz w:val="18"/>
                <w:szCs w:val="18"/>
              </w:rPr>
              <w:t>山东 成功</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11" w:right="209"/>
              <w:jc w:val="left"/>
              <w:rPr>
                <w:rFonts w:ascii="宋体" w:hAnsi="宋体" w:cs="宋体" w:eastAsia="宋体" w:hint="default"/>
                <w:sz w:val="18"/>
                <w:szCs w:val="18"/>
              </w:rPr>
            </w:pPr>
            <w:r>
              <w:rPr>
                <w:rFonts w:ascii="宋体" w:hAnsi="宋体" w:cs="宋体" w:eastAsia="宋体" w:hint="default"/>
                <w:sz w:val="18"/>
                <w:szCs w:val="18"/>
              </w:rPr>
              <w:t>索科 维尔</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195" w:right="193"/>
              <w:jc w:val="left"/>
              <w:rPr>
                <w:rFonts w:ascii="宋体" w:hAnsi="宋体" w:cs="宋体" w:eastAsia="宋体" w:hint="default"/>
                <w:sz w:val="18"/>
                <w:szCs w:val="18"/>
              </w:rPr>
            </w:pPr>
            <w:r>
              <w:rPr>
                <w:rFonts w:ascii="宋体" w:hAnsi="宋体" w:cs="宋体" w:eastAsia="宋体" w:hint="default"/>
                <w:sz w:val="18"/>
                <w:szCs w:val="18"/>
              </w:rPr>
              <w:t>明润 华创</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31" w:right="229"/>
              <w:jc w:val="left"/>
              <w:rPr>
                <w:rFonts w:ascii="宋体" w:hAnsi="宋体" w:cs="宋体" w:eastAsia="宋体" w:hint="default"/>
                <w:sz w:val="18"/>
                <w:szCs w:val="18"/>
              </w:rPr>
            </w:pPr>
            <w:r>
              <w:rPr>
                <w:rFonts w:ascii="宋体" w:hAnsi="宋体" w:cs="宋体" w:eastAsia="宋体" w:hint="default"/>
                <w:sz w:val="18"/>
                <w:szCs w:val="18"/>
              </w:rPr>
              <w:t>金实 盈信</w:t>
            </w:r>
          </w:p>
        </w:tc>
      </w:tr>
      <w:tr>
        <w:trPr>
          <w:trHeight w:val="332" w:hRule="exact"/>
        </w:trPr>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永续年增长率</w:t>
            </w:r>
          </w:p>
        </w:tc>
        <w:tc>
          <w:tcPr>
            <w:tcW w:w="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0%</w:t>
            </w:r>
          </w:p>
        </w:tc>
      </w:tr>
      <w:tr>
        <w:trPr>
          <w:trHeight w:val="332" w:hRule="exact"/>
        </w:trPr>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毛利率（剔除补贴收入，永续年度）</w:t>
            </w:r>
          </w:p>
        </w:tc>
        <w:tc>
          <w:tcPr>
            <w:tcW w:w="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18.05%</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45.55%</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50.59%</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40.35%</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54.63%</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48.00%</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30.15%</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61.00%</w:t>
            </w:r>
          </w:p>
        </w:tc>
      </w:tr>
      <w:tr>
        <w:trPr>
          <w:trHeight w:val="331" w:hRule="exact"/>
        </w:trPr>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12.95%</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13.18%</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14.09%</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13.59%</w:t>
            </w:r>
          </w:p>
        </w:tc>
        <w:tc>
          <w:tcPr>
            <w:tcW w:w="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12.47%</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15.03%</w:t>
            </w: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13.13%</w:t>
            </w:r>
          </w:p>
        </w:tc>
        <w:tc>
          <w:tcPr>
            <w:tcW w:w="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13.68%</w:t>
            </w:r>
          </w:p>
        </w:tc>
      </w:tr>
    </w:tbl>
    <w:p>
      <w:pPr>
        <w:pStyle w:val="BodyText"/>
        <w:spacing w:line="357" w:lineRule="auto" w:before="66"/>
        <w:ind w:left="594" w:right="0"/>
        <w:jc w:val="left"/>
      </w:pPr>
      <w:r>
        <w:rPr/>
        <w:t>管理层根据该等假设分析各资产组的可收回金额，认为无需计提减值准备。 </w:t>
      </w:r>
      <w:r>
        <w:rPr>
          <w:spacing w:val="-2"/>
        </w:rPr>
        <w:t>为谨慎起见，公司聘请了中联资产评估集团有限公司对由收购上述各公司股权所形成的包含商誉的相关资产组在评估基</w:t>
      </w:r>
    </w:p>
    <w:p>
      <w:pPr>
        <w:pStyle w:val="BodyText"/>
        <w:spacing w:line="224" w:lineRule="exact"/>
        <w:ind w:left="234" w:right="0"/>
        <w:jc w:val="left"/>
      </w:pPr>
      <w:r>
        <w:rPr/>
        <w:t>准日</w:t>
      </w:r>
      <w:r>
        <w:rPr>
          <w:spacing w:val="-46"/>
        </w:rPr>
        <w:t> </w:t>
      </w:r>
      <w:r>
        <w:rPr/>
        <w:t>2018</w:t>
      </w:r>
      <w:r>
        <w:rPr>
          <w:spacing w:val="-46"/>
        </w:rPr>
        <w:t> </w:t>
      </w:r>
      <w:r>
        <w:rPr/>
        <w:t>年</w:t>
      </w:r>
      <w:r>
        <w:rPr>
          <w:spacing w:val="-46"/>
        </w:rPr>
        <w:t> </w:t>
      </w:r>
      <w:r>
        <w:rPr/>
        <w:t>12</w:t>
      </w:r>
      <w:r>
        <w:rPr>
          <w:spacing w:val="-46"/>
        </w:rPr>
        <w:t> </w:t>
      </w:r>
      <w:r>
        <w:rPr/>
        <w:t>月</w:t>
      </w:r>
      <w:r>
        <w:rPr>
          <w:spacing w:val="-46"/>
        </w:rPr>
        <w:t> </w:t>
      </w:r>
      <w:r>
        <w:rPr/>
        <w:t>31</w:t>
      </w:r>
      <w:r>
        <w:rPr>
          <w:spacing w:val="-46"/>
        </w:rPr>
        <w:t> </w:t>
      </w:r>
      <w:r>
        <w:rPr/>
        <w:t>日的预计未来现金流量的现值进行了评估，并分别出具了《资产评估报告》（中联评报字【2019】第</w:t>
      </w:r>
    </w:p>
    <w:p>
      <w:pPr>
        <w:pStyle w:val="BodyText"/>
        <w:spacing w:line="240" w:lineRule="auto" w:before="76"/>
        <w:ind w:left="234" w:right="0"/>
        <w:jc w:val="left"/>
      </w:pPr>
      <w:r>
        <w:rPr/>
        <w:t>697</w:t>
      </w:r>
      <w:r>
        <w:rPr>
          <w:spacing w:val="-46"/>
        </w:rPr>
        <w:t> </w:t>
      </w:r>
      <w:r>
        <w:rPr>
          <w:spacing w:val="-3"/>
        </w:rPr>
        <w:t>号、中联评报字【2019】第</w:t>
      </w:r>
      <w:r>
        <w:rPr>
          <w:spacing w:val="-46"/>
        </w:rPr>
        <w:t> </w:t>
      </w:r>
      <w:r>
        <w:rPr/>
        <w:t>698</w:t>
      </w:r>
      <w:r>
        <w:rPr>
          <w:spacing w:val="-46"/>
        </w:rPr>
        <w:t> </w:t>
      </w:r>
      <w:r>
        <w:rPr>
          <w:spacing w:val="-3"/>
        </w:rPr>
        <w:t>号、中联评报字【2019】第</w:t>
      </w:r>
      <w:r>
        <w:rPr>
          <w:spacing w:val="-46"/>
        </w:rPr>
        <w:t> </w:t>
      </w:r>
      <w:r>
        <w:rPr/>
        <w:t>700</w:t>
      </w:r>
      <w:r>
        <w:rPr>
          <w:spacing w:val="-46"/>
        </w:rPr>
        <w:t> </w:t>
      </w:r>
      <w:r>
        <w:rPr>
          <w:spacing w:val="-3"/>
        </w:rPr>
        <w:t>号、中联评报字【2019】第</w:t>
      </w:r>
      <w:r>
        <w:rPr>
          <w:spacing w:val="-46"/>
        </w:rPr>
        <w:t> </w:t>
      </w:r>
      <w:r>
        <w:rPr/>
        <w:t>702</w:t>
      </w:r>
      <w:r>
        <w:rPr>
          <w:spacing w:val="-46"/>
        </w:rPr>
        <w:t> </w:t>
      </w:r>
      <w:r>
        <w:rPr/>
        <w:t>号、中联评报字【2019】</w:t>
      </w:r>
    </w:p>
    <w:p>
      <w:pPr>
        <w:pStyle w:val="BodyText"/>
        <w:spacing w:line="319" w:lineRule="auto" w:before="76"/>
        <w:ind w:left="233" w:right="1119"/>
        <w:jc w:val="left"/>
      </w:pPr>
      <w:r>
        <w:rPr/>
        <w:t>第</w:t>
      </w:r>
      <w:r>
        <w:rPr>
          <w:spacing w:val="-56"/>
        </w:rPr>
        <w:t> </w:t>
      </w:r>
      <w:r>
        <w:rPr/>
        <w:t>704</w:t>
      </w:r>
      <w:r>
        <w:rPr>
          <w:spacing w:val="-56"/>
        </w:rPr>
        <w:t> </w:t>
      </w:r>
      <w:r>
        <w:rPr/>
        <w:t>号、中联评报字【2019】第</w:t>
      </w:r>
      <w:r>
        <w:rPr>
          <w:spacing w:val="-56"/>
        </w:rPr>
        <w:t> </w:t>
      </w:r>
      <w:r>
        <w:rPr/>
        <w:t>703</w:t>
      </w:r>
      <w:r>
        <w:rPr>
          <w:spacing w:val="-56"/>
        </w:rPr>
        <w:t> </w:t>
      </w:r>
      <w:r>
        <w:rPr/>
        <w:t>号、中联评报字【2019】第</w:t>
      </w:r>
      <w:r>
        <w:rPr>
          <w:spacing w:val="-56"/>
        </w:rPr>
        <w:t> </w:t>
      </w:r>
      <w:r>
        <w:rPr/>
        <w:t>705</w:t>
      </w:r>
      <w:r>
        <w:rPr>
          <w:spacing w:val="-56"/>
        </w:rPr>
        <w:t> </w:t>
      </w:r>
      <w:r>
        <w:rPr/>
        <w:t>号、中联评报字【2019】第</w:t>
      </w:r>
      <w:r>
        <w:rPr>
          <w:spacing w:val="-56"/>
        </w:rPr>
        <w:t> </w:t>
      </w:r>
      <w:r>
        <w:rPr/>
        <w:t>706</w:t>
      </w:r>
      <w:r>
        <w:rPr>
          <w:spacing w:val="-56"/>
        </w:rPr>
        <w:t> </w:t>
      </w:r>
      <w:r>
        <w:rPr/>
        <w:t>号），该报告所载评</w:t>
      </w:r>
      <w:r>
        <w:rPr/>
        <w:t> 估结果均高于上述各资产组（含商誉）账面价值，无需对商誉计提减值准备。</w:t>
      </w:r>
    </w:p>
    <w:p>
      <w:pPr>
        <w:pStyle w:val="BodyText"/>
        <w:spacing w:line="316" w:lineRule="auto" w:before="55"/>
        <w:ind w:left="233" w:right="1129" w:firstLine="360"/>
        <w:jc w:val="right"/>
      </w:pPr>
      <w:r>
        <w:rPr>
          <w:spacing w:val="-2"/>
        </w:rPr>
        <w:t>北明云智及广州龙泰出现经营困难，不能可靠预计未来收益，采用公允价值减去处置费用的净额对含商誉资产组进行减</w:t>
      </w:r>
      <w:r>
        <w:rPr/>
        <w:t> 值测试，并分别出具了《资产评估报告》（中联评报字【2019】第</w:t>
      </w:r>
      <w:r>
        <w:rPr>
          <w:spacing w:val="-68"/>
        </w:rPr>
        <w:t> </w:t>
      </w:r>
      <w:r>
        <w:rPr/>
        <w:t>699</w:t>
      </w:r>
      <w:r>
        <w:rPr>
          <w:spacing w:val="-68"/>
        </w:rPr>
        <w:t> </w:t>
      </w:r>
      <w:r>
        <w:rPr/>
        <w:t>号、中联评报字【2019】第</w:t>
      </w:r>
      <w:r>
        <w:rPr>
          <w:spacing w:val="-68"/>
        </w:rPr>
        <w:t> </w:t>
      </w:r>
      <w:r>
        <w:rPr/>
        <w:t>701</w:t>
      </w:r>
      <w:r>
        <w:rPr>
          <w:spacing w:val="-68"/>
        </w:rPr>
        <w:t> </w:t>
      </w:r>
      <w:r>
        <w:rPr/>
        <w:t>号），测试结果商誉</w:t>
      </w:r>
    </w:p>
    <w:p>
      <w:pPr>
        <w:pStyle w:val="BodyText"/>
        <w:spacing w:line="357" w:lineRule="auto" w:before="20"/>
        <w:ind w:left="593" w:right="4185" w:hanging="360"/>
        <w:jc w:val="left"/>
      </w:pPr>
      <w:r>
        <w:rPr/>
        <w:t>全部减值。其中北明云智减值</w:t>
      </w:r>
      <w:r>
        <w:rPr>
          <w:spacing w:val="-46"/>
        </w:rPr>
        <w:t> </w:t>
      </w:r>
      <w:r>
        <w:rPr/>
        <w:t>4,210,455.31</w:t>
      </w:r>
      <w:r>
        <w:rPr>
          <w:spacing w:val="-46"/>
        </w:rPr>
        <w:t> </w:t>
      </w:r>
      <w:r>
        <w:rPr/>
        <w:t>元，广州龙泰减值</w:t>
      </w:r>
      <w:r>
        <w:rPr>
          <w:spacing w:val="-46"/>
        </w:rPr>
        <w:t> </w:t>
      </w:r>
      <w:r>
        <w:rPr/>
        <w:t>17,288,664.84</w:t>
      </w:r>
      <w:r>
        <w:rPr>
          <w:spacing w:val="-46"/>
        </w:rPr>
        <w:t> </w:t>
      </w:r>
      <w:r>
        <w:rPr/>
        <w:t>元。</w:t>
      </w:r>
      <w:r>
        <w:rPr/>
        <w:t> 商誉减值测试的影响</w:t>
      </w:r>
    </w:p>
    <w:p>
      <w:pPr>
        <w:pStyle w:val="BodyText"/>
        <w:spacing w:line="240" w:lineRule="auto" w:before="28"/>
        <w:ind w:left="631" w:right="0"/>
        <w:jc w:val="left"/>
      </w:pPr>
      <w:r>
        <w:rPr/>
        <w:t>明润华创、天时前程、山东成功三家公司</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年虽未能完成单年承诺净利润，但超额完成了累计承诺净利润；索科维</w:t>
      </w:r>
    </w:p>
    <w:p>
      <w:pPr>
        <w:pStyle w:val="BodyText"/>
        <w:spacing w:line="240" w:lineRule="auto" w:before="63"/>
        <w:ind w:left="234" w:right="0"/>
        <w:jc w:val="left"/>
      </w:pPr>
      <w:r>
        <w:rPr/>
        <w:t>尔</w:t>
      </w:r>
      <w:r>
        <w:rPr>
          <w:spacing w:val="-6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年完成单年承诺净利润，未完成累计承诺净利润。从四家公司</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年度及未来预测数据来看，发展势头良好，根据</w:t>
      </w:r>
    </w:p>
    <w:p>
      <w:pPr>
        <w:pStyle w:val="BodyText"/>
        <w:spacing w:line="240" w:lineRule="auto" w:before="64"/>
        <w:ind w:left="234" w:right="0"/>
        <w:jc w:val="left"/>
      </w:pPr>
      <w:r>
        <w:rPr/>
        <w:t>中联资产评估集团有限公司出具的《资产评估报告》，截止</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日，并购四家公司形成的商誉不存在减值迹象。</w:t>
      </w:r>
    </w:p>
    <w:p>
      <w:pPr>
        <w:pStyle w:val="Heading3"/>
        <w:spacing w:line="240" w:lineRule="auto" w:before="156"/>
        <w:ind w:left="234" w:right="0"/>
        <w:jc w:val="left"/>
        <w:rPr>
          <w:b w:val="0"/>
          <w:bCs w:val="0"/>
        </w:rPr>
      </w:pPr>
      <w:r>
        <w:rPr>
          <w:rFonts w:ascii="Times New Roman" w:hAnsi="Times New Roman" w:cs="Times New Roman" w:eastAsia="Times New Roman" w:hint="default"/>
        </w:rPr>
        <w:t>16</w:t>
      </w:r>
      <w:r>
        <w:rPr/>
        <w:t>、长期待摊费用</w:t>
      </w:r>
      <w:r>
        <w:rPr>
          <w:b w:val="0"/>
          <w:bCs w:val="0"/>
        </w:rPr>
      </w:r>
    </w:p>
    <w:p>
      <w:pPr>
        <w:pStyle w:val="BodyText"/>
        <w:spacing w:line="240" w:lineRule="auto" w:before="16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18,610,744.87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12,062,093.11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5,377,774.96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25,295,063.02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64,904.10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39,589.03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25,315.07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611,846.05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156,216.00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455,630.05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消防系统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242,718.44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91,221.76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220,913.43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19,356,911.77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12,304,811.55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5,664,801.75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25,996,921.57</w:t>
            </w:r>
          </w:p>
        </w:tc>
      </w:tr>
    </w:tbl>
    <w:p>
      <w:pPr>
        <w:spacing w:line="240" w:lineRule="auto" w:before="2"/>
        <w:rPr>
          <w:rFonts w:ascii="宋体" w:hAnsi="宋体" w:cs="宋体" w:eastAsia="宋体" w:hint="default"/>
          <w:sz w:val="19"/>
          <w:szCs w:val="19"/>
        </w:rPr>
      </w:pPr>
    </w:p>
    <w:p>
      <w:pPr>
        <w:pStyle w:val="Heading3"/>
        <w:spacing w:line="240" w:lineRule="auto" w:before="35"/>
        <w:ind w:left="234"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after="0" w:line="240" w:lineRule="auto"/>
        <w:jc w:val="left"/>
        <w:sectPr>
          <w:pgSz w:w="11910" w:h="16840"/>
          <w:pgMar w:header="747" w:footer="941" w:top="1060" w:bottom="1140" w:left="90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200"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1"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298,969,476.42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60,677,998.07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498,443,409.45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113,941,549.33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128,555.68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32,138.92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7,128,846.94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1,406,176.17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22,811,388.91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3,635,499.19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28,270,879.70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4,446,686.23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200,055.69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30,008.35</w:t>
            </w: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321,909,421.01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64,345,636.18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534,043,191.78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119,824,420.08</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916"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29,306,681.81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39,615,420.51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5,915,299.33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29,306,681.81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39,615,420.51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5,915,299.33</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3"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2"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64,345,636.18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119,824,420.08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5,915,299.33</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20,955,101.18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11,731,888.04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200,883,895.91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217,461,968.92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221,838,997.09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229,193,856.96</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18,433,284.74</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14,879,178.71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14,879,178.71</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95,051,663.85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110,947,163.05</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16,022,512.91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16,353,281.84</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55,481,688.17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56,849,060.58</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19,448,852.27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200,883,895.91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217,461,968.92</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19,739,085.99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2,701,501,687.06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2,246,700,000.00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2,861,501,687.06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2,421,139,085.99</w:t>
            </w:r>
          </w:p>
        </w:tc>
      </w:tr>
    </w:tbl>
    <w:p>
      <w:pPr>
        <w:pStyle w:val="BodyText"/>
        <w:spacing w:line="360" w:lineRule="auto" w:before="51"/>
        <w:ind w:left="153" w:right="5191"/>
        <w:jc w:val="left"/>
        <w:rPr>
          <w:rFonts w:ascii="Times New Roman" w:hAnsi="Times New Roman" w:cs="Times New Roman" w:eastAsia="Times New Roman" w:hint="default"/>
        </w:rPr>
      </w:pPr>
      <w:r>
        <w:rPr/>
        <w:t>短期借款分类的说明： 短期借款分类的说明：期末保证借款见</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0"/>
          <w:szCs w:val="20"/>
        </w:rPr>
      </w:pPr>
    </w:p>
    <w:p>
      <w:pPr>
        <w:pStyle w:val="Heading3"/>
        <w:spacing w:line="240" w:lineRule="auto"/>
        <w:ind w:right="891"/>
        <w:jc w:val="left"/>
        <w:rPr>
          <w:b w:val="0"/>
          <w:bCs w:val="0"/>
        </w:rPr>
      </w:pPr>
      <w:r>
        <w:rPr>
          <w:rFonts w:ascii="Times New Roman" w:hAnsi="Times New Roman" w:cs="Times New Roman" w:eastAsia="Times New Roman" w:hint="default"/>
        </w:rPr>
        <w:t>20</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879,539,659.15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717,797,920.64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1,680,021,294.50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1,016,322,693.15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2,559,560,953.65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1,734,120,613.79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44"/>
        <w:ind w:left="0" w:right="1131"/>
        <w:jc w:val="right"/>
      </w:pPr>
      <w:r>
        <w:rPr/>
        <w:t>单位： 元</w:t>
      </w:r>
    </w:p>
    <w:p>
      <w:pPr>
        <w:spacing w:after="0" w:line="240" w:lineRule="auto"/>
        <w:jc w:val="righ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808,416,248.16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653,834,261.43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71,123,410.99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63,963,659.21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879,539,659.15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717,797,920.64</w:t>
            </w:r>
          </w:p>
        </w:tc>
      </w:tr>
    </w:tbl>
    <w:p>
      <w:pPr>
        <w:pStyle w:val="BodyText"/>
        <w:spacing w:line="240" w:lineRule="auto" w:before="51"/>
        <w:ind w:right="891"/>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1,486,712,230.61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868,052,315.70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99,076,895.72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94,126,791.24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49,924,356.18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27,885,927.72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44,307,811.99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26,257,658.49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1,680,021,294.50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1,016,322,693.15</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杭州盈文信息科技有限公司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8,602,291.66</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江苏南大尚诚高科技实业有限公司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8,086,054.05</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深圳市驰通和信科技有限公司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6,753,169.74</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陕西和众能源信息技术有限公司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4,885,923.08</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内蒙古中宜信息技术有限公司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4,823,552.66</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33,150,991.19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311,488,360.32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285,386,181.34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42,285,861.08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10,965,275.70</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9,158,789.40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3,108,695.46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13,056,580.67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10,910,462.39</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375,989,591.47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310,370,614.89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41" w:top="1060" w:bottom="1140" w:left="980" w:right="0"/>
        </w:sectPr>
      </w:pPr>
    </w:p>
    <w:p>
      <w:pPr>
        <w:pStyle w:val="Heading3"/>
        <w:spacing w:line="240" w:lineRule="auto" w:before="35"/>
        <w:ind w:right="-16"/>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3421" w:space="5407"/>
            <w:col w:w="2102"/>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永州市林业局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4,607,880.00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亳州晶科光伏发电有限公司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3,116,497.80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7,724,377.80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5"/>
          <w:szCs w:val="5"/>
        </w:rPr>
      </w:pPr>
    </w:p>
    <w:p>
      <w:pPr>
        <w:pStyle w:val="Heading3"/>
        <w:spacing w:line="240" w:lineRule="auto" w:before="35"/>
        <w:ind w:right="891"/>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97"/>
        <w:gridCol w:w="1812"/>
        <w:gridCol w:w="1800"/>
        <w:gridCol w:w="1800"/>
        <w:gridCol w:w="1620"/>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10,032,364.63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468,746,311.77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467,123,309.32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11,655,367.08</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3,936,969.68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51,961,723.29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52,402,282.40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3,496,410.57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104,419.18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14,621,815.04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14,701,815.04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24,419.18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14,073,753.49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535,329,850.10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534,227,406.76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15,176,196.83</w:t>
            </w:r>
          </w:p>
        </w:tc>
      </w:tr>
    </w:tbl>
    <w:p>
      <w:pPr>
        <w:spacing w:line="240" w:lineRule="auto" w:before="1"/>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97"/>
        <w:gridCol w:w="1812"/>
        <w:gridCol w:w="1732"/>
        <w:gridCol w:w="1800"/>
        <w:gridCol w:w="1688"/>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4,401,893.97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398,975,955.91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397,007,026.05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6,370,823.83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12,665,950.25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12,665,950.25</w:t>
            </w: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1,303,238.85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30,625,999.04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30,641,581.36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1,287,656.53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934,837.92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26,841,472.30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26,684,991.39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1,091,318.83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65,663.95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1,237,750.26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1,215,941.81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87,472.40</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302,736.98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2,546,776.48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2,740,648.16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108,865.30</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2,441,234.45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23,252,912.54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23,607,046.98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2,087,100.01</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1,885,997.36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3,225,494.03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3,201,704.68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1,909,786.71</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10,032,364.63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468,746,311.77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467,123,309.32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11,655,367.08</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3,098,782.36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50,816,914.70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50,584,112.66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3,331,584.40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838,187.32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1,144,808.59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1,818,169.74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164,826.17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3,936,969.68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51,961,723.29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52,402,282.40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3,496,410.57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5"/>
        <w:gridCol w:w="3205"/>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127,657,161.35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100,639,844.43</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33,771,652.51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33,531,974.75</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995,448.80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1,484,778.93</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2,167,160.43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1,691,119.79</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1,581,475.14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1,244,769.85</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546,857.99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525,707.30</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636,779.98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3,830,092.85</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829,453.04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987,671.75</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146,556.81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147,848.74</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168,332,546.05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144,083,808.39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5,642,118.74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2,766,145.70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240,496,542.43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351,160,129.62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276,107,083.30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383,894,697.45</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5,642,118.74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2,766,145.70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5,642,118.74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2,766,145.70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29,968,422.13</w:t>
            </w:r>
          </w:p>
        </w:tc>
      </w:tr>
    </w:tbl>
    <w:p>
      <w:pPr>
        <w:pStyle w:val="BodyText"/>
        <w:spacing w:line="240" w:lineRule="auto" w:before="51"/>
        <w:ind w:right="891"/>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21" w:firstLine="290"/>
        <w:jc w:val="left"/>
      </w:pPr>
      <w:r>
        <w:rPr>
          <w:spacing w:val="-1"/>
        </w:rPr>
        <w:t>其中</w:t>
      </w:r>
      <w:r>
        <w:rPr>
          <w:rFonts w:ascii="Times New Roman" w:hAnsi="Times New Roman" w:cs="Times New Roman" w:eastAsia="Times New Roman" w:hint="default"/>
          <w:spacing w:val="-1"/>
        </w:rPr>
        <w:t>468,422.13</w:t>
      </w:r>
      <w:r>
        <w:rPr>
          <w:spacing w:val="-1"/>
        </w:rPr>
        <w:t>元系股东尚未领取形成；</w:t>
      </w:r>
      <w:r>
        <w:rPr>
          <w:rFonts w:ascii="Times New Roman" w:hAnsi="Times New Roman" w:cs="Times New Roman" w:eastAsia="Times New Roman" w:hint="default"/>
          <w:spacing w:val="-1"/>
        </w:rPr>
        <w:t>29,500,000.00</w:t>
      </w:r>
      <w:r>
        <w:rPr>
          <w:spacing w:val="-1"/>
        </w:rPr>
        <w:t>元系非同一控制下合并北京天时前程自动化工程有限公司分配原股</w:t>
      </w:r>
      <w:r>
        <w:rPr/>
        <w:t> 东股利。</w:t>
      </w:r>
    </w:p>
    <w:p>
      <w:pPr>
        <w:spacing w:line="240" w:lineRule="auto" w:before="6"/>
        <w:rPr>
          <w:rFonts w:ascii="宋体" w:hAnsi="宋体" w:cs="宋体" w:eastAsia="宋体" w:hint="default"/>
          <w:sz w:val="23"/>
          <w:szCs w:val="23"/>
        </w:rPr>
      </w:pPr>
    </w:p>
    <w:p>
      <w:pPr>
        <w:pStyle w:val="Heading3"/>
        <w:spacing w:line="240" w:lineRule="auto"/>
        <w:ind w:right="891"/>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待付款项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68,804,554.81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66,216,330.22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22,325,200.85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34,997,928.79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5,322,134.74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3,899,572.99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117,194,000.00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214,197,000.00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预提费用（包含售后服务费）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26,850,652.03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31,849,297.62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240,496,542.43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351,160,129.62</w:t>
            </w:r>
          </w:p>
        </w:tc>
      </w:tr>
    </w:tbl>
    <w:p>
      <w:pPr>
        <w:pStyle w:val="BodyText"/>
        <w:spacing w:line="240" w:lineRule="auto" w:before="51"/>
        <w:ind w:right="891"/>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韩向明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45,541,182.50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西安盈泰企业管理咨询有限公司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29,667,000.00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席波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24,273,000.00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7,810,284.00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107,291,466.50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99,358,980.51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116,495,726.50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3,890,920.60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2,159,492.08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164,019,901.11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793,655,218.58</w:t>
            </w:r>
          </w:p>
        </w:tc>
      </w:tr>
    </w:tbl>
    <w:p>
      <w:pPr>
        <w:spacing w:line="240" w:lineRule="auto" w:before="13"/>
        <w:rPr>
          <w:rFonts w:ascii="宋体" w:hAnsi="宋体" w:cs="宋体" w:eastAsia="宋体" w:hint="default"/>
          <w:sz w:val="29"/>
          <w:szCs w:val="29"/>
        </w:rPr>
      </w:pPr>
    </w:p>
    <w:tbl>
      <w:tblPr>
        <w:tblW w:w="0" w:type="auto"/>
        <w:jc w:val="left"/>
        <w:tblInd w:w="144" w:type="dxa"/>
        <w:tblLayout w:type="fixed"/>
        <w:tblCellMar>
          <w:top w:w="0" w:type="dxa"/>
          <w:left w:w="0" w:type="dxa"/>
          <w:bottom w:w="0" w:type="dxa"/>
          <w:right w:w="0" w:type="dxa"/>
        </w:tblCellMar>
        <w:tblLook w:val="01E0"/>
      </w:tblPr>
      <w:tblGrid>
        <w:gridCol w:w="6300"/>
        <w:gridCol w:w="1080"/>
        <w:gridCol w:w="1080"/>
        <w:gridCol w:w="1080"/>
      </w:tblGrid>
      <w:tr>
        <w:trPr>
          <w:trHeight w:val="744"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397"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2018.12.31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2017.12.31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2"/>
              <w:ind w:left="79" w:right="5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124,992.00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124,992.00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技术中心项目专项资金</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14,500.00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14,500.00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6300"/>
        <w:gridCol w:w="1080"/>
        <w:gridCol w:w="1080"/>
        <w:gridCol w:w="1080"/>
      </w:tblGrid>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1,035,714.36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1,035,714.36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提高自主创新能力及高新技术产业发展项目专项资金</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214,285.68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214,285.68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20,000.04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20,000.04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44"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2"/>
              <w:ind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年度省协同创新与平台环境建设专项资金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广东智慧城市研究产学研合作项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年市战略性主导产业发展资金拟扶持新业态项目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200,000.04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200,000.04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年天河区配套大数据信息资源库核心技术开发及示范应用</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44"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2"/>
              <w:ind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年企业研发机构建设专项项目（广州市北明智慧城市信息资源集成技术研究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院）</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399,999.96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399,999.96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年度科技计划经费补助（面向移动端的政务协同服务平台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9,999.96</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44"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2"/>
              <w:ind w:left="-1" w:right="1"/>
              <w:jc w:val="left"/>
              <w:rPr>
                <w:rFonts w:ascii="宋体" w:hAnsi="宋体" w:cs="宋体" w:eastAsia="宋体" w:hint="default"/>
                <w:sz w:val="18"/>
                <w:szCs w:val="18"/>
              </w:rPr>
            </w:pPr>
            <w:r>
              <w:rPr>
                <w:rFonts w:ascii="宋体" w:hAnsi="宋体" w:cs="宋体" w:eastAsia="宋体" w:hint="default"/>
                <w:spacing w:val="-3"/>
                <w:sz w:val="18"/>
                <w:szCs w:val="18"/>
              </w:rPr>
              <w:t>天河区</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年度科技计划经费补助（天河区配套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智慧城市跨领域协同的云服务平</w:t>
            </w:r>
            <w:r>
              <w:rPr>
                <w:rFonts w:ascii="宋体" w:hAnsi="宋体" w:cs="宋体" w:eastAsia="宋体" w:hint="default"/>
                <w:spacing w:val="-57"/>
                <w:sz w:val="18"/>
                <w:szCs w:val="18"/>
              </w:rPr>
              <w:t> </w:t>
            </w:r>
            <w:r>
              <w:rPr>
                <w:rFonts w:ascii="宋体" w:hAnsi="宋体" w:cs="宋体" w:eastAsia="宋体" w:hint="default"/>
                <w:sz w:val="18"/>
                <w:szCs w:val="18"/>
              </w:rPr>
              <w:t>台研发及示范应用）</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50,000.04</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年广东省应用型科技研发专项资金（视频大数据云平台研究以及应用）</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399,999.96</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年智慧广州专项资金（智慧城市信息资源统一管理和服务平台）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171,428.52</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年度广东省应用型科技研发专项资金</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500,000.04</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2"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年省级信息产业发展专项资金（电子政务公共服务平台）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600,000.00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33" w:hRule="exact"/>
        </w:trPr>
        <w:tc>
          <w:tcPr>
            <w:tcW w:w="6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3,890,920.60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2,159,492.08</w:t>
            </w:r>
          </w:p>
        </w:tc>
        <w:tc>
          <w:tcPr>
            <w:tcW w:w="108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1,235,770,000.00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1,340,500,000.00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2,502,727.00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668,002,727.00</w:t>
            </w:r>
          </w:p>
        </w:tc>
      </w:tr>
    </w:tbl>
    <w:p>
      <w:pPr>
        <w:pStyle w:val="BodyText"/>
        <w:spacing w:line="360" w:lineRule="auto" w:before="51"/>
        <w:ind w:left="153" w:right="6657"/>
        <w:jc w:val="left"/>
      </w:pPr>
      <w:r>
        <w:rPr/>
        <w:t>长期借款分类的说明： 其他说明，包括利率区间：年利率为</w:t>
      </w:r>
      <w:r>
        <w:rPr>
          <w:spacing w:val="-46"/>
        </w:rPr>
        <w:t> </w:t>
      </w:r>
      <w:r>
        <w:rPr>
          <w:rFonts w:ascii="Times New Roman" w:hAnsi="Times New Roman" w:cs="Times New Roman" w:eastAsia="Times New Roman" w:hint="default"/>
        </w:rPr>
        <w:t>1.80%-5.70%</w:t>
      </w:r>
      <w:r>
        <w:rPr/>
        <w:t>。</w:t>
      </w:r>
    </w:p>
    <w:p>
      <w:pPr>
        <w:spacing w:line="240" w:lineRule="auto" w:before="6"/>
        <w:rPr>
          <w:rFonts w:ascii="宋体" w:hAnsi="宋体" w:cs="宋体" w:eastAsia="宋体" w:hint="default"/>
          <w:sz w:val="13"/>
          <w:szCs w:val="13"/>
        </w:rPr>
      </w:pPr>
    </w:p>
    <w:p>
      <w:pPr>
        <w:pStyle w:val="Heading3"/>
        <w:spacing w:line="240" w:lineRule="auto"/>
        <w:ind w:right="891"/>
        <w:jc w:val="left"/>
        <w:rPr>
          <w:b w:val="0"/>
          <w:bCs w:val="0"/>
        </w:rPr>
      </w:pPr>
      <w:r>
        <w:rPr>
          <w:rFonts w:ascii="Times New Roman" w:hAnsi="Times New Roman" w:cs="Times New Roman" w:eastAsia="Times New Roman" w:hint="default"/>
        </w:rPr>
        <w:t>27</w:t>
      </w:r>
      <w:r>
        <w:rPr/>
        <w:t>、长期应付款</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167,214,716.54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38,433,048.09</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167,214,716.54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38,433,048.09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88"/>
        <w:gridCol w:w="2892"/>
        <w:gridCol w:w="3060"/>
      </w:tblGrid>
      <w:tr>
        <w:trPr>
          <w:trHeight w:val="402" w:hRule="exact"/>
        </w:trPr>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5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中国外贸金融租赁有限公司融资租赁借款</w:t>
            </w:r>
          </w:p>
        </w:tc>
        <w:tc>
          <w:tcPr>
            <w:tcW w:w="289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38,433,048.09</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57,492,877.25</w:t>
            </w:r>
          </w:p>
        </w:tc>
      </w:tr>
      <w:tr>
        <w:trPr>
          <w:trHeight w:val="402" w:hRule="exact"/>
        </w:trPr>
        <w:tc>
          <w:tcPr>
            <w:tcW w:w="35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光大幸福国际融资有限公司融资租赁借款</w:t>
            </w:r>
          </w:p>
        </w:tc>
        <w:tc>
          <w:tcPr>
            <w:tcW w:w="2892" w:type="dxa"/>
            <w:tcBorders>
              <w:top w:val="single" w:sz="4" w:space="0" w:color="000000"/>
              <w:left w:val="single" w:sz="10" w:space="0" w:color="C7EDCC"/>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97,435,897.34</w:t>
            </w:r>
          </w:p>
        </w:tc>
      </w:tr>
      <w:tr>
        <w:trPr>
          <w:trHeight w:val="402" w:hRule="exact"/>
        </w:trPr>
        <w:tc>
          <w:tcPr>
            <w:tcW w:w="35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交银金融租赁有限责任公司</w:t>
            </w:r>
          </w:p>
        </w:tc>
        <w:tc>
          <w:tcPr>
            <w:tcW w:w="289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228,140,648.96</w:t>
            </w:r>
          </w:p>
        </w:tc>
        <w:tc>
          <w:tcPr>
            <w:tcW w:w="30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减：一年内到期部分（附注七、</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289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99,358,980.51</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116,495,726.50</w:t>
            </w:r>
          </w:p>
        </w:tc>
      </w:tr>
      <w:tr>
        <w:trPr>
          <w:trHeight w:val="403" w:hRule="exact"/>
        </w:trPr>
        <w:tc>
          <w:tcPr>
            <w:tcW w:w="35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167,214,716.54</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38,433,048.09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83"/>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262,934,708.45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304,366,560.00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284,269,358.99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283,031,909.46</w:t>
            </w:r>
          </w:p>
        </w:tc>
        <w:tc>
          <w:tcPr>
            <w:tcW w:w="158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262,934,708.45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304,366,560.00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284,269,358.99</w:t>
            </w:r>
          </w:p>
        </w:tc>
        <w:tc>
          <w:tcPr>
            <w:tcW w:w="159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283,031,909.46</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91"/>
        <w:jc w:val="left"/>
      </w:pPr>
      <w:r>
        <w:rPr/>
        <w:t>涉及政府补助的项目：</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1"/>
        <w:gridCol w:w="1076"/>
        <w:gridCol w:w="1063"/>
        <w:gridCol w:w="1063"/>
        <w:gridCol w:w="1063"/>
        <w:gridCol w:w="1063"/>
        <w:gridCol w:w="1063"/>
        <w:gridCol w:w="1062"/>
        <w:gridCol w:w="1063"/>
      </w:tblGrid>
      <w:tr>
        <w:trPr>
          <w:trHeight w:val="1026" w:hRule="exact"/>
        </w:trPr>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高档新型纤 维面料项目 开发补助</w:t>
            </w:r>
          </w:p>
        </w:tc>
        <w:tc>
          <w:tcPr>
            <w:tcW w:w="107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312,592.00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企业搬迁补 助</w:t>
            </w:r>
          </w:p>
        </w:tc>
        <w:tc>
          <w:tcPr>
            <w:tcW w:w="107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180,391,887.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49,963,543.3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29,393,536.3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200,961,894.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企业搬迁补 助</w:t>
            </w:r>
          </w:p>
        </w:tc>
        <w:tc>
          <w:tcPr>
            <w:tcW w:w="1076" w:type="dxa"/>
            <w:tcBorders>
              <w:top w:val="single" w:sz="4" w:space="0" w:color="000000"/>
              <w:left w:val="single" w:sz="13" w:space="0" w:color="C7EDCC"/>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250,036,456.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250,036,456.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院士工作站 项目</w:t>
            </w:r>
          </w:p>
        </w:tc>
        <w:tc>
          <w:tcPr>
            <w:tcW w:w="107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仿麻弹力竹 节布和仿竹 节弹力提花 布的研发项 目</w:t>
            </w:r>
          </w:p>
        </w:tc>
        <w:tc>
          <w:tcPr>
            <w:tcW w:w="107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领军人物项 目</w:t>
            </w:r>
          </w:p>
        </w:tc>
        <w:tc>
          <w:tcPr>
            <w:tcW w:w="107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提高自主创 新能力及高</w:t>
            </w:r>
          </w:p>
        </w:tc>
        <w:tc>
          <w:tcPr>
            <w:tcW w:w="107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1,821,428.76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214,285.68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1,607,143.08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063"/>
        <w:gridCol w:w="1063"/>
        <w:gridCol w:w="1063"/>
        <w:gridCol w:w="1063"/>
        <w:gridCol w:w="1063"/>
        <w:gridCol w:w="1062"/>
        <w:gridCol w:w="1063"/>
      </w:tblGrid>
      <w:tr>
        <w:trPr>
          <w:trHeight w:val="98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新技术产业 发展项目专 项资金</w:t>
            </w:r>
          </w:p>
        </w:tc>
        <w:tc>
          <w:tcPr>
            <w:tcW w:w="1093" w:type="dxa"/>
            <w:tcBorders>
              <w:top w:val="single" w:sz="4" w:space="0" w:color="000000"/>
              <w:left w:val="single" w:sz="13" w:space="0" w:color="C7EDCC"/>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重点产业振 兴和技术改 造项目专项 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8,059,523.36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1,035,714.36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7,023,809.00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利用紧密纺 技术开发复 合纱线项目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高档纱线公 共实验检测 平台</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178,333.13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158,333.09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多组分差别 化纤维面料 研发项目专 项资金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技术中心项 目专项资金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正定纺织工 业园建设资 金补助</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3,866,626.14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3,866,626.14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高档服装面 料工程技术 研究中心经 费</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新型制造生 产线技术改 造项目贴息 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工业企业技 术改造贴息 及补助资金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工业企业技 术改造专项 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业企业技术 改造补助资 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567pt;width:52.75pt;height:46.8pt;mso-position-horizontal-relative:page;mso-position-vertical-relative:page;z-index:-1219816" coordorigin="2202,11340" coordsize="1055,936">
            <v:shape style="position:absolute;left:2202;top:11340;width:1055;height:936" coordorigin="2202,11340" coordsize="1055,936" path="m2202,12276l3257,12276,3257,11340,2202,11340,2202,1227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063"/>
        <w:gridCol w:w="1063"/>
        <w:gridCol w:w="1063"/>
        <w:gridCol w:w="1063"/>
        <w:gridCol w:w="1063"/>
        <w:gridCol w:w="1062"/>
        <w:gridCol w:w="1063"/>
      </w:tblGrid>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业企业技术 改造专项资</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1,184,999.81</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1,184,999.81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宏纺织科技 有限公司纺 织服装综合</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先</w:t>
            </w:r>
          </w:p>
        </w:tc>
        <w:tc>
          <w:tcPr>
            <w:tcW w:w="1093" w:type="dxa"/>
            <w:vMerge w:val="restart"/>
            <w:tcBorders>
              <w:top w:val="single" w:sz="4" w:space="0" w:color="000000"/>
              <w:left w:val="single" w:sz="13" w:space="0" w:color="C7EDCC"/>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进制造业</w:t>
            </w:r>
            <w:r>
              <w:rPr>
                <w:rFonts w:ascii="Times New Roman" w:hAnsi="Times New Roman" w:cs="Times New Roman" w:eastAsia="Times New Roman" w:hint="default"/>
                <w:sz w:val="18"/>
                <w:szCs w:val="18"/>
              </w:rPr>
              <w:t>”</w:t>
            </w:r>
            <w:r>
              <w:rPr>
                <w:rFonts w:ascii="宋体" w:hAnsi="宋体" w:cs="宋体" w:eastAsia="宋体" w:hint="default"/>
                <w:sz w:val="18"/>
                <w:szCs w:val="18"/>
              </w:rPr>
              <w:t>模</w:t>
            </w:r>
          </w:p>
        </w:tc>
        <w:tc>
          <w:tcPr>
            <w:tcW w:w="1093" w:type="dxa"/>
            <w:vMerge/>
            <w:tcBorders>
              <w:left w:val="single" w:sz="13" w:space="0" w:color="C7EDCC"/>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85" w:right="0"/>
              <w:jc w:val="left"/>
              <w:rPr>
                <w:rFonts w:ascii="Times New Roman" w:hAnsi="Times New Roman" w:cs="Times New Roman" w:eastAsia="Times New Roman" w:hint="default"/>
                <w:sz w:val="18"/>
                <w:szCs w:val="18"/>
              </w:rPr>
            </w:pPr>
            <w:r>
              <w:rPr>
                <w:rFonts w:ascii="Times New Roman"/>
                <w:sz w:val="18"/>
              </w:rPr>
              <w:t>1,000,000.00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式应用</w:t>
            </w:r>
          </w:p>
        </w:tc>
        <w:tc>
          <w:tcPr>
            <w:tcW w:w="1093" w:type="dxa"/>
            <w:vMerge/>
            <w:tcBorders>
              <w:left w:val="single" w:sz="13" w:space="0" w:color="C7EDCC"/>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信息产业发</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公共服务平</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前沿与关键</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技术创新专</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5"/>
              <w:jc w:val="left"/>
              <w:rPr>
                <w:rFonts w:ascii="宋体" w:hAnsi="宋体" w:cs="宋体" w:eastAsia="宋体" w:hint="default"/>
                <w:sz w:val="18"/>
                <w:szCs w:val="18"/>
              </w:rPr>
            </w:pPr>
            <w:r>
              <w:rPr>
                <w:rFonts w:ascii="宋体" w:hAnsi="宋体" w:cs="宋体" w:eastAsia="宋体" w:hint="default"/>
                <w:spacing w:val="-13"/>
                <w:sz w:val="18"/>
                <w:szCs w:val="18"/>
              </w:rPr>
              <w:t>项资金（面向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科技创新服</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务的大数据</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技术研发及</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示范应用）</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协同创新与</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平台环境建</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设专项资金</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830,000.00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广东智慧城</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市研究产学</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研合作项目</w:t>
            </w:r>
          </w:p>
        </w:tc>
        <w:tc>
          <w:tcPr>
            <w:tcW w:w="1093" w:type="dxa"/>
            <w:tcBorders>
              <w:top w:val="nil" w:sz="6" w:space="0" w:color="auto"/>
              <w:left w:val="single" w:sz="13" w:space="0" w:color="C7EDCC"/>
              <w:bottom w:val="single" w:sz="4" w:space="0" w:color="000000"/>
              <w:right w:val="single" w:sz="4"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东省应用型 科技研发专</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291,666.69</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500,000.04</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4,208,333.27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略性主导产</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业发展资金</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566,666.58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366,666.54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拟扶持新业</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态项目</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585.900024pt;width:52.75pt;height:39pt;mso-position-horizontal-relative:page;mso-position-vertical-relative:page;z-index:-1219792" coordorigin="2202,11718" coordsize="1055,780">
            <v:shape style="position:absolute;left:2202;top:11718;width:1055;height:780" coordorigin="2202,11718" coordsize="1055,780" path="m2202,12498l3257,12498,3257,11718,2202,11718,2202,1249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063"/>
        <w:gridCol w:w="1063"/>
        <w:gridCol w:w="1063"/>
        <w:gridCol w:w="1063"/>
        <w:gridCol w:w="1063"/>
        <w:gridCol w:w="1062"/>
        <w:gridCol w:w="1063"/>
      </w:tblGrid>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区配套大数</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据信息资源 库核心技术</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开发及示范</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省应用型科</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技研发专项</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74"/>
                <w:sz w:val="18"/>
                <w:szCs w:val="18"/>
              </w:rPr>
              <w:t>金</w:t>
            </w:r>
            <w:r>
              <w:rPr>
                <w:rFonts w:ascii="宋体" w:hAnsi="宋体" w:cs="宋体" w:eastAsia="宋体" w:hint="default"/>
                <w:sz w:val="18"/>
                <w:szCs w:val="18"/>
              </w:rPr>
              <w:t>（视频大</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233,333.31</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399,999.96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3,366,666.73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数据云平台</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研究以及应</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年智慧</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广州专项资</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5"/>
              <w:jc w:val="left"/>
              <w:rPr>
                <w:rFonts w:ascii="宋体" w:hAnsi="宋体" w:cs="宋体" w:eastAsia="宋体" w:hint="default"/>
                <w:sz w:val="18"/>
                <w:szCs w:val="18"/>
              </w:rPr>
            </w:pPr>
            <w:r>
              <w:rPr>
                <w:rFonts w:ascii="宋体" w:hAnsi="宋体" w:cs="宋体" w:eastAsia="宋体" w:hint="default"/>
                <w:spacing w:val="-13"/>
                <w:sz w:val="18"/>
                <w:szCs w:val="18"/>
              </w:rPr>
              <w:t>金（智慧城市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信息资源统</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99,999.97</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171,428.52</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1,228,571.51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一管理和服</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年度科技计</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划经费补助</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（天河区配</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29,166.69</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50,000.04</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420,833.27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跨领域协同</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的云服务平</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台研发及示</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范应用）</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年度科技计</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划经费补助</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（面向移动</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5,833.31</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9,999.96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84,166.73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端的政务协</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同服务平台</w:t>
            </w:r>
          </w:p>
        </w:tc>
        <w:tc>
          <w:tcPr>
            <w:tcW w:w="1093" w:type="dxa"/>
            <w:tcBorders>
              <w:top w:val="nil" w:sz="6" w:space="0" w:color="auto"/>
              <w:left w:val="single" w:sz="13" w:space="0" w:color="C7EDCC"/>
              <w:bottom w:val="single" w:sz="4" w:space="0" w:color="000000"/>
              <w:right w:val="single" w:sz="4"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w:t>
            </w:r>
          </w:p>
        </w:tc>
        <w:tc>
          <w:tcPr>
            <w:tcW w:w="1093" w:type="dxa"/>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省前沿与关</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键技术创新</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专项资</w:t>
            </w:r>
            <w:r>
              <w:rPr>
                <w:rFonts w:ascii="宋体" w:hAnsi="宋体" w:cs="宋体" w:eastAsia="宋体" w:hint="default"/>
                <w:spacing w:val="-74"/>
                <w:sz w:val="18"/>
                <w:szCs w:val="18"/>
              </w:rPr>
              <w:t>金</w:t>
            </w:r>
            <w:r>
              <w:rPr>
                <w:rFonts w:ascii="宋体" w:hAnsi="宋体" w:cs="宋体" w:eastAsia="宋体" w:hint="default"/>
                <w:sz w:val="18"/>
                <w:szCs w:val="18"/>
              </w:rPr>
              <w:t>（省</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重大科技专</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w:t>
            </w:r>
            <w:r>
              <w:rPr>
                <w:rFonts w:ascii="宋体" w:hAnsi="宋体" w:cs="宋体" w:eastAsia="宋体" w:hint="default"/>
                <w:sz w:val="18"/>
                <w:szCs w:val="18"/>
              </w:rPr>
              <w:t>（基于医</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学大数据的</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肿瘤分析系</w:t>
            </w:r>
          </w:p>
        </w:tc>
        <w:tc>
          <w:tcPr>
            <w:tcW w:w="1093" w:type="dxa"/>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统关键技术</w:t>
            </w:r>
          </w:p>
        </w:tc>
        <w:tc>
          <w:tcPr>
            <w:tcW w:w="1093" w:type="dxa"/>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72.480003pt;width:52.75pt;height:17.650pt;mso-position-horizontal-relative:page;mso-position-vertical-relative:page;z-index:-1219768" coordorigin="2202,1450" coordsize="1055,353">
            <v:shape style="position:absolute;left:2202;top:1450;width:1055;height:353" coordorigin="2202,1450" coordsize="1055,353" path="m2202,1802l3257,1802,3257,1450,2202,1450,2202,1802xe" filled="true" fillcolor="#ffffff" stroked="false">
              <v:path arrowok="t"/>
              <v:fill type="solid"/>
            </v:shape>
            <w10:wrap type="none"/>
          </v:group>
        </w:pict>
      </w:r>
      <w:r>
        <w:rPr/>
        <w:pict>
          <v:group style="position:absolute;margin-left:110.099998pt;margin-top:435.700012pt;width:52.75pt;height:46.8pt;mso-position-horizontal-relative:page;mso-position-vertical-relative:page;z-index:-1219744" coordorigin="2202,8714" coordsize="1055,936">
            <v:shape style="position:absolute;left:2202;top:8714;width:1055;height:936" coordorigin="2202,8714" coordsize="1055,936" path="m2202,9650l3257,9650,3257,8714,2202,8714,2202,96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063"/>
        <w:gridCol w:w="1063"/>
        <w:gridCol w:w="1063"/>
        <w:gridCol w:w="1063"/>
        <w:gridCol w:w="1063"/>
        <w:gridCol w:w="1062"/>
        <w:gridCol w:w="1063"/>
      </w:tblGrid>
      <w:tr>
        <w:trPr>
          <w:trHeight w:val="362"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研究及应用</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研发机构建 设专项项目</w:t>
            </w:r>
          </w:p>
          <w:p>
            <w:pPr>
              <w:pStyle w:val="TableParagraph"/>
              <w:spacing w:line="319" w:lineRule="auto" w:before="24"/>
              <w:ind w:left="22" w:right="101"/>
              <w:jc w:val="both"/>
              <w:rPr>
                <w:rFonts w:ascii="宋体" w:hAnsi="宋体" w:cs="宋体" w:eastAsia="宋体" w:hint="default"/>
                <w:sz w:val="18"/>
                <w:szCs w:val="18"/>
              </w:rPr>
            </w:pPr>
            <w:r>
              <w:rPr>
                <w:rFonts w:ascii="宋体" w:hAnsi="宋体" w:cs="宋体" w:eastAsia="宋体" w:hint="default"/>
                <w:sz w:val="18"/>
                <w:szCs w:val="18"/>
              </w:rPr>
              <w:t>（广州市北 明智慧城市 信息资源集 成技术研究 院）</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1,066,666.76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666,666.80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基于云计算 的智慧政务 协同服务及 应用项目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工业和信息 </w:t>
            </w:r>
            <w:r>
              <w:rPr>
                <w:rFonts w:ascii="宋体" w:hAnsi="宋体" w:cs="宋体" w:eastAsia="宋体" w:hint="default"/>
                <w:spacing w:val="-13"/>
                <w:sz w:val="18"/>
                <w:szCs w:val="18"/>
              </w:rPr>
              <w:t>化专项（支持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大数据示范 应用）</w:t>
            </w:r>
          </w:p>
        </w:tc>
        <w:tc>
          <w:tcPr>
            <w:tcW w:w="1093" w:type="dxa"/>
            <w:tcBorders>
              <w:top w:val="single" w:sz="4" w:space="0" w:color="000000"/>
              <w:left w:val="single" w:sz="13" w:space="0" w:color="C7EDCC"/>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 区科技计划 </w:t>
            </w:r>
            <w:r>
              <w:rPr>
                <w:rFonts w:ascii="宋体" w:hAnsi="宋体" w:cs="宋体" w:eastAsia="宋体" w:hint="default"/>
                <w:spacing w:val="-13"/>
                <w:sz w:val="18"/>
                <w:szCs w:val="18"/>
              </w:rPr>
              <w:t>项目（基于神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经网络的海 量文档相似 性分析技术 及示范应用</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面向诉讼全 流程的一体 化便民服务 技术及装备 研究科研项 目</w:t>
            </w:r>
          </w:p>
        </w:tc>
        <w:tc>
          <w:tcPr>
            <w:tcW w:w="1093" w:type="dxa"/>
            <w:tcBorders>
              <w:top w:val="single" w:sz="4" w:space="0" w:color="000000"/>
              <w:left w:val="single" w:sz="13" w:space="0" w:color="C7EDCC"/>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916,560.00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916,560.00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 技型中小企 业技术创新 发展专项扶 </w:t>
            </w:r>
            <w:r>
              <w:rPr>
                <w:rFonts w:ascii="宋体" w:hAnsi="宋体" w:cs="宋体" w:eastAsia="宋体" w:hint="default"/>
                <w:spacing w:val="-13"/>
                <w:sz w:val="18"/>
                <w:szCs w:val="18"/>
              </w:rPr>
              <w:t>持资金（基于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物联网应用 技术的区域 公共卫生信 息平台）</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48,867.00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36,332.01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信息产业发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66,455.38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37,241.24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29,214.14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514.200012pt;width:52.75pt;height:62.4pt;mso-position-horizontal-relative:page;mso-position-vertical-relative:page;z-index:-1219720" coordorigin="2202,10284" coordsize="1055,1248">
            <v:shape style="position:absolute;left:2202;top:10284;width:1055;height:1248" coordorigin="2202,10284" coordsize="1055,1248" path="m2202,11532l3257,11532,3257,10284,2202,10284,2202,11532xe" filled="true" fillcolor="#ffffff" stroked="false">
              <v:path arrowok="t"/>
              <v:fill type="solid"/>
            </v:shape>
            <w10:wrap type="none"/>
          </v:group>
        </w:pict>
      </w:r>
      <w:r>
        <w:rPr/>
        <w:pict>
          <v:group style="position:absolute;margin-left:110.099998pt;margin-top:716.599976pt;width:52.75pt;height:38.1pt;mso-position-horizontal-relative:page;mso-position-vertical-relative:page;z-index:-1219696" coordorigin="2202,14332" coordsize="1055,762">
            <v:shape style="position:absolute;left:2202;top:14332;width:1055;height:762" coordorigin="2202,14332" coordsize="1055,762" path="m2202,15094l3257,15094,3257,14332,2202,14332,2202,1509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64"/>
        <w:gridCol w:w="929"/>
        <w:gridCol w:w="1063"/>
        <w:gridCol w:w="1063"/>
        <w:gridCol w:w="1063"/>
        <w:gridCol w:w="1063"/>
        <w:gridCol w:w="1063"/>
        <w:gridCol w:w="1062"/>
        <w:gridCol w:w="1063"/>
      </w:tblGrid>
      <w:tr>
        <w:trPr>
          <w:trHeight w:val="362"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093" w:type="dxa"/>
            <w:gridSpan w:val="2"/>
            <w:tcBorders>
              <w:top w:val="single" w:sz="4" w:space="0" w:color="000000"/>
              <w:left w:val="single" w:sz="13" w:space="0" w:color="C7EDCC"/>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w:t>
            </w:r>
          </w:p>
        </w:tc>
        <w:tc>
          <w:tcPr>
            <w:tcW w:w="1093" w:type="dxa"/>
            <w:gridSpan w:val="2"/>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第一批科技</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型中小企业</w:t>
            </w:r>
          </w:p>
        </w:tc>
        <w:tc>
          <w:tcPr>
            <w:tcW w:w="1093" w:type="dxa"/>
            <w:gridSpan w:val="2"/>
            <w:tcBorders>
              <w:top w:val="nil" w:sz="6" w:space="0" w:color="auto"/>
              <w:left w:val="single" w:sz="13" w:space="0" w:color="C7EDCC"/>
              <w:bottom w:val="nil" w:sz="6" w:space="0" w:color="auto"/>
              <w:right w:val="single" w:sz="4" w:space="0" w:color="000000"/>
            </w:tcBorders>
          </w:tcPr>
          <w:p>
            <w:pPr>
              <w:pStyle w:val="TableParagraph"/>
              <w:spacing w:line="240" w:lineRule="auto" w:before="51"/>
              <w:ind w:left="327" w:right="0"/>
              <w:jc w:val="left"/>
              <w:rPr>
                <w:rFonts w:ascii="Times New Roman" w:hAnsi="Times New Roman" w:cs="Times New Roman" w:eastAsia="Times New Roman" w:hint="default"/>
                <w:sz w:val="18"/>
                <w:szCs w:val="18"/>
              </w:rPr>
            </w:pPr>
            <w:r>
              <w:rPr>
                <w:rFonts w:ascii="Times New Roman"/>
                <w:sz w:val="18"/>
              </w:rPr>
              <w:t>68,909.67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38,373.08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30,536.59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技术创新基</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93" w:type="dxa"/>
            <w:gridSpan w:val="2"/>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w:t>
            </w:r>
          </w:p>
        </w:tc>
        <w:tc>
          <w:tcPr>
            <w:tcW w:w="1093" w:type="dxa"/>
            <w:gridSpan w:val="2"/>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科技惠民计</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划专项资金</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（以基于大 数据应用技</w:t>
            </w:r>
          </w:p>
        </w:tc>
        <w:tc>
          <w:tcPr>
            <w:tcW w:w="1093" w:type="dxa"/>
            <w:gridSpan w:val="2"/>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143,110.33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37,101.99</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106,008.34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术的居家养</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老信息管理</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平台建设）</w:t>
            </w:r>
          </w:p>
        </w:tc>
        <w:tc>
          <w:tcPr>
            <w:tcW w:w="1093" w:type="dxa"/>
            <w:gridSpan w:val="2"/>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093" w:type="dxa"/>
            <w:gridSpan w:val="2"/>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信息公共服</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务平台和两</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化融合奖励</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74"/>
                <w:sz w:val="18"/>
                <w:szCs w:val="18"/>
              </w:rPr>
              <w:t>金</w:t>
            </w:r>
            <w:r>
              <w:rPr>
                <w:rFonts w:ascii="宋体" w:hAnsi="宋体" w:cs="宋体" w:eastAsia="宋体" w:hint="default"/>
                <w:sz w:val="18"/>
                <w:szCs w:val="18"/>
              </w:rPr>
              <w:t>（基于大</w:t>
            </w:r>
          </w:p>
        </w:tc>
        <w:tc>
          <w:tcPr>
            <w:tcW w:w="1093" w:type="dxa"/>
            <w:gridSpan w:val="2"/>
            <w:tcBorders>
              <w:top w:val="nil" w:sz="6" w:space="0" w:color="auto"/>
              <w:left w:val="single" w:sz="13" w:space="0" w:color="C7EDCC"/>
              <w:bottom w:val="nil" w:sz="6" w:space="0" w:color="auto"/>
              <w:right w:val="single" w:sz="4"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100,064.33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41,967.90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58,096.43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数据应用技</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术的居家养</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老信息管理</w:t>
            </w:r>
          </w:p>
        </w:tc>
        <w:tc>
          <w:tcPr>
            <w:tcW w:w="1093" w:type="dxa"/>
            <w:gridSpan w:val="2"/>
            <w:tcBorders>
              <w:top w:val="nil" w:sz="6" w:space="0" w:color="auto"/>
              <w:left w:val="single" w:sz="13" w:space="0" w:color="C7EDCC"/>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93" w:type="dxa"/>
            <w:gridSpan w:val="2"/>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w:t>
            </w:r>
          </w:p>
        </w:tc>
        <w:tc>
          <w:tcPr>
            <w:tcW w:w="1093" w:type="dxa"/>
            <w:gridSpan w:val="2"/>
            <w:tcBorders>
              <w:top w:val="single" w:sz="4" w:space="0" w:color="000000"/>
              <w:left w:val="single" w:sz="13" w:space="0" w:color="C7EDCC"/>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科技型中小 企业创新发</w:t>
            </w:r>
          </w:p>
        </w:tc>
        <w:tc>
          <w:tcPr>
            <w:tcW w:w="1093" w:type="dxa"/>
            <w:gridSpan w:val="2"/>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27,569.34</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11,407.97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16,161.37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展验收资金</w:t>
            </w:r>
          </w:p>
        </w:tc>
        <w:tc>
          <w:tcPr>
            <w:tcW w:w="1093" w:type="dxa"/>
            <w:gridSpan w:val="2"/>
            <w:tcBorders>
              <w:top w:val="nil" w:sz="6" w:space="0" w:color="auto"/>
              <w:left w:val="single" w:sz="13" w:space="0" w:color="C7EDCC"/>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省科技惠民</w:t>
            </w:r>
          </w:p>
        </w:tc>
        <w:tc>
          <w:tcPr>
            <w:tcW w:w="164" w:type="dxa"/>
            <w:tcBorders>
              <w:top w:val="single" w:sz="4" w:space="0" w:color="000000"/>
              <w:left w:val="single" w:sz="13" w:space="0" w:color="C7EDCC"/>
              <w:bottom w:val="nil" w:sz="6" w:space="0" w:color="auto"/>
              <w:right w:val="nil" w:sz="6" w:space="0" w:color="auto"/>
            </w:tcBorders>
          </w:tcPr>
          <w:p>
            <w:pPr/>
          </w:p>
        </w:tc>
        <w:tc>
          <w:tcPr>
            <w:tcW w:w="929" w:type="dxa"/>
            <w:tcBorders>
              <w:top w:val="single" w:sz="4" w:space="0" w:color="000000"/>
              <w:left w:val="nil" w:sz="6" w:space="0" w:color="auto"/>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专项资</w:t>
            </w:r>
            <w:r>
              <w:rPr>
                <w:rFonts w:ascii="宋体" w:hAnsi="宋体" w:cs="宋体" w:eastAsia="宋体" w:hint="default"/>
                <w:spacing w:val="-74"/>
                <w:sz w:val="18"/>
                <w:szCs w:val="18"/>
              </w:rPr>
              <w:t>金</w:t>
            </w:r>
            <w:r>
              <w:rPr>
                <w:rFonts w:ascii="宋体" w:hAnsi="宋体" w:cs="宋体" w:eastAsia="宋体" w:hint="default"/>
                <w:sz w:val="18"/>
                <w:szCs w:val="18"/>
              </w:rPr>
              <w:t>（以</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64" w:type="dxa"/>
            <w:tcBorders>
              <w:top w:val="nil" w:sz="6" w:space="0" w:color="auto"/>
              <w:left w:val="single" w:sz="13" w:space="0" w:color="C7EDCC"/>
              <w:bottom w:val="nil" w:sz="6" w:space="0" w:color="auto"/>
              <w:right w:val="nil" w:sz="6" w:space="0" w:color="auto"/>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云技术等为</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支撑的居家</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76,460.30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20,855.81</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55,604.49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养老智慧社</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区建设科技</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惠民示范工</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64" w:type="dxa"/>
            <w:tcBorders>
              <w:top w:val="nil" w:sz="6" w:space="0" w:color="auto"/>
              <w:left w:val="single" w:sz="13" w:space="0" w:color="C7EDCC"/>
              <w:bottom w:val="single" w:sz="4" w:space="0" w:color="000000"/>
              <w:right w:val="nil" w:sz="6" w:space="0" w:color="auto"/>
            </w:tcBorders>
          </w:tcPr>
          <w:p>
            <w:pPr/>
          </w:p>
        </w:tc>
        <w:tc>
          <w:tcPr>
            <w:tcW w:w="929" w:type="dxa"/>
            <w:tcBorders>
              <w:top w:val="nil" w:sz="6" w:space="0" w:color="auto"/>
              <w:left w:val="nil" w:sz="6" w:space="0" w:color="auto"/>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w:t>
            </w:r>
          </w:p>
        </w:tc>
        <w:tc>
          <w:tcPr>
            <w:tcW w:w="164" w:type="dxa"/>
            <w:tcBorders>
              <w:top w:val="single" w:sz="4" w:space="0" w:color="000000"/>
              <w:left w:val="single" w:sz="13" w:space="0" w:color="C7EDCC"/>
              <w:bottom w:val="nil" w:sz="6" w:space="0" w:color="auto"/>
              <w:right w:val="nil" w:sz="6" w:space="0" w:color="auto"/>
            </w:tcBorders>
          </w:tcPr>
          <w:p>
            <w:pPr/>
          </w:p>
        </w:tc>
        <w:tc>
          <w:tcPr>
            <w:tcW w:w="929" w:type="dxa"/>
            <w:tcBorders>
              <w:top w:val="single" w:sz="4" w:space="0" w:color="000000"/>
              <w:left w:val="nil" w:sz="6" w:space="0" w:color="auto"/>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中小企业创</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业补助资金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（基于</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64,548.28</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15,165.36</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49,382.92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宋体" w:hAnsi="宋体" w:cs="宋体" w:eastAsia="宋体" w:hint="default"/>
                <w:sz w:val="18"/>
                <w:szCs w:val="18"/>
              </w:rPr>
              <w:t>（云计</w:t>
            </w:r>
          </w:p>
        </w:tc>
        <w:tc>
          <w:tcPr>
            <w:tcW w:w="164" w:type="dxa"/>
            <w:tcBorders>
              <w:top w:val="nil" w:sz="6" w:space="0" w:color="auto"/>
              <w:left w:val="single" w:sz="13" w:space="0" w:color="C7EDCC"/>
              <w:bottom w:val="nil" w:sz="6" w:space="0" w:color="auto"/>
              <w:right w:val="nil" w:sz="6" w:space="0" w:color="auto"/>
            </w:tcBorders>
          </w:tcPr>
          <w:p>
            <w:pPr/>
          </w:p>
        </w:tc>
        <w:tc>
          <w:tcPr>
            <w:tcW w:w="929" w:type="dxa"/>
            <w:tcBorders>
              <w:top w:val="nil" w:sz="6" w:space="0" w:color="auto"/>
              <w:left w:val="nil" w:sz="6" w:space="0" w:color="auto"/>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算应用技术</w:t>
            </w:r>
          </w:p>
        </w:tc>
        <w:tc>
          <w:tcPr>
            <w:tcW w:w="164" w:type="dxa"/>
            <w:tcBorders>
              <w:top w:val="nil" w:sz="6" w:space="0" w:color="auto"/>
              <w:left w:val="single" w:sz="13" w:space="0" w:color="C7EDCC"/>
              <w:bottom w:val="single" w:sz="4" w:space="0" w:color="000000"/>
              <w:right w:val="nil" w:sz="6" w:space="0" w:color="auto"/>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29" w:type="dxa"/>
            <w:tcBorders>
              <w:top w:val="nil" w:sz="6" w:space="0" w:color="auto"/>
              <w:left w:val="nil" w:sz="6" w:space="0" w:color="auto"/>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298" w:hRule="exact"/>
        </w:trPr>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运营模式的 数字民政综 合管理信息 平台）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262,934,708.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304,366,560.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282,537,930.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1,731,428.52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283,031,909.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6"/>
          <w:szCs w:val="16"/>
        </w:rPr>
      </w:pPr>
    </w:p>
    <w:p>
      <w:pPr>
        <w:pStyle w:val="Heading3"/>
        <w:spacing w:line="240" w:lineRule="auto" w:before="35"/>
        <w:ind w:right="891"/>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9"/>
        <w:gridCol w:w="1439"/>
        <w:gridCol w:w="1196"/>
        <w:gridCol w:w="1144"/>
        <w:gridCol w:w="1196"/>
        <w:gridCol w:w="1196"/>
        <w:gridCol w:w="1016"/>
        <w:gridCol w:w="1452"/>
      </w:tblGrid>
      <w:tr>
        <w:trPr>
          <w:trHeight w:val="200" w:hRule="exact"/>
        </w:trPr>
        <w:tc>
          <w:tcPr>
            <w:tcW w:w="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9"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2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889" w:type="dxa"/>
            <w:vMerge w:val="restart"/>
            <w:tcBorders>
              <w:top w:val="nil" w:sz="6" w:space="0" w:color="auto"/>
              <w:left w:val="single" w:sz="4" w:space="0" w:color="000000"/>
              <w:right w:val="single" w:sz="4" w:space="0" w:color="000000"/>
            </w:tcBorders>
            <w:shd w:val="clear" w:color="auto" w:fill="D3D3D3"/>
          </w:tcPr>
          <w:p>
            <w:pPr/>
          </w:p>
        </w:tc>
        <w:tc>
          <w:tcPr>
            <w:tcW w:w="14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49" w:type="dxa"/>
            <w:gridSpan w:val="5"/>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1439"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44"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016"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1,652,874,961.00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1,652,874,961.00</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2,771,664,802.01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2,771,664,802.01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125,425,565.85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125,425,565.85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2,897,090,367.86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2,897,090,367.86</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r>
    </w:tbl>
    <w:p>
      <w:pPr>
        <w:pStyle w:val="BodyText"/>
        <w:spacing w:line="357" w:lineRule="auto" w:before="51"/>
        <w:ind w:left="444" w:right="1120" w:hanging="291"/>
        <w:jc w:val="left"/>
      </w:pPr>
      <w:r>
        <w:rPr/>
        <w:t>其他说明，包括本期增减变动情况、变动原因说明： 石家庄常山北明科技股份有限公司（以下简称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日召开董事会七届三次会议审议通过了《关于以</w:t>
      </w:r>
    </w:p>
    <w:p>
      <w:pPr>
        <w:pStyle w:val="BodyText"/>
        <w:spacing w:line="201" w:lineRule="exact"/>
        <w:ind w:left="153" w:right="891"/>
        <w:jc w:val="left"/>
      </w:pPr>
      <w:r>
        <w:rPr/>
        <w:t>集中竞价交易方式回购公司股份的议案》和《关于提请股东大会授权董事会全权办理本次回购股份工作相关事宜的议案》，</w:t>
      </w:r>
    </w:p>
    <w:p>
      <w:pPr>
        <w:pStyle w:val="BodyText"/>
        <w:spacing w:line="240" w:lineRule="auto" w:before="76"/>
        <w:ind w:left="153" w:right="89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2018</w:t>
      </w:r>
      <w:r>
        <w:rPr/>
        <w:t>年度第</w:t>
      </w:r>
      <w:r>
        <w:rPr>
          <w:rFonts w:ascii="Times New Roman" w:hAnsi="Times New Roman" w:cs="Times New Roman" w:eastAsia="Times New Roman" w:hint="default"/>
        </w:rPr>
        <w:t>4</w:t>
      </w:r>
      <w:r>
        <w:rPr/>
        <w:t>次临时股东大会审议通过了上述议案。截止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日，公司累计回购股份</w:t>
      </w:r>
    </w:p>
    <w:p>
      <w:pPr>
        <w:pStyle w:val="BodyText"/>
        <w:spacing w:line="240" w:lineRule="auto" w:before="63"/>
        <w:ind w:left="153" w:right="891"/>
        <w:jc w:val="left"/>
      </w:pPr>
      <w:r>
        <w:rPr>
          <w:rFonts w:ascii="Times New Roman" w:hAnsi="Times New Roman" w:cs="Times New Roman" w:eastAsia="Times New Roman" w:hint="default"/>
        </w:rPr>
        <w:t>5,256,700</w:t>
      </w:r>
      <w:r>
        <w:rPr/>
        <w:t>股，占公司总股本</w:t>
      </w:r>
      <w:r>
        <w:rPr>
          <w:rFonts w:ascii="Times New Roman" w:hAnsi="Times New Roman" w:cs="Times New Roman" w:eastAsia="Times New Roman" w:hint="default"/>
        </w:rPr>
        <w:t>0.32%</w:t>
      </w:r>
      <w:r>
        <w:rPr/>
        <w:t>，支付的总金额</w:t>
      </w:r>
      <w:r>
        <w:rPr>
          <w:rFonts w:ascii="Times New Roman" w:hAnsi="Times New Roman" w:cs="Times New Roman" w:eastAsia="Times New Roman" w:hint="default"/>
        </w:rPr>
        <w:t>26,954,164.03</w:t>
      </w:r>
      <w:r>
        <w:rPr/>
        <w:t>元。</w:t>
      </w:r>
    </w:p>
    <w:p>
      <w:pPr>
        <w:spacing w:line="240" w:lineRule="auto" w:before="3"/>
        <w:rPr>
          <w:rFonts w:ascii="宋体" w:hAnsi="宋体" w:cs="宋体" w:eastAsia="宋体" w:hint="default"/>
          <w:sz w:val="21"/>
          <w:szCs w:val="21"/>
        </w:rPr>
      </w:pPr>
    </w:p>
    <w:p>
      <w:pPr>
        <w:pStyle w:val="Heading3"/>
        <w:spacing w:line="240" w:lineRule="auto"/>
        <w:ind w:right="891"/>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172,944,212.55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7,710,171.56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180,654,384.11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62,346,469.74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3,855,085.78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66,201,555.52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235,290,682.29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11,565,257.34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246,855,939.63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4781"/>
        <w:jc w:val="left"/>
      </w:pPr>
      <w:r>
        <w:rPr/>
        <w:t>盈余公积说明，包括本期增减变动情况、变动原因说明： 公司按净利润的</w:t>
      </w:r>
      <w:r>
        <w:rPr>
          <w:rFonts w:ascii="Times New Roman" w:hAnsi="Times New Roman" w:cs="Times New Roman" w:eastAsia="Times New Roman" w:hint="default"/>
        </w:rPr>
        <w:t>10%</w:t>
      </w:r>
      <w:r>
        <w:rPr/>
        <w:t>计提法定盈余公积，按净利润的</w:t>
      </w:r>
      <w:r>
        <w:rPr>
          <w:rFonts w:ascii="Times New Roman" w:hAnsi="Times New Roman" w:cs="Times New Roman" w:eastAsia="Times New Roman" w:hint="default"/>
        </w:rPr>
        <w:t>5%</w:t>
      </w:r>
      <w:r>
        <w:rPr/>
        <w:t>计提任意盈余公积。</w:t>
      </w:r>
    </w:p>
    <w:p>
      <w:pPr>
        <w:spacing w:line="240" w:lineRule="auto" w:before="4"/>
        <w:rPr>
          <w:rFonts w:ascii="宋体" w:hAnsi="宋体" w:cs="宋体" w:eastAsia="宋体" w:hint="default"/>
          <w:sz w:val="18"/>
          <w:szCs w:val="18"/>
        </w:rPr>
      </w:pPr>
    </w:p>
    <w:p>
      <w:pPr>
        <w:pStyle w:val="Heading3"/>
        <w:spacing w:line="240" w:lineRule="auto"/>
        <w:ind w:right="891"/>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6"/>
        <w:gridCol w:w="2918"/>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1,222,830,477.61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954,348,850.74</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1,222,830,477.61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954,348,850.74</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185,972,590.91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355,095,034.93</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7,710,171.56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6,884,580.92</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3,855,085.78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3,442,290.46</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82,643,748.05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76,286,536.68</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1,314,594,063.13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1,222,830,477.61</w:t>
            </w:r>
          </w:p>
        </w:tc>
      </w:tr>
    </w:tbl>
    <w:p>
      <w:pPr>
        <w:pStyle w:val="BodyText"/>
        <w:spacing w:line="240" w:lineRule="auto" w:before="52"/>
        <w:ind w:right="891"/>
        <w:jc w:val="left"/>
      </w:pPr>
      <w:r>
        <w:rPr/>
        <w:t>调整期初未分配利润明细：</w:t>
      </w:r>
    </w:p>
    <w:p>
      <w:pPr>
        <w:pStyle w:val="BodyText"/>
        <w:spacing w:line="240" w:lineRule="auto" w:before="117"/>
        <w:ind w:left="153" w:right="891"/>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891"/>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891"/>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891"/>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891"/>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02"/>
        <w:gridCol w:w="1926"/>
        <w:gridCol w:w="1902"/>
      </w:tblGrid>
      <w:tr>
        <w:trPr>
          <w:trHeight w:val="201"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02" w:type="dxa"/>
            <w:vMerge/>
            <w:tcBorders>
              <w:left w:val="single" w:sz="4" w:space="0" w:color="000000"/>
              <w:bottom w:val="single" w:sz="4" w:space="0" w:color="000000"/>
              <w:right w:val="single" w:sz="4" w:space="0" w:color="000000"/>
            </w:tcBorders>
            <w:shd w:val="clear" w:color="auto" w:fill="D3D3D3"/>
          </w:tcPr>
          <w:p>
            <w:pPr/>
          </w:p>
        </w:tc>
        <w:tc>
          <w:tcPr>
            <w:tcW w:w="1926" w:type="dxa"/>
            <w:vMerge/>
            <w:tcBorders>
              <w:left w:val="single" w:sz="4" w:space="0" w:color="000000"/>
              <w:bottom w:val="single" w:sz="4" w:space="0" w:color="000000"/>
              <w:right w:val="single" w:sz="4" w:space="0" w:color="000000"/>
            </w:tcBorders>
            <w:shd w:val="clear" w:color="auto" w:fill="D3D3D3"/>
          </w:tcPr>
          <w:p>
            <w:pPr/>
          </w:p>
        </w:tc>
        <w:tc>
          <w:tcPr>
            <w:tcW w:w="190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9,546,043,182.45</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8,701,640,005.96</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11,172,838,886.98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10,395,607,195.52</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110,065,972.82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62,512,033.45</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81,628,797.81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42,284,342.85</w:t>
            </w: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9,656,109,155.27</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8,764,152,039.41</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11,254,467,684.79</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10,437,891,538.37</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35</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7,395,067.12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5,953,609.46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5,548,627.34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4,518,602.63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14,699,381.60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12,554,958.16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22,746,636.78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22,346,668.21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42,198.70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44,406.03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5,965,929.30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4,816,785.94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462,756.80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1,261,850.20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55,529.80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23,191.21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56,916,127.44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51,520,071.84</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28,312,512.53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25,537,046.91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72,610,340.78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63,336,036.55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26,868,395.96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17,446,503.06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24,282,868.29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22,037,039.64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14,772,793.42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15,350,667.71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792,927.73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1,389,722.42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789,302.72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843,661.17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20,037,859.18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24,597,940.73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18,478,627.28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19,312,781.31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1,411,595.37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852,904.79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2,736,786.13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1,420,797.63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880,295.88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1,717,757.68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7,925,228.06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8,151,917.04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2,706,409.70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5,620,864.44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2,750,638.25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2,776,303.68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2,548,370.03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1,637,531.19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227,904,951.31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212,029,475.95</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124,933,280.44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145,281,550.96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1,191,747.83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977,578.12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52,249,297.44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37,219,825.66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1,353,046.01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1,587,411.49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8,709,991.35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8,812,320.40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5,003,136.75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5,498,481.70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2,190,270.72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1,884,655.53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20,566,268.68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14,415,608.45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28,388,893.53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20,981,909.01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3,478,663.26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11,295,431.33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431,092.41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658,785.16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496,195.76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898,303.23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13,932,106.31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15,685,495.04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21,402,736.06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6,511,012.16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4,873,325.70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1,865,857.93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3,597,454.09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2,449,190.85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292,797,506.34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276,023,417.02</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38</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35,285,713.64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37,540,784.21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3,592,592.09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5,280,815.17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66,054.56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156,605.46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3,312,925.79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9,092,357.69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529,609.89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3,311,918.32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997,984.06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533,991.08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1,085,056.23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房屋租金及物业费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2,721,301.10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4,436,557.75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385,623.00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46,048,176.15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62,287,701.89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211,564,568.56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193,780,731.44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7,099,070.57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6,434,241.55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192,959.28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150,909.35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749,069.40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5,088,581.73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47,907,617.61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34,220,394.63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8,908,169.65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4,877,194.88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260,725,175.13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221,506,407.02</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51,742,878.61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34,405,910.27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6,047,653.16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174,126,460.36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197,245.07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262,478.62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8,801,143.75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43,862,232.55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21,499,120.15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22,082,002.41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88,288,040.74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274,739,084.21</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41</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00"/>
        <w:gridCol w:w="1620"/>
        <w:gridCol w:w="1620"/>
      </w:tblGrid>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29,393,536.38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124,992.00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124,992.00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提高自主创新能力及高新技术产业发展项目专项资金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214,285.68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214,285.66</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1,035,714.36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1,035,714.38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20,000.04</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年度省协同创新与平台环境建设专项资金（广东智慧城市研究院产学研合 作项目）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年市战略性主导产业发展资金拟扶持新业态项目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233,333.38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年天河区配套大数据信息资源库核心技术开发及示范应用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年企业研发机构建设专项项目（广州市北明智慧城市信息资源集成技术研 究院）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399,999.96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533,333.28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年省级信息产业发展专项资金（电子政务公共服务云平台）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年度科技计划经费补助（天河区配套</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智慧城市跨领域协同的云服务 平台研发及示范应用）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29,166.69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年广东省应用型科技研发专项资金（视频大数据云平台研究以及应用）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233,333.31</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00"/>
        <w:gridCol w:w="1620"/>
        <w:gridCol w:w="1620"/>
      </w:tblGrid>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年智慧广州专项资金（智慧城市信息资源统一管理和服务平台）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99,999.97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年度科技计划经费补助（面向移动端的政务协同服务平台）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5,833.31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长安区政府关闭深水井补贴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年度市级专利专项实施资金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专利奖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年中央外经贸发展专项资金（</w:t>
            </w:r>
            <w:r>
              <w:rPr>
                <w:rFonts w:ascii="Times New Roman" w:hAnsi="Times New Roman" w:cs="Times New Roman" w:eastAsia="Times New Roman" w:hint="default"/>
                <w:sz w:val="18"/>
                <w:szCs w:val="18"/>
              </w:rPr>
              <w:t>oeko-tex standrad</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认证）</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250,036,456.68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602,102,453.29</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出口信保补贴资金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384,300.00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409,000.00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月市级出口信用保险补贴资金</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年专利补助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收高新区科技局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年度专利申请资助资金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新疆运费补贴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收石家庄市长安区人民政府办公室补偿金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247,453.00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年房产税、土地税减免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549,517.12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年房产税、土地税减免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568,294.08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年度专利申请资助资金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提升国际化经营能力项目补贴款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石家庄市长安区财政集中支付中心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年专利资助资金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3,363,960.00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年中央外经贸发展专项资金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香洲区科工信局拨付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省科技惠民专项资金（以移动互联网、云技术等为支撑的居家养老智慧社区建设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科技惠民示范工程）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20,855.81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21,003.26</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广州市天河区财政局企业研发后补助专项经费</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年广州市企业研发经费后补助专项项目</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631,200.00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年广州市企业研发经费后补助专项项目</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年市级中小企业创业补助资金（基于</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SAAS</w:t>
            </w:r>
            <w:r>
              <w:rPr>
                <w:rFonts w:ascii="宋体" w:hAnsi="宋体" w:cs="宋体" w:eastAsia="宋体" w:hint="default"/>
                <w:spacing w:val="-3"/>
                <w:sz w:val="18"/>
                <w:szCs w:val="18"/>
              </w:rPr>
              <w:t>（云计算应用技术）运营模式的</w:t>
            </w:r>
            <w:r>
              <w:rPr>
                <w:rFonts w:ascii="宋体" w:hAnsi="宋体" w:cs="宋体" w:eastAsia="宋体" w:hint="default"/>
                <w:sz w:val="18"/>
                <w:szCs w:val="18"/>
              </w:rPr>
              <w:t> 数字民政综合管理信息平台）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15,165.36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14,822.03</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年市级科技型中小企业创新发展验收资金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11,407.97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10,724.37</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年省级信息公共服务平台和两化融合奖励资金（基于大数据应用技术的居 家养老信息管理平台）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41,967.90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45,358.68</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临沂市科技惠民计划专项资金（以基于大数据应用技术的居家养老信息管 理平台建设）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37,101.99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32,822.58</w:t>
            </w:r>
          </w:p>
        </w:tc>
      </w:tr>
      <w:tr>
        <w:trPr>
          <w:trHeight w:val="41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年市级信息产业发展专项资金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37,241.24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41,366.82</w:t>
            </w:r>
          </w:p>
        </w:tc>
      </w:tr>
      <w:tr>
        <w:trPr>
          <w:trHeight w:val="382" w:hRule="exact"/>
        </w:trPr>
        <w:tc>
          <w:tcPr>
            <w:tcW w:w="63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年省科技型中小企业技术创新发展专项扶持资金（基于物联网应用技术的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z w:val="18"/>
              </w:rPr>
              <w:t>36,332.01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z w:val="18"/>
              </w:rPr>
              <w:t>41,154.98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289"/>
        <w:gridCol w:w="1620"/>
        <w:gridCol w:w="1620"/>
      </w:tblGrid>
      <w:tr>
        <w:trPr>
          <w:trHeight w:val="36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区域公共卫生信息平台）</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年国家第一批科技型中小企业技术创新基金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38,373.08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42,603.28</w:t>
            </w: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6,870,384.53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7,555,822.79</w:t>
            </w: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年度广东省应用型科技研发专项资金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291,666.69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年一季度规模以上软件企业营收增长支持专项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已整改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年科技创新政策支持产业发展专项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年市企业创新能力建设计划企业研发后补助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674,000.00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年规模以上软件企业营收增长支持专项</w:t>
            </w:r>
            <w:r>
              <w:rPr>
                <w:rFonts w:ascii="Times New Roman" w:hAnsi="Times New Roman" w:cs="Times New Roman" w:eastAsia="Times New Roman" w:hint="default"/>
                <w:sz w:val="18"/>
                <w:szCs w:val="18"/>
              </w:rPr>
              <w:t>(</w:t>
            </w:r>
            <w:r>
              <w:rPr>
                <w:rFonts w:ascii="宋体" w:hAnsi="宋体" w:cs="宋体" w:eastAsia="宋体" w:hint="default"/>
                <w:sz w:val="18"/>
                <w:szCs w:val="18"/>
              </w:rPr>
              <w:t>三季度</w:t>
            </w:r>
            <w:r>
              <w:rPr>
                <w:rFonts w:ascii="Times New Roman" w:hAnsi="Times New Roman" w:cs="Times New Roman" w:eastAsia="Times New Roman"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17,588.80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香洲区科工信局拨珠海市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年通过认定的高新技术产品补助资金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年广州市商务发展专项资金服务贸易和服务外包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年天河区支持高端服务业发展专项支持资金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投入支持专项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212,100.00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39,764.00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298,754,692.00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613,742,690.82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91"/>
        <w:jc w:val="left"/>
        <w:rPr>
          <w:b w:val="0"/>
          <w:bCs w:val="0"/>
        </w:rPr>
      </w:pP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-8,806.14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-801,983.95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-387,519.73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2,035,068.80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4,124,352.15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13,876,459.11</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2,026,262.66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16,811,307.58</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43</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-4,186,397.14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-24,159,652.59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-4,186,397.14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-24,159,652.59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41" w:top="1060" w:bottom="1140" w:left="980" w:right="0"/>
        </w:sectPr>
      </w:pPr>
    </w:p>
    <w:p>
      <w:pPr>
        <w:spacing w:line="240" w:lineRule="auto" w:before="7"/>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2,213,171.00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2,213,171.00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21,995,681.69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无需支付的股权转让款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61,005,100.00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61,005,100.00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410,667.32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378,533.32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410,667.32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63,628,938.32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23,984,615.01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63,628,938.32</w:t>
            </w:r>
          </w:p>
        </w:tc>
      </w:tr>
    </w:tbl>
    <w:p>
      <w:pPr>
        <w:pStyle w:val="BodyText"/>
        <w:spacing w:line="240" w:lineRule="auto" w:before="51"/>
        <w:ind w:right="891"/>
        <w:jc w:val="left"/>
      </w:pPr>
      <w:r>
        <w:rPr/>
        <w:t>计入当期损益的政府补助：</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0"/>
        <w:gridCol w:w="1260"/>
        <w:gridCol w:w="557"/>
        <w:gridCol w:w="1800"/>
        <w:gridCol w:w="883"/>
        <w:gridCol w:w="623"/>
        <w:gridCol w:w="1177"/>
        <w:gridCol w:w="1063"/>
        <w:gridCol w:w="1063"/>
      </w:tblGrid>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5"/>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香洲区科工信 局拨付香洲区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年高企认 定资助经费</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香洲区财政局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香洲区工信局 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高新技术企业 培育补助资金</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香洲区财政局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广州市知识产 权局专利资助</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广州市财政局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广州市商务委 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2016-2017</w:t>
            </w: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年度总部企业 办公用房补贴</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广州市财政局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84,900.00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高新认定补助</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武汉市东湖新 技术开发区财 政局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服务外包奖励</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广州天河软件 管理委员会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 术成果转化项 目</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北京科学技术 委员会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安全生产三级 证书政府补助</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北京市海淀区 人民政府办公 室</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260"/>
        <w:gridCol w:w="557"/>
        <w:gridCol w:w="1800"/>
        <w:gridCol w:w="883"/>
        <w:gridCol w:w="623"/>
        <w:gridCol w:w="1177"/>
        <w:gridCol w:w="1063"/>
        <w:gridCol w:w="1063"/>
      </w:tblGrid>
      <w:tr>
        <w:trPr>
          <w:trHeight w:val="36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新兴产业和创 新创业相关政 策奖励补贴</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武汉市东湖新 技术开发区财 政局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资质奖 励</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天河科技园管 委会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软件著作权资 质奖励</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天河科技园管 委会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天河科技园管 委会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 技术企业认定 奖补项目拟立 项</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5"/>
              <w:jc w:val="left"/>
              <w:rPr>
                <w:rFonts w:ascii="宋体" w:hAnsi="宋体" w:cs="宋体" w:eastAsia="宋体" w:hint="default"/>
                <w:sz w:val="18"/>
                <w:szCs w:val="18"/>
              </w:rPr>
            </w:pPr>
            <w:r>
              <w:rPr>
                <w:rFonts w:ascii="宋体" w:hAnsi="宋体" w:cs="宋体" w:eastAsia="宋体" w:hint="default"/>
                <w:sz w:val="18"/>
                <w:szCs w:val="18"/>
              </w:rPr>
              <w:t>广州市科技创 新委员会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6"/>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服务外包奖励</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天河科技园管 委会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因研究开发、技术更新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及改造等获得的补助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64,171.00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2,213,171.00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1,610,400.00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91"/>
        <w:jc w:val="left"/>
      </w:pPr>
      <w:r>
        <w:rPr/>
        <w:t>其他说明：</w:t>
      </w:r>
    </w:p>
    <w:p>
      <w:pPr>
        <w:pStyle w:val="BodyText"/>
        <w:spacing w:line="300" w:lineRule="auto" w:before="116"/>
        <w:ind w:right="1108" w:firstLine="300"/>
        <w:jc w:val="both"/>
      </w:pPr>
      <w:r>
        <w:rPr/>
        <w:t>无需支付的股权转让款为索科维尔在</w:t>
      </w:r>
      <w:r>
        <w:rPr>
          <w:rFonts w:ascii="Times New Roman" w:hAnsi="Times New Roman" w:cs="Times New Roman" w:eastAsia="Times New Roman" w:hint="default"/>
        </w:rPr>
        <w:t>2018</w:t>
      </w:r>
      <w:r>
        <w:rPr/>
        <w:t>年业绩承诺期满时，未能完成其累计业绩承诺，根据北明软件与田华、张艳、 </w:t>
      </w:r>
      <w:r>
        <w:rPr>
          <w:spacing w:val="-3"/>
        </w:rPr>
        <w:t>及王国军签订的《关于索科维尔（北京）软件系统有限公司之股权转让协议》相关条款计算确定的最终股权转让款为</w:t>
      </w:r>
      <w:r>
        <w:rPr>
          <w:rFonts w:ascii="Times New Roman" w:hAnsi="Times New Roman" w:cs="Times New Roman" w:eastAsia="Times New Roman" w:hint="default"/>
          <w:spacing w:val="-3"/>
        </w:rPr>
        <w:t>5,748.49</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万元，与初始股权转让价格的差额为</w:t>
      </w:r>
      <w:r>
        <w:rPr>
          <w:rFonts w:ascii="Times New Roman" w:hAnsi="Times New Roman" w:cs="Times New Roman" w:eastAsia="Times New Roman" w:hint="default"/>
        </w:rPr>
        <w:t>6,100.51</w:t>
      </w:r>
      <w:r>
        <w:rPr/>
        <w:t>万元。</w:t>
      </w:r>
    </w:p>
    <w:p>
      <w:pPr>
        <w:spacing w:line="240" w:lineRule="auto" w:before="1"/>
        <w:rPr>
          <w:rFonts w:ascii="宋体" w:hAnsi="宋体" w:cs="宋体" w:eastAsia="宋体" w:hint="default"/>
          <w:sz w:val="22"/>
          <w:szCs w:val="22"/>
        </w:rPr>
      </w:pPr>
    </w:p>
    <w:p>
      <w:pPr>
        <w:pStyle w:val="Heading3"/>
        <w:spacing w:line="240" w:lineRule="auto"/>
        <w:ind w:right="891"/>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0"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27,808.80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46,131.28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27,808.80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1,893,720.69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1,893,720.69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393,938.21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778,937.63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393,938.21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4,108,267.70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1,375,068.91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4,108,267.70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38,512,467.86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34,939,318.02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53,944,048.05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-42,503,316.06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92,456,515.91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-7,563,998.04</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737"/>
        <w:gridCol w:w="3792"/>
      </w:tblGrid>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275,392,366.89</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68,848,091.72</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-38,375,817.10</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209,928.38</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-4,512,790.61</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67,049,328.75</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-3,119,675.73</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7,003,463.40</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-3,111,277.05</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-1,534,735.85</w:t>
            </w:r>
          </w:p>
        </w:tc>
      </w:tr>
      <w:tr>
        <w:trPr>
          <w:trHeight w:val="403"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92,456,515.91</w:t>
            </w:r>
          </w:p>
        </w:tc>
      </w:tr>
    </w:tbl>
    <w:p>
      <w:pPr>
        <w:spacing w:line="240" w:lineRule="auto" w:before="3"/>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7,099,070.57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6,434,241.55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314,795,636.66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519,507,323.00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往来及备用金收回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496,603.09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收到赔偿款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21,995,681.69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收回押金及保证金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16,137,170.05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397,621.09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477,577.39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322,788,931.41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564,551,993.68</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19,775,930.17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20,849,149.41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35,578,387.31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26,644,446.46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55,984,687.61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48,078,540.79</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48,878,781.21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43,985,420.91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1,191,747.83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1,134,183.58</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789,302.72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843,661.17</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7,925,228.06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8,151,917.04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26,830,446.86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15,781,876.60</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27,867,250.07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3,844,972.74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3,478,663.26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11,295,431.33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32,416,721.59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39,308,178.73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5,708,169.65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4,877,194.88</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12,259,015.83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10,228,475.52</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278,684,332.17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235,023,449.16</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b/>
          <w:bCs/>
          <w:sz w:val="25"/>
          <w:szCs w:val="25"/>
        </w:rPr>
      </w:pPr>
      <w:r>
        <w:rPr/>
        <w:pict>
          <v:group style="position:absolute;margin-left:337.079987pt;margin-top:425.700012pt;width:96.2pt;height:19.650pt;mso-position-horizontal-relative:page;mso-position-vertical-relative:page;z-index:-1219672" coordorigin="6742,8514" coordsize="1924,393">
            <v:shape style="position:absolute;left:6742;top:8514;width:1924;height:393" coordorigin="6742,8514" coordsize="1924,393" path="m6742,8906l8665,8906,8665,8514,6742,8514,6742,8906xe" filled="true" fillcolor="#ffffff" stroked="false">
              <v:path arrowok="t"/>
              <v:fill type="solid"/>
            </v:shape>
            <w10:wrap type="none"/>
          </v:group>
        </w:pict>
      </w:r>
    </w:p>
    <w:p>
      <w:pPr>
        <w:pStyle w:val="BodyText"/>
        <w:spacing w:line="240" w:lineRule="auto" w:before="4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11,084,999.99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12,595,972.22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135,816,842.76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138,333,333.28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173,856,006.78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150,929,305.50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888"/>
      </w:tblGrid>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355,037,878.44</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88,288,040.74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274,739,084.21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140,219,829.17</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117,173,073.56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27,412,863.99</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25,792,866.43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5,664,801.75</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2,383,615.31</w:t>
            </w:r>
          </w:p>
        </w:tc>
      </w:tr>
      <w:tr>
        <w:trPr>
          <w:trHeight w:val="402" w:hRule="exact"/>
        </w:trPr>
        <w:tc>
          <w:tcPr>
            <w:tcW w:w="555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处置固定资产、无形资产和其他长期资产的损失（收益以“－”号填列</w:t>
            </w:r>
          </w:p>
        </w:tc>
        <w:tc>
          <w:tcPr>
            <w:tcW w:w="1992" w:type="dxa"/>
            <w:tcBorders>
              <w:top w:val="single" w:sz="4" w:space="0" w:color="000000"/>
              <w:left w:val="single" w:sz="23" w:space="0" w:color="FFFFFF"/>
              <w:bottom w:val="single" w:sz="4" w:space="0" w:color="000000"/>
              <w:right w:val="single" w:sz="4" w:space="0" w:color="000000"/>
            </w:tcBorders>
          </w:tcPr>
          <w:p>
            <w:pPr>
              <w:pStyle w:val="TableParagraph"/>
              <w:tabs>
                <w:tab w:pos="989" w:val="left" w:leader="none"/>
              </w:tabs>
              <w:spacing w:line="240" w:lineRule="auto" w:before="51"/>
              <w:ind w:left="-13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4,186,397.14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24,159,652.59</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27,808.80</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46,131.28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214,489,783.88</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193,944,552.30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-2,026,262.66</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-16,811,307.58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55,478,783.90</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-40,581,594.37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-1,534,735.85</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-5,249,914.98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-90,014,144.89</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-141,916,118.36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-128,700,857.45</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-582,361,323.61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371,282,175.11</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176,431,598.70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867,710,334.61</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382,788,193.92</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1,793,943,347.16</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1,258,554,529.02</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1,258,554,529.02</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1,850,213,938.35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535,388,818.14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-591,659,409.33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6"/>
        <w:gridCol w:w="4591"/>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49,607,000.00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17,980,000.00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49,607,000.00</w:t>
            </w:r>
          </w:p>
        </w:tc>
      </w:tr>
    </w:tbl>
    <w:p>
      <w:pPr>
        <w:pStyle w:val="BodyText"/>
        <w:spacing w:line="240" w:lineRule="auto" w:before="51"/>
        <w:ind w:right="89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1,793,943,347.16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1,258,554,529.02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485,441.01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975,617.99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1,793,457,906.15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1,235,805,207.35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21,773,703.68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1,793,943,347.16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1,258,554,529.02</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72"/>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223,155,659.76</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票据、农民工工资等保证金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223,155,659.76</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7"/>
        <w:gridCol w:w="2310"/>
        <w:gridCol w:w="2390"/>
        <w:gridCol w:w="2389"/>
      </w:tblGrid>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1,665,001.77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242,425.72</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1,663,816.20</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151.08</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1,185.57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26,043,834.59</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3,794,707.22</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26,043,834.59</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1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151,321.96</w:t>
            </w:r>
          </w:p>
        </w:tc>
      </w:tr>
      <w:tr>
        <w:trPr>
          <w:trHeight w:val="403" w:hRule="exact"/>
        </w:trPr>
        <w:tc>
          <w:tcPr>
            <w:tcW w:w="24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22,048.31</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151,321.96</w:t>
            </w:r>
          </w:p>
        </w:tc>
      </w:tr>
    </w:tbl>
    <w:p>
      <w:pPr>
        <w:spacing w:line="240" w:lineRule="auto" w:before="2"/>
        <w:rPr>
          <w:rFonts w:ascii="宋体" w:hAnsi="宋体" w:cs="宋体" w:eastAsia="宋体" w:hint="default"/>
          <w:sz w:val="19"/>
          <w:szCs w:val="19"/>
        </w:rPr>
      </w:pPr>
    </w:p>
    <w:p>
      <w:pPr>
        <w:pStyle w:val="Heading3"/>
        <w:spacing w:line="259" w:lineRule="auto" w:before="35"/>
        <w:ind w:right="891"/>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rFonts w:ascii="Times New Roman" w:hAnsi="Times New Roman" w:cs="Times New Roman" w:eastAsia="Times New Roman" w:hint="default"/>
        </w:rPr>
        <w:t>51</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0"/>
        <w:gridCol w:w="1620"/>
        <w:gridCol w:w="4860"/>
        <w:gridCol w:w="1800"/>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收高新区科技局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年度专利申请资助资金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新疆运费补贴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247,453.00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收石家庄市长安区人民政府办公室补偿金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247,453.00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549,517.12</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房产税、土地税减免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549,517.12</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568,294.08</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房产税、土地税减免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568,294.08</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年度专利申请资助资金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提升国际化经营能力项目补贴款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19,400.00</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石家庄市长安区财政集中支付中心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620"/>
        <w:gridCol w:w="4860"/>
        <w:gridCol w:w="1800"/>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3,363,960.00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3,363,960.00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先进制造业</w:t>
            </w:r>
            <w:r>
              <w:rPr>
                <w:rFonts w:ascii="Times New Roman" w:hAnsi="Times New Roman" w:cs="Times New Roman" w:eastAsia="Times New Roman" w:hint="default"/>
                <w:sz w:val="18"/>
                <w:szCs w:val="18"/>
              </w:rPr>
              <w:t>"</w:t>
            </w:r>
            <w:r>
              <w:rPr>
                <w:rFonts w:ascii="宋体" w:hAnsi="宋体" w:cs="宋体" w:eastAsia="宋体" w:hint="default"/>
                <w:sz w:val="18"/>
                <w:szCs w:val="18"/>
              </w:rPr>
              <w:t>模式应用</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年中央外经贸发展专项资金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384,300.00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出口信用保险补贴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384,300.00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15,388.80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15,388.80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6,870,384.53</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增值税退税返还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6,870,384.53</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安全生产三级证书政府补助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27,103.86</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27,103.86</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新兴产业和创新创业相关政策奖励补贴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132,500.00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香洲区科工信局拨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年度省企业研究开发省级财政补助资 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132,500.00</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香洲区科工信局拨珠海市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年通过认定的高新技术产品补 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年一季度规模以上软件企业营收增长支持专项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已整改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年科技创新政策支持产业发展专项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674,000.00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年市企业创新能力建设计划企业研发后补助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年规模以上软件企业营收增长支持专项</w:t>
            </w:r>
            <w:r>
              <w:rPr>
                <w:rFonts w:ascii="Times New Roman" w:hAnsi="Times New Roman" w:cs="Times New Roman" w:eastAsia="Times New Roman" w:hint="default"/>
                <w:sz w:val="18"/>
                <w:szCs w:val="18"/>
              </w:rPr>
              <w:t>(</w:t>
            </w:r>
            <w:r>
              <w:rPr>
                <w:rFonts w:ascii="宋体" w:hAnsi="宋体" w:cs="宋体" w:eastAsia="宋体" w:hint="default"/>
                <w:sz w:val="18"/>
                <w:szCs w:val="18"/>
              </w:rPr>
              <w:t>三季度</w:t>
            </w: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年省级工业和信息化专项（支持大数据示范应用）</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年天河区科技计划项目（基于神经网络的海量文档相似 性分析技术及示范应用</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916,560.00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面向诉讼全流程的一体化便民服务技术及装备研究科研项目</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年广州市商务发展专项资金服务贸易和服务外包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年天河区支持高端服务业发展专项支持资金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资质奖励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软件著作权资质奖励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1,875,000.00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64,171.00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64,171.00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212,100.00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投入支持专项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212,100.00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c>
          <w:tcPr>
            <w:tcW w:w="48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年度高新技术企业认定奖补项目拟立项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891"/>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891" w:hanging="360"/>
        <w:jc w:val="left"/>
      </w:pPr>
      <w:r>
        <w:rPr/>
        <w:t>说明其他原因导致的合并范围变动（如，新设子公司、清算子公司等）及其相关情况： </w:t>
      </w:r>
      <w:r>
        <w:rPr>
          <w:spacing w:val="-2"/>
        </w:rPr>
        <w:t>公司本年度增加四家合并单位，分别为：石家庄爱意科技有限公司、舞钢智慧城市科技发展有限公司、北京北明数科信</w:t>
      </w:r>
    </w:p>
    <w:p>
      <w:pPr>
        <w:pStyle w:val="BodyText"/>
        <w:spacing w:line="237" w:lineRule="exact"/>
        <w:ind w:left="153" w:right="891"/>
        <w:jc w:val="left"/>
      </w:pPr>
      <w:r>
        <w:rPr/>
        <w:t>息技术有限公司及青岛北明智慧城市科技有限公司，上述四家公司为</w:t>
      </w:r>
      <w:r>
        <w:rPr>
          <w:rFonts w:ascii="Times New Roman" w:hAnsi="Times New Roman" w:cs="Times New Roman" w:eastAsia="Times New Roman" w:hint="default"/>
        </w:rPr>
        <w:t>2018</w:t>
      </w:r>
      <w:r>
        <w:rPr/>
        <w:t>年新设立的公司，其中本公司持有石家庄爱意科技</w:t>
      </w:r>
    </w:p>
    <w:p>
      <w:pPr>
        <w:pStyle w:val="BodyText"/>
        <w:spacing w:line="302" w:lineRule="auto" w:before="63"/>
        <w:ind w:right="891"/>
        <w:jc w:val="left"/>
      </w:pPr>
      <w:r>
        <w:rPr/>
        <w:t>有限公司、青岛北明智慧城市科技有限公司</w:t>
      </w:r>
      <w:r>
        <w:rPr>
          <w:rFonts w:ascii="Times New Roman" w:hAnsi="Times New Roman" w:cs="Times New Roman" w:eastAsia="Times New Roman" w:hint="default"/>
        </w:rPr>
        <w:t>100%</w:t>
      </w:r>
      <w:r>
        <w:rPr/>
        <w:t>股权，持有舞钢智慧城市科技发展有限公司</w:t>
      </w:r>
      <w:r>
        <w:rPr>
          <w:rFonts w:ascii="Times New Roman" w:hAnsi="Times New Roman" w:cs="Times New Roman" w:eastAsia="Times New Roman" w:hint="default"/>
        </w:rPr>
        <w:t>90%</w:t>
      </w:r>
      <w:r>
        <w:rPr/>
        <w:t>股权，持有北京北明数科</w:t>
      </w:r>
      <w:r>
        <w:rPr>
          <w:spacing w:val="-34"/>
        </w:rPr>
        <w:t> </w:t>
      </w:r>
      <w:r>
        <w:rPr>
          <w:spacing w:val="-34"/>
        </w:rPr>
      </w:r>
      <w:r>
        <w:rPr/>
        <w:t>信息技术有限公司</w:t>
      </w:r>
      <w:r>
        <w:rPr>
          <w:rFonts w:ascii="Times New Roman" w:hAnsi="Times New Roman" w:cs="Times New Roman" w:eastAsia="Times New Roman" w:hint="default"/>
        </w:rPr>
        <w:t>60%</w:t>
      </w:r>
      <w:r>
        <w:rPr/>
        <w:t>股权。</w:t>
      </w:r>
    </w:p>
    <w:p>
      <w:pPr>
        <w:spacing w:line="240" w:lineRule="auto" w:before="1"/>
        <w:rPr>
          <w:rFonts w:ascii="宋体" w:hAnsi="宋体" w:cs="宋体" w:eastAsia="宋体" w:hint="default"/>
          <w:sz w:val="20"/>
          <w:szCs w:val="20"/>
        </w:rPr>
      </w:pPr>
    </w:p>
    <w:p>
      <w:pPr>
        <w:pStyle w:val="Heading2"/>
        <w:spacing w:line="240" w:lineRule="auto"/>
        <w:ind w:right="891"/>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891"/>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40"/>
        <w:gridCol w:w="1150"/>
        <w:gridCol w:w="1190"/>
        <w:gridCol w:w="1080"/>
        <w:gridCol w:w="900"/>
        <w:gridCol w:w="900"/>
        <w:gridCol w:w="1080"/>
      </w:tblGrid>
      <w:tr>
        <w:trPr>
          <w:trHeight w:val="402" w:hRule="exact"/>
        </w:trPr>
        <w:tc>
          <w:tcPr>
            <w:tcW w:w="32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240" w:type="dxa"/>
            <w:vMerge/>
            <w:tcBorders>
              <w:left w:val="single" w:sz="4" w:space="0" w:color="000000"/>
              <w:bottom w:val="single" w:sz="4" w:space="0" w:color="000000"/>
              <w:right w:val="single" w:sz="4" w:space="0" w:color="000000"/>
            </w:tcBorders>
            <w:shd w:val="clear" w:color="auto" w:fill="D3D3D3"/>
          </w:tcPr>
          <w:p>
            <w:pPr/>
          </w:p>
        </w:tc>
        <w:tc>
          <w:tcPr>
            <w:tcW w:w="1150" w:type="dxa"/>
            <w:vMerge/>
            <w:tcBorders>
              <w:left w:val="single" w:sz="4" w:space="0" w:color="000000"/>
              <w:bottom w:val="single" w:sz="4" w:space="0" w:color="000000"/>
              <w:right w:val="single" w:sz="4" w:space="0" w:color="000000"/>
            </w:tcBorders>
            <w:shd w:val="clear" w:color="auto" w:fill="D3D3D3"/>
          </w:tcPr>
          <w:p>
            <w:pPr/>
          </w:p>
        </w:tc>
        <w:tc>
          <w:tcPr>
            <w:tcW w:w="119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69.60%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240"/>
        <w:gridCol w:w="1150"/>
        <w:gridCol w:w="1190"/>
        <w:gridCol w:w="1080"/>
        <w:gridCol w:w="900"/>
        <w:gridCol w:w="900"/>
        <w:gridCol w:w="1080"/>
      </w:tblGrid>
      <w:tr>
        <w:trPr>
          <w:trHeight w:val="36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山东临沂市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山东临沂市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北明云山（武汉）软件开发有限公司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批发</w:t>
            </w:r>
            <w:r>
              <w:rPr>
                <w:rFonts w:ascii="Times New Roman" w:hAnsi="Times New Roman" w:cs="Times New Roman" w:eastAsia="Times New Roman" w:hint="default"/>
                <w:sz w:val="18"/>
                <w:szCs w:val="18"/>
              </w:rPr>
              <w:t>/</w:t>
            </w:r>
            <w:r>
              <w:rPr>
                <w:rFonts w:ascii="宋体" w:hAnsi="宋体" w:cs="宋体" w:eastAsia="宋体" w:hint="default"/>
                <w:sz w:val="18"/>
                <w:szCs w:val="18"/>
              </w:rPr>
              <w:t>零售、 互联网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新疆阿拉尔市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新疆阿拉尔市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河北北明兴云互联网科技有限责任公司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石家庄爱意科技有限公司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河南舞钢</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河南舞钢</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青岛北明智慧城市科技有限公司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北京北明数科信息技术有限公司</w:t>
            </w:r>
          </w:p>
        </w:tc>
        <w:tc>
          <w:tcPr>
            <w:tcW w:w="11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科技推广和 应用服务业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28"/>
        <w:gridCol w:w="1632"/>
        <w:gridCol w:w="1260"/>
        <w:gridCol w:w="1440"/>
        <w:gridCol w:w="1980"/>
      </w:tblGrid>
      <w:tr>
        <w:trPr>
          <w:trHeight w:val="764"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84" w:right="84"/>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83" w:right="84"/>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-1,106,397.35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-1,133,002.92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-1,837,174.43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4,500,252.65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-2,917.51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2,498,082.49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4"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智（武 </w:t>
            </w:r>
            <w:r>
              <w:rPr>
                <w:rFonts w:ascii="宋体" w:hAnsi="宋体" w:cs="宋体" w:eastAsia="宋体" w:hint="default"/>
                <w:spacing w:val="-10"/>
                <w:sz w:val="18"/>
                <w:szCs w:val="18"/>
              </w:rPr>
              <w:t>汉）网软</w:t>
            </w:r>
            <w:r>
              <w:rPr>
                <w:rFonts w:ascii="宋体" w:hAnsi="宋体" w:cs="宋体" w:eastAsia="宋体" w:hint="default"/>
                <w:sz w:val="18"/>
                <w:szCs w:val="18"/>
              </w:rPr>
              <w:t> 有限公</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8,149,52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8,174,80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11,902,2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82.32</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11,902,2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82.32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12,942,0</w:t>
            </w:r>
          </w:p>
          <w:p>
            <w:pPr>
              <w:pStyle w:val="TableParagraph"/>
              <w:spacing w:line="240" w:lineRule="auto" w:before="106"/>
              <w:ind w:left="296" w:right="0"/>
              <w:jc w:val="left"/>
              <w:rPr>
                <w:rFonts w:ascii="Times New Roman" w:hAnsi="Times New Roman" w:cs="Times New Roman" w:eastAsia="Times New Roman" w:hint="default"/>
                <w:sz w:val="18"/>
                <w:szCs w:val="18"/>
              </w:rPr>
            </w:pPr>
            <w:r>
              <w:rPr>
                <w:rFonts w:ascii="Times New Roman"/>
                <w:sz w:val="18"/>
              </w:rPr>
              <w:t>47.36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360,723.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13,302,7</w:t>
            </w:r>
          </w:p>
          <w:p>
            <w:pPr>
              <w:pStyle w:val="TableParagraph"/>
              <w:spacing w:line="240" w:lineRule="auto" w:before="106"/>
              <w:ind w:left="296" w:right="0"/>
              <w:jc w:val="left"/>
              <w:rPr>
                <w:rFonts w:ascii="Times New Roman" w:hAnsi="Times New Roman" w:cs="Times New Roman" w:eastAsia="Times New Roman" w:hint="default"/>
                <w:sz w:val="18"/>
                <w:szCs w:val="18"/>
              </w:rPr>
            </w:pPr>
            <w:r>
              <w:rPr>
                <w:rFonts w:ascii="Times New Roman"/>
                <w:sz w:val="18"/>
              </w:rPr>
              <w:t>71.25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13,390,3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01.10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13,390,3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01.10</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意生活 电子商 务有限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20,140,2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39.90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2,933,32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4.51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23,073,5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64.41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9,679,47</w:t>
            </w:r>
          </w:p>
          <w:p>
            <w:pPr>
              <w:pStyle w:val="TableParagraph"/>
              <w:spacing w:line="240" w:lineRule="auto" w:before="106"/>
              <w:ind w:left="386" w:right="0"/>
              <w:jc w:val="left"/>
              <w:rPr>
                <w:rFonts w:ascii="Times New Roman" w:hAnsi="Times New Roman" w:cs="Times New Roman" w:eastAsia="Times New Roman" w:hint="default"/>
                <w:sz w:val="18"/>
                <w:szCs w:val="18"/>
              </w:rPr>
            </w:pPr>
            <w:r>
              <w:rPr>
                <w:rFonts w:ascii="Times New Roman"/>
                <w:sz w:val="18"/>
              </w:rPr>
              <w:t>0.95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2,125,27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7.24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11,804,7</w:t>
            </w:r>
          </w:p>
          <w:p>
            <w:pPr>
              <w:pStyle w:val="TableParagraph"/>
              <w:spacing w:line="240" w:lineRule="auto" w:before="106"/>
              <w:ind w:left="296" w:right="0"/>
              <w:jc w:val="left"/>
              <w:rPr>
                <w:rFonts w:ascii="Times New Roman" w:hAnsi="Times New Roman" w:cs="Times New Roman" w:eastAsia="Times New Roman" w:hint="default"/>
                <w:sz w:val="18"/>
                <w:szCs w:val="18"/>
              </w:rPr>
            </w:pPr>
            <w:r>
              <w:rPr>
                <w:rFonts w:ascii="Times New Roman"/>
                <w:sz w:val="18"/>
              </w:rPr>
              <w:t>48.19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117,612.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117,612.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慧城市 科技发 展有限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44,662,0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43.71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2,828,11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47,490,1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62.28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8" w:right="0"/>
              <w:jc w:val="left"/>
              <w:rPr>
                <w:rFonts w:ascii="Times New Roman" w:hAnsi="Times New Roman" w:cs="Times New Roman" w:eastAsia="Times New Roman" w:hint="default"/>
                <w:sz w:val="18"/>
                <w:szCs w:val="18"/>
              </w:rPr>
            </w:pPr>
            <w:r>
              <w:rPr>
                <w:rFonts w:ascii="Times New Roman"/>
                <w:sz w:val="18"/>
              </w:rPr>
              <w:t>137.42</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7" w:right="0"/>
              <w:jc w:val="left"/>
              <w:rPr>
                <w:rFonts w:ascii="Times New Roman" w:hAnsi="Times New Roman" w:cs="Times New Roman" w:eastAsia="Times New Roman" w:hint="default"/>
                <w:sz w:val="18"/>
                <w:szCs w:val="18"/>
              </w:rPr>
            </w:pPr>
            <w:r>
              <w:rPr>
                <w:rFonts w:ascii="Times New Roman"/>
                <w:sz w:val="18"/>
              </w:rPr>
              <w:t>137.42</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49"/>
        <w:gridCol w:w="1073"/>
        <w:gridCol w:w="1062"/>
        <w:gridCol w:w="1066"/>
        <w:gridCol w:w="1064"/>
        <w:gridCol w:w="1063"/>
        <w:gridCol w:w="1063"/>
        <w:gridCol w:w="1063"/>
        <w:gridCol w:w="1066"/>
      </w:tblGrid>
      <w:tr>
        <w:trPr>
          <w:trHeight w:val="402" w:hRule="exact"/>
        </w:trPr>
        <w:tc>
          <w:tcPr>
            <w:tcW w:w="10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1049" w:type="dxa"/>
            <w:vMerge/>
            <w:tcBorders>
              <w:left w:val="single" w:sz="4" w:space="0" w:color="000000"/>
              <w:bottom w:val="single" w:sz="4" w:space="0" w:color="000000"/>
              <w:right w:val="single" w:sz="4" w:space="0" w:color="000000"/>
            </w:tcBorders>
            <w:shd w:val="clear" w:color="auto" w:fill="D3D3D3"/>
          </w:tcPr>
          <w:p>
            <w:pPr/>
          </w:p>
        </w:tc>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30" w:hRule="exact"/>
        </w:trPr>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5"/>
              <w:ind w:left="22" w:right="8"/>
              <w:jc w:val="both"/>
              <w:rPr>
                <w:rFonts w:ascii="宋体" w:hAnsi="宋体" w:cs="宋体" w:eastAsia="宋体" w:hint="default"/>
                <w:sz w:val="18"/>
                <w:szCs w:val="18"/>
              </w:rPr>
            </w:pPr>
            <w:r>
              <w:rPr>
                <w:rFonts w:ascii="宋体" w:hAnsi="宋体" w:cs="宋体" w:eastAsia="宋体" w:hint="default"/>
                <w:spacing w:val="-13"/>
                <w:sz w:val="18"/>
                <w:szCs w:val="18"/>
              </w:rPr>
              <w:t>北明云智（武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汉）网软有限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7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6,780,498.28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-3,639,943.92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-3,639,943.92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-609,131.91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15,910,471.7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5,172,360.76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5,172,360.76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381,531.11</w:t>
            </w:r>
          </w:p>
        </w:tc>
      </w:tr>
      <w:tr>
        <w:trPr>
          <w:trHeight w:val="1026" w:hRule="exact"/>
        </w:trPr>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北京爱意生 活电子商务 有限公司</w:t>
            </w:r>
          </w:p>
        </w:tc>
        <w:tc>
          <w:tcPr>
            <w:tcW w:w="107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1,698,491.63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-9,185,872.16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-9,185,872.16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-13,678,988.9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470,172.55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-7,743,114.58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-7,743,114.58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-13,686,172.9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358" w:hRule="exact"/>
        </w:trPr>
        <w:tc>
          <w:tcPr>
            <w:tcW w:w="104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w:t>
            </w:r>
          </w:p>
        </w:tc>
        <w:tc>
          <w:tcPr>
            <w:tcW w:w="1073" w:type="dxa"/>
            <w:vMerge w:val="restart"/>
            <w:tcBorders>
              <w:top w:val="single" w:sz="4" w:space="0" w:color="000000"/>
              <w:left w:val="single" w:sz="13" w:space="0" w:color="C7EDCC"/>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6" w:hRule="exact"/>
        </w:trPr>
        <w:tc>
          <w:tcPr>
            <w:tcW w:w="104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市科技发展</w:t>
            </w:r>
          </w:p>
        </w:tc>
        <w:tc>
          <w:tcPr>
            <w:tcW w:w="1073" w:type="dxa"/>
            <w:vMerge/>
            <w:tcBorders>
              <w:left w:val="single" w:sz="13" w:space="0" w:color="C7EDCC"/>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-29,175.14</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-29,175.14</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-27,548.73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3" w:hRule="exact"/>
        </w:trPr>
        <w:tc>
          <w:tcPr>
            <w:tcW w:w="104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3" w:type="dxa"/>
            <w:vMerge/>
            <w:tcBorders>
              <w:left w:val="single" w:sz="13" w:space="0" w:color="C7EDCC"/>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after="0" w:line="240" w:lineRule="auto"/>
        <w:jc w:val="left"/>
        <w:sectPr>
          <w:pgSz w:w="11910" w:h="16840"/>
          <w:pgMar w:header="747" w:footer="941" w:top="1060" w:bottom="11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880"/>
        <w:gridCol w:w="1080"/>
        <w:gridCol w:w="900"/>
        <w:gridCol w:w="1800"/>
        <w:gridCol w:w="720"/>
        <w:gridCol w:w="720"/>
        <w:gridCol w:w="1440"/>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4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8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53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88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7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7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44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床上用品、服装、纺织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等加工销售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高新技术纺织品和其 他纺织品的生产、销 </w:t>
            </w:r>
            <w:r>
              <w:rPr>
                <w:rFonts w:ascii="宋体" w:hAnsi="宋体" w:cs="宋体" w:eastAsia="宋体" w:hint="default"/>
                <w:spacing w:val="-6"/>
                <w:sz w:val="18"/>
                <w:szCs w:val="18"/>
              </w:rPr>
              <w:t>售；纺织技术咨询服务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48.33%</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软件开发、技术服务等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902" w:type="dxa"/>
            <w:tcBorders>
              <w:top w:val="single" w:sz="4" w:space="0" w:color="000000"/>
              <w:left w:val="single" w:sz="4" w:space="0" w:color="000000"/>
              <w:bottom w:val="single" w:sz="4" w:space="0" w:color="000000"/>
              <w:right w:val="single" w:sz="13" w:space="0" w:color="E1FFFF"/>
            </w:tcBorders>
            <w:shd w:val="clear" w:color="auto" w:fill="D3D3D3"/>
          </w:tcPr>
          <w:p>
            <w:pPr/>
          </w:p>
        </w:tc>
        <w:tc>
          <w:tcPr>
            <w:tcW w:w="1926"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2"/>
              <w:ind w:left="596"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国智云鼎</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国智云鼎</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14,166,023.54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34,033,070.27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10,834,976.23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10,152,234.43</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7,490,253.64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2,237,464.48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8,283,416.03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810,595.08</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21,656,277.18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36,270,534.75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19,118,392.26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10,962,829.51</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9,762,412.44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9,426,657.98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5,877,869.87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1,313,035.10</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9,762,412.44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9,426,657.98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5,877,869.87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1,313,035.10</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11,893,864.74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14,346,326.07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13,240,522.39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5,789,876.65</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13,947,977.63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12,497,550.70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14,596,414.81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3,859,917.76</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13,947,977.63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12,497,550.70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14,596,414.81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3,859,917.76</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14,621,817.83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26,658,875.68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13,519,609.34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990,699.07</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-1,351,394.46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1,594,082.36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-1,318,552.93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-350,205.59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-1,351,394.46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1,594,082.36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-1,318,552.93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-350,205.59</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64"/>
        <w:gridCol w:w="3187"/>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55,907.98</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49,173.07</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6,734.91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346,989.06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6,734.91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346,989.06</w:t>
            </w:r>
          </w:p>
        </w:tc>
      </w:tr>
    </w:tbl>
    <w:p>
      <w:pPr>
        <w:spacing w:line="240" w:lineRule="auto" w:before="2"/>
        <w:rPr>
          <w:rFonts w:ascii="宋体" w:hAnsi="宋体" w:cs="宋体" w:eastAsia="宋体" w:hint="default"/>
          <w:sz w:val="18"/>
          <w:szCs w:val="18"/>
        </w:rPr>
      </w:pPr>
    </w:p>
    <w:p>
      <w:pPr>
        <w:pStyle w:val="Heading2"/>
        <w:spacing w:line="240" w:lineRule="auto" w:before="26"/>
        <w:ind w:right="891"/>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本公司在经营过程中面临各种金融风险：信用风险、市场风险和流动性风险。公司经营管理层全面负责风险管理目标和</w:t>
      </w:r>
      <w:r>
        <w:rPr/>
        <w:t> 政策的确定，并对风险管理目标和政策承担最终责任。</w:t>
      </w:r>
      <w:r>
        <w:rPr>
          <w:spacing w:val="-18"/>
        </w:rPr>
        <w:t> </w:t>
      </w:r>
      <w:r>
        <w:rPr/>
        <w:t>经营管理层通过职能部门递交的月度工作报告来审查已执行程序的</w:t>
      </w:r>
      <w:r>
        <w:rPr/>
        <w:t> 有效性以及风险管理目标和政策的合理性。</w:t>
      </w:r>
    </w:p>
    <w:p>
      <w:pPr>
        <w:pStyle w:val="BodyText"/>
        <w:spacing w:line="319" w:lineRule="auto" w:before="56"/>
        <w:ind w:right="891" w:firstLine="360"/>
        <w:jc w:val="left"/>
      </w:pPr>
      <w:r>
        <w:rPr/>
        <w:t>本公司从事风险管理的目标是在风险和收益之间取得适当的平衡，将风险对本公司经营业绩的负面影响降低到最低水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pStyle w:val="BodyText"/>
        <w:spacing w:line="240" w:lineRule="auto" w:before="56"/>
        <w:ind w:left="514" w:right="891"/>
        <w:jc w:val="left"/>
      </w:pPr>
      <w:r>
        <w:rPr>
          <w:rFonts w:ascii="Times New Roman" w:hAnsi="Times New Roman" w:cs="Times New Roman" w:eastAsia="Times New Roman" w:hint="default"/>
        </w:rPr>
        <w:t>1</w:t>
      </w:r>
      <w:r>
        <w:rPr/>
        <w:t>、信用风险</w:t>
      </w:r>
    </w:p>
    <w:p>
      <w:pPr>
        <w:pStyle w:val="BodyText"/>
        <w:spacing w:line="319" w:lineRule="auto" w:before="101"/>
        <w:ind w:right="1129" w:firstLine="360"/>
        <w:jc w:val="both"/>
      </w:pPr>
      <w:r>
        <w:rPr/>
        <w:t>信用风险是指金融工具的一方不履行义务，造成另一方发生财务损失的风险。</w:t>
      </w:r>
      <w:r>
        <w:rPr>
          <w:spacing w:val="-19"/>
        </w:rPr>
        <w:t> </w:t>
      </w:r>
      <w:r>
        <w:rPr/>
        <w:t>本公司主要面临赊销导致的客户信用风</w:t>
      </w:r>
      <w:r>
        <w:rPr/>
        <w:t> </w:t>
      </w: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pStyle w:val="BodyText"/>
        <w:spacing w:line="309" w:lineRule="auto" w:before="56"/>
        <w:ind w:left="153" w:right="891"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338" w:lineRule="auto" w:before="64"/>
        <w:ind w:left="513" w:right="891"/>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金融工具的市场风险，是指金融工具的公允价值或未来现金流量因市场价格变动而发生波动的风险，包括利率风险、外</w:t>
      </w:r>
    </w:p>
    <w:p>
      <w:pPr>
        <w:pStyle w:val="BodyText"/>
        <w:spacing w:line="240" w:lineRule="auto" w:before="4"/>
        <w:ind w:left="153" w:right="891"/>
        <w:jc w:val="left"/>
      </w:pPr>
      <w:r>
        <w:rPr/>
        <w:t>汇风险和其他价格风险。</w:t>
      </w:r>
    </w:p>
    <w:p>
      <w:pPr>
        <w:pStyle w:val="BodyText"/>
        <w:spacing w:line="338" w:lineRule="auto" w:before="117"/>
        <w:ind w:left="513" w:right="891" w:hanging="215"/>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9" w:lineRule="auto" w:before="2"/>
        <w:ind w:left="153" w:right="891"/>
        <w:jc w:val="left"/>
      </w:pPr>
      <w:r>
        <w:rPr>
          <w:spacing w:val="-2"/>
        </w:rPr>
        <w:t>源于银行短期借款。公司通过建立良好的银企关系，对授信额度、授信品种以及授信期限进行合理的设计，保障银行授信额</w:t>
      </w:r>
      <w:r>
        <w:rPr>
          <w:spacing w:val="-66"/>
        </w:rPr>
        <w:t> </w:t>
      </w:r>
      <w:r>
        <w:rPr>
          <w:spacing w:val="-66"/>
        </w:rPr>
      </w:r>
      <w:r>
        <w:rPr/>
        <w:t>度充足，满足公司各类短期融资需求。并且通过缩短单笔借款的期限，特别约定提前还款条款，合理降低利率波动风险。</w:t>
      </w:r>
    </w:p>
    <w:p>
      <w:pPr>
        <w:pStyle w:val="BodyText"/>
        <w:spacing w:line="302" w:lineRule="auto" w:before="55"/>
        <w:ind w:right="891" w:firstLine="360"/>
        <w:jc w:val="left"/>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日，在其他变量保持不变的情况下，如果以浮动利率计算的借款利率上升或下降</w:t>
      </w:r>
      <w:r>
        <w:rPr>
          <w:rFonts w:ascii="Times New Roman" w:hAnsi="Times New Roman" w:cs="Times New Roman" w:eastAsia="Times New Roman" w:hint="default"/>
          <w:spacing w:val="-2"/>
        </w:rPr>
        <w:t>50</w:t>
      </w:r>
      <w:r>
        <w:rPr>
          <w:spacing w:val="-2"/>
        </w:rPr>
        <w:t>个基点，则本公司的</w:t>
      </w:r>
      <w:r>
        <w:rPr/>
        <w:t> 净利润将减少或增加</w:t>
      </w:r>
      <w:r>
        <w:rPr>
          <w:rFonts w:ascii="Times New Roman" w:hAnsi="Times New Roman" w:cs="Times New Roman" w:eastAsia="Times New Roman" w:hint="default"/>
        </w:rPr>
        <w:t>2,181.92</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1,959.54</w:t>
      </w:r>
      <w:r>
        <w:rPr/>
        <w:t>万元）。</w:t>
      </w:r>
    </w:p>
    <w:p>
      <w:pPr>
        <w:pStyle w:val="BodyText"/>
        <w:spacing w:line="338" w:lineRule="auto" w:before="52"/>
        <w:ind w:left="454" w:right="891" w:hanging="155"/>
        <w:jc w:val="left"/>
      </w:pPr>
      <w:r>
        <w:rPr/>
        <w:t>（</w:t>
      </w: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外汇风险，是指金融工具的公允价值或未来现金流量因外汇汇率变动而发生波动的风险。本公司尽可能将外币收入与外</w:t>
      </w:r>
    </w:p>
    <w:p>
      <w:pPr>
        <w:pStyle w:val="BodyText"/>
        <w:spacing w:line="319" w:lineRule="auto" w:before="2"/>
        <w:ind w:right="891"/>
        <w:jc w:val="left"/>
      </w:pPr>
      <w:r>
        <w:rPr>
          <w:spacing w:val="-2"/>
        </w:rPr>
        <w:t>币支出相匹配以降低外汇风险。此外，公司还可能签署远期外汇合约或货币互换合约以达到规避外汇风险的目的。由于外币</w:t>
      </w:r>
      <w:r>
        <w:rPr>
          <w:spacing w:val="-66"/>
        </w:rPr>
        <w:t> </w:t>
      </w:r>
      <w:r>
        <w:rPr>
          <w:spacing w:val="-66"/>
        </w:rPr>
      </w:r>
      <w:r>
        <w:rPr/>
        <w:t>金融资产和负债占总资产比重较小，</w:t>
      </w:r>
      <w:r>
        <w:rPr>
          <w:rFonts w:ascii="Times New Roman" w:hAnsi="Times New Roman" w:cs="Times New Roman" w:eastAsia="Times New Roman" w:hint="default"/>
        </w:rPr>
        <w:t>2019</w:t>
      </w:r>
      <w:r>
        <w:rPr/>
        <w:t>年度及</w:t>
      </w:r>
      <w:r>
        <w:rPr>
          <w:rFonts w:ascii="Times New Roman" w:hAnsi="Times New Roman" w:cs="Times New Roman" w:eastAsia="Times New Roman" w:hint="default"/>
        </w:rPr>
        <w:t>2018</w:t>
      </w:r>
      <w:r>
        <w:rPr/>
        <w:t>年度，本公司未签署任何远期外汇合约或货币互换合约。</w:t>
      </w:r>
    </w:p>
    <w:p>
      <w:pPr>
        <w:pStyle w:val="BodyText"/>
        <w:spacing w:line="319" w:lineRule="auto" w:before="35"/>
        <w:ind w:right="891" w:firstLine="300"/>
        <w:jc w:val="left"/>
      </w:pPr>
      <w:r>
        <w:rPr>
          <w:spacing w:val="-1"/>
        </w:rPr>
        <w:t>本公司面临的外汇风险主要来源于以美元计价的金融资产和金融负债，外币金融资产和外币金融负债折算成人民币的金</w:t>
      </w:r>
      <w:r>
        <w:rPr/>
        <w:t> 额列示如下：</w:t>
      </w:r>
    </w:p>
    <w:p>
      <w:pPr>
        <w:spacing w:line="240" w:lineRule="auto" w:before="7"/>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620"/>
        <w:gridCol w:w="1399"/>
        <w:gridCol w:w="1046"/>
        <w:gridCol w:w="1559"/>
        <w:gridCol w:w="1478"/>
        <w:gridCol w:w="1024"/>
        <w:gridCol w:w="1414"/>
      </w:tblGrid>
      <w:tr>
        <w:trPr>
          <w:trHeight w:val="427" w:hRule="exact"/>
        </w:trPr>
        <w:tc>
          <w:tcPr>
            <w:tcW w:w="1620" w:type="dxa"/>
            <w:vMerge w:val="restart"/>
            <w:tcBorders>
              <w:top w:val="single" w:sz="6" w:space="0" w:color="000000"/>
              <w:left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0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8"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39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8"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426" w:hRule="exact"/>
        </w:trPr>
        <w:tc>
          <w:tcPr>
            <w:tcW w:w="1620" w:type="dxa"/>
            <w:vMerge/>
            <w:tcBorders>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2"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9"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39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9" w:right="0"/>
              <w:jc w:val="left"/>
              <w:rPr>
                <w:rFonts w:ascii="Times New Roman" w:hAnsi="Times New Roman" w:cs="Times New Roman" w:eastAsia="Times New Roman" w:hint="default"/>
                <w:sz w:val="18"/>
                <w:szCs w:val="18"/>
              </w:rPr>
            </w:pPr>
            <w:r>
              <w:rPr>
                <w:rFonts w:ascii="Times New Roman"/>
                <w:sz w:val="18"/>
              </w:rPr>
              <w:t>242,425.72</w:t>
            </w: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1,663,816.20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49" w:right="0"/>
              <w:jc w:val="left"/>
              <w:rPr>
                <w:rFonts w:ascii="Times New Roman" w:hAnsi="Times New Roman" w:cs="Times New Roman" w:eastAsia="Times New Roman" w:hint="default"/>
                <w:sz w:val="18"/>
                <w:szCs w:val="18"/>
              </w:rPr>
            </w:pPr>
            <w:r>
              <w:rPr>
                <w:rFonts w:ascii="Times New Roman"/>
                <w:sz w:val="18"/>
              </w:rPr>
              <w:t>654,496.42</w:t>
            </w: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4,276,610.50</w:t>
            </w: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9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34" w:right="0"/>
              <w:jc w:val="left"/>
              <w:rPr>
                <w:rFonts w:ascii="Times New Roman" w:hAnsi="Times New Roman" w:cs="Times New Roman" w:eastAsia="Times New Roman" w:hint="default"/>
                <w:sz w:val="18"/>
                <w:szCs w:val="18"/>
              </w:rPr>
            </w:pPr>
            <w:r>
              <w:rPr>
                <w:rFonts w:ascii="Times New Roman"/>
                <w:sz w:val="18"/>
              </w:rPr>
              <w:t>151.08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1,185.57</w:t>
            </w:r>
          </w:p>
        </w:tc>
        <w:tc>
          <w:tcPr>
            <w:tcW w:w="1478"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151.08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1,178.77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20"/>
        <w:gridCol w:w="1399"/>
        <w:gridCol w:w="1046"/>
        <w:gridCol w:w="1559"/>
        <w:gridCol w:w="1478"/>
        <w:gridCol w:w="1024"/>
        <w:gridCol w:w="1414"/>
      </w:tblGrid>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3,794,707.22</w:t>
            </w: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26,043,834.59</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8,735,302.36</w:t>
            </w: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57,078,212.67</w:t>
            </w: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4,037,132.94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27,708,836.36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9,389,798.78</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151.08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61,356,001.94</w:t>
            </w:r>
          </w:p>
        </w:tc>
      </w:tr>
      <w:tr>
        <w:trPr>
          <w:trHeight w:val="42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39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22,048.31</w:t>
            </w: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151,321.96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44,892.63</w:t>
            </w: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293,337.40</w:t>
            </w: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9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22,048.31</w:t>
            </w:r>
          </w:p>
        </w:tc>
        <w:tc>
          <w:tcPr>
            <w:tcW w:w="1046"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151,321.96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44,892.63</w:t>
            </w:r>
          </w:p>
        </w:tc>
        <w:tc>
          <w:tcPr>
            <w:tcW w:w="1024"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293,337.40</w:t>
            </w:r>
          </w:p>
        </w:tc>
      </w:tr>
      <w:tr>
        <w:trPr>
          <w:trHeight w:val="427"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4,015,084.63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27,557,514.40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9,344,906.15</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151.08</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61,062,664.54</w:t>
            </w:r>
          </w:p>
        </w:tc>
      </w:tr>
    </w:tbl>
    <w:p>
      <w:pPr>
        <w:pStyle w:val="BodyText"/>
        <w:spacing w:line="302" w:lineRule="auto" w:before="51"/>
        <w:ind w:left="153" w:right="1196" w:firstLine="36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日，在所有其他变量保持不变的情况下，如果人民币对外币升值或贬值</w:t>
      </w:r>
      <w:r>
        <w:rPr>
          <w:rFonts w:ascii="Times New Roman" w:hAnsi="Times New Roman" w:cs="Times New Roman" w:eastAsia="Times New Roman" w:hint="default"/>
        </w:rPr>
        <w:t>0.5%</w:t>
      </w:r>
      <w:r>
        <w:rPr/>
        <w:t>，则公司将减少或增加净 利润</w:t>
      </w:r>
      <w:r>
        <w:rPr>
          <w:rFonts w:ascii="Times New Roman" w:hAnsi="Times New Roman" w:cs="Times New Roman" w:eastAsia="Times New Roman" w:hint="default"/>
        </w:rPr>
        <w:t>13.78</w:t>
      </w:r>
      <w:r>
        <w:rPr/>
        <w:t>万元人民币（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30.53</w:t>
      </w:r>
      <w:r>
        <w:rPr/>
        <w:t>万元人民币）。</w:t>
      </w:r>
    </w:p>
    <w:p>
      <w:pPr>
        <w:pStyle w:val="BodyText"/>
        <w:spacing w:line="338" w:lineRule="auto" w:before="50"/>
        <w:ind w:left="513" w:right="891"/>
        <w:jc w:val="left"/>
      </w:pP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w:t>
      </w:r>
    </w:p>
    <w:p>
      <w:pPr>
        <w:pStyle w:val="BodyText"/>
        <w:spacing w:line="302" w:lineRule="auto" w:before="2"/>
        <w:ind w:left="153" w:right="891"/>
        <w:jc w:val="left"/>
      </w:pPr>
      <w:r>
        <w:rPr>
          <w:spacing w:val="-2"/>
        </w:rPr>
        <w:t>拥有充足的现金以偿还到期债务。流动性风险由本公司的财务部门集中控制。财务部门通过监控现金余额以及对未来</w:t>
      </w:r>
      <w:r>
        <w:rPr>
          <w:rFonts w:ascii="Times New Roman" w:hAnsi="Times New Roman" w:cs="Times New Roman" w:eastAsia="Times New Roman" w:hint="default"/>
          <w:spacing w:val="-2"/>
        </w:rPr>
        <w:t>12</w:t>
      </w:r>
      <w:r>
        <w:rPr>
          <w:spacing w:val="-2"/>
        </w:rPr>
        <w:t>个月</w:t>
      </w:r>
      <w:r>
        <w:rPr>
          <w:spacing w:val="-62"/>
        </w:rPr>
        <w:t> </w:t>
      </w:r>
      <w:r>
        <w:rPr/>
        <w:t>现金流量的滚动预测，确保公司在所有合理预测的情况下拥有充足的资金偿还债务。</w:t>
      </w:r>
    </w:p>
    <w:p>
      <w:pPr>
        <w:spacing w:line="240" w:lineRule="auto" w:before="6"/>
        <w:rPr>
          <w:rFonts w:ascii="宋体" w:hAnsi="宋体" w:cs="宋体" w:eastAsia="宋体" w:hint="default"/>
          <w:sz w:val="21"/>
          <w:szCs w:val="21"/>
        </w:rPr>
      </w:pPr>
    </w:p>
    <w:p>
      <w:pPr>
        <w:pStyle w:val="Heading2"/>
        <w:spacing w:line="240" w:lineRule="auto"/>
        <w:ind w:right="891"/>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纺织集团</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1,253,540,000.00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27.55%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27.55%</w:t>
            </w:r>
          </w:p>
        </w:tc>
      </w:tr>
    </w:tbl>
    <w:p>
      <w:pPr>
        <w:pStyle w:val="BodyText"/>
        <w:spacing w:line="357" w:lineRule="auto" w:before="52"/>
        <w:ind w:left="153" w:right="6251"/>
        <w:jc w:val="left"/>
      </w:pPr>
      <w:r>
        <w:rPr/>
        <w:t>本企业的母公司情况的说明 本企业最终控制方是石家庄市国有资产监督管理委员会。</w:t>
      </w:r>
    </w:p>
    <w:p>
      <w:pPr>
        <w:spacing w:line="240" w:lineRule="auto" w:before="1"/>
        <w:rPr>
          <w:rFonts w:ascii="宋体" w:hAnsi="宋体" w:cs="宋体" w:eastAsia="宋体" w:hint="default"/>
          <w:sz w:val="20"/>
          <w:szCs w:val="20"/>
        </w:rPr>
      </w:pPr>
    </w:p>
    <w:p>
      <w:pPr>
        <w:spacing w:line="547" w:lineRule="auto" w:before="0"/>
        <w:ind w:left="154" w:right="6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left="153" w:right="2291"/>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石家庄常山纺织集团第一实业有限公司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应华江之妻穆慧为第一大股东的企业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副总经理咸勇之妻刘丽丹为原股东的企业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公司第二大股东合营企业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  梓</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哲</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辉</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r>
    </w:tbl>
    <w:p>
      <w:pPr>
        <w:spacing w:line="240" w:lineRule="auto" w:before="2"/>
        <w:rPr>
          <w:rFonts w:ascii="宋体" w:hAnsi="宋体" w:cs="宋体" w:eastAsia="宋体" w:hint="default"/>
          <w:b/>
          <w:bCs/>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0"/>
        <w:gridCol w:w="900"/>
        <w:gridCol w:w="1260"/>
        <w:gridCol w:w="1426"/>
        <w:gridCol w:w="914"/>
        <w:gridCol w:w="1260"/>
      </w:tblGrid>
      <w:tr>
        <w:trPr>
          <w:trHeight w:val="714"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0"/>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11,951,132.15</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30,832,749.08</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30,034,250.40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聚乙烯醇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269,401.71</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1,881,196.58</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58,665,743.05</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2,781,738.58</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13,244,007.70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114,573.10</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177,515.69</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4,250,482.79</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2,632,146.91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9,751.92</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3,156.67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12,962.55</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37,751.72</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4,362,735.85</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1,556,179.24</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23,044,367.47</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9,177,050.93</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6,025,862.07</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2,745,235.85</w:t>
            </w:r>
          </w:p>
        </w:tc>
        <w:tc>
          <w:tcPr>
            <w:tcW w:w="142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9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40"/>
        <w:gridCol w:w="1440"/>
        <w:gridCol w:w="1980"/>
        <w:gridCol w:w="1980"/>
      </w:tblGrid>
      <w:tr>
        <w:trPr>
          <w:trHeight w:val="397"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4,608,389.06</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11,216,452.67</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5,016,439.28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13,335,761.73</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131,148.85</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35,043,139.88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24,677,692.69</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3,948.72</w:t>
            </w:r>
          </w:p>
        </w:tc>
      </w:tr>
      <w:tr>
        <w:trPr>
          <w:trHeight w:val="403"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4,956.90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10,038.46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40"/>
        <w:gridCol w:w="1440"/>
        <w:gridCol w:w="1980"/>
        <w:gridCol w:w="1980"/>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36,323,928.38</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6,837.60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4,356.04</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13,126.50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600,503.60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1,116,316.08</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1,735.03</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676.92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916,297.49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643,660.29</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923.07</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486,541.92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335,172.15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199,261.32</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9,774,084.00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21,085,892.31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35,053.85</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502,203.76</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1,969,347.34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962,264.15</w:t>
            </w:r>
          </w:p>
        </w:tc>
      </w:tr>
    </w:tbl>
    <w:p>
      <w:pPr>
        <w:pStyle w:val="BodyText"/>
        <w:spacing w:line="357" w:lineRule="auto" w:before="51"/>
        <w:ind w:left="444" w:right="4520" w:hanging="291"/>
        <w:jc w:val="left"/>
      </w:pPr>
      <w:r>
        <w:rPr/>
        <w:t>购销商品、提供和接受劳务的关联交易说明 公司向关联方销售货物定价的原则：按照公平、公正的市场原则进行定价。</w:t>
      </w:r>
    </w:p>
    <w:p>
      <w:pPr>
        <w:spacing w:line="240" w:lineRule="auto" w:before="2"/>
        <w:rPr>
          <w:rFonts w:ascii="宋体" w:hAnsi="宋体" w:cs="宋体" w:eastAsia="宋体" w:hint="default"/>
          <w:sz w:val="20"/>
          <w:szCs w:val="20"/>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t>本公司作为承租方：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1,967,738.47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1,669,466.32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北京盛世繁花国际传媒广告 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19,034,792.33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91"/>
        <w:jc w:val="left"/>
      </w:pPr>
      <w:r>
        <w:rPr/>
        <w:t>关联租赁情况说明</w:t>
      </w:r>
    </w:p>
    <w:p>
      <w:pPr>
        <w:pStyle w:val="BodyText"/>
        <w:spacing w:line="300" w:lineRule="auto" w:before="116"/>
        <w:ind w:left="153" w:right="891" w:firstLine="362"/>
        <w:jc w:val="left"/>
      </w:pPr>
      <w:r>
        <w:rPr/>
        <w:t>①本报告期，北明软件依据租赁合同承租关联方广州移动科技有限公司办公楼，承租期为自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160,915.00</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；北明软件子公司广州市龙泰信息技术 </w:t>
      </w:r>
      <w:r>
        <w:rPr>
          <w:spacing w:val="-1"/>
        </w:rPr>
        <w:t>有限公司依据租赁合同承租关联方广州移动科技有限公司办公楼，承租期为自</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日，租赁费</w:t>
      </w:r>
      <w:r>
        <w:rPr>
          <w:rFonts w:ascii="Times New Roman" w:hAnsi="Times New Roman" w:cs="Times New Roman" w:eastAsia="Times New Roman" w:hint="default"/>
          <w:spacing w:val="-1"/>
        </w:rPr>
        <w:t>4,763</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2018</w:t>
      </w:r>
      <w:r>
        <w:rPr/>
        <w:t>年月租金为</w:t>
      </w:r>
      <w:r>
        <w:rPr>
          <w:rFonts w:ascii="Times New Roman" w:hAnsi="Times New Roman" w:cs="Times New Roman" w:eastAsia="Times New Roman" w:hint="default"/>
        </w:rPr>
        <w:t>5,251.21</w:t>
      </w:r>
      <w:r>
        <w:rPr/>
        <w:t>元</w:t>
      </w:r>
      <w:r>
        <w:rPr>
          <w:rFonts w:ascii="Times New Roman" w:hAnsi="Times New Roman" w:cs="Times New Roman" w:eastAsia="Times New Roman" w:hint="default"/>
        </w:rPr>
        <w:t>/</w:t>
      </w:r>
      <w:r>
        <w:rPr/>
        <w:t>月。</w:t>
      </w:r>
    </w:p>
    <w:p>
      <w:pPr>
        <w:pStyle w:val="BodyText"/>
        <w:spacing w:line="300" w:lineRule="auto" w:before="13"/>
        <w:ind w:left="153" w:right="891" w:firstLine="300"/>
        <w:jc w:val="left"/>
      </w:pPr>
      <w:r>
        <w:rPr>
          <w:spacing w:val="-1"/>
        </w:rPr>
        <w:t>②本报告期，北明软件依据租赁合同承租关联方北京盛世繁花国际传媒广告有限公司办公楼，承租期为自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日，租赁费</w:t>
      </w:r>
      <w:r>
        <w:rPr>
          <w:rFonts w:ascii="Times New Roman" w:hAnsi="Times New Roman" w:cs="Times New Roman" w:eastAsia="Times New Roman" w:hint="default"/>
        </w:rPr>
        <w:t>18,632,611.00</w:t>
      </w:r>
      <w:r>
        <w:rPr/>
        <w:t>元</w:t>
      </w:r>
      <w:r>
        <w:rPr>
          <w:rFonts w:ascii="Times New Roman" w:hAnsi="Times New Roman" w:cs="Times New Roman" w:eastAsia="Times New Roman" w:hint="default"/>
        </w:rPr>
        <w:t>/</w:t>
      </w:r>
      <w:r>
        <w:rPr/>
        <w:t>年，根据合同规定，租金每两年一递增，递增比例较上两年度租金增长</w:t>
      </w:r>
      <w:r>
        <w:rPr>
          <w:rFonts w:ascii="Times New Roman" w:hAnsi="Times New Roman" w:cs="Times New Roman" w:eastAsia="Times New Roman" w:hint="default"/>
        </w:rPr>
        <w:t>8%</w:t>
      </w:r>
      <w:r>
        <w:rPr/>
        <w:t>。</w:t>
      </w:r>
    </w:p>
    <w:p>
      <w:pPr>
        <w:spacing w:line="240" w:lineRule="auto" w:before="7"/>
        <w:rPr>
          <w:rFonts w:ascii="宋体" w:hAnsi="宋体" w:cs="宋体" w:eastAsia="宋体" w:hint="default"/>
          <w:sz w:val="17"/>
          <w:szCs w:val="17"/>
        </w:rPr>
      </w:pPr>
    </w:p>
    <w:p>
      <w:pPr>
        <w:pStyle w:val="BodyText"/>
        <w:spacing w:line="300" w:lineRule="auto"/>
        <w:ind w:left="153" w:right="1056" w:firstLine="300"/>
        <w:jc w:val="left"/>
      </w:pPr>
      <w:r>
        <w:rPr/>
        <w:t>③本报告期，北京爱意生活依据租赁合同承租关联方北京盛世繁花国际传媒广告有限公司办公楼，承租期为自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1,206,544.00</w:t>
      </w:r>
      <w:r>
        <w:rPr/>
        <w:t>元</w:t>
      </w:r>
      <w:r>
        <w:rPr>
          <w:rFonts w:ascii="Times New Roman" w:hAnsi="Times New Roman" w:cs="Times New Roman" w:eastAsia="Times New Roman" w:hint="default"/>
        </w:rPr>
        <w:t>/</w:t>
      </w:r>
      <w:r>
        <w:rPr/>
        <w:t>年，根据合同规定，租金每两年一递增，递增比例较上两年度租金增长</w:t>
      </w:r>
      <w:r>
        <w:rPr>
          <w:rFonts w:ascii="Times New Roman" w:hAnsi="Times New Roman" w:cs="Times New Roman" w:eastAsia="Times New Roman" w:hint="default"/>
        </w:rPr>
        <w:t>8%</w:t>
      </w:r>
      <w:r>
        <w:rPr/>
        <w:t>。</w:t>
      </w:r>
    </w:p>
    <w:p>
      <w:pPr>
        <w:spacing w:after="0" w:line="300" w:lineRule="auto"/>
        <w:jc w:val="left"/>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t>本公司作为担保方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40"/>
        <w:gridCol w:w="1260"/>
        <w:gridCol w:w="1620"/>
        <w:gridCol w:w="1620"/>
        <w:gridCol w:w="1914"/>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89,708,380.47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42,549,444.44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11"/>
        <w:gridCol w:w="1289"/>
        <w:gridCol w:w="1620"/>
        <w:gridCol w:w="1620"/>
        <w:gridCol w:w="1914"/>
      </w:tblGrid>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58,249,788.96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65,576,465.33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128,240,398.16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2,456,687.06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3,562,432.09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left="153" w:right="891"/>
        <w:jc w:val="left"/>
      </w:pPr>
      <w:r>
        <w:rPr/>
        <w:t>本公司作为被担保方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440"/>
        <w:gridCol w:w="1553"/>
        <w:gridCol w:w="1620"/>
        <w:gridCol w:w="191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31"/>
        <w:gridCol w:w="1469"/>
        <w:gridCol w:w="1553"/>
        <w:gridCol w:w="1620"/>
        <w:gridCol w:w="1914"/>
      </w:tblGrid>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12,936,672.17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161,074,501.51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91"/>
        <w:jc w:val="left"/>
      </w:pPr>
      <w:r>
        <w:rPr/>
        <w:t>关联担保情况说明</w:t>
      </w:r>
    </w:p>
    <w:p>
      <w:pPr>
        <w:pStyle w:val="BodyText"/>
        <w:spacing w:line="316" w:lineRule="auto" w:before="116"/>
        <w:ind w:left="513" w:right="1166"/>
        <w:jc w:val="left"/>
      </w:pPr>
      <w:r>
        <w:rPr/>
        <w:t>①借款担保情况 本公司期末保证短期借款</w:t>
      </w:r>
      <w:r>
        <w:rPr>
          <w:rFonts w:ascii="Times New Roman" w:hAnsi="Times New Roman" w:cs="Times New Roman" w:eastAsia="Times New Roman" w:hint="default"/>
        </w:rPr>
        <w:t>1,687,700,000.00</w:t>
      </w:r>
      <w:r>
        <w:rPr/>
        <w:t>元、长期借款</w:t>
      </w:r>
      <w:r>
        <w:rPr>
          <w:rFonts w:ascii="Times New Roman" w:hAnsi="Times New Roman" w:cs="Times New Roman" w:eastAsia="Times New Roman" w:hint="default"/>
        </w:rPr>
        <w:t>660,000,000.00</w:t>
      </w:r>
      <w:r>
        <w:rPr/>
        <w:t>元由石家庄常山纺织集团有限责任公司提供保证</w:t>
      </w:r>
    </w:p>
    <w:p>
      <w:pPr>
        <w:pStyle w:val="BodyText"/>
        <w:spacing w:line="235" w:lineRule="exact"/>
        <w:ind w:left="153" w:right="891"/>
        <w:jc w:val="left"/>
      </w:pPr>
      <w:r>
        <w:rPr/>
        <w:t>担保。</w:t>
      </w:r>
    </w:p>
    <w:p>
      <w:pPr>
        <w:pStyle w:val="BodyText"/>
        <w:spacing w:line="316" w:lineRule="auto" w:before="76"/>
        <w:ind w:left="513" w:right="891"/>
        <w:jc w:val="left"/>
      </w:pPr>
      <w:r>
        <w:rPr/>
        <w:t>②其他担保情况 </w:t>
      </w:r>
      <w:r>
        <w:rPr>
          <w:spacing w:val="-1"/>
        </w:rPr>
        <w:t>石家庄常山纺织集团有限责任公司为本公司</w:t>
      </w:r>
      <w:r>
        <w:rPr>
          <w:rFonts w:ascii="Times New Roman" w:hAnsi="Times New Roman" w:cs="Times New Roman" w:eastAsia="Times New Roman" w:hint="default"/>
          <w:spacing w:val="-1"/>
        </w:rPr>
        <w:t>242,936,672.17</w:t>
      </w:r>
      <w:r>
        <w:rPr>
          <w:spacing w:val="-1"/>
        </w:rPr>
        <w:t>元的信用证、</w:t>
      </w:r>
      <w:r>
        <w:rPr>
          <w:rFonts w:ascii="Times New Roman" w:hAnsi="Times New Roman" w:cs="Times New Roman" w:eastAsia="Times New Roman" w:hint="default"/>
          <w:spacing w:val="-1"/>
        </w:rPr>
        <w:t>9,000,000.00</w:t>
      </w:r>
      <w:r>
        <w:rPr>
          <w:spacing w:val="-1"/>
        </w:rPr>
        <w:t>元的银行保函、</w:t>
      </w:r>
      <w:r>
        <w:rPr>
          <w:rFonts w:ascii="Times New Roman" w:hAnsi="Times New Roman" w:cs="Times New Roman" w:eastAsia="Times New Roman" w:hint="default"/>
          <w:spacing w:val="-1"/>
        </w:rPr>
        <w:t>161,074,501.51</w:t>
      </w:r>
      <w:r>
        <w:rPr>
          <w:spacing w:val="-1"/>
        </w:rPr>
        <w:t>元的</w:t>
      </w:r>
      <w:r>
        <w:rPr/>
      </w:r>
    </w:p>
    <w:p>
      <w:pPr>
        <w:pStyle w:val="BodyText"/>
        <w:spacing w:line="235" w:lineRule="exact"/>
        <w:ind w:left="153" w:right="891"/>
        <w:jc w:val="left"/>
      </w:pPr>
      <w:r>
        <w:rPr/>
        <w:t>设备融资租赁提供保证担保。</w:t>
      </w:r>
    </w:p>
    <w:p>
      <w:pPr>
        <w:pStyle w:val="BodyText"/>
        <w:spacing w:line="316" w:lineRule="auto" w:before="76"/>
        <w:ind w:left="513" w:right="1121"/>
        <w:jc w:val="left"/>
      </w:pPr>
      <w:r>
        <w:rPr/>
        <w:t>③为子公司担保 本公司为子公司石家庄常山恒新纺织有限公司流动资金借款</w:t>
      </w:r>
      <w:r>
        <w:rPr>
          <w:rFonts w:ascii="Times New Roman" w:hAnsi="Times New Roman" w:cs="Times New Roman" w:eastAsia="Times New Roman" w:hint="default"/>
        </w:rPr>
        <w:t>200,000,000.00</w:t>
      </w:r>
      <w:r>
        <w:rPr/>
        <w:t>元、信用证</w:t>
      </w:r>
      <w:r>
        <w:rPr>
          <w:rFonts w:ascii="Times New Roman" w:hAnsi="Times New Roman" w:cs="Times New Roman" w:eastAsia="Times New Roman" w:hint="default"/>
        </w:rPr>
        <w:t>143,750,000.00</w:t>
      </w:r>
      <w:r>
        <w:rPr/>
        <w:t>元和设备融资租赁</w:t>
      </w:r>
    </w:p>
    <w:p>
      <w:pPr>
        <w:pStyle w:val="BodyText"/>
        <w:spacing w:line="300" w:lineRule="auto"/>
        <w:ind w:left="513" w:right="891" w:hanging="360"/>
        <w:jc w:val="left"/>
      </w:pPr>
      <w:r>
        <w:rPr>
          <w:rFonts w:ascii="Times New Roman" w:hAnsi="Times New Roman" w:cs="Times New Roman" w:eastAsia="Times New Roman" w:hint="default"/>
        </w:rPr>
        <w:t>132,257,824.91</w:t>
      </w:r>
      <w:r>
        <w:rPr/>
        <w:t>元提供保证担保。 </w:t>
      </w:r>
      <w:r>
        <w:rPr>
          <w:spacing w:val="-2"/>
        </w:rPr>
        <w:t>本公司为子公司石家庄常山恒荣进出口贸易有限公司流动资金借款</w:t>
      </w:r>
      <w:r>
        <w:rPr>
          <w:rFonts w:ascii="Times New Roman" w:hAnsi="Times New Roman" w:cs="Times New Roman" w:eastAsia="Times New Roman" w:hint="default"/>
          <w:spacing w:val="-2"/>
        </w:rPr>
        <w:t>10,000,000.00</w:t>
      </w:r>
      <w:r>
        <w:rPr>
          <w:spacing w:val="-2"/>
        </w:rPr>
        <w:t>元，信用证</w:t>
      </w:r>
      <w:r>
        <w:rPr>
          <w:rFonts w:ascii="Times New Roman" w:hAnsi="Times New Roman" w:cs="Times New Roman" w:eastAsia="Times New Roman" w:hint="default"/>
          <w:spacing w:val="-2"/>
        </w:rPr>
        <w:t>375,000,000.00</w:t>
      </w:r>
      <w:r>
        <w:rPr>
          <w:spacing w:val="-2"/>
        </w:rPr>
        <w:t>元提供保证担</w:t>
      </w:r>
    </w:p>
    <w:p>
      <w:pPr>
        <w:pStyle w:val="BodyText"/>
        <w:spacing w:line="240" w:lineRule="auto" w:before="13"/>
        <w:ind w:left="153" w:right="891"/>
        <w:jc w:val="left"/>
      </w:pPr>
      <w:r>
        <w:rPr/>
        <w:t>保。</w:t>
      </w:r>
    </w:p>
    <w:p>
      <w:pPr>
        <w:pStyle w:val="BodyText"/>
        <w:spacing w:line="240" w:lineRule="auto" w:before="76"/>
        <w:ind w:left="513" w:right="891"/>
        <w:jc w:val="left"/>
      </w:pPr>
      <w:r>
        <w:rPr/>
        <w:t>本公司为子公司北明软件有限公司流动资金借款</w:t>
      </w:r>
      <w:r>
        <w:rPr>
          <w:rFonts w:ascii="Times New Roman" w:hAnsi="Times New Roman" w:cs="Times New Roman" w:eastAsia="Times New Roman" w:hint="default"/>
        </w:rPr>
        <w:t>1,370,845,000.00</w:t>
      </w:r>
      <w:r>
        <w:rPr/>
        <w:t>元、银行承兑汇票</w:t>
      </w:r>
      <w:r>
        <w:rPr>
          <w:rFonts w:ascii="Times New Roman" w:hAnsi="Times New Roman" w:cs="Times New Roman" w:eastAsia="Times New Roman" w:hint="default"/>
        </w:rPr>
        <w:t>58,249,788.96</w:t>
      </w:r>
      <w:r>
        <w:rPr/>
        <w:t>元、信用证</w:t>
      </w:r>
    </w:p>
    <w:p>
      <w:pPr>
        <w:pStyle w:val="BodyText"/>
        <w:spacing w:line="240" w:lineRule="auto" w:before="63"/>
        <w:ind w:left="153" w:right="891"/>
        <w:jc w:val="left"/>
      </w:pPr>
      <w:r>
        <w:rPr>
          <w:rFonts w:ascii="Times New Roman" w:hAnsi="Times New Roman" w:cs="Times New Roman" w:eastAsia="Times New Roman" w:hint="default"/>
        </w:rPr>
        <w:t>128,240,398.16</w:t>
      </w:r>
      <w:r>
        <w:rPr/>
        <w:t>元、银行保函</w:t>
      </w:r>
      <w:r>
        <w:rPr>
          <w:rFonts w:ascii="Times New Roman" w:hAnsi="Times New Roman" w:cs="Times New Roman" w:eastAsia="Times New Roman" w:hint="default"/>
        </w:rPr>
        <w:t>65,576,465.33</w:t>
      </w:r>
      <w:r>
        <w:rPr/>
        <w:t>元提供保证担保。</w:t>
      </w:r>
    </w:p>
    <w:p>
      <w:pPr>
        <w:pStyle w:val="BodyText"/>
        <w:spacing w:line="240" w:lineRule="auto" w:before="63"/>
        <w:ind w:left="0" w:right="1130"/>
        <w:jc w:val="right"/>
      </w:pPr>
      <w:r>
        <w:rPr>
          <w:spacing w:val="11"/>
        </w:rPr>
        <w:t>北明软件有限公司为其子公司北京天时前程自动化工程技术有限公司流动资金借款</w:t>
      </w:r>
      <w:r>
        <w:rPr>
          <w:rFonts w:ascii="Times New Roman" w:hAnsi="Times New Roman" w:cs="Times New Roman" w:eastAsia="Times New Roman" w:hint="default"/>
          <w:spacing w:val="11"/>
        </w:rPr>
        <w:t>17,956,687.06</w:t>
      </w:r>
      <w:r>
        <w:rPr>
          <w:spacing w:val="11"/>
        </w:rPr>
        <w:t>元、银行保函</w:t>
      </w:r>
    </w:p>
    <w:p>
      <w:pPr>
        <w:pStyle w:val="BodyText"/>
        <w:spacing w:line="240" w:lineRule="auto" w:before="63"/>
        <w:ind w:left="153" w:right="891"/>
        <w:jc w:val="left"/>
      </w:pPr>
      <w:r>
        <w:rPr>
          <w:rFonts w:ascii="Times New Roman" w:hAnsi="Times New Roman" w:cs="Times New Roman" w:eastAsia="Times New Roman" w:hint="default"/>
        </w:rPr>
        <w:t>3,562,432.09</w:t>
      </w:r>
      <w:r>
        <w:rPr/>
        <w:t>元提供保证担保。</w:t>
      </w:r>
    </w:p>
    <w:p>
      <w:pPr>
        <w:spacing w:line="240" w:lineRule="auto" w:before="3"/>
        <w:rPr>
          <w:rFonts w:ascii="宋体" w:hAnsi="宋体" w:cs="宋体" w:eastAsia="宋体" w:hint="default"/>
          <w:sz w:val="21"/>
          <w:szCs w:val="21"/>
        </w:rPr>
      </w:pPr>
    </w:p>
    <w:p>
      <w:pPr>
        <w:pStyle w:val="Heading3"/>
        <w:spacing w:line="240" w:lineRule="auto"/>
        <w:ind w:right="891"/>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8,952,176.60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5,949,300.00</w:t>
            </w:r>
          </w:p>
        </w:tc>
      </w:tr>
    </w:tbl>
    <w:p>
      <w:pPr>
        <w:spacing w:line="240" w:lineRule="auto" w:before="7"/>
        <w:rPr>
          <w:rFonts w:ascii="宋体" w:hAnsi="宋体" w:cs="宋体" w:eastAsia="宋体" w:hint="default"/>
          <w:sz w:val="14"/>
          <w:szCs w:val="14"/>
        </w:rPr>
      </w:pPr>
    </w:p>
    <w:p>
      <w:pPr>
        <w:pStyle w:val="Heading3"/>
        <w:spacing w:line="240" w:lineRule="auto" w:before="35"/>
        <w:ind w:right="891"/>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780"/>
        <w:gridCol w:w="1260"/>
        <w:gridCol w:w="1106"/>
        <w:gridCol w:w="1234"/>
        <w:gridCol w:w="1080"/>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378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198,372.15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1,983.72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3,544,491.80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335,439.65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6,073,576.28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1,107,194.43</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3,864,380.00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38,643.80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311,847.34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15,592.37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5,343,890.83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230,075.04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1,409,989.12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56,399.56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80"/>
        <w:gridCol w:w="3780"/>
        <w:gridCol w:w="1260"/>
        <w:gridCol w:w="1106"/>
        <w:gridCol w:w="1234"/>
        <w:gridCol w:w="1080"/>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5,053.00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202.12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259,182.56</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259,182.56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2,462,300.63</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4,092,376.86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1,581,957.15</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3,286,393.91</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4,840,962.70</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4,983,919.88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479,245.98</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0"/>
        <w:gridCol w:w="3960"/>
        <w:gridCol w:w="1980"/>
        <w:gridCol w:w="1980"/>
      </w:tblGrid>
      <w:tr>
        <w:trPr>
          <w:trHeight w:val="396"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4,337,497.60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5,556,669.41</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132,974.00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44,064.77</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480,460.55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320,371.25</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2,570,283.02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1,556,179.24</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5,021,810.59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5,427,117.52</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6,538,453.32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25,787.03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10,112.58</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2,132,090.08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1,859,328.35</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1,396,587.00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1,396,587.00</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78,767.05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78,767.05</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488,000.00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3"/>
        <w:rPr>
          <w:rFonts w:ascii="宋体" w:hAnsi="宋体" w:cs="宋体" w:eastAsia="宋体" w:hint="default"/>
          <w:sz w:val="18"/>
          <w:szCs w:val="18"/>
        </w:rPr>
      </w:pPr>
    </w:p>
    <w:p>
      <w:pPr>
        <w:pStyle w:val="Heading2"/>
        <w:spacing w:line="240" w:lineRule="auto" w:before="26"/>
        <w:ind w:right="891"/>
        <w:jc w:val="left"/>
        <w:rPr>
          <w:b w:val="0"/>
          <w:bCs w:val="0"/>
        </w:rPr>
      </w:pP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91"/>
        <w:jc w:val="left"/>
      </w:pPr>
      <w:r>
        <w:rPr/>
        <w:t>资产负债表日存在的重要承诺</w:t>
      </w:r>
    </w:p>
    <w:p>
      <w:pPr>
        <w:pStyle w:val="BodyText"/>
        <w:spacing w:line="307" w:lineRule="auto" w:before="116"/>
        <w:ind w:left="153" w:right="1130" w:firstLine="360"/>
        <w:jc w:val="both"/>
      </w:pPr>
      <w:r>
        <w:rPr>
          <w:rFonts w:ascii="Times New Roman" w:hAnsi="Times New Roman" w:cs="Times New Roman" w:eastAsia="Times New Roman" w:hint="default"/>
          <w:spacing w:val="-2"/>
        </w:rPr>
        <w:t>1</w:t>
      </w:r>
      <w:r>
        <w:rPr>
          <w:spacing w:val="-2"/>
        </w:rPr>
        <w:t>、经公司于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日召开的董事会六届二次会议审议通过，公司之全资子公司北明软件有限公司为了自身业务发</w:t>
      </w:r>
      <w:r>
        <w:rPr/>
        <w:t> </w:t>
      </w:r>
      <w:r>
        <w:rPr>
          <w:spacing w:val="-2"/>
        </w:rPr>
        <w:t>展需要，以自有资金收购索科维尔（北京）软件系统有限公司、北京天时前程自动化工程技术有限公司、山东成功信息技术</w:t>
      </w:r>
      <w:r>
        <w:rPr>
          <w:spacing w:val="-66"/>
        </w:rPr>
        <w:t> </w:t>
      </w:r>
      <w:r>
        <w:rPr>
          <w:spacing w:val="-66"/>
        </w:rPr>
      </w:r>
      <w:r>
        <w:rPr/>
        <w:t>有限公司、北京明润华创科技有限责任公司四家公司股权，截至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日，上述交易完成，索科维尔、天时前程、山 东成功和明润华创成为北明软件的全资子公司。</w:t>
      </w:r>
    </w:p>
    <w:p>
      <w:pPr>
        <w:pStyle w:val="BodyText"/>
        <w:spacing w:line="312" w:lineRule="auto" w:before="64"/>
        <w:ind w:left="153" w:right="1129" w:firstLine="360"/>
        <w:jc w:val="both"/>
      </w:pPr>
      <w:r>
        <w:rPr>
          <w:spacing w:val="-2"/>
        </w:rPr>
        <w:t>根据北明软件分别与各交易对手方签署的《股权转让协议》，北京明润华创科技有限责任公司、北京天时前程自动化工</w:t>
      </w:r>
      <w:r>
        <w:rPr/>
        <w:t> </w:t>
      </w:r>
      <w:r>
        <w:rPr>
          <w:spacing w:val="-2"/>
        </w:rPr>
        <w:t>程技术有限公司、索科维尔（北京）软件系统有限公司、山东成功信息技术有限公司分别承诺业绩承诺期间累计扣除非经常</w:t>
      </w:r>
      <w:r>
        <w:rPr>
          <w:spacing w:val="-66"/>
        </w:rPr>
        <w:t> </w:t>
      </w:r>
      <w:r>
        <w:rPr>
          <w:spacing w:val="-66"/>
        </w:rPr>
      </w:r>
      <w:r>
        <w:rPr/>
        <w:t>损益的净利润完成</w:t>
      </w:r>
      <w:r>
        <w:rPr>
          <w:rFonts w:ascii="Times New Roman" w:hAnsi="Times New Roman" w:cs="Times New Roman" w:eastAsia="Times New Roman" w:hint="default"/>
        </w:rPr>
        <w:t>2,245.00</w:t>
      </w:r>
      <w:r>
        <w:rPr/>
        <w:t>万元、</w:t>
      </w:r>
      <w:r>
        <w:rPr>
          <w:rFonts w:ascii="Times New Roman" w:hAnsi="Times New Roman" w:cs="Times New Roman" w:eastAsia="Times New Roman" w:hint="default"/>
        </w:rPr>
        <w:t>10,379.00</w:t>
      </w:r>
      <w:r>
        <w:rPr/>
        <w:t>万元、</w:t>
      </w:r>
      <w:r>
        <w:rPr>
          <w:rFonts w:ascii="Times New Roman" w:hAnsi="Times New Roman" w:cs="Times New Roman" w:eastAsia="Times New Roman" w:hint="default"/>
        </w:rPr>
        <w:t>6,631.00</w:t>
      </w:r>
      <w:r>
        <w:rPr/>
        <w:t>万元和</w:t>
      </w:r>
      <w:r>
        <w:rPr>
          <w:rFonts w:ascii="Times New Roman" w:hAnsi="Times New Roman" w:cs="Times New Roman" w:eastAsia="Times New Roman" w:hint="default"/>
        </w:rPr>
        <w:t>2,306.25</w:t>
      </w:r>
      <w:r>
        <w:rPr/>
        <w:t>万元，上述四家公司累计实际扣非后净利润分别为 </w:t>
      </w:r>
      <w:r>
        <w:rPr>
          <w:rFonts w:ascii="Times New Roman" w:hAnsi="Times New Roman" w:cs="Times New Roman" w:eastAsia="Times New Roman" w:hint="default"/>
        </w:rPr>
        <w:t>2,320.66</w:t>
      </w:r>
      <w:r>
        <w:rPr/>
        <w:t>万元、</w:t>
      </w:r>
      <w:r>
        <w:rPr>
          <w:rFonts w:ascii="Times New Roman" w:hAnsi="Times New Roman" w:cs="Times New Roman" w:eastAsia="Times New Roman" w:hint="default"/>
        </w:rPr>
        <w:t>10,549.40</w:t>
      </w:r>
      <w:r>
        <w:rPr/>
        <w:t>万元、</w:t>
      </w:r>
      <w:r>
        <w:rPr>
          <w:rFonts w:ascii="Times New Roman" w:hAnsi="Times New Roman" w:cs="Times New Roman" w:eastAsia="Times New Roman" w:hint="default"/>
        </w:rPr>
        <w:t>4,558.95</w:t>
      </w:r>
      <w:r>
        <w:rPr/>
        <w:t>万元和</w:t>
      </w:r>
      <w:r>
        <w:rPr>
          <w:rFonts w:ascii="Times New Roman" w:hAnsi="Times New Roman" w:cs="Times New Roman" w:eastAsia="Times New Roman" w:hint="default"/>
        </w:rPr>
        <w:t>2,546.13</w:t>
      </w:r>
      <w:r>
        <w:rPr/>
        <w:t>万元，其中北京明润华创科技有限责任公司、北京天时前程自动化工 </w:t>
      </w:r>
      <w:r>
        <w:rPr>
          <w:spacing w:val="-2"/>
        </w:rPr>
        <w:t>程技术有限公司、山东成功信息技术有限公司三家公司超额完成了业绩承诺，索科维尔（北京）软件系统有限公司没有完成</w:t>
      </w:r>
      <w:r>
        <w:rPr>
          <w:spacing w:val="-66"/>
        </w:rPr>
        <w:t> </w:t>
      </w:r>
      <w:r>
        <w:rPr>
          <w:spacing w:val="-66"/>
        </w:rPr>
      </w:r>
      <w:r>
        <w:rPr/>
        <w:t>业绩承诺。</w:t>
      </w:r>
    </w:p>
    <w:p>
      <w:pPr>
        <w:pStyle w:val="BodyText"/>
        <w:spacing w:line="240" w:lineRule="auto" w:before="61"/>
        <w:ind w:left="513" w:right="891"/>
        <w:jc w:val="left"/>
      </w:pPr>
      <w:r>
        <w:rPr>
          <w:rFonts w:ascii="Times New Roman" w:hAnsi="Times New Roman" w:cs="Times New Roman" w:eastAsia="Times New Roman" w:hint="default"/>
        </w:rPr>
        <w:t>2</w:t>
      </w:r>
      <w:r>
        <w:rPr/>
        <w:t>、经公司于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日召开的董事会六届十次会议审议通过，公司之全资子公司北明软件有限公司为了自身业务发</w:t>
      </w:r>
    </w:p>
    <w:p>
      <w:pPr>
        <w:spacing w:after="0" w:line="240" w:lineRule="auto"/>
        <w:jc w:val="left"/>
        <w:sectPr>
          <w:pgSz w:w="11910" w:h="16840"/>
          <w:pgMar w:header="747" w:footer="941" w:top="1060" w:bottom="114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138"/>
        <w:jc w:val="both"/>
      </w:pPr>
      <w:r>
        <w:rPr/>
        <w:t>展需要，以自有资金收购北京金实盈信科技有限公司股权，截至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日，上述交易完成北京金实盈信科技有限公司 成为北明软件的全资子公司。</w:t>
      </w:r>
    </w:p>
    <w:p>
      <w:pPr>
        <w:pStyle w:val="BodyText"/>
        <w:spacing w:line="300" w:lineRule="auto" w:before="68"/>
        <w:ind w:left="153" w:right="891" w:firstLine="290"/>
        <w:jc w:val="left"/>
      </w:pPr>
      <w:r>
        <w:rPr>
          <w:spacing w:val="-1"/>
        </w:rPr>
        <w:t>根据北明软件与交易对手方签署的《股权转让协议》，北京金实盈信科技有限公司承诺</w:t>
      </w:r>
      <w:r>
        <w:rPr>
          <w:rFonts w:ascii="Times New Roman" w:hAnsi="Times New Roman" w:cs="Times New Roman" w:eastAsia="Times New Roman" w:hint="default"/>
          <w:spacing w:val="-1"/>
        </w:rPr>
        <w:t>2018</w:t>
      </w:r>
      <w:r>
        <w:rPr>
          <w:spacing w:val="-1"/>
        </w:rPr>
        <w:t>年扣除非经常性损益的净利</w:t>
      </w:r>
      <w:r>
        <w:rPr/>
        <w:t> 润完成</w:t>
      </w:r>
      <w:r>
        <w:rPr>
          <w:rFonts w:ascii="Times New Roman" w:hAnsi="Times New Roman" w:cs="Times New Roman" w:eastAsia="Times New Roman" w:hint="default"/>
        </w:rPr>
        <w:t>2,185.00</w:t>
      </w:r>
      <w:r>
        <w:rPr/>
        <w:t>万元，当年实际扣非后净利润为</w:t>
      </w:r>
      <w:r>
        <w:rPr>
          <w:rFonts w:ascii="Times New Roman" w:hAnsi="Times New Roman" w:cs="Times New Roman" w:eastAsia="Times New Roman" w:hint="default"/>
        </w:rPr>
        <w:t>2,190.36</w:t>
      </w:r>
      <w:r>
        <w:rPr/>
        <w:t>万元，超额完成了业绩承诺。</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9" w:right="891"/>
        <w:jc w:val="left"/>
      </w:pPr>
      <w:r>
        <w:rPr/>
        <w:t>1、利润分配</w:t>
      </w:r>
    </w:p>
    <w:p>
      <w:pPr>
        <w:pStyle w:val="BodyText"/>
        <w:spacing w:line="240" w:lineRule="auto" w:before="76"/>
        <w:ind w:left="513" w:right="891"/>
        <w:jc w:val="left"/>
      </w:pPr>
      <w:r>
        <w:rPr/>
        <w:t>根据公司七届四次董事会会议决议，鉴于</w:t>
      </w:r>
      <w:r>
        <w:rPr>
          <w:spacing w:val="-41"/>
        </w:rPr>
        <w:t> </w:t>
      </w:r>
      <w:r>
        <w:rPr/>
        <w:t>2019</w:t>
      </w:r>
      <w:r>
        <w:rPr>
          <w:spacing w:val="-41"/>
        </w:rPr>
        <w:t> </w:t>
      </w:r>
      <w:r>
        <w:rPr/>
        <w:t>年公司进入快速发展和投入期，需要较大的资金进行产业投资，同时，</w:t>
      </w:r>
    </w:p>
    <w:p>
      <w:pPr>
        <w:pStyle w:val="BodyText"/>
        <w:spacing w:line="316" w:lineRule="auto" w:before="76"/>
        <w:ind w:left="153" w:right="1129"/>
        <w:jc w:val="both"/>
      </w:pPr>
      <w:r>
        <w:rPr/>
        <w:t>公司正在进行股份回购，回购资金约为</w:t>
      </w:r>
      <w:r>
        <w:rPr>
          <w:spacing w:val="-66"/>
        </w:rPr>
        <w:t> </w:t>
      </w:r>
      <w:r>
        <w:rPr/>
        <w:t>3</w:t>
      </w:r>
      <w:r>
        <w:rPr>
          <w:spacing w:val="-65"/>
        </w:rPr>
        <w:t> </w:t>
      </w:r>
      <w:r>
        <w:rPr/>
        <w:t>亿元至</w:t>
      </w:r>
      <w:r>
        <w:rPr>
          <w:spacing w:val="-66"/>
        </w:rPr>
        <w:t> </w:t>
      </w:r>
      <w:r>
        <w:rPr/>
        <w:t>6</w:t>
      </w:r>
      <w:r>
        <w:rPr>
          <w:spacing w:val="-66"/>
        </w:rPr>
        <w:t> </w:t>
      </w:r>
      <w:r>
        <w:rPr/>
        <w:t>亿元，所需资金量也较大。为保证公司有较稳定的现金流，实现持续健康</w:t>
      </w:r>
      <w:r>
        <w:rPr/>
        <w:t> 发展，为股东创造更大和更长远的利益，2018</w:t>
      </w:r>
      <w:r>
        <w:rPr>
          <w:spacing w:val="-46"/>
        </w:rPr>
        <w:t> </w:t>
      </w:r>
      <w:r>
        <w:rPr/>
        <w:t>年度公司不进行现金分红，也不进行资本公积金转增股本。</w:t>
      </w:r>
    </w:p>
    <w:p>
      <w:pPr>
        <w:pStyle w:val="BodyText"/>
        <w:spacing w:line="240" w:lineRule="auto" w:before="19"/>
        <w:ind w:left="539" w:right="891"/>
        <w:jc w:val="left"/>
      </w:pPr>
      <w:r>
        <w:rPr/>
        <w:t>2、收到搬迁支持资金</w:t>
      </w:r>
    </w:p>
    <w:p>
      <w:pPr>
        <w:pStyle w:val="BodyText"/>
        <w:spacing w:line="240" w:lineRule="auto" w:before="76"/>
        <w:ind w:left="510" w:right="891"/>
        <w:jc w:val="left"/>
      </w:pPr>
      <w:r>
        <w:rPr>
          <w:spacing w:val="-4"/>
        </w:rPr>
        <w:t>公司原棉三、棉四厂区土地，于</w:t>
      </w:r>
      <w:r>
        <w:rPr>
          <w:spacing w:val="-48"/>
        </w:rPr>
        <w:t> </w:t>
      </w:r>
      <w:r>
        <w:rPr/>
        <w:t>2015</w:t>
      </w:r>
      <w:r>
        <w:rPr>
          <w:spacing w:val="-47"/>
        </w:rPr>
        <w:t> </w:t>
      </w:r>
      <w:r>
        <w:rPr/>
        <w:t>年</w:t>
      </w:r>
      <w:r>
        <w:rPr>
          <w:spacing w:val="-48"/>
        </w:rPr>
        <w:t> </w:t>
      </w:r>
      <w:r>
        <w:rPr/>
        <w:t>12</w:t>
      </w:r>
      <w:r>
        <w:rPr>
          <w:spacing w:val="-48"/>
        </w:rPr>
        <w:t> </w:t>
      </w:r>
      <w:r>
        <w:rPr/>
        <w:t>月</w:t>
      </w:r>
      <w:r>
        <w:rPr>
          <w:spacing w:val="-48"/>
        </w:rPr>
        <w:t> </w:t>
      </w:r>
      <w:r>
        <w:rPr/>
        <w:t>25</w:t>
      </w:r>
      <w:r>
        <w:rPr>
          <w:spacing w:val="-48"/>
        </w:rPr>
        <w:t> </w:t>
      </w:r>
      <w:r>
        <w:rPr/>
        <w:t>日和</w:t>
      </w:r>
      <w:r>
        <w:rPr>
          <w:spacing w:val="-48"/>
        </w:rPr>
        <w:t> </w:t>
      </w:r>
      <w:r>
        <w:rPr/>
        <w:t>2016</w:t>
      </w:r>
      <w:r>
        <w:rPr>
          <w:spacing w:val="-48"/>
        </w:rPr>
        <w:t> </w:t>
      </w:r>
      <w:r>
        <w:rPr/>
        <w:t>年</w:t>
      </w:r>
      <w:r>
        <w:rPr>
          <w:spacing w:val="-48"/>
        </w:rPr>
        <w:t> </w:t>
      </w:r>
      <w:r>
        <w:rPr/>
        <w:t>1</w:t>
      </w:r>
      <w:r>
        <w:rPr>
          <w:spacing w:val="-47"/>
        </w:rPr>
        <w:t> </w:t>
      </w:r>
      <w:r>
        <w:rPr/>
        <w:t>月</w:t>
      </w:r>
      <w:r>
        <w:rPr>
          <w:spacing w:val="-48"/>
        </w:rPr>
        <w:t> </w:t>
      </w:r>
      <w:r>
        <w:rPr/>
        <w:t>7</w:t>
      </w:r>
      <w:r>
        <w:rPr>
          <w:spacing w:val="-48"/>
        </w:rPr>
        <w:t> </w:t>
      </w:r>
      <w:r>
        <w:rPr/>
        <w:t>日分别公开出让，受让人均为河北荣盛房地产开发</w:t>
      </w:r>
    </w:p>
    <w:p>
      <w:pPr>
        <w:pStyle w:val="BodyText"/>
        <w:spacing w:line="316" w:lineRule="auto" w:before="76"/>
        <w:ind w:left="150" w:right="1131"/>
        <w:jc w:val="both"/>
      </w:pPr>
      <w:r>
        <w:rPr/>
        <w:t>有限公司，成交价款共计</w:t>
      </w:r>
      <w:r>
        <w:rPr>
          <w:spacing w:val="-53"/>
        </w:rPr>
        <w:t> </w:t>
      </w:r>
      <w:r>
        <w:rPr/>
        <w:t>64.41</w:t>
      </w:r>
      <w:r>
        <w:rPr>
          <w:spacing w:val="-53"/>
        </w:rPr>
        <w:t> </w:t>
      </w:r>
      <w:r>
        <w:rPr/>
        <w:t>亿元。根据石家庄市人民政府常务会议纪要（2007</w:t>
      </w:r>
      <w:r>
        <w:rPr>
          <w:spacing w:val="-53"/>
        </w:rPr>
        <w:t> </w:t>
      </w:r>
      <w:r>
        <w:rPr/>
        <w:t>年第</w:t>
      </w:r>
      <w:r>
        <w:rPr>
          <w:spacing w:val="-53"/>
        </w:rPr>
        <w:t> </w:t>
      </w:r>
      <w:r>
        <w:rPr/>
        <w:t>65</w:t>
      </w:r>
      <w:r>
        <w:rPr>
          <w:spacing w:val="-53"/>
        </w:rPr>
        <w:t> </w:t>
      </w:r>
      <w:r>
        <w:rPr/>
        <w:t>号）“常山股份公司原土地及地</w:t>
      </w:r>
      <w:r>
        <w:rPr/>
        <w:t> 上附着物拍卖所得，减除各项税费及应缴部分和基准地价上浮</w:t>
      </w:r>
      <w:r>
        <w:rPr>
          <w:spacing w:val="7"/>
        </w:rPr>
        <w:t> </w:t>
      </w:r>
      <w:r>
        <w:rPr/>
        <w:t>20%补偿部分的剩余，作为土地净收益，90%返还企业用于企</w:t>
      </w:r>
      <w:r>
        <w:rPr/>
        <w:t> 业项目建设”的规定，石家庄市人民政府按土地净收益的</w:t>
      </w:r>
      <w:r>
        <w:rPr>
          <w:spacing w:val="-74"/>
        </w:rPr>
        <w:t> </w:t>
      </w:r>
      <w:r>
        <w:rPr/>
        <w:t>90%给予企业政策资金支持，用于搬迁项目建设及弥补搬迁过程的</w:t>
      </w:r>
      <w:r>
        <w:rPr/>
        <w:t> 各项损失。</w:t>
      </w:r>
    </w:p>
    <w:p>
      <w:pPr>
        <w:pStyle w:val="BodyText"/>
        <w:spacing w:line="240" w:lineRule="auto" w:before="19"/>
        <w:ind w:left="510" w:right="891"/>
        <w:jc w:val="left"/>
      </w:pPr>
      <w:r>
        <w:rPr>
          <w:spacing w:val="26"/>
        </w:rPr>
        <w:t>2019年1月2</w:t>
      </w:r>
      <w:r>
        <w:rPr>
          <w:spacing w:val="-36"/>
        </w:rPr>
        <w:t> </w:t>
      </w:r>
      <w:r>
        <w:rPr/>
        <w:t>日，公司收到石家庄市财政局拨付的部分搬迁支持资金</w:t>
      </w:r>
      <w:r>
        <w:rPr>
          <w:spacing w:val="-38"/>
        </w:rPr>
        <w:t> </w:t>
      </w:r>
      <w:r>
        <w:rPr/>
        <w:t>1.7</w:t>
      </w:r>
      <w:r>
        <w:rPr>
          <w:spacing w:val="-38"/>
        </w:rPr>
        <w:t> </w:t>
      </w:r>
      <w:r>
        <w:rPr/>
        <w:t>亿元。根据《石家庄市人民政府常务会议纪</w:t>
      </w:r>
    </w:p>
    <w:p>
      <w:pPr>
        <w:pStyle w:val="BodyText"/>
        <w:spacing w:line="316" w:lineRule="auto" w:before="76"/>
        <w:ind w:left="150" w:right="1130"/>
        <w:jc w:val="both"/>
      </w:pPr>
      <w:r>
        <w:rPr/>
        <w:t>要（2007</w:t>
      </w:r>
      <w:r>
        <w:rPr>
          <w:spacing w:val="-34"/>
        </w:rPr>
        <w:t> </w:t>
      </w:r>
      <w:r>
        <w:rPr/>
        <w:t>年第</w:t>
      </w:r>
      <w:r>
        <w:rPr>
          <w:spacing w:val="-34"/>
        </w:rPr>
        <w:t> </w:t>
      </w:r>
      <w:r>
        <w:rPr/>
        <w:t>65</w:t>
      </w:r>
      <w:r>
        <w:rPr>
          <w:spacing w:val="-34"/>
        </w:rPr>
        <w:t> </w:t>
      </w:r>
      <w:r>
        <w:rPr/>
        <w:t>号）》及《企业会计准则第</w:t>
      </w:r>
      <w:r>
        <w:rPr>
          <w:spacing w:val="-34"/>
        </w:rPr>
        <w:t> </w:t>
      </w:r>
      <w:r>
        <w:rPr/>
        <w:t>16</w:t>
      </w:r>
      <w:r>
        <w:rPr>
          <w:spacing w:val="-34"/>
        </w:rPr>
        <w:t> </w:t>
      </w:r>
      <w:r>
        <w:rPr/>
        <w:t>号--政府补助》的相关规定，该笔政策资金将先计入递延收益，并在确认</w:t>
      </w:r>
      <w:r>
        <w:rPr/>
        <w:t> 相关成本费用或损失的期间，计入当期损益。</w:t>
      </w:r>
    </w:p>
    <w:p>
      <w:pPr>
        <w:pStyle w:val="BodyText"/>
        <w:spacing w:line="240" w:lineRule="auto" w:before="19"/>
        <w:ind w:left="539" w:right="891"/>
        <w:jc w:val="left"/>
      </w:pPr>
      <w:r>
        <w:rPr/>
        <w:t>3、股权回购</w:t>
      </w:r>
    </w:p>
    <w:p>
      <w:pPr>
        <w:pStyle w:val="BodyText"/>
        <w:spacing w:line="240" w:lineRule="auto" w:before="76"/>
        <w:ind w:left="510" w:right="891"/>
        <w:jc w:val="left"/>
      </w:pPr>
      <w:r>
        <w:rPr/>
        <w:t>公司于</w:t>
      </w:r>
      <w:r>
        <w:rPr>
          <w:spacing w:val="-46"/>
        </w:rPr>
        <w:t> </w:t>
      </w:r>
      <w:r>
        <w:rPr/>
        <w:t>2018</w:t>
      </w:r>
      <w:r>
        <w:rPr>
          <w:spacing w:val="-46"/>
        </w:rPr>
        <w:t> </w:t>
      </w:r>
      <w:r>
        <w:rPr/>
        <w:t>年</w:t>
      </w:r>
      <w:r>
        <w:rPr>
          <w:spacing w:val="-45"/>
        </w:rPr>
        <w:t> </w:t>
      </w:r>
      <w:r>
        <w:rPr/>
        <w:t>11</w:t>
      </w:r>
      <w:r>
        <w:rPr>
          <w:spacing w:val="-46"/>
        </w:rPr>
        <w:t> </w:t>
      </w:r>
      <w:r>
        <w:rPr/>
        <w:t>月</w:t>
      </w:r>
      <w:r>
        <w:rPr>
          <w:spacing w:val="-46"/>
        </w:rPr>
        <w:t> </w:t>
      </w:r>
      <w:r>
        <w:rPr/>
        <w:t>13</w:t>
      </w:r>
      <w:r>
        <w:rPr>
          <w:spacing w:val="-46"/>
        </w:rPr>
        <w:t> </w:t>
      </w:r>
      <w:r>
        <w:rPr/>
        <w:t>日召</w:t>
      </w:r>
      <w:r>
        <w:rPr>
          <w:spacing w:val="1"/>
        </w:rPr>
        <w:t> </w:t>
      </w:r>
      <w:r>
        <w:rPr/>
        <w:t>开董事会七届三次会议审议通过</w:t>
      </w:r>
      <w:r>
        <w:rPr>
          <w:spacing w:val="-87"/>
        </w:rPr>
        <w:t>了</w:t>
      </w:r>
      <w:r>
        <w:rPr/>
        <w:t>《关于以集中竞价交易方式回购公司股份的议案</w:t>
      </w:r>
      <w:r>
        <w:rPr>
          <w:spacing w:val="-87"/>
        </w:rPr>
        <w:t>》和</w:t>
      </w:r>
      <w:r>
        <w:rPr>
          <w:spacing w:val="1"/>
        </w:rPr>
        <w:t>《关</w:t>
      </w:r>
      <w:r>
        <w:rPr/>
      </w:r>
    </w:p>
    <w:p>
      <w:pPr>
        <w:pStyle w:val="BodyText"/>
        <w:spacing w:line="240" w:lineRule="auto" w:before="76"/>
        <w:ind w:left="150" w:right="0"/>
        <w:jc w:val="both"/>
      </w:pPr>
      <w:r>
        <w:rPr/>
        <w:t>于提请股东大会授权董事会全权办理本次回购股份工作相关事宜的议案》，2018</w:t>
      </w:r>
      <w:r>
        <w:rPr>
          <w:spacing w:val="-50"/>
        </w:rPr>
        <w:t> </w:t>
      </w:r>
      <w:r>
        <w:rPr/>
        <w:t>年</w:t>
      </w:r>
      <w:r>
        <w:rPr>
          <w:spacing w:val="-49"/>
        </w:rPr>
        <w:t> </w:t>
      </w:r>
      <w:r>
        <w:rPr/>
        <w:t>11</w:t>
      </w:r>
      <w:r>
        <w:rPr>
          <w:spacing w:val="-50"/>
        </w:rPr>
        <w:t> </w:t>
      </w:r>
      <w:r>
        <w:rPr/>
        <w:t>月</w:t>
      </w:r>
      <w:r>
        <w:rPr>
          <w:spacing w:val="-50"/>
        </w:rPr>
        <w:t> </w:t>
      </w:r>
      <w:r>
        <w:rPr/>
        <w:t>29</w:t>
      </w:r>
      <w:r>
        <w:rPr>
          <w:spacing w:val="-50"/>
        </w:rPr>
        <w:t> </w:t>
      </w:r>
      <w:r>
        <w:rPr/>
        <w:t>日，公司召开</w:t>
      </w:r>
      <w:r>
        <w:rPr>
          <w:spacing w:val="-50"/>
        </w:rPr>
        <w:t> </w:t>
      </w:r>
      <w:r>
        <w:rPr/>
        <w:t>2018</w:t>
      </w:r>
      <w:r>
        <w:rPr>
          <w:spacing w:val="-50"/>
        </w:rPr>
        <w:t> </w:t>
      </w:r>
      <w:r>
        <w:rPr/>
        <w:t>年度第</w:t>
      </w:r>
      <w:r>
        <w:rPr>
          <w:spacing w:val="-50"/>
        </w:rPr>
        <w:t> </w:t>
      </w:r>
      <w:r>
        <w:rPr/>
        <w:t>4</w:t>
      </w:r>
      <w:r>
        <w:rPr>
          <w:spacing w:val="-50"/>
        </w:rPr>
        <w:t> </w:t>
      </w:r>
      <w:r>
        <w:rPr/>
        <w:t>次</w:t>
      </w:r>
    </w:p>
    <w:p>
      <w:pPr>
        <w:pStyle w:val="BodyText"/>
        <w:spacing w:line="240" w:lineRule="auto" w:before="76"/>
        <w:ind w:left="150" w:right="0"/>
        <w:jc w:val="both"/>
      </w:pPr>
      <w:r>
        <w:rPr/>
        <w:t>临时股东大会审议通过了上述议案。2018 年 12 月 13</w:t>
      </w:r>
      <w:r>
        <w:rPr>
          <w:spacing w:val="8"/>
        </w:rPr>
        <w:t> </w:t>
      </w:r>
      <w:r>
        <w:rPr/>
        <w:t>日，公司披露了《关于回购公司股份的回购报告书》（公告编号：</w:t>
      </w:r>
    </w:p>
    <w:p>
      <w:pPr>
        <w:pStyle w:val="BodyText"/>
        <w:spacing w:line="240" w:lineRule="auto" w:before="76"/>
        <w:ind w:left="150" w:right="0"/>
        <w:jc w:val="both"/>
      </w:pPr>
      <w:r>
        <w:rPr/>
        <w:t>2018-089）。公司拟以自有或自筹资金不低于人民币</w:t>
      </w:r>
      <w:r>
        <w:rPr>
          <w:spacing w:val="-27"/>
        </w:rPr>
        <w:t> </w:t>
      </w:r>
      <w:r>
        <w:rPr/>
        <w:t>30,000</w:t>
      </w:r>
      <w:r>
        <w:rPr>
          <w:spacing w:val="-27"/>
        </w:rPr>
        <w:t> </w:t>
      </w:r>
      <w:r>
        <w:rPr/>
        <w:t>万元，不超过人民币 60,000</w:t>
      </w:r>
      <w:r>
        <w:rPr>
          <w:spacing w:val="-27"/>
        </w:rPr>
        <w:t> </w:t>
      </w:r>
      <w:r>
        <w:rPr/>
        <w:t>万元，以集中竞价交易方式回购</w:t>
      </w:r>
    </w:p>
    <w:p>
      <w:pPr>
        <w:pStyle w:val="BodyText"/>
        <w:spacing w:line="240" w:lineRule="auto" w:before="76"/>
        <w:ind w:left="150" w:right="0"/>
        <w:jc w:val="both"/>
      </w:pPr>
      <w:r>
        <w:rPr/>
        <w:t>公司股份并注销，回购价格不超过</w:t>
      </w:r>
      <w:r>
        <w:rPr>
          <w:spacing w:val="-46"/>
        </w:rPr>
        <w:t> </w:t>
      </w:r>
      <w:r>
        <w:rPr/>
        <w:t>8.00</w:t>
      </w:r>
      <w:r>
        <w:rPr>
          <w:spacing w:val="-46"/>
        </w:rPr>
        <w:t> </w:t>
      </w:r>
      <w:r>
        <w:rPr/>
        <w:t>元/ 股（含</w:t>
      </w:r>
      <w:r>
        <w:rPr>
          <w:spacing w:val="-46"/>
        </w:rPr>
        <w:t> </w:t>
      </w:r>
      <w:r>
        <w:rPr/>
        <w:t>8.00</w:t>
      </w:r>
      <w:r>
        <w:rPr>
          <w:spacing w:val="-45"/>
        </w:rPr>
        <w:t> </w:t>
      </w:r>
      <w:r>
        <w:rPr/>
        <w:t>元/股）。</w:t>
      </w:r>
    </w:p>
    <w:p>
      <w:pPr>
        <w:pStyle w:val="BodyText"/>
        <w:spacing w:line="240" w:lineRule="auto" w:before="76"/>
        <w:ind w:left="510" w:right="891"/>
        <w:jc w:val="left"/>
      </w:pPr>
      <w:r>
        <w:rPr/>
        <w:t>截止</w:t>
      </w:r>
      <w:r>
        <w:rPr>
          <w:spacing w:val="-45"/>
        </w:rPr>
        <w:t> </w:t>
      </w:r>
      <w:r>
        <w:rPr/>
        <w:t>2019</w:t>
      </w:r>
      <w:r>
        <w:rPr>
          <w:spacing w:val="-45"/>
        </w:rPr>
        <w:t> </w:t>
      </w:r>
      <w:r>
        <w:rPr/>
        <w:t>年</w:t>
      </w:r>
      <w:r>
        <w:rPr>
          <w:spacing w:val="-44"/>
        </w:rPr>
        <w:t> </w:t>
      </w:r>
      <w:r>
        <w:rPr/>
        <w:t>4</w:t>
      </w:r>
      <w:r>
        <w:rPr>
          <w:spacing w:val="-44"/>
        </w:rPr>
        <w:t> </w:t>
      </w:r>
      <w:r>
        <w:rPr/>
        <w:t>月</w:t>
      </w:r>
      <w:r>
        <w:rPr>
          <w:spacing w:val="-45"/>
        </w:rPr>
        <w:t> </w:t>
      </w:r>
      <w:r>
        <w:rPr/>
        <w:t>28</w:t>
      </w:r>
      <w:r>
        <w:rPr>
          <w:spacing w:val="-45"/>
        </w:rPr>
        <w:t> </w:t>
      </w:r>
      <w:r>
        <w:rPr/>
        <w:t>日，公司累计回购股份</w:t>
      </w:r>
      <w:r>
        <w:rPr>
          <w:spacing w:val="-45"/>
        </w:rPr>
        <w:t> </w:t>
      </w:r>
      <w:r>
        <w:rPr/>
        <w:t>18,207,240</w:t>
      </w:r>
      <w:r>
        <w:rPr>
          <w:spacing w:val="-45"/>
        </w:rPr>
        <w:t> </w:t>
      </w:r>
      <w:r>
        <w:rPr/>
        <w:t>股,占公司目前总股本的比例为</w:t>
      </w:r>
      <w:r>
        <w:rPr>
          <w:spacing w:val="-45"/>
        </w:rPr>
        <w:t> </w:t>
      </w:r>
      <w:r>
        <w:rPr/>
        <w:t>1.1015%，最高成交价为</w:t>
      </w:r>
      <w:r>
        <w:rPr>
          <w:spacing w:val="-45"/>
        </w:rPr>
        <w:t> </w:t>
      </w:r>
      <w:r>
        <w:rPr/>
        <w:t>6.819</w:t>
      </w:r>
    </w:p>
    <w:p>
      <w:pPr>
        <w:pStyle w:val="BodyText"/>
        <w:spacing w:line="316" w:lineRule="auto" w:before="76"/>
        <w:ind w:left="449" w:right="3737" w:hanging="299"/>
        <w:jc w:val="left"/>
      </w:pPr>
      <w:r>
        <w:rPr/>
        <w:t>元/股，最低成交价为</w:t>
      </w:r>
      <w:r>
        <w:rPr>
          <w:spacing w:val="-46"/>
        </w:rPr>
        <w:t> </w:t>
      </w:r>
      <w:r>
        <w:rPr/>
        <w:t>4.820</w:t>
      </w:r>
      <w:r>
        <w:rPr>
          <w:spacing w:val="-45"/>
        </w:rPr>
        <w:t> </w:t>
      </w:r>
      <w:r>
        <w:rPr/>
        <w:t>元/股，支付的总金额为</w:t>
      </w:r>
      <w:r>
        <w:rPr>
          <w:spacing w:val="-46"/>
        </w:rPr>
        <w:t> </w:t>
      </w:r>
      <w:r>
        <w:rPr/>
        <w:t>94,101,481.24</w:t>
      </w:r>
      <w:r>
        <w:rPr>
          <w:spacing w:val="-46"/>
        </w:rPr>
        <w:t> </w:t>
      </w:r>
      <w:r>
        <w:rPr/>
        <w:t>元（含交易费用）。</w:t>
      </w:r>
      <w:r>
        <w:rPr/>
        <w:t> 4、股权质押</w:t>
      </w:r>
    </w:p>
    <w:p>
      <w:pPr>
        <w:pStyle w:val="BodyText"/>
        <w:spacing w:line="316" w:lineRule="auto" w:before="19"/>
        <w:ind w:left="153" w:right="1162" w:firstLine="319"/>
        <w:jc w:val="left"/>
      </w:pPr>
      <w:r>
        <w:rPr/>
        <w:t>公司第二大大股东北明控股分别于2019年3月12日、2019年3月20日将其持有的部分股权3,554,000股、20,570,000股解 除质押，并于2019年3月19日将部分股权质押给广发证券股份有限公司。截止2019年4月28日，北明控股持有公司股份 263,509,630股，占公司股份总数的15.94%。本次股份质押及解除质押后，北明控股所持有公司股份累计质押136,791,599 股，占其所持公司股份总数的51.91%，占公司总股本的8.28%。</w:t>
      </w:r>
    </w:p>
    <w:p>
      <w:pPr>
        <w:pStyle w:val="BodyText"/>
        <w:spacing w:line="316" w:lineRule="auto" w:before="19"/>
        <w:ind w:left="473" w:right="1128" w:firstLine="40"/>
        <w:jc w:val="left"/>
      </w:pPr>
      <w:r>
        <w:rPr/>
        <w:t>5、减持股份计划 </w:t>
      </w:r>
      <w:r>
        <w:rPr>
          <w:spacing w:val="-1"/>
        </w:rPr>
        <w:t>公司第二大股东北明控股拟通过证券交易所集中竞价交易方式或大宗交易方式，自2019年4月11日起15个交易日后的6个</w:t>
      </w:r>
    </w:p>
    <w:p>
      <w:pPr>
        <w:pStyle w:val="BodyText"/>
        <w:spacing w:line="316" w:lineRule="auto" w:before="19"/>
        <w:ind w:left="153" w:right="1228"/>
        <w:jc w:val="both"/>
      </w:pPr>
      <w:r>
        <w:rPr/>
        <w:t>月内完成减持公司股份不超过29,885,500股（其中：通过深圳证券交易所集中竞价交易方式买入之股份不超过13,356,800 股，通过非公开发行方式持有之股份不超过 16,528,700 股），占公司总股本的 1.81%。</w:t>
      </w:r>
    </w:p>
    <w:p>
      <w:pPr>
        <w:pStyle w:val="BodyText"/>
        <w:spacing w:line="316" w:lineRule="auto" w:before="19"/>
        <w:ind w:left="153" w:right="1129" w:firstLine="319"/>
        <w:jc w:val="left"/>
      </w:pPr>
      <w:r>
        <w:rPr>
          <w:spacing w:val="-1"/>
        </w:rPr>
        <w:t>公司董事、总经理应华江先生拟通过证券交易所集中竞价交易方式，自2019年4月11日起15个交易日后的6个月内完成减</w:t>
      </w:r>
      <w:r>
        <w:rPr/>
        <w:t> 持公司股份不超过5,000,000股，减持比例不超过其所持有公司股份总数的25%，占公司总股本0.30%。</w:t>
      </w:r>
    </w:p>
    <w:p>
      <w:pPr>
        <w:pStyle w:val="BodyText"/>
        <w:spacing w:line="240" w:lineRule="auto" w:before="19"/>
        <w:ind w:left="473" w:right="891"/>
        <w:jc w:val="left"/>
      </w:pPr>
      <w:r>
        <w:rPr/>
        <w:t>截止2019年4月28日，除上述事项外，本公司不存在其他应披露的资产负债表日后事项。</w:t>
      </w:r>
    </w:p>
    <w:p>
      <w:pPr>
        <w:spacing w:after="0" w:line="240" w:lineRule="auto"/>
        <w:jc w:val="left"/>
        <w:sectPr>
          <w:pgSz w:w="11910" w:h="16840"/>
          <w:pgMar w:header="747" w:footer="941" w:top="1060" w:bottom="114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91"/>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28" w:firstLine="360"/>
        <w:jc w:val="both"/>
      </w:pPr>
      <w:r>
        <w:rPr/>
        <w:t>根据本公司的内部组织结构、管理要求及内部报告制度，本公司的经营业务划分为</w:t>
      </w:r>
      <w:r>
        <w:rPr>
          <w:rFonts w:ascii="Times New Roman" w:hAnsi="Times New Roman" w:cs="Times New Roman" w:eastAsia="Times New Roman" w:hint="default"/>
        </w:rPr>
        <w:t>8</w:t>
      </w:r>
      <w:r>
        <w:rPr/>
        <w:t>个经营分部，本公司的管理层定期 评价这些分部的经营成果，以决定向其分配资源及评价其业绩。在经营分部的基础上本公司确定了</w:t>
      </w:r>
      <w:r>
        <w:rPr>
          <w:rFonts w:ascii="Times New Roman" w:hAnsi="Times New Roman" w:cs="Times New Roman" w:eastAsia="Times New Roman" w:hint="default"/>
        </w:rPr>
        <w:t>2</w:t>
      </w:r>
      <w:r>
        <w:rPr/>
        <w:t>个报告分部，分别为纺</w:t>
      </w:r>
      <w:r>
        <w:rPr>
          <w:spacing w:val="-84"/>
        </w:rPr>
        <w:t> </w:t>
      </w:r>
      <w:r>
        <w:rPr>
          <w:spacing w:val="-84"/>
        </w:rPr>
      </w:r>
      <w:r>
        <w:rPr>
          <w:spacing w:val="-2"/>
        </w:rPr>
        <w:t>织分部、软件和信息技术服务业分部。这些报告分部是以收入为基础确定的。本公司各个报告分部提供的主要产品及劳务分</w:t>
      </w:r>
      <w:r>
        <w:rPr>
          <w:spacing w:val="-66"/>
        </w:rPr>
        <w:t> </w:t>
      </w:r>
      <w:r>
        <w:rPr>
          <w:spacing w:val="-66"/>
        </w:rPr>
      </w:r>
      <w:r>
        <w:rPr>
          <w:spacing w:val="-2"/>
        </w:rPr>
        <w:t>别为：纺织分部主要为棉纱、坯布、棉花、服装；软件和信息技术服务业分部主要为系统集成及行业解决方案、代理产品增</w:t>
      </w:r>
      <w:r>
        <w:rPr>
          <w:spacing w:val="-67"/>
        </w:rPr>
        <w:t> </w:t>
      </w:r>
      <w:r>
        <w:rPr>
          <w:spacing w:val="-67"/>
        </w:rPr>
      </w:r>
      <w:r>
        <w:rPr/>
        <w:t>值销售、定制软件及服务。</w:t>
      </w:r>
    </w:p>
    <w:p>
      <w:pPr>
        <w:spacing w:line="240" w:lineRule="auto" w:before="5"/>
        <w:rPr>
          <w:rFonts w:ascii="宋体" w:hAnsi="宋体" w:cs="宋体" w:eastAsia="宋体" w:hint="default"/>
          <w:sz w:val="18"/>
          <w:szCs w:val="18"/>
        </w:rPr>
      </w:pPr>
    </w:p>
    <w:p>
      <w:pPr>
        <w:pStyle w:val="BodyText"/>
        <w:spacing w:line="309" w:lineRule="auto"/>
        <w:ind w:left="153" w:right="1131" w:firstLine="360"/>
        <w:jc w:val="both"/>
      </w:pPr>
      <w:r>
        <w:rPr>
          <w:spacing w:val="-2"/>
        </w:rPr>
        <w:t>分部报告信息根据各分部向管理层报告时采用的会计政策及计量标准披露，这些计量基础与编制财务报表时的会计与计</w:t>
      </w:r>
      <w:r>
        <w:rPr/>
        <w:t> </w:t>
      </w:r>
      <w:r>
        <w:rPr>
          <w:spacing w:val="-2"/>
        </w:rPr>
        <w:t>量基础保持一致。财务报表按照本附注五、</w:t>
      </w:r>
      <w:r>
        <w:rPr>
          <w:rFonts w:ascii="Times New Roman" w:hAnsi="Times New Roman" w:cs="Times New Roman" w:eastAsia="Times New Roman" w:hint="default"/>
          <w:spacing w:val="-2"/>
        </w:rPr>
        <w:t>24</w:t>
      </w:r>
      <w:r>
        <w:rPr>
          <w:spacing w:val="-2"/>
        </w:rPr>
        <w:t>所述的会计政策按权责发生制确认收入；分部报告信息仅包括各分部的营业收</w:t>
      </w:r>
      <w:r>
        <w:rPr>
          <w:spacing w:val="-64"/>
        </w:rPr>
        <w:t> </w:t>
      </w:r>
      <w:r>
        <w:rPr>
          <w:spacing w:val="-64"/>
        </w:rPr>
      </w:r>
      <w:r>
        <w:rPr/>
        <w:t>入及营业成本，未包括营业税金及附加、营业费用及其他费用及支出的分摊。</w:t>
      </w:r>
    </w:p>
    <w:p>
      <w:pPr>
        <w:spacing w:line="240" w:lineRule="auto" w:before="12"/>
        <w:rPr>
          <w:rFonts w:ascii="宋体" w:hAnsi="宋体" w:cs="宋体" w:eastAsia="宋体" w:hint="default"/>
          <w:sz w:val="22"/>
          <w:szCs w:val="22"/>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1"/>
        <w:gridCol w:w="1926"/>
        <w:gridCol w:w="1914"/>
        <w:gridCol w:w="1914"/>
        <w:gridCol w:w="1914"/>
      </w:tblGrid>
      <w:tr>
        <w:trPr>
          <w:trHeight w:val="161" w:hRule="exact"/>
        </w:trPr>
        <w:tc>
          <w:tcPr>
            <w:tcW w:w="1891" w:type="dxa"/>
            <w:vMerge w:val="restart"/>
            <w:tcBorders>
              <w:top w:val="single" w:sz="4" w:space="0" w:color="000000"/>
              <w:left w:val="single" w:sz="4" w:space="0" w:color="000000"/>
              <w:right w:val="single" w:sz="9" w:space="0" w:color="E1FFFF"/>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nil" w:sz="6" w:space="0" w:color="auto"/>
              <w:right w:val="single" w:sz="4" w:space="0" w:color="000000"/>
            </w:tcBorders>
            <w:shd w:val="clear" w:color="auto" w:fill="E1FFFF"/>
          </w:tcPr>
          <w:p>
            <w:pPr/>
          </w:p>
        </w:tc>
        <w:tc>
          <w:tcPr>
            <w:tcW w:w="1914"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软件和信息技术服务业 分部</w:t>
            </w:r>
          </w:p>
        </w:tc>
        <w:tc>
          <w:tcPr>
            <w:tcW w:w="1914" w:type="dxa"/>
            <w:vMerge w:val="restart"/>
            <w:tcBorders>
              <w:top w:val="single" w:sz="4" w:space="0" w:color="000000"/>
              <w:left w:val="single" w:sz="10" w:space="0" w:color="E1FFFF"/>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891" w:type="dxa"/>
            <w:vMerge/>
            <w:tcBorders>
              <w:left w:val="single" w:sz="4" w:space="0" w:color="000000"/>
              <w:right w:val="single" w:sz="9" w:space="0" w:color="E1FFFF"/>
            </w:tcBorders>
            <w:shd w:val="clear" w:color="auto" w:fill="D3D3D3"/>
          </w:tcPr>
          <w:p>
            <w:pPr/>
          </w:p>
        </w:tc>
        <w:tc>
          <w:tcPr>
            <w:tcW w:w="1926"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纺织分部</w:t>
            </w:r>
          </w:p>
        </w:tc>
        <w:tc>
          <w:tcPr>
            <w:tcW w:w="1914" w:type="dxa"/>
            <w:vMerge/>
            <w:tcBorders>
              <w:left w:val="single" w:sz="4" w:space="0" w:color="000000"/>
              <w:right w:val="single" w:sz="4" w:space="0" w:color="000000"/>
            </w:tcBorders>
            <w:shd w:val="clear" w:color="auto" w:fill="E1FFFF"/>
          </w:tcPr>
          <w:p>
            <w:pPr/>
          </w:p>
        </w:tc>
        <w:tc>
          <w:tcPr>
            <w:tcW w:w="1914" w:type="dxa"/>
            <w:vMerge/>
            <w:tcBorders>
              <w:left w:val="single" w:sz="10" w:space="0" w:color="E1FFFF"/>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2" w:hRule="exact"/>
        </w:trPr>
        <w:tc>
          <w:tcPr>
            <w:tcW w:w="1891" w:type="dxa"/>
            <w:vMerge/>
            <w:tcBorders>
              <w:left w:val="single" w:sz="4" w:space="0" w:color="000000"/>
              <w:bottom w:val="single" w:sz="4" w:space="0" w:color="000000"/>
              <w:right w:val="single" w:sz="9" w:space="0" w:color="E1FFFF"/>
            </w:tcBorders>
            <w:shd w:val="clear" w:color="auto" w:fill="D3D3D3"/>
          </w:tcPr>
          <w:p>
            <w:pPr/>
          </w:p>
        </w:tc>
        <w:tc>
          <w:tcPr>
            <w:tcW w:w="1926" w:type="dxa"/>
            <w:tcBorders>
              <w:top w:val="nil" w:sz="6" w:space="0" w:color="auto"/>
              <w:left w:val="single" w:sz="4" w:space="0" w:color="000000"/>
              <w:bottom w:val="single" w:sz="4" w:space="0" w:color="000000"/>
              <w:right w:val="single" w:sz="4" w:space="0" w:color="000000"/>
            </w:tcBorders>
            <w:shd w:val="clear" w:color="auto" w:fill="E1FFFF"/>
          </w:tcPr>
          <w:p>
            <w:pPr/>
          </w:p>
        </w:tc>
        <w:tc>
          <w:tcPr>
            <w:tcW w:w="1914" w:type="dxa"/>
            <w:vMerge/>
            <w:tcBorders>
              <w:left w:val="single" w:sz="4" w:space="0" w:color="000000"/>
              <w:bottom w:val="single" w:sz="4" w:space="0" w:color="000000"/>
              <w:right w:val="single" w:sz="4" w:space="0" w:color="000000"/>
            </w:tcBorders>
            <w:shd w:val="clear" w:color="auto" w:fill="E1FFFF"/>
          </w:tcPr>
          <w:p>
            <w:pPr/>
          </w:p>
        </w:tc>
        <w:tc>
          <w:tcPr>
            <w:tcW w:w="1914" w:type="dxa"/>
            <w:vMerge/>
            <w:tcBorders>
              <w:left w:val="single" w:sz="10" w:space="0" w:color="E1FFFF"/>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4,672,213,517.22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4,888,351,350.97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-14,521,685.74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9,546,043,182.45</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4,623,167,733.55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4,092,993,958.15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-14,521,685.74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8,701,640,005.96</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9,595,566,860.36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5,780,027,257.20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-1,232,849,097.69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4,259,769,499.37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3,931,013,565.27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-140,467,915.69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8,050,315,148.95</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891"/>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日，除上述事项外，本公司不存在应披露的其他重要事项。</w:t>
      </w:r>
    </w:p>
    <w:p>
      <w:pPr>
        <w:spacing w:line="240" w:lineRule="auto" w:before="1"/>
        <w:rPr>
          <w:rFonts w:ascii="宋体" w:hAnsi="宋体" w:cs="宋体" w:eastAsia="宋体" w:hint="default"/>
          <w:sz w:val="24"/>
          <w:szCs w:val="24"/>
        </w:rPr>
      </w:pPr>
    </w:p>
    <w:p>
      <w:pPr>
        <w:pStyle w:val="Heading2"/>
        <w:spacing w:line="240" w:lineRule="auto"/>
        <w:ind w:right="891"/>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54,668,124.21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6,199,000.00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226,106,512.25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303,037,046.03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280,774,636.46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309,236,046.03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4,668,124.21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6,199,000.00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54,668,124.21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6,199,000.00</w:t>
            </w:r>
          </w:p>
        </w:tc>
      </w:tr>
    </w:tbl>
    <w:p>
      <w:pPr>
        <w:pStyle w:val="BodyText"/>
        <w:spacing w:line="240" w:lineRule="auto" w:before="51"/>
        <w:ind w:right="891"/>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161"/>
        <w:gridCol w:w="3202"/>
        <w:gridCol w:w="3190"/>
      </w:tblGrid>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177,297,640.94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177,297,640.94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234,461,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293.79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8,354,78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226,106,5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12.25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310,771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,182.06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98.15%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7,734,136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303,037,04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6.03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14,263,2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14,263,2</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07.17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5,871,027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248,724,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500.96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22,617,9</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88.71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9.09%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226,106,5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12.25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316,642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13,605,16</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3.49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303,037,04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6.03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left="153" w:right="161"/>
        <w:jc w:val="left"/>
      </w:pPr>
      <w:r>
        <w:rPr/>
        <w:t>□ 适用 √ 不适用 组合中，按账龄分析法计提坏账准备的应收账款：</w:t>
      </w:r>
    </w:p>
    <w:p>
      <w:pPr>
        <w:pStyle w:val="BodyText"/>
        <w:spacing w:line="240" w:lineRule="auto" w:before="29"/>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4295" w:space="453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22,041,057.58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881,642.30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1,728,578.57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103,714.72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1,821,476.59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273,219.49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17,740,512.57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7,096,205.03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43,331,625.31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8,354,781.54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191,129,668.48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6431"/>
        <w:jc w:val="left"/>
      </w:pPr>
      <w:r>
        <w:rPr/>
        <w:t>确定该组合依据的说明： 组合中，采用余额百分比法计提坏账准备的应收账款：</w:t>
      </w:r>
    </w:p>
    <w:p>
      <w:pPr>
        <w:pStyle w:val="BodyText"/>
        <w:spacing w:line="360" w:lineRule="auto" w:before="26"/>
        <w:ind w:left="153" w:right="6791"/>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2"/>
        <w:ind w:left="153" w:right="891"/>
        <w:jc w:val="left"/>
      </w:pPr>
      <w:r>
        <w:rPr/>
        <w:t>本期计提坏账准备金额</w:t>
      </w:r>
      <w:r>
        <w:rPr>
          <w:spacing w:val="-46"/>
        </w:rPr>
        <w:t> </w:t>
      </w:r>
      <w:r>
        <w:rPr>
          <w:rFonts w:ascii="Times New Roman" w:hAnsi="Times New Roman" w:cs="Times New Roman" w:eastAsia="Times New Roman" w:hint="default"/>
        </w:rPr>
        <w:t>9,012,825.22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left="454" w:right="1585" w:hanging="300"/>
        <w:jc w:val="left"/>
      </w:pPr>
      <w:r>
        <w:rPr>
          <w:rFonts w:ascii="Times New Roman" w:hAnsi="Times New Roman" w:cs="Times New Roman" w:eastAsia="Times New Roman" w:hint="default"/>
        </w:rPr>
        <w:t>3)</w:t>
      </w:r>
      <w:r>
        <w:rPr/>
        <w:t>按欠款方归集的期末余额前五名的应收账款情况 本报告期按欠款方归集的期末余额前五名应收账款汇总金额</w:t>
      </w:r>
      <w:r>
        <w:rPr>
          <w:rFonts w:ascii="Times New Roman" w:hAnsi="Times New Roman" w:cs="Times New Roman" w:eastAsia="Times New Roman" w:hint="default"/>
        </w:rPr>
        <w:t>197,062,593.73</w:t>
      </w:r>
      <w:r>
        <w:rPr/>
        <w:t>元，占应收账款期末余额合计数的比例</w:t>
      </w:r>
    </w:p>
    <w:p>
      <w:pPr>
        <w:pStyle w:val="BodyText"/>
        <w:spacing w:line="230" w:lineRule="exact"/>
        <w:ind w:right="891"/>
        <w:jc w:val="left"/>
      </w:pPr>
      <w:r>
        <w:rPr>
          <w:rFonts w:ascii="Times New Roman" w:hAnsi="Times New Roman" w:cs="Times New Roman" w:eastAsia="Times New Roman" w:hint="default"/>
        </w:rPr>
        <w:t>79.23%</w:t>
      </w:r>
      <w:r>
        <w:rPr/>
        <w:t>，相应计提的坏账准备期末余额汇总金额</w:t>
      </w:r>
      <w:r>
        <w:rPr>
          <w:rFonts w:ascii="Times New Roman" w:hAnsi="Times New Roman" w:cs="Times New Roman" w:eastAsia="Times New Roman" w:hint="default"/>
        </w:rPr>
        <w:t>6,210,239.08</w:t>
      </w:r>
      <w:r>
        <w:rPr/>
        <w:t>元。</w:t>
      </w:r>
    </w:p>
    <w:p>
      <w:pPr>
        <w:spacing w:line="240" w:lineRule="auto" w:before="11"/>
        <w:rPr>
          <w:rFonts w:ascii="宋体" w:hAnsi="宋体" w:cs="宋体" w:eastAsia="宋体" w:hint="default"/>
          <w:sz w:val="25"/>
          <w:szCs w:val="25"/>
        </w:rPr>
      </w:pPr>
    </w:p>
    <w:p>
      <w:pPr>
        <w:pStyle w:val="Heading3"/>
        <w:spacing w:line="240" w:lineRule="auto"/>
        <w:ind w:right="89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4,727,517.11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423,677,777.76</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5,570,513.83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424,520,774.48</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bl>
    <w:p>
      <w:pPr>
        <w:pStyle w:val="BodyText"/>
        <w:spacing w:line="240" w:lineRule="auto" w:before="51"/>
        <w:ind w:right="891"/>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7" w:footer="941" w:top="1060" w:bottom="114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775"/>
        <w:gridCol w:w="762"/>
        <w:gridCol w:w="762"/>
        <w:gridCol w:w="762"/>
        <w:gridCol w:w="790"/>
        <w:gridCol w:w="654"/>
        <w:gridCol w:w="762"/>
        <w:gridCol w:w="812"/>
        <w:gridCol w:w="932"/>
        <w:gridCol w:w="932"/>
      </w:tblGrid>
      <w:tr>
        <w:trPr>
          <w:trHeight w:val="401"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2" w:type="dxa"/>
            <w:vMerge/>
            <w:tcBorders>
              <w:left w:val="single" w:sz="4" w:space="0" w:color="000000"/>
              <w:bottom w:val="single" w:sz="7"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22" w:type="dxa"/>
            <w:vMerge w:val="restart"/>
            <w:tcBorders>
              <w:top w:val="single" w:sz="7" w:space="0" w:color="FFFFFF"/>
              <w:left w:val="single" w:sz="4" w:space="0" w:color="000000"/>
              <w:right w:val="single" w:sz="4" w:space="0" w:color="000000"/>
            </w:tcBorders>
            <w:shd w:val="clear" w:color="auto" w:fill="D3D3D3"/>
          </w:tcPr>
          <w:p>
            <w:pPr/>
          </w:p>
        </w:tc>
        <w:tc>
          <w:tcPr>
            <w:tcW w:w="775"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4,945,10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4,727,517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3"/>
                <w:sz w:val="18"/>
              </w:rPr>
              <w:t>.11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424,010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,819.85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333,042.0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423,677,77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7.76</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1,047,17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1,047,17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749,229.8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5,992,28</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1.28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1,264,76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21.11%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3"/>
                <w:sz w:val="18"/>
              </w:rPr>
              <w:t>.11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424,760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,049.65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423,677,77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7.76</w:t>
            </w:r>
          </w:p>
        </w:tc>
      </w:tr>
      <w:tr>
        <w:trPr>
          <w:trHeight w:val="391"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41" w:top="1060" w:bottom="114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left="153" w:right="161"/>
        <w:jc w:val="left"/>
      </w:pPr>
      <w:r>
        <w:rPr/>
        <w:t>□ 适用 √ 不适用 组合中，按账龄分析法计提坏账准备的其他应收款：</w:t>
      </w:r>
    </w:p>
    <w:p>
      <w:pPr>
        <w:pStyle w:val="BodyText"/>
        <w:spacing w:line="240" w:lineRule="auto" w:before="28"/>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40" w:left="980" w:right="0"/>
          <w:cols w:num="2" w:equalWidth="0">
            <w:col w:w="4475" w:space="435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302"/>
        <w:gridCol w:w="2389"/>
        <w:gridCol w:w="2155"/>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8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02" w:type="dxa"/>
            <w:tcBorders>
              <w:top w:val="single" w:sz="4" w:space="0" w:color="000000"/>
              <w:left w:val="single" w:sz="10" w:space="0" w:color="C7EDCC"/>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1,135,831.48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45,433.25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96,914.39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5,814.86</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899,819.57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134,972.94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78,429.00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31,371.60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2,210,994.44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217,592.65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02" w:type="dxa"/>
            <w:tcBorders>
              <w:top w:val="single" w:sz="4" w:space="0" w:color="000000"/>
              <w:left w:val="single" w:sz="10" w:space="0" w:color="C7EDCC"/>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2,732,115.32</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2,734,115.32</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6251"/>
        <w:jc w:val="left"/>
      </w:pPr>
      <w:r>
        <w:rPr/>
        <w:t>确定该组合依据的说明： 组合中，采用余额百分比法计提坏账准备的其他应收款：</w:t>
      </w:r>
    </w:p>
    <w:p>
      <w:pPr>
        <w:pStyle w:val="BodyText"/>
        <w:spacing w:line="240" w:lineRule="auto" w:before="26"/>
        <w:ind w:left="153" w:right="891"/>
        <w:jc w:val="left"/>
      </w:pPr>
      <w:r>
        <w:rPr/>
        <w:t>□ 适用 √ 不适用</w:t>
      </w:r>
    </w:p>
    <w:p>
      <w:pPr>
        <w:spacing w:after="0" w:line="240" w:lineRule="auto"/>
        <w:jc w:val="left"/>
        <w:sectPr>
          <w:type w:val="continuous"/>
          <w:pgSz w:w="11910" w:h="16840"/>
          <w:pgMar w:top="1060" w:bottom="114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41" w:top="1060" w:bottom="1140" w:left="980" w:right="0"/>
        </w:sectPr>
      </w:pPr>
    </w:p>
    <w:p>
      <w:pPr>
        <w:pStyle w:val="BodyText"/>
        <w:spacing w:line="240" w:lineRule="auto" w:before="44"/>
        <w:ind w:left="153" w:right="-16"/>
        <w:jc w:val="left"/>
      </w:pPr>
      <w:r>
        <w:rPr/>
        <w:t>组合中，采用其他方法计提坏账准备的其他应收款：</w:t>
      </w:r>
    </w:p>
    <w:p>
      <w:pPr>
        <w:pStyle w:val="BodyText"/>
        <w:spacing w:line="240" w:lineRule="auto" w:before="116"/>
        <w:ind w:left="153" w:right="-16"/>
        <w:jc w:val="left"/>
      </w:pPr>
      <w:r>
        <w:rPr/>
        <w:t>□ 适用 √ 不适用</w:t>
      </w:r>
    </w:p>
    <w:p>
      <w:pPr>
        <w:pStyle w:val="BodyText"/>
        <w:spacing w:line="240" w:lineRule="auto" w:before="117"/>
        <w:ind w:left="153" w:right="-1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left="153" w:right="-16"/>
        <w:jc w:val="left"/>
      </w:pPr>
      <w:r>
        <w:rPr/>
        <w:t>本期计提坏账准备金额</w:t>
      </w:r>
      <w:r>
        <w:rPr>
          <w:spacing w:val="-46"/>
        </w:rPr>
        <w:t> </w:t>
      </w:r>
      <w:r>
        <w:rPr>
          <w:rFonts w:ascii="Times New Roman" w:hAnsi="Times New Roman" w:cs="Times New Roman" w:eastAsia="Times New Roman" w:hint="default"/>
        </w:rPr>
        <w:t>182,492.28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16"/>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 元</w:t>
      </w:r>
    </w:p>
    <w:p>
      <w:pPr>
        <w:spacing w:after="0" w:line="240" w:lineRule="auto"/>
        <w:jc w:val="left"/>
        <w:sectPr>
          <w:type w:val="continuous"/>
          <w:pgSz w:w="11910" w:h="16840"/>
          <w:pgMar w:top="1060" w:bottom="1140" w:left="980" w:right="0"/>
          <w:cols w:num="2" w:equalWidth="0">
            <w:col w:w="6319" w:space="2509"/>
            <w:col w:w="210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289,782.80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31,091,472.80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388,642,500.00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2,295,625.82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3,290,932.81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2,732,115.32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1,062,312.93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672,757.34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672,831.11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5,992,281.28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424,760,049.65</w:t>
            </w:r>
          </w:p>
        </w:tc>
      </w:tr>
    </w:tbl>
    <w:p>
      <w:pPr>
        <w:pStyle w:val="BodyText"/>
        <w:spacing w:line="240" w:lineRule="auto" w:before="51"/>
        <w:ind w:right="891"/>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2,732,115.32</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石家庄市住房制度改 革办公室</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售房款利息</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633,847.58</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25,353.90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第一棉麻</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491,447.00</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491,447.00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南宫市至尊商业贸易</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257,782.80</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257,782.80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135,306.70</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5,412.27</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4,250,499.40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779,995.97</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8"/>
        <w:gridCol w:w="1369"/>
        <w:gridCol w:w="1044"/>
        <w:gridCol w:w="1367"/>
        <w:gridCol w:w="1367"/>
        <w:gridCol w:w="1046"/>
        <w:gridCol w:w="1367"/>
      </w:tblGrid>
      <w:tr>
        <w:trPr>
          <w:trHeight w:val="200" w:hRule="exact"/>
        </w:trPr>
        <w:tc>
          <w:tcPr>
            <w:tcW w:w="1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9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79" w:type="dxa"/>
            <w:gridSpan w:val="3"/>
            <w:vMerge/>
            <w:tcBorders>
              <w:left w:val="single" w:sz="4" w:space="0" w:color="000000"/>
              <w:bottom w:val="single" w:sz="4" w:space="0" w:color="000000"/>
              <w:right w:val="single" w:sz="4" w:space="0" w:color="000000"/>
            </w:tcBorders>
            <w:shd w:val="clear" w:color="auto" w:fill="D3D3D3"/>
          </w:tcPr>
          <w:p>
            <w:pPr/>
          </w:p>
        </w:tc>
        <w:tc>
          <w:tcPr>
            <w:tcW w:w="3780" w:type="dxa"/>
            <w:gridSpan w:val="3"/>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968" w:type="dxa"/>
            <w:vMerge/>
            <w:tcBorders>
              <w:left w:val="single" w:sz="4" w:space="0" w:color="000000"/>
              <w:bottom w:val="nil" w:sz="6" w:space="0" w:color="auto"/>
              <w:right w:val="single" w:sz="4" w:space="0" w:color="000000"/>
            </w:tcBorders>
            <w:shd w:val="clear" w:color="auto" w:fill="D3D3D3"/>
          </w:tcPr>
          <w:p>
            <w:pP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2" w:hRule="exact"/>
        </w:trPr>
        <w:tc>
          <w:tcPr>
            <w:tcW w:w="1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044"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046"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3,220,959,573.19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3,220,959,573.19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3,143,541,373.19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3,143,541,373.19</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13,947,977.63</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13,947,977.63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14,596,414.81</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14,596,414.81</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3,234,907,550.82</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3,234,907,550.82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3,158,137,788.00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3,158,137,788.00</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48"/>
        <w:gridCol w:w="1348"/>
        <w:gridCol w:w="1184"/>
        <w:gridCol w:w="900"/>
        <w:gridCol w:w="1336"/>
        <w:gridCol w:w="824"/>
        <w:gridCol w:w="900"/>
      </w:tblGrid>
      <w:tr>
        <w:trPr>
          <w:trHeight w:val="714"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315,961,474.39</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315,961,474.39</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2,698,699,898.80</w:t>
            </w:r>
          </w:p>
        </w:tc>
        <w:tc>
          <w:tcPr>
            <w:tcW w:w="11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2,698,699,898.80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石家庄爱意科技有限公司</w:t>
            </w:r>
          </w:p>
        </w:tc>
        <w:tc>
          <w:tcPr>
            <w:tcW w:w="1348" w:type="dxa"/>
            <w:tcBorders>
              <w:top w:val="single" w:sz="4" w:space="0" w:color="000000"/>
              <w:left w:val="single" w:sz="10" w:space="0" w:color="C7EDCC"/>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1348" w:type="dxa"/>
            <w:tcBorders>
              <w:top w:val="single" w:sz="4" w:space="0" w:color="000000"/>
              <w:left w:val="single" w:sz="10" w:space="0" w:color="C7EDCC"/>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1348" w:type="dxa"/>
            <w:tcBorders>
              <w:top w:val="single" w:sz="4" w:space="0" w:color="000000"/>
              <w:left w:val="single" w:sz="10" w:space="0" w:color="C7EDCC"/>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45,018,200.00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45,018,200.00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1348" w:type="dxa"/>
            <w:tcBorders>
              <w:top w:val="single" w:sz="4" w:space="0" w:color="000000"/>
              <w:left w:val="single" w:sz="10" w:space="0" w:color="C7EDCC"/>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3,143,541,373.19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77,418,200.00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3,220,959,573.19</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30"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5"/>
              <w:ind w:left="22" w:right="41"/>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14,596,41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4,736.81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14,596,41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4,736.81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14,596,41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4,736.81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44"/>
        <w:ind w:left="0" w:right="1131"/>
        <w:jc w:val="right"/>
      </w:pPr>
      <w:r>
        <w:rPr/>
        <w:t>单位： 元</w:t>
      </w:r>
    </w:p>
    <w:p>
      <w:pPr>
        <w:spacing w:after="0" w:line="240" w:lineRule="auto"/>
        <w:jc w:val="right"/>
        <w:sectPr>
          <w:pgSz w:w="11910" w:h="16840"/>
          <w:pgMar w:header="747" w:footer="941" w:top="1060" w:bottom="11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201" w:hRule="exact"/>
        </w:trPr>
        <w:tc>
          <w:tcPr>
            <w:tcW w:w="1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94"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4,116,696,832.77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4,139,766,085.24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5,860,098,890.04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5,936,057,735.46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84,485,335.33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42,924,900.73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60,466,578.76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26,977,933.36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4,201,182,168.10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4,182,690,985.97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5,920,565,468.80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5,963,035,668.82</w:t>
            </w:r>
          </w:p>
        </w:tc>
      </w:tr>
    </w:tbl>
    <w:p>
      <w:pPr>
        <w:spacing w:line="240" w:lineRule="auto" w:before="2"/>
        <w:rPr>
          <w:rFonts w:ascii="宋体" w:hAnsi="宋体" w:cs="宋体" w:eastAsia="宋体" w:hint="default"/>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12"/>
        <w:gridCol w:w="3071"/>
        <w:gridCol w:w="3186"/>
      </w:tblGrid>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-653,173.99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-637,300.58</w:t>
            </w: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2,035,068.80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4,124,352.15</w:t>
            </w: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0"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13,876,459.11</w:t>
            </w: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131,381,894.81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17,363,510.68</w:t>
            </w:r>
          </w:p>
        </w:tc>
      </w:tr>
    </w:tbl>
    <w:p>
      <w:pPr>
        <w:spacing w:line="240" w:lineRule="auto" w:before="2"/>
        <w:rPr>
          <w:rFonts w:ascii="宋体" w:hAnsi="宋体" w:cs="宋体" w:eastAsia="宋体" w:hint="default"/>
          <w:sz w:val="18"/>
          <w:szCs w:val="18"/>
        </w:rPr>
      </w:pPr>
    </w:p>
    <w:p>
      <w:pPr>
        <w:pStyle w:val="Heading2"/>
        <w:spacing w:line="240" w:lineRule="auto" w:before="26"/>
        <w:ind w:right="891"/>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91"/>
        <w:jc w:val="left"/>
      </w:pPr>
      <w:r>
        <w:rPr/>
        <w:t>√ 适用 □ 不适用</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77"/>
        <w:gridCol w:w="1908"/>
        <w:gridCol w:w="3186"/>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-4,214,205.94</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家统一标准定额或定量享受的政府补助除外）</w:t>
            </w:r>
          </w:p>
        </w:tc>
        <w:tc>
          <w:tcPr>
            <w:tcW w:w="19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294,057,714.47</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其中：政府搬迁补助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279,429,993.06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-14,293,530.04</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57,375,072.42</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8,809,077.21</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3,740.06</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8"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324,112,233.64</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9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891"/>
        <w:jc w:val="left"/>
      </w:pPr>
      <w:r>
        <w:rPr/>
        <w:t>□ 适用 √ 不适用</w:t>
      </w:r>
    </w:p>
    <w:p>
      <w:pPr>
        <w:spacing w:after="0" w:line="240" w:lineRule="auto"/>
        <w:jc w:val="left"/>
        <w:sectPr>
          <w:pgSz w:w="11910" w:h="16840"/>
          <w:pgMar w:header="747" w:footer="941" w:top="1060" w:bottom="114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891"/>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0"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2"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b/>
          <w:bCs/>
          <w:sz w:val="19"/>
          <w:szCs w:val="19"/>
        </w:rPr>
      </w:pPr>
    </w:p>
    <w:p>
      <w:pPr>
        <w:pStyle w:val="Heading3"/>
        <w:spacing w:line="240" w:lineRule="auto" w:before="35"/>
        <w:ind w:right="891"/>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891"/>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91"/>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891"/>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91"/>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891"/>
        <w:jc w:val="left"/>
      </w:pPr>
      <w:r>
        <w:rPr/>
        <w:t>公司主要会计报表项目的异常情况及原因的说明：</w:t>
      </w:r>
    </w:p>
    <w:p>
      <w:pPr>
        <w:pStyle w:val="BodyText"/>
        <w:spacing w:line="240" w:lineRule="auto" w:before="116"/>
        <w:ind w:left="513" w:right="891"/>
        <w:jc w:val="left"/>
      </w:pPr>
      <w:r>
        <w:rPr>
          <w:rFonts w:ascii="Times New Roman" w:hAnsi="Times New Roman" w:cs="Times New Roman" w:eastAsia="Times New Roman" w:hint="default"/>
        </w:rPr>
        <w:t>1</w:t>
      </w:r>
      <w:r>
        <w:rPr/>
        <w:t>、货币资金较年初增加</w:t>
      </w:r>
      <w:r>
        <w:rPr>
          <w:rFonts w:ascii="Times New Roman" w:hAnsi="Times New Roman" w:cs="Times New Roman" w:eastAsia="Times New Roman" w:hint="default"/>
        </w:rPr>
        <w:t>32.53%</w:t>
      </w:r>
      <w:r>
        <w:rPr/>
        <w:t>，主要系本期取得银行借款增加，及采购货物时使用信用证和商业信用方式结算增加。</w:t>
      </w:r>
    </w:p>
    <w:p>
      <w:pPr>
        <w:pStyle w:val="BodyText"/>
        <w:spacing w:line="240" w:lineRule="auto" w:before="103"/>
        <w:ind w:left="514" w:right="891"/>
        <w:jc w:val="left"/>
      </w:pPr>
      <w:r>
        <w:rPr>
          <w:rFonts w:ascii="Times New Roman" w:hAnsi="Times New Roman" w:cs="Times New Roman" w:eastAsia="Times New Roman" w:hint="default"/>
        </w:rPr>
        <w:t>2</w:t>
      </w:r>
      <w:r>
        <w:rPr/>
        <w:t>、其他流动资产较年初增加</w:t>
      </w:r>
      <w:r>
        <w:rPr>
          <w:rFonts w:ascii="Times New Roman" w:hAnsi="Times New Roman" w:cs="Times New Roman" w:eastAsia="Times New Roman" w:hint="default"/>
        </w:rPr>
        <w:t>72.69%</w:t>
      </w:r>
      <w:r>
        <w:rPr/>
        <w:t>，主要系本期公司待抵扣进项税增加所致。</w:t>
      </w:r>
    </w:p>
    <w:p>
      <w:pPr>
        <w:pStyle w:val="BodyText"/>
        <w:spacing w:line="240" w:lineRule="auto" w:before="102"/>
        <w:ind w:left="514" w:right="891"/>
        <w:jc w:val="left"/>
      </w:pPr>
      <w:r>
        <w:rPr>
          <w:rFonts w:ascii="Times New Roman" w:hAnsi="Times New Roman" w:cs="Times New Roman" w:eastAsia="Times New Roman" w:hint="default"/>
        </w:rPr>
        <w:t>3</w:t>
      </w:r>
      <w:r>
        <w:rPr/>
        <w:t>、长期股权投资较年初增加</w:t>
      </w:r>
      <w:r>
        <w:rPr>
          <w:rFonts w:ascii="Times New Roman" w:hAnsi="Times New Roman" w:cs="Times New Roman" w:eastAsia="Times New Roman" w:hint="default"/>
        </w:rPr>
        <w:t>43.21%</w:t>
      </w:r>
      <w:r>
        <w:rPr/>
        <w:t>，主要系本期公司对联营企业国智云鼎追加投资所致。</w:t>
      </w:r>
    </w:p>
    <w:p>
      <w:pPr>
        <w:pStyle w:val="BodyText"/>
        <w:spacing w:line="240" w:lineRule="auto" w:before="102"/>
        <w:ind w:left="514" w:right="891"/>
        <w:jc w:val="left"/>
      </w:pPr>
      <w:r>
        <w:rPr>
          <w:rFonts w:ascii="Times New Roman" w:hAnsi="Times New Roman" w:cs="Times New Roman" w:eastAsia="Times New Roman" w:hint="default"/>
        </w:rPr>
        <w:t>4</w:t>
      </w:r>
      <w:r>
        <w:rPr/>
        <w:t>、固定资产较年初增加</w:t>
      </w:r>
      <w:r>
        <w:rPr>
          <w:rFonts w:ascii="Times New Roman" w:hAnsi="Times New Roman" w:cs="Times New Roman" w:eastAsia="Times New Roman" w:hint="default"/>
        </w:rPr>
        <w:t>37.52%</w:t>
      </w:r>
      <w:r>
        <w:rPr/>
        <w:t>，主要系本期公司高档服装及绿色环保服装面料等项目完工转入固定资产所致。</w:t>
      </w:r>
    </w:p>
    <w:p>
      <w:pPr>
        <w:pStyle w:val="BodyText"/>
        <w:spacing w:line="240" w:lineRule="auto" w:before="102"/>
        <w:ind w:left="514" w:right="891"/>
        <w:jc w:val="left"/>
      </w:pPr>
      <w:r>
        <w:rPr>
          <w:rFonts w:ascii="Times New Roman" w:hAnsi="Times New Roman" w:cs="Times New Roman" w:eastAsia="Times New Roman" w:hint="default"/>
        </w:rPr>
        <w:t>5</w:t>
      </w:r>
      <w:r>
        <w:rPr/>
        <w:t>、无形资产较年初增加</w:t>
      </w:r>
      <w:r>
        <w:rPr>
          <w:rFonts w:ascii="Times New Roman" w:hAnsi="Times New Roman" w:cs="Times New Roman" w:eastAsia="Times New Roman" w:hint="default"/>
        </w:rPr>
        <w:t>35.49%</w:t>
      </w:r>
      <w:r>
        <w:rPr/>
        <w:t>，主要系本期公司部分内部研究开发项目开发阶段完成由开发支出转入无形资产所致。</w:t>
      </w:r>
    </w:p>
    <w:p>
      <w:pPr>
        <w:pStyle w:val="BodyText"/>
        <w:spacing w:line="240" w:lineRule="auto" w:before="103"/>
        <w:ind w:left="514" w:right="891"/>
        <w:jc w:val="left"/>
      </w:pPr>
      <w:r>
        <w:rPr>
          <w:rFonts w:ascii="Times New Roman" w:hAnsi="Times New Roman" w:cs="Times New Roman" w:eastAsia="Times New Roman" w:hint="default"/>
        </w:rPr>
        <w:t>6</w:t>
      </w:r>
      <w:r>
        <w:rPr/>
        <w:t>、长期待摊费用较年初增加</w:t>
      </w:r>
      <w:r>
        <w:rPr>
          <w:rFonts w:ascii="Times New Roman" w:hAnsi="Times New Roman" w:cs="Times New Roman" w:eastAsia="Times New Roman" w:hint="default"/>
        </w:rPr>
        <w:t>34.30%</w:t>
      </w:r>
      <w:r>
        <w:rPr/>
        <w:t>，主要系公司房屋装修费增加所致。</w:t>
      </w:r>
    </w:p>
    <w:p>
      <w:pPr>
        <w:pStyle w:val="BodyText"/>
        <w:spacing w:line="302" w:lineRule="auto" w:before="101"/>
        <w:ind w:right="891" w:firstLine="360"/>
        <w:jc w:val="left"/>
      </w:pPr>
      <w:r>
        <w:rPr>
          <w:rFonts w:ascii="Times New Roman" w:hAnsi="Times New Roman" w:cs="Times New Roman" w:eastAsia="Times New Roman" w:hint="default"/>
          <w:spacing w:val="-1"/>
        </w:rPr>
        <w:t>7</w:t>
      </w:r>
      <w:r>
        <w:rPr>
          <w:spacing w:val="-1"/>
        </w:rPr>
        <w:t>、递延所得税资产较年初减少</w:t>
      </w:r>
      <w:r>
        <w:rPr>
          <w:rFonts w:ascii="Times New Roman" w:hAnsi="Times New Roman" w:cs="Times New Roman" w:eastAsia="Times New Roman" w:hint="default"/>
          <w:spacing w:val="-1"/>
        </w:rPr>
        <w:t>46.30%</w:t>
      </w:r>
      <w:r>
        <w:rPr>
          <w:spacing w:val="-1"/>
        </w:rPr>
        <w:t>，主要系本期公司销售库存商品、处置固定资产转销存货跌价准备和固定资产减</w:t>
      </w:r>
      <w:r>
        <w:rPr/>
        <w:t> 值准备所致。</w:t>
      </w:r>
    </w:p>
    <w:p>
      <w:pPr>
        <w:pStyle w:val="BodyText"/>
        <w:spacing w:line="240" w:lineRule="auto" w:before="70"/>
        <w:ind w:left="514" w:right="891"/>
        <w:jc w:val="left"/>
      </w:pPr>
      <w:r>
        <w:rPr>
          <w:rFonts w:ascii="Times New Roman" w:hAnsi="Times New Roman" w:cs="Times New Roman" w:eastAsia="Times New Roman" w:hint="default"/>
        </w:rPr>
        <w:t>8</w:t>
      </w:r>
      <w:r>
        <w:rPr/>
        <w:t>、应付票据及应付账款较年初增加</w:t>
      </w:r>
      <w:r>
        <w:rPr>
          <w:rFonts w:ascii="Times New Roman" w:hAnsi="Times New Roman" w:cs="Times New Roman" w:eastAsia="Times New Roman" w:hint="default"/>
        </w:rPr>
        <w:t>47.60%</w:t>
      </w:r>
      <w:r>
        <w:rPr/>
        <w:t>，主要系本期使用信用证和商业信用方式结算增加所致。</w:t>
      </w:r>
    </w:p>
    <w:p>
      <w:pPr>
        <w:pStyle w:val="BodyText"/>
        <w:spacing w:line="240" w:lineRule="auto" w:before="102"/>
        <w:ind w:left="514" w:right="891"/>
        <w:jc w:val="left"/>
      </w:pPr>
      <w:r>
        <w:rPr>
          <w:rFonts w:ascii="Times New Roman" w:hAnsi="Times New Roman" w:cs="Times New Roman" w:eastAsia="Times New Roman" w:hint="default"/>
        </w:rPr>
        <w:t>9</w:t>
      </w:r>
      <w:r>
        <w:rPr/>
        <w:t>、一年内到期的非流动负债较年初减少</w:t>
      </w:r>
      <w:r>
        <w:rPr>
          <w:rFonts w:ascii="Times New Roman" w:hAnsi="Times New Roman" w:cs="Times New Roman" w:eastAsia="Times New Roman" w:hint="default"/>
        </w:rPr>
        <w:t>79.33%</w:t>
      </w:r>
      <w:r>
        <w:rPr/>
        <w:t>，主要系本期公司归还到期的长期借款所致。</w:t>
      </w:r>
    </w:p>
    <w:p>
      <w:pPr>
        <w:pStyle w:val="BodyText"/>
        <w:spacing w:line="240" w:lineRule="auto" w:before="102"/>
        <w:ind w:left="514" w:right="891"/>
        <w:jc w:val="left"/>
      </w:pPr>
      <w:r>
        <w:rPr>
          <w:rFonts w:ascii="Times New Roman" w:hAnsi="Times New Roman" w:cs="Times New Roman" w:eastAsia="Times New Roman" w:hint="default"/>
        </w:rPr>
        <w:t>10</w:t>
      </w:r>
      <w:r>
        <w:rPr/>
        <w:t>、长期借款较年初增加</w:t>
      </w:r>
      <w:r>
        <w:rPr>
          <w:rFonts w:ascii="Times New Roman" w:hAnsi="Times New Roman" w:cs="Times New Roman" w:eastAsia="Times New Roman" w:hint="default"/>
        </w:rPr>
        <w:t>75.90%</w:t>
      </w:r>
      <w:r>
        <w:rPr/>
        <w:t>，主要系本期公司为改善负债结构，增加长期借款所致。</w:t>
      </w:r>
    </w:p>
    <w:p>
      <w:pPr>
        <w:pStyle w:val="BodyText"/>
        <w:spacing w:line="240" w:lineRule="auto" w:before="103"/>
        <w:ind w:left="514" w:right="891"/>
        <w:jc w:val="left"/>
      </w:pPr>
      <w:r>
        <w:rPr>
          <w:rFonts w:ascii="Times New Roman" w:hAnsi="Times New Roman" w:cs="Times New Roman" w:eastAsia="Times New Roman" w:hint="default"/>
        </w:rPr>
        <w:t>11</w:t>
      </w:r>
      <w:r>
        <w:rPr/>
        <w:t>、长期应付款较年初增加</w:t>
      </w:r>
      <w:r>
        <w:rPr>
          <w:rFonts w:ascii="Times New Roman" w:hAnsi="Times New Roman" w:cs="Times New Roman" w:eastAsia="Times New Roman" w:hint="default"/>
        </w:rPr>
        <w:t>335.08%</w:t>
      </w:r>
      <w:r>
        <w:rPr/>
        <w:t>，主要系本期公司收到交银融资租赁有限公司融资租赁款所致。</w:t>
      </w:r>
    </w:p>
    <w:p>
      <w:pPr>
        <w:pStyle w:val="BodyText"/>
        <w:spacing w:line="240" w:lineRule="auto" w:before="102"/>
        <w:ind w:left="514" w:right="891"/>
        <w:jc w:val="left"/>
      </w:pPr>
      <w:r>
        <w:rPr>
          <w:rFonts w:ascii="Times New Roman" w:hAnsi="Times New Roman" w:cs="Times New Roman" w:eastAsia="Times New Roman" w:hint="default"/>
        </w:rPr>
        <w:t>12</w:t>
      </w:r>
      <w:r>
        <w:rPr/>
        <w:t>、库存股较年初增加</w:t>
      </w:r>
      <w:r>
        <w:rPr>
          <w:rFonts w:ascii="Times New Roman" w:hAnsi="Times New Roman" w:cs="Times New Roman" w:eastAsia="Times New Roman" w:hint="default"/>
        </w:rPr>
        <w:t>2,695</w:t>
      </w:r>
      <w:r>
        <w:rPr/>
        <w:t>万元，主要系本期公司以集中竞价交易方式回购公司股份所致。</w:t>
      </w:r>
    </w:p>
    <w:p>
      <w:pPr>
        <w:pStyle w:val="BodyText"/>
        <w:spacing w:line="240" w:lineRule="auto" w:before="102"/>
        <w:ind w:left="514" w:right="891"/>
        <w:jc w:val="left"/>
      </w:pPr>
      <w:r>
        <w:rPr>
          <w:rFonts w:ascii="Times New Roman" w:hAnsi="Times New Roman" w:cs="Times New Roman" w:eastAsia="Times New Roman" w:hint="default"/>
        </w:rPr>
        <w:t>13</w:t>
      </w:r>
      <w:r>
        <w:rPr/>
        <w:t>、少数股东权益较年初增加</w:t>
      </w:r>
      <w:r>
        <w:rPr>
          <w:rFonts w:ascii="Times New Roman" w:hAnsi="Times New Roman" w:cs="Times New Roman" w:eastAsia="Times New Roman" w:hint="default"/>
        </w:rPr>
        <w:t>76.91%</w:t>
      </w:r>
      <w:r>
        <w:rPr/>
        <w:t>，主要是本公司子公司舞钢智慧城市科技发展有限公司收到股权投资款所致。</w:t>
      </w:r>
    </w:p>
    <w:p>
      <w:pPr>
        <w:pStyle w:val="BodyText"/>
        <w:spacing w:line="240" w:lineRule="auto" w:before="103"/>
        <w:ind w:left="514" w:right="891"/>
        <w:jc w:val="left"/>
      </w:pPr>
      <w:r>
        <w:rPr>
          <w:rFonts w:ascii="Times New Roman" w:hAnsi="Times New Roman" w:cs="Times New Roman" w:eastAsia="Times New Roman" w:hint="default"/>
        </w:rPr>
        <w:t>14</w:t>
      </w:r>
      <w:r>
        <w:rPr/>
        <w:t>、资产减值损失较去年同期减少</w:t>
      </w:r>
      <w:r>
        <w:rPr>
          <w:rFonts w:ascii="Times New Roman" w:hAnsi="Times New Roman" w:cs="Times New Roman" w:eastAsia="Times New Roman" w:hint="default"/>
        </w:rPr>
        <w:t>67.86%</w:t>
      </w:r>
      <w:r>
        <w:rPr/>
        <w:t>，主要系本期公司计提存货跌价准备、固定资产减值准备同比减少所致。</w:t>
      </w:r>
    </w:p>
    <w:p>
      <w:pPr>
        <w:pStyle w:val="BodyText"/>
        <w:spacing w:line="240" w:lineRule="auto" w:before="102"/>
        <w:ind w:left="514" w:right="891"/>
        <w:jc w:val="left"/>
      </w:pPr>
      <w:r>
        <w:rPr>
          <w:rFonts w:ascii="Times New Roman" w:hAnsi="Times New Roman" w:cs="Times New Roman" w:eastAsia="Times New Roman" w:hint="default"/>
        </w:rPr>
        <w:t>15</w:t>
      </w:r>
      <w:r>
        <w:rPr/>
        <w:t>、其他收益较去年同期减少</w:t>
      </w:r>
      <w:r>
        <w:rPr>
          <w:rFonts w:ascii="Times New Roman" w:hAnsi="Times New Roman" w:cs="Times New Roman" w:eastAsia="Times New Roman" w:hint="default"/>
        </w:rPr>
        <w:t>51.32%,</w:t>
      </w:r>
      <w:r>
        <w:rPr/>
        <w:t>主要系本期公司确认的政府搬迁补助同比减少所致。</w:t>
      </w:r>
    </w:p>
    <w:p>
      <w:pPr>
        <w:pStyle w:val="BodyText"/>
        <w:spacing w:line="240" w:lineRule="auto" w:before="102"/>
        <w:ind w:left="514" w:right="891"/>
        <w:jc w:val="left"/>
      </w:pPr>
      <w:r>
        <w:rPr>
          <w:rFonts w:ascii="Times New Roman" w:hAnsi="Times New Roman" w:cs="Times New Roman" w:eastAsia="Times New Roman" w:hint="default"/>
        </w:rPr>
        <w:t>16</w:t>
      </w:r>
      <w:r>
        <w:rPr/>
        <w:t>、投资收益较去年同期减少</w:t>
      </w:r>
      <w:r>
        <w:rPr>
          <w:rFonts w:ascii="Times New Roman" w:hAnsi="Times New Roman" w:cs="Times New Roman" w:eastAsia="Times New Roman" w:hint="default"/>
        </w:rPr>
        <w:t>87.95%</w:t>
      </w:r>
      <w:r>
        <w:rPr/>
        <w:t>，主要系</w:t>
      </w:r>
      <w:r>
        <w:rPr>
          <w:rFonts w:ascii="Times New Roman" w:hAnsi="Times New Roman" w:cs="Times New Roman" w:eastAsia="Times New Roman" w:hint="default"/>
        </w:rPr>
        <w:t>2017</w:t>
      </w:r>
      <w:r>
        <w:rPr/>
        <w:t>年公司处置交通银行股权影响所致。</w:t>
      </w:r>
    </w:p>
    <w:p>
      <w:pPr>
        <w:spacing w:after="0" w:line="240" w:lineRule="auto"/>
        <w:jc w:val="left"/>
        <w:sectPr>
          <w:pgSz w:w="11910" w:h="16840"/>
          <w:pgMar w:header="747" w:footer="941" w:top="1060" w:bottom="114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891"/>
        <w:jc w:val="left"/>
      </w:pPr>
      <w:r>
        <w:rPr>
          <w:rFonts w:ascii="Times New Roman" w:hAnsi="Times New Roman" w:cs="Times New Roman" w:eastAsia="Times New Roman" w:hint="default"/>
        </w:rPr>
        <w:t>17</w:t>
      </w:r>
      <w:r>
        <w:rPr/>
        <w:t>、资产处置收益较去年同期增加</w:t>
      </w:r>
      <w:r>
        <w:rPr>
          <w:rFonts w:ascii="Times New Roman" w:hAnsi="Times New Roman" w:cs="Times New Roman" w:eastAsia="Times New Roman" w:hint="default"/>
        </w:rPr>
        <w:t>82.67%</w:t>
      </w:r>
      <w:r>
        <w:rPr/>
        <w:t>，主要系本期公司处置固定资产损失同比减少所致。</w:t>
      </w:r>
    </w:p>
    <w:p>
      <w:pPr>
        <w:pStyle w:val="BodyText"/>
        <w:spacing w:line="302" w:lineRule="auto" w:before="101"/>
        <w:ind w:left="153" w:right="891" w:firstLine="360"/>
        <w:jc w:val="left"/>
      </w:pPr>
      <w:r>
        <w:rPr>
          <w:rFonts w:ascii="Times New Roman" w:hAnsi="Times New Roman" w:cs="Times New Roman" w:eastAsia="Times New Roman" w:hint="default"/>
        </w:rPr>
        <w:t>18</w:t>
      </w:r>
      <w:r>
        <w:rPr/>
        <w:t>、营业利润较去年同期减少</w:t>
      </w:r>
      <w:r>
        <w:rPr>
          <w:rFonts w:ascii="Times New Roman" w:hAnsi="Times New Roman" w:cs="Times New Roman" w:eastAsia="Times New Roman" w:hint="default"/>
        </w:rPr>
        <w:t>33.55%</w:t>
      </w:r>
      <w:r>
        <w:rPr/>
        <w:t>，主要系纺织板块</w:t>
      </w:r>
      <w:r>
        <w:rPr>
          <w:rFonts w:ascii="Times New Roman" w:hAnsi="Times New Roman" w:cs="Times New Roman" w:eastAsia="Times New Roman" w:hint="default"/>
        </w:rPr>
        <w:t>2017</w:t>
      </w:r>
      <w:r>
        <w:rPr/>
        <w:t>年处置交行股权使本期投资收益同比减少；软件板块本期 </w:t>
      </w:r>
      <w:r>
        <w:rPr>
          <w:spacing w:val="-4"/>
        </w:rPr>
        <w:t>增加市场拓展力度等原因使管理费用、销售费用同比增加，以及受借款增加、融资成本上涨等因素影响使财务费用同比增加。</w:t>
      </w:r>
    </w:p>
    <w:p>
      <w:pPr>
        <w:pStyle w:val="BodyText"/>
        <w:spacing w:line="240" w:lineRule="auto" w:before="70"/>
        <w:ind w:left="513" w:right="891"/>
        <w:jc w:val="left"/>
      </w:pPr>
      <w:r>
        <w:rPr>
          <w:rFonts w:ascii="Times New Roman" w:hAnsi="Times New Roman" w:cs="Times New Roman" w:eastAsia="Times New Roman" w:hint="default"/>
        </w:rPr>
        <w:t>19</w:t>
      </w:r>
      <w:r>
        <w:rPr/>
        <w:t>、营业外收入较去年同期增加</w:t>
      </w:r>
      <w:r>
        <w:rPr>
          <w:rFonts w:ascii="Times New Roman" w:hAnsi="Times New Roman" w:cs="Times New Roman" w:eastAsia="Times New Roman" w:hint="default"/>
        </w:rPr>
        <w:t>165.29%</w:t>
      </w:r>
      <w:r>
        <w:rPr/>
        <w:t>，主要系本期将不必向索科维尔原股东支付的股权转让款计入营业外收入所致。</w:t>
      </w:r>
    </w:p>
    <w:p>
      <w:pPr>
        <w:pStyle w:val="BodyText"/>
        <w:spacing w:line="240" w:lineRule="auto" w:before="102"/>
        <w:ind w:left="513" w:right="891"/>
        <w:jc w:val="left"/>
      </w:pPr>
      <w:r>
        <w:rPr>
          <w:rFonts w:ascii="Times New Roman" w:hAnsi="Times New Roman" w:cs="Times New Roman" w:eastAsia="Times New Roman" w:hint="default"/>
        </w:rPr>
        <w:t>20</w:t>
      </w:r>
      <w:r>
        <w:rPr/>
        <w:t>、营业外支出较去年同期增加</w:t>
      </w:r>
      <w:r>
        <w:rPr>
          <w:rFonts w:ascii="Times New Roman" w:hAnsi="Times New Roman" w:cs="Times New Roman" w:eastAsia="Times New Roman" w:hint="default"/>
        </w:rPr>
        <w:t>198.77%</w:t>
      </w:r>
      <w:r>
        <w:rPr/>
        <w:t>，主要系本期公司支付项目违约金影响所致。</w:t>
      </w:r>
    </w:p>
    <w:p>
      <w:pPr>
        <w:pStyle w:val="BodyText"/>
        <w:spacing w:line="302" w:lineRule="auto" w:before="101"/>
        <w:ind w:left="153" w:right="891" w:firstLine="360"/>
        <w:jc w:val="left"/>
      </w:pPr>
      <w:r>
        <w:rPr>
          <w:rFonts w:ascii="Times New Roman" w:hAnsi="Times New Roman" w:cs="Times New Roman" w:eastAsia="Times New Roman" w:hint="default"/>
        </w:rPr>
        <w:t>21</w:t>
      </w:r>
      <w:r>
        <w:rPr/>
        <w:t>、所得税费用较去年同期增加</w:t>
      </w:r>
      <w:r>
        <w:rPr>
          <w:rFonts w:ascii="Times New Roman" w:hAnsi="Times New Roman" w:cs="Times New Roman" w:eastAsia="Times New Roman" w:hint="default"/>
        </w:rPr>
        <w:t>1,322.32%</w:t>
      </w:r>
      <w:r>
        <w:rPr/>
        <w:t>，主要系本期公司销售库存商品、处置固定资产转销前期计提的减值准备，</w:t>
      </w:r>
      <w:r>
        <w:rPr>
          <w:spacing w:val="1"/>
        </w:rPr>
        <w:t> </w:t>
      </w:r>
      <w:r>
        <w:rPr/>
        <w:t>使递延所得税费用同比增加所致。</w:t>
      </w:r>
    </w:p>
    <w:p>
      <w:pPr>
        <w:pStyle w:val="BodyText"/>
        <w:spacing w:line="240" w:lineRule="auto" w:before="70"/>
        <w:ind w:left="513" w:right="891"/>
        <w:jc w:val="left"/>
      </w:pPr>
      <w:r>
        <w:rPr>
          <w:rFonts w:ascii="Times New Roman" w:hAnsi="Times New Roman" w:cs="Times New Roman" w:eastAsia="Times New Roman" w:hint="default"/>
        </w:rPr>
        <w:t>22</w:t>
      </w:r>
      <w:r>
        <w:rPr/>
        <w:t>、净利润较去年同期减少</w:t>
      </w:r>
      <w:r>
        <w:rPr>
          <w:rFonts w:ascii="Times New Roman" w:hAnsi="Times New Roman" w:cs="Times New Roman" w:eastAsia="Times New Roman" w:hint="default"/>
        </w:rPr>
        <w:t>48.47%</w:t>
      </w:r>
      <w:r>
        <w:rPr/>
        <w:t>，主要系营业利润下降及递延所得税费用同比增加所致。</w:t>
      </w:r>
    </w:p>
    <w:p>
      <w:pPr>
        <w:pStyle w:val="BodyText"/>
        <w:spacing w:line="300" w:lineRule="auto" w:before="101"/>
        <w:ind w:left="153" w:right="891" w:firstLine="360"/>
        <w:jc w:val="left"/>
      </w:pPr>
      <w:r>
        <w:rPr>
          <w:rFonts w:ascii="Times New Roman" w:hAnsi="Times New Roman" w:cs="Times New Roman" w:eastAsia="Times New Roman" w:hint="default"/>
          <w:spacing w:val="-1"/>
        </w:rPr>
        <w:t>23</w:t>
      </w:r>
      <w:r>
        <w:rPr>
          <w:spacing w:val="-1"/>
        </w:rPr>
        <w:t>、经营活动产生的现金流量净额同比增加</w:t>
      </w:r>
      <w:r>
        <w:rPr>
          <w:rFonts w:ascii="Times New Roman" w:hAnsi="Times New Roman" w:cs="Times New Roman" w:eastAsia="Times New Roman" w:hint="default"/>
          <w:spacing w:val="-1"/>
        </w:rPr>
        <w:t>126.68%</w:t>
      </w:r>
      <w:r>
        <w:rPr>
          <w:spacing w:val="-1"/>
        </w:rPr>
        <w:t>，主要系本期软件业务营业收入增加带动销售回款增加，以及购买</w:t>
      </w:r>
      <w:r>
        <w:rPr/>
        <w:t> 商品、接受劳务支付的现金比上年减少所致。</w:t>
      </w:r>
    </w:p>
    <w:p>
      <w:pPr>
        <w:pStyle w:val="BodyText"/>
        <w:spacing w:line="240" w:lineRule="auto" w:before="72"/>
        <w:ind w:left="513" w:right="891"/>
        <w:jc w:val="left"/>
      </w:pPr>
      <w:r>
        <w:rPr>
          <w:rFonts w:ascii="Times New Roman" w:hAnsi="Times New Roman" w:cs="Times New Roman" w:eastAsia="Times New Roman" w:hint="default"/>
        </w:rPr>
        <w:t>24</w:t>
      </w:r>
      <w:r>
        <w:rPr/>
        <w:t>、投资活动产生的现金流量净额同比减少</w:t>
      </w:r>
      <w:r>
        <w:rPr>
          <w:rFonts w:ascii="Times New Roman" w:hAnsi="Times New Roman" w:cs="Times New Roman" w:eastAsia="Times New Roman" w:hint="default"/>
        </w:rPr>
        <w:t>79.10%</w:t>
      </w:r>
      <w:r>
        <w:rPr/>
        <w:t>，主要系本期项目建设支付的现金比上年增加所致。</w:t>
      </w:r>
    </w:p>
    <w:p>
      <w:pPr>
        <w:pStyle w:val="BodyText"/>
        <w:spacing w:line="240" w:lineRule="auto" w:before="103"/>
        <w:ind w:left="513" w:right="891"/>
        <w:jc w:val="left"/>
      </w:pPr>
      <w:r>
        <w:rPr>
          <w:rFonts w:ascii="Times New Roman" w:hAnsi="Times New Roman" w:cs="Times New Roman" w:eastAsia="Times New Roman" w:hint="default"/>
        </w:rPr>
        <w:t>25</w:t>
      </w:r>
      <w:r>
        <w:rPr/>
        <w:t>、筹资活动产生的现金流量净额同比增加</w:t>
      </w:r>
      <w:r>
        <w:rPr>
          <w:rFonts w:ascii="Times New Roman" w:hAnsi="Times New Roman" w:cs="Times New Roman" w:eastAsia="Times New Roman" w:hint="default"/>
        </w:rPr>
        <w:t>121.59%</w:t>
      </w:r>
      <w:r>
        <w:rPr/>
        <w:t>，主要系本期取得银行借款及融资租赁款比上年增加所致。</w:t>
      </w:r>
    </w:p>
    <w:p>
      <w:pPr>
        <w:pStyle w:val="BodyText"/>
        <w:spacing w:line="302" w:lineRule="auto" w:before="101"/>
        <w:ind w:left="153" w:right="891" w:firstLine="380"/>
        <w:jc w:val="left"/>
      </w:pPr>
      <w:r>
        <w:rPr>
          <w:rFonts w:ascii="Times New Roman" w:hAnsi="Times New Roman" w:cs="Times New Roman" w:eastAsia="Times New Roman" w:hint="default"/>
          <w:spacing w:val="-1"/>
        </w:rPr>
        <w:t>26</w:t>
      </w:r>
      <w:r>
        <w:rPr>
          <w:spacing w:val="-1"/>
        </w:rPr>
        <w:t>、现金及现金等价物净增加额同比增加</w:t>
      </w:r>
      <w:r>
        <w:rPr>
          <w:rFonts w:ascii="Times New Roman" w:hAnsi="Times New Roman" w:cs="Times New Roman" w:eastAsia="Times New Roman" w:hint="default"/>
          <w:spacing w:val="-1"/>
        </w:rPr>
        <w:t>190.49%</w:t>
      </w:r>
      <w:r>
        <w:rPr>
          <w:spacing w:val="-1"/>
        </w:rPr>
        <w:t>，主要系本期取得银行借款增加，及采购货物时使用信用证和商业信</w:t>
      </w:r>
      <w:r>
        <w:rPr/>
        <w:t> 用方式结算增加使应付票据及应付账款增加。</w:t>
      </w:r>
    </w:p>
    <w:p>
      <w:pPr>
        <w:spacing w:after="0" w:line="302" w:lineRule="auto"/>
        <w:jc w:val="left"/>
        <w:sectPr>
          <w:pgSz w:w="11910" w:h="16840"/>
          <w:pgMar w:header="747" w:footer="941" w:top="1060" w:bottom="11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891"/>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153" w:right="3551"/>
        <w:jc w:val="left"/>
      </w:pPr>
      <w:r>
        <w:rPr/>
        <w:t>一、载有公司法定代表人签字和公司盖章的本次年报摘要及全文。 二、载有公司法定代表人、主管会计工作负责人、会计机构负责人签名并盖章的财务报表。 三、载有会计师事务所盖章、注册会计师签名并盖章的审计报告原件。 四、报告期内在中国证监会指定报纸上公开披露过的所有文件的正本及公告的原稿。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BodyText"/>
        <w:spacing w:line="240" w:lineRule="auto"/>
        <w:ind w:left="4347" w:right="2544"/>
        <w:jc w:val="center"/>
      </w:pPr>
      <w:r>
        <w:rPr/>
        <w:t>石家庄常山北明科技股份有限公司董事会</w:t>
      </w:r>
    </w:p>
    <w:p>
      <w:pPr>
        <w:pStyle w:val="BodyText"/>
        <w:spacing w:line="240" w:lineRule="auto" w:before="117"/>
        <w:ind w:left="4302" w:right="2544"/>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28 </w:t>
      </w:r>
      <w:r>
        <w:rPr/>
        <w:t>日</w:t>
      </w:r>
    </w:p>
    <w:sectPr>
      <w:pgSz w:w="11910" w:h="16840"/>
      <w:pgMar w:header="747" w:footer="941" w:top="1060" w:bottom="11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20272" type="#_x0000_t75" stroked="false">
          <v:imagedata r:id="rId1" o:title=""/>
        </v:shape>
      </w:pict>
    </w:r>
    <w:r>
      <w:rPr/>
      <w:pict>
        <v:shape style="position:absolute;margin-left:294.3797pt;margin-top:797.557312pt;width:6.5pt;height:11pt;mso-position-horizontal-relative:page;mso-position-vertical-relative:page;z-index:-1220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20224" type="#_x0000_t75" stroked="false">
          <v:imagedata r:id="rId1" o:title=""/>
        </v:shape>
      </w:pict>
    </w:r>
    <w:r>
      <w:rPr/>
      <w:pict>
        <v:shape style="position:absolute;margin-left:291.160309pt;margin-top:783.937866pt;width:13pt;height:11pt;mso-position-horizontal-relative:page;mso-position-vertical-relative:page;z-index:-1220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20176" type="#_x0000_t75" stroked="false">
          <v:imagedata r:id="rId1" o:title=""/>
        </v:shape>
      </w:pict>
    </w:r>
    <w:r>
      <w:rPr/>
      <w:pict>
        <v:shape style="position:absolute;margin-left:289.8797pt;margin-top:783.937866pt;width:15.5pt;height:11pt;mso-position-horizontal-relative:page;mso-position-vertical-relative:page;z-index:-1220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20128" type="#_x0000_t75" stroked="false">
          <v:imagedata r:id="rId1" o:title=""/>
        </v:shape>
      </w:pict>
    </w:r>
    <w:r>
      <w:rPr/>
      <w:pict>
        <v:shape style="position:absolute;margin-left:288.8797pt;margin-top:783.937866pt;width:17.5pt;height:11pt;mso-position-horizontal-relative:page;mso-position-vertical-relative:page;z-index:-1220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20080" type="#_x0000_t75" stroked="false">
          <v:imagedata r:id="rId1" o:title=""/>
        </v:shape>
      </w:pict>
    </w:r>
    <w:r>
      <w:rPr/>
      <w:pict>
        <v:shape style="position:absolute;margin-left:289.059692pt;margin-top:783.937866pt;width:17.150pt;height:11pt;mso-position-horizontal-relative:page;mso-position-vertical-relative:page;z-index:-1220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220032" type="#_x0000_t75" stroked="false">
          <v:imagedata r:id="rId1" o:title=""/>
        </v:shape>
      </w:pict>
    </w:r>
    <w:r>
      <w:rPr/>
      <w:pict>
        <v:shape style="position:absolute;margin-left:288.8797pt;margin-top:783.937866pt;width:17.5pt;height:11pt;mso-position-horizontal-relative:page;mso-position-vertical-relative:page;z-index:-1220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220296" type="#_x0000_t202" filled="false" stroked="false">
          <v:textbox inset="0,0,0,0">
            <w:txbxContent>
              <w:p>
                <w:pPr>
                  <w:pStyle w:val="BodyText"/>
                  <w:spacing w:line="214" w:lineRule="exact"/>
                  <w:ind w:left="20" w:right="0"/>
                  <w:jc w:val="left"/>
                </w:pPr>
                <w:r>
                  <w:rPr/>
                  <w:t>石家庄常山北明科技股份有限公司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csbmkj.com/" TargetMode="External"/><Relationship Id="rId11" Type="http://schemas.openxmlformats.org/officeDocument/2006/relationships/hyperlink" Target="mailto:chshgf@heinfo.net" TargetMode="External"/><Relationship Id="rId12" Type="http://schemas.openxmlformats.org/officeDocument/2006/relationships/hyperlink" Target="mailto:chijunp52@sohu.com" TargetMode="External"/><Relationship Id="rId13" Type="http://schemas.openxmlformats.org/officeDocument/2006/relationships/hyperlink" Target="mailto:ally0629@sohu.com" TargetMode="External"/><Relationship Id="rId14" Type="http://schemas.openxmlformats.org/officeDocument/2006/relationships/hyperlink" Target="mailto:0629@sohu.com" TargetMode="External"/><Relationship Id="rId15" Type="http://schemas.openxmlformats.org/officeDocument/2006/relationships/hyperlink" Target="http://www.ielife.com/" TargetMode="External"/><Relationship Id="rId16" Type="http://schemas.openxmlformats.org/officeDocument/2006/relationships/hyperlink" Target="http://w/" TargetMode="External"/><Relationship Id="rId17" Type="http://schemas.openxmlformats.org/officeDocument/2006/relationships/hyperlink" Target="http://www.cninfo.c/" TargetMode="External"/><Relationship Id="rId18" Type="http://schemas.openxmlformats.org/officeDocument/2006/relationships/image" Target="media/image3.jpe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4.png"/><Relationship Id="rId2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&lt;4D6963726F736F667420576F7264202D2032303138C4EAC4EAB6C8B1A8B8E6C8ABCEC42E646F63&gt;</dc:title>
  <dcterms:created xsi:type="dcterms:W3CDTF">2020-05-05T06:12:49Z</dcterms:created>
  <dcterms:modified xsi:type="dcterms:W3CDTF">2020-05-05T06:12:49Z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2019-06-25T00:00:00Z</vt:filetime>
  </property>
  <property fmtid="{D5CDD505-2E9C-101B-9397-08002B2CF9AE}" pid="3" name="Creator">
    <vt:lpwstr>PScript5.dll Version 5.2.2</vt:lpwstr>
  </property>
  <property fmtid="{D5CDD505-2E9C-101B-9397-08002B2CF9AE}" pid="4" name="LastSaved">
    <vt:filetime>2020-05-04T00:00:00Z</vt:filetime>
  </property>
</Properties>
</file>