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80013pt;width:484.95pt;height:.1pt;mso-position-horizontal-relative:page;mso-position-vertical-relative:page;z-index:0" coordorigin="1104,982" coordsize="9699,2">
            <v:shape style="position:absolute;left:1104;top:982;width:9699;height:2" coordorigin="1104,982" coordsize="9699,0" path="m1104,982l10802,982e" filled="false" stroked="true" strokeweight=".71997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50"/>
        <w:ind w:left="0" w:right="977" w:firstLine="0"/>
        <w:jc w:val="center"/>
        <w:rPr>
          <w:rFonts w:ascii="宋体" w:hAnsi="宋体" w:cs="宋体" w:eastAsia="宋体" w:hint="default"/>
          <w:sz w:val="36"/>
          <w:szCs w:val="36"/>
        </w:rPr>
      </w:pPr>
      <w:r>
        <w:rPr>
          <w:rFonts w:ascii="宋体" w:hAnsi="宋体" w:cs="宋体" w:eastAsia="宋体" w:hint="default"/>
          <w:b/>
          <w:bCs/>
          <w:sz w:val="36"/>
          <w:szCs w:val="36"/>
        </w:rPr>
        <w:t>石家庄常山北明科技股份有限公司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0" w:right="977"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6"/>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7"/>
          <w:szCs w:val="17"/>
        </w:rPr>
      </w:pPr>
    </w:p>
    <w:p>
      <w:pPr>
        <w:spacing w:line="2205" w:lineRule="exact"/>
        <w:ind w:left="3754" w:right="0" w:firstLine="0"/>
        <w:rPr>
          <w:rFonts w:ascii="宋体" w:hAnsi="宋体" w:cs="宋体" w:eastAsia="宋体" w:hint="default"/>
          <w:sz w:val="20"/>
          <w:szCs w:val="20"/>
        </w:rPr>
      </w:pPr>
      <w:r>
        <w:rPr>
          <w:rFonts w:ascii="宋体" w:hAnsi="宋体" w:cs="宋体" w:eastAsia="宋体" w:hint="default"/>
          <w:position w:val="-43"/>
          <w:sz w:val="20"/>
          <w:szCs w:val="20"/>
        </w:rPr>
        <w:drawing>
          <wp:inline distT="0" distB="0" distL="0" distR="0">
            <wp:extent cx="1409316" cy="140017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316" cy="1400175"/>
                    </a:xfrm>
                    <a:prstGeom prst="rect">
                      <a:avLst/>
                    </a:prstGeom>
                  </pic:spPr>
                </pic:pic>
              </a:graphicData>
            </a:graphic>
          </wp:inline>
        </w:drawing>
      </w:r>
      <w:r>
        <w:rPr>
          <w:rFonts w:ascii="宋体" w:hAnsi="宋体" w:cs="宋体" w:eastAsia="宋体" w:hint="default"/>
          <w:position w:val="-43"/>
          <w:sz w:val="20"/>
          <w:szCs w:val="20"/>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6"/>
        <w:rPr>
          <w:rFonts w:ascii="宋体" w:hAnsi="宋体" w:cs="宋体" w:eastAsia="宋体" w:hint="default"/>
          <w:b/>
          <w:bCs/>
          <w:sz w:val="28"/>
          <w:szCs w:val="28"/>
        </w:rPr>
      </w:pPr>
    </w:p>
    <w:p>
      <w:pPr>
        <w:spacing w:before="0"/>
        <w:ind w:left="0" w:right="97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82" w:top="1060" w:bottom="118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85" w:right="0"/>
        <w:jc w:val="left"/>
        <w:rPr>
          <w:b w:val="0"/>
          <w:bCs w:val="0"/>
        </w:rPr>
      </w:pPr>
      <w:bookmarkStart w:name="_TOC_250012" w:id="1"/>
      <w:r>
        <w:rPr/>
        <w:t>第一节重要提示、目录和释义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2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公司董事会、监事会及董事、监事、高级管理人员保证年度报告内容的真</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3" w:right="1131"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公司负责人肖荣智、主管会计工作负责人曹金霞及会计机构负责人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曹金霞声明：保证年度报告中财务报告的真实、准确、完整。</w:t>
      </w:r>
      <w:r>
        <w:rPr>
          <w:rFonts w:ascii="宋体" w:hAnsi="宋体" w:cs="宋体" w:eastAsia="宋体" w:hint="default"/>
          <w:sz w:val="28"/>
          <w:szCs w:val="28"/>
        </w:rPr>
      </w:r>
    </w:p>
    <w:p>
      <w:pPr>
        <w:spacing w:line="472" w:lineRule="auto" w:before="147"/>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spacing w:val="1"/>
          <w:w w:val="99"/>
          <w:sz w:val="28"/>
          <w:szCs w:val="28"/>
        </w:rPr>
        <w:t> </w:t>
      </w:r>
      <w:r>
        <w:rPr>
          <w:rFonts w:ascii="宋体" w:hAnsi="宋体" w:cs="宋体" w:eastAsia="宋体" w:hint="default"/>
          <w:b/>
          <w:bCs/>
          <w:spacing w:val="4"/>
          <w:w w:val="95"/>
          <w:sz w:val="28"/>
          <w:szCs w:val="28"/>
        </w:rPr>
        <w:t>公司已在本报告中详细描述可能存在的相关风险，敬请查阅第四节经营情</w:t>
      </w:r>
      <w:r>
        <w:rPr>
          <w:rFonts w:ascii="宋体" w:hAnsi="宋体" w:cs="宋体" w:eastAsia="宋体" w:hint="default"/>
          <w:sz w:val="28"/>
          <w:szCs w:val="28"/>
        </w:rPr>
      </w:r>
    </w:p>
    <w:p>
      <w:pPr>
        <w:spacing w:line="386" w:lineRule="auto" w:before="0"/>
        <w:ind w:left="154" w:right="1091" w:firstLine="0"/>
        <w:jc w:val="both"/>
        <w:rPr>
          <w:rFonts w:ascii="宋体" w:hAnsi="宋体" w:cs="宋体" w:eastAsia="宋体" w:hint="default"/>
          <w:sz w:val="28"/>
          <w:szCs w:val="28"/>
        </w:rPr>
      </w:pPr>
      <w:r>
        <w:rPr>
          <w:rFonts w:ascii="宋体" w:hAnsi="宋体" w:cs="宋体" w:eastAsia="宋体" w:hint="default"/>
          <w:b/>
          <w:bCs/>
          <w:sz w:val="28"/>
          <w:szCs w:val="28"/>
        </w:rPr>
        <w:t>况讨论与分析中公司未来发展的展望中</w:t>
      </w:r>
      <w:r>
        <w:rPr>
          <w:rFonts w:ascii="宋体" w:hAnsi="宋体" w:cs="宋体" w:eastAsia="宋体" w:hint="default"/>
          <w:b/>
          <w:bCs/>
          <w:spacing w:val="-105"/>
          <w:sz w:val="28"/>
          <w:szCs w:val="28"/>
        </w:rPr>
        <w:t> </w:t>
      </w:r>
      <w:r>
        <w:rPr>
          <w:rFonts w:ascii="Times New Roman" w:hAnsi="Times New Roman" w:cs="Times New Roman" w:eastAsia="Times New Roman" w:hint="default"/>
          <w:b/>
          <w:bCs/>
          <w:sz w:val="28"/>
          <w:szCs w:val="28"/>
        </w:rPr>
        <w:t>2020</w:t>
      </w:r>
      <w:r>
        <w:rPr>
          <w:rFonts w:ascii="Times New Roman" w:hAnsi="Times New Roman" w:cs="Times New Roman" w:eastAsia="Times New Roman" w:hint="default"/>
          <w:b/>
          <w:bCs/>
          <w:spacing w:val="-34"/>
          <w:sz w:val="28"/>
          <w:szCs w:val="28"/>
        </w:rPr>
        <w:t> </w:t>
      </w:r>
      <w:r>
        <w:rPr>
          <w:rFonts w:ascii="宋体" w:hAnsi="宋体" w:cs="宋体" w:eastAsia="宋体" w:hint="default"/>
          <w:b/>
          <w:bCs/>
          <w:sz w:val="28"/>
          <w:szCs w:val="28"/>
        </w:rPr>
        <w:t>年的经营计划及面对的风险部分的</w:t>
      </w:r>
      <w:r>
        <w:rPr>
          <w:rFonts w:ascii="宋体" w:hAnsi="宋体" w:cs="宋体" w:eastAsia="宋体" w:hint="default"/>
          <w:b/>
          <w:bCs/>
          <w:spacing w:val="1"/>
          <w:w w:val="99"/>
          <w:sz w:val="28"/>
          <w:szCs w:val="28"/>
        </w:rPr>
        <w:t> </w:t>
      </w:r>
      <w:r>
        <w:rPr>
          <w:rFonts w:ascii="宋体" w:hAnsi="宋体" w:cs="宋体" w:eastAsia="宋体" w:hint="default"/>
          <w:b/>
          <w:bCs/>
          <w:spacing w:val="-9"/>
          <w:w w:val="99"/>
          <w:sz w:val="28"/>
          <w:szCs w:val="28"/>
        </w:rPr>
        <w:t>内容。《中国证券报》、《证券时报》和巨潮资讯网（</w:t>
      </w:r>
      <w:hyperlink r:id="rId9">
        <w:r>
          <w:rPr>
            <w:rFonts w:ascii="Times New Roman" w:hAnsi="Times New Roman" w:cs="Times New Roman" w:eastAsia="Times New Roman" w:hint="default"/>
            <w:b/>
            <w:bCs/>
            <w:spacing w:val="-9"/>
            <w:w w:val="99"/>
            <w:sz w:val="28"/>
            <w:szCs w:val="28"/>
          </w:rPr>
          <w:t>http://www.cninfo.com.cn</w:t>
        </w:r>
      </w:hyperlink>
      <w:r>
        <w:rPr>
          <w:rFonts w:ascii="宋体" w:hAnsi="宋体" w:cs="宋体" w:eastAsia="宋体" w:hint="default"/>
          <w:b/>
          <w:bCs/>
          <w:spacing w:val="-9"/>
          <w:w w:val="99"/>
          <w:sz w:val="28"/>
          <w:szCs w:val="28"/>
        </w:rPr>
        <w:t>）</w:t>
      </w:r>
      <w:r>
        <w:rPr>
          <w:rFonts w:ascii="宋体" w:hAnsi="宋体" w:cs="宋体" w:eastAsia="宋体" w:hint="default"/>
          <w:b/>
          <w:bCs/>
          <w:spacing w:val="-125"/>
          <w:w w:val="99"/>
          <w:sz w:val="28"/>
          <w:szCs w:val="28"/>
        </w:rPr>
        <w:t> </w:t>
      </w:r>
      <w:r>
        <w:rPr>
          <w:rFonts w:ascii="宋体" w:hAnsi="宋体" w:cs="宋体" w:eastAsia="宋体" w:hint="default"/>
          <w:b/>
          <w:bCs/>
          <w:w w:val="99"/>
          <w:sz w:val="28"/>
          <w:szCs w:val="28"/>
        </w:rPr>
        <w:t>为本公司</w:t>
      </w:r>
      <w:r>
        <w:rPr>
          <w:rFonts w:ascii="宋体" w:hAnsi="宋体" w:cs="宋体" w:eastAsia="宋体" w:hint="default"/>
          <w:b/>
          <w:bCs/>
          <w:spacing w:val="9"/>
          <w:w w:val="99"/>
          <w:sz w:val="28"/>
          <w:szCs w:val="28"/>
        </w:rPr>
        <w:t> </w:t>
      </w:r>
      <w:r>
        <w:rPr>
          <w:rFonts w:ascii="Times New Roman" w:hAnsi="Times New Roman" w:cs="Times New Roman" w:eastAsia="Times New Roman" w:hint="default"/>
          <w:b/>
          <w:bCs/>
          <w:w w:val="99"/>
          <w:sz w:val="28"/>
          <w:szCs w:val="28"/>
        </w:rPr>
        <w:t>2020</w:t>
      </w:r>
      <w:r>
        <w:rPr>
          <w:rFonts w:ascii="Times New Roman" w:hAnsi="Times New Roman" w:cs="Times New Roman" w:eastAsia="Times New Roman" w:hint="default"/>
          <w:b/>
          <w:bCs/>
          <w:spacing w:val="4"/>
          <w:w w:val="99"/>
          <w:sz w:val="28"/>
          <w:szCs w:val="28"/>
        </w:rPr>
        <w:t> </w:t>
      </w:r>
      <w:r>
        <w:rPr>
          <w:rFonts w:ascii="宋体" w:hAnsi="宋体" w:cs="宋体" w:eastAsia="宋体" w:hint="default"/>
          <w:b/>
          <w:bCs/>
          <w:spacing w:val="-4"/>
          <w:w w:val="99"/>
          <w:sz w:val="28"/>
          <w:szCs w:val="28"/>
        </w:rPr>
        <w:t>年度选定的信息披露媒体，本公司所有信息均以在上述选定媒体</w:t>
      </w:r>
      <w:r>
        <w:rPr>
          <w:rFonts w:ascii="宋体" w:hAnsi="宋体" w:cs="宋体" w:eastAsia="宋体" w:hint="default"/>
          <w:b/>
          <w:bCs/>
          <w:spacing w:val="-137"/>
          <w:w w:val="99"/>
          <w:sz w:val="28"/>
          <w:szCs w:val="28"/>
        </w:rPr>
        <w:t> </w:t>
      </w:r>
      <w:r>
        <w:rPr>
          <w:rFonts w:ascii="宋体" w:hAnsi="宋体" w:cs="宋体" w:eastAsia="宋体" w:hint="default"/>
          <w:b/>
          <w:bCs/>
          <w:spacing w:val="-137"/>
          <w:w w:val="99"/>
          <w:sz w:val="28"/>
          <w:szCs w:val="28"/>
        </w:rPr>
      </w:r>
      <w:r>
        <w:rPr>
          <w:rFonts w:ascii="宋体" w:hAnsi="宋体" w:cs="宋体" w:eastAsia="宋体" w:hint="default"/>
          <w:b/>
          <w:bCs/>
          <w:sz w:val="28"/>
          <w:szCs w:val="28"/>
        </w:rPr>
        <w:t>刊登的信息为准，敬请投资者注意投资风险。</w:t>
      </w:r>
      <w:r>
        <w:rPr>
          <w:rFonts w:ascii="宋体" w:hAnsi="宋体" w:cs="宋体" w:eastAsia="宋体" w:hint="default"/>
          <w:sz w:val="28"/>
          <w:szCs w:val="28"/>
        </w:rPr>
      </w:r>
    </w:p>
    <w:p>
      <w:pPr>
        <w:spacing w:before="187"/>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82" w:header="747" w:top="1060" w:bottom="118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0" w:right="976"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sdt>
      <w:sdtPr>
        <w:docPartObj>
          <w:docPartGallery w:val="Table of Contents"/>
          <w:docPartUnique/>
        </w:docPartObj>
      </w:sdtPr>
      <w:sdtEndPr/>
      <w:sdtContent>
        <w:p>
          <w:pPr>
            <w:pStyle w:val="TOC1"/>
            <w:tabs>
              <w:tab w:pos="9781" w:val="right" w:leader="dot"/>
            </w:tabs>
            <w:spacing w:line="240" w:lineRule="auto" w:before="255"/>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2">
            <w:r>
              <w:rPr/>
              <w:t>第一节重要提示、目录和释义</w:t>
            </w:r>
            <w:r>
              <w:rPr>
                <w:rFonts w:ascii="Times New Roman" w:hAnsi="Times New Roman" w:cs="Times New Roman" w:eastAsia="Times New Roman" w:hint="default"/>
              </w:rPr>
              <w:tab/>
              <w:t>2</w:t>
            </w:r>
          </w:hyperlink>
        </w:p>
        <w:p>
          <w:pPr>
            <w:pStyle w:val="TOC1"/>
            <w:tabs>
              <w:tab w:pos="9781" w:val="right" w:leader="dot"/>
            </w:tabs>
            <w:spacing w:line="240" w:lineRule="auto"/>
            <w:ind w:left="153" w:right="0"/>
            <w:jc w:val="left"/>
            <w:rPr>
              <w:rFonts w:ascii="Times New Roman" w:hAnsi="Times New Roman" w:cs="Times New Roman" w:eastAsia="Times New Roman" w:hint="default"/>
            </w:rPr>
          </w:pPr>
          <w:hyperlink w:history="true" w:anchor="_TOC_250011">
            <w:r>
              <w:rPr/>
              <w:t>第二节公司简介和主要财务指标</w:t>
            </w:r>
            <w:r>
              <w:rPr>
                <w:rFonts w:ascii="Times New Roman" w:hAnsi="Times New Roman" w:cs="Times New Roman" w:eastAsia="Times New Roman" w:hint="default"/>
              </w:rPr>
              <w:tab/>
              <w:t>5</w:t>
            </w:r>
          </w:hyperlink>
        </w:p>
        <w:p>
          <w:pPr>
            <w:pStyle w:val="TOC1"/>
            <w:tabs>
              <w:tab w:pos="9781" w:val="right" w:leader="dot"/>
            </w:tabs>
            <w:spacing w:line="240" w:lineRule="auto" w:before="227"/>
            <w:ind w:left="153" w:right="0"/>
            <w:jc w:val="left"/>
            <w:rPr>
              <w:rFonts w:ascii="Times New Roman" w:hAnsi="Times New Roman" w:cs="Times New Roman" w:eastAsia="Times New Roman" w:hint="default"/>
            </w:rPr>
          </w:pPr>
          <w:hyperlink w:history="true" w:anchor="_TOC_250010">
            <w:r>
              <w:rPr/>
              <w:t>第三节公司业务概要</w:t>
            </w:r>
            <w:r>
              <w:rPr>
                <w:rFonts w:ascii="Times New Roman" w:hAnsi="Times New Roman" w:cs="Times New Roman" w:eastAsia="Times New Roman" w:hint="default"/>
              </w:rPr>
              <w:tab/>
              <w:t>9</w:t>
            </w:r>
          </w:hyperlink>
        </w:p>
        <w:p>
          <w:pPr>
            <w:pStyle w:val="TOC1"/>
            <w:tabs>
              <w:tab w:pos="9781" w:val="right" w:leader="dot"/>
            </w:tabs>
            <w:spacing w:line="240" w:lineRule="auto"/>
            <w:ind w:left="153" w:right="0"/>
            <w:jc w:val="left"/>
            <w:rPr>
              <w:rFonts w:ascii="Times New Roman" w:hAnsi="Times New Roman" w:cs="Times New Roman" w:eastAsia="Times New Roman" w:hint="default"/>
            </w:rPr>
          </w:pPr>
          <w:hyperlink w:history="true" w:anchor="_TOC_250009">
            <w:r>
              <w:rPr/>
              <w:t>第四节经营情况讨论与分析</w:t>
            </w:r>
            <w:r>
              <w:rPr>
                <w:rFonts w:ascii="Times New Roman" w:hAnsi="Times New Roman" w:cs="Times New Roman" w:eastAsia="Times New Roman" w:hint="default"/>
              </w:rPr>
              <w:tab/>
              <w:t>12</w:t>
            </w:r>
          </w:hyperlink>
        </w:p>
        <w:p>
          <w:pPr>
            <w:pStyle w:val="TOC1"/>
            <w:tabs>
              <w:tab w:pos="9781" w:val="right" w:leader="dot"/>
            </w:tabs>
            <w:spacing w:line="240" w:lineRule="auto"/>
            <w:ind w:left="153" w:right="0"/>
            <w:jc w:val="left"/>
            <w:rPr>
              <w:rFonts w:ascii="Times New Roman" w:hAnsi="Times New Roman" w:cs="Times New Roman" w:eastAsia="Times New Roman" w:hint="default"/>
            </w:rPr>
          </w:pPr>
          <w:hyperlink w:history="true" w:anchor="_TOC_250008">
            <w:r>
              <w:rPr/>
              <w:t>第五节重要事项</w:t>
            </w:r>
            <w:r>
              <w:rPr>
                <w:rFonts w:ascii="Times New Roman" w:hAnsi="Times New Roman" w:cs="Times New Roman" w:eastAsia="Times New Roman" w:hint="default"/>
              </w:rPr>
              <w:tab/>
              <w:t>42</w:t>
            </w:r>
          </w:hyperlink>
        </w:p>
        <w:p>
          <w:pPr>
            <w:pStyle w:val="TOC1"/>
            <w:tabs>
              <w:tab w:pos="9781" w:val="right" w:leader="dot"/>
            </w:tabs>
            <w:spacing w:line="240" w:lineRule="auto" w:before="227"/>
            <w:ind w:right="0"/>
            <w:jc w:val="left"/>
            <w:rPr>
              <w:rFonts w:ascii="Times New Roman" w:hAnsi="Times New Roman" w:cs="Times New Roman" w:eastAsia="Times New Roman" w:hint="default"/>
            </w:rPr>
          </w:pPr>
          <w:hyperlink w:history="true" w:anchor="_TOC_250007">
            <w:r>
              <w:rPr/>
              <w:t>第六节股份变动及股东情况</w:t>
            </w:r>
            <w:r>
              <w:rPr>
                <w:rFonts w:ascii="Times New Roman" w:hAnsi="Times New Roman" w:cs="Times New Roman" w:eastAsia="Times New Roman" w:hint="default"/>
              </w:rPr>
              <w:tab/>
              <w:t>54</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6">
            <w:r>
              <w:rPr/>
              <w:t>第七节优先股相关情况</w:t>
            </w:r>
            <w:r>
              <w:rPr>
                <w:rFonts w:ascii="Times New Roman" w:hAnsi="Times New Roman" w:cs="Times New Roman" w:eastAsia="Times New Roman" w:hint="default"/>
              </w:rPr>
              <w:tab/>
              <w:t>60</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5">
            <w:r>
              <w:rPr/>
              <w:t>第八节可转换公司债券相关情况</w:t>
            </w:r>
            <w:r>
              <w:rPr>
                <w:rFonts w:ascii="Times New Roman" w:hAnsi="Times New Roman" w:cs="Times New Roman" w:eastAsia="Times New Roman" w:hint="default"/>
              </w:rPr>
              <w:tab/>
              <w:t>61</w:t>
            </w:r>
          </w:hyperlink>
        </w:p>
        <w:p>
          <w:pPr>
            <w:pStyle w:val="TOC1"/>
            <w:tabs>
              <w:tab w:pos="9781" w:val="right" w:leader="dot"/>
            </w:tabs>
            <w:spacing w:line="240" w:lineRule="auto" w:before="227"/>
            <w:ind w:right="0"/>
            <w:jc w:val="left"/>
            <w:rPr>
              <w:rFonts w:ascii="Times New Roman" w:hAnsi="Times New Roman" w:cs="Times New Roman" w:eastAsia="Times New Roman" w:hint="default"/>
            </w:rPr>
          </w:pPr>
          <w:hyperlink w:history="true" w:anchor="_TOC_250004">
            <w:r>
              <w:rPr/>
              <w:t>第九节董事、监事、高级管理人员和员工情况</w:t>
            </w:r>
            <w:r>
              <w:rPr>
                <w:rFonts w:ascii="Times New Roman" w:hAnsi="Times New Roman" w:cs="Times New Roman" w:eastAsia="Times New Roman" w:hint="default"/>
              </w:rPr>
              <w:tab/>
              <w:t>62</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3">
            <w:r>
              <w:rPr/>
              <w:t>第十节公司治理</w:t>
            </w:r>
            <w:r>
              <w:rPr>
                <w:rFonts w:ascii="Times New Roman" w:hAnsi="Times New Roman" w:cs="Times New Roman" w:eastAsia="Times New Roman" w:hint="default"/>
              </w:rPr>
              <w:tab/>
              <w:t>69</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2">
            <w:r>
              <w:rPr/>
              <w:t>第十一节公司债券相关情况</w:t>
            </w:r>
            <w:r>
              <w:rPr>
                <w:rFonts w:ascii="Times New Roman" w:hAnsi="Times New Roman" w:cs="Times New Roman" w:eastAsia="Times New Roman" w:hint="default"/>
              </w:rPr>
              <w:tab/>
              <w:t>73</w:t>
            </w:r>
          </w:hyperlink>
        </w:p>
        <w:p>
          <w:pPr>
            <w:pStyle w:val="TOC1"/>
            <w:tabs>
              <w:tab w:pos="9781" w:val="right" w:leader="dot"/>
            </w:tabs>
            <w:spacing w:line="240" w:lineRule="auto" w:before="227"/>
            <w:ind w:right="0"/>
            <w:jc w:val="left"/>
            <w:rPr>
              <w:rFonts w:ascii="Times New Roman" w:hAnsi="Times New Roman" w:cs="Times New Roman" w:eastAsia="Times New Roman" w:hint="default"/>
            </w:rPr>
          </w:pPr>
          <w:hyperlink w:history="true" w:anchor="_TOC_250001">
            <w:r>
              <w:rPr/>
              <w:t>第十二节 财务报告</w:t>
            </w:r>
            <w:r>
              <w:rPr>
                <w:rFonts w:ascii="Times New Roman" w:hAnsi="Times New Roman" w:cs="Times New Roman" w:eastAsia="Times New Roman" w:hint="default"/>
              </w:rPr>
              <w:tab/>
              <w:t>74</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0">
            <w:r>
              <w:rPr/>
              <w:t>第十三节 备查文件目录</w:t>
            </w:r>
            <w:r>
              <w:rPr>
                <w:rFonts w:ascii="Times New Roman" w:hAnsi="Times New Roman" w:cs="Times New Roman" w:eastAsia="Times New Roman" w:hint="default"/>
              </w:rPr>
              <w:tab/>
              <w:t>208</w:t>
            </w:r>
          </w:hyperlink>
        </w:p>
        <w:p>
          <w:pPr/>
          <w:r>
            <w:fldChar w:fldCharType="end"/>
          </w:r>
        </w:p>
      </w:sdtContent>
    </w:sdt>
    <w:p>
      <w:pPr>
        <w:spacing w:after="0"/>
        <w:sectPr>
          <w:pgSz w:w="11910" w:h="16840"/>
          <w:pgMar w:header="747" w:footer="982" w:top="1060" w:bottom="1180" w:left="980" w:right="0"/>
        </w:sectPr>
      </w:pPr>
    </w:p>
    <w:p>
      <w:pPr>
        <w:spacing w:before="946"/>
        <w:ind w:left="0" w:right="97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24"/>
        <w:gridCol w:w="622"/>
        <w:gridCol w:w="5423"/>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公司、本公司或常山北明</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石家庄常山北明科技股份有限公司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《石家庄常山北明科技股份有限公司章程》</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报告期、本报告期、本期</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索科维尔</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索科维尔（北京）软件系统有限公司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天时能源</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北明天时能源科技（北京）有限公司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北明成功</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北明成功软件（山东）有限公司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明润华创</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北京明润华创科技有限责任公司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金实盈信</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北京金实盈信科技有限公司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北明云智</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北明云智（武汉）网软有限公司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广州龙泰</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广州市龙泰信息技术有限公司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珠海震星</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珠海市震星信息技术有限公司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北明正实</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北京北明正实科技有限公司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赛孚纺织</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石家庄赛孚纺织有限公司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国智云鼎</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北京国智云鼎科技有限公司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北明控股</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北京北明伟业控股有限公司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常山集团</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r>
      <w:tr>
        <w:trPr>
          <w:trHeight w:val="317" w:hRule="exact"/>
        </w:trPr>
        <w:tc>
          <w:tcPr>
            <w:tcW w:w="3524" w:type="dxa"/>
            <w:tcBorders>
              <w:top w:val="single" w:sz="4" w:space="0" w:color="000000"/>
              <w:left w:val="single" w:sz="4" w:space="0" w:color="000000"/>
              <w:bottom w:val="nil" w:sz="6" w:space="0" w:color="auto"/>
              <w:right w:val="single" w:sz="4" w:space="0" w:color="000000"/>
            </w:tcBorders>
          </w:tcPr>
          <w:p>
            <w:pPr/>
          </w:p>
        </w:tc>
        <w:tc>
          <w:tcPr>
            <w:tcW w:w="622"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2"/>
                <w:sz w:val="18"/>
                <w:szCs w:val="18"/>
              </w:rPr>
              <w:t>指无法在一定时间内用常规软件工具对其内容进行抓取、管理和处理</w:t>
            </w:r>
          </w:p>
        </w:tc>
      </w:tr>
      <w:tr>
        <w:trPr>
          <w:trHeight w:val="392" w:hRule="exact"/>
        </w:trPr>
        <w:tc>
          <w:tcPr>
            <w:tcW w:w="3524" w:type="dxa"/>
            <w:tcBorders>
              <w:top w:val="nil" w:sz="6" w:space="0" w:color="auto"/>
              <w:left w:val="single" w:sz="4" w:space="0" w:color="000000"/>
              <w:bottom w:val="nil" w:sz="6" w:space="0" w:color="auto"/>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6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nil" w:sz="6" w:space="0" w:color="auto"/>
              <w:left w:val="single" w:sz="9" w:space="0" w:color="D3D3D3"/>
              <w:bottom w:val="nil" w:sz="6" w:space="0" w:color="auto"/>
              <w:right w:val="single" w:sz="4" w:space="0" w:color="000000"/>
            </w:tcBorders>
          </w:tcPr>
          <w:p>
            <w:pPr>
              <w:pStyle w:val="TableParagraph"/>
              <w:spacing w:line="240" w:lineRule="auto" w:before="50"/>
              <w:ind w:left="16" w:right="0"/>
              <w:jc w:val="left"/>
              <w:rPr>
                <w:rFonts w:ascii="宋体" w:hAnsi="宋体" w:cs="宋体" w:eastAsia="宋体" w:hint="default"/>
                <w:sz w:val="18"/>
                <w:szCs w:val="18"/>
              </w:rPr>
            </w:pPr>
            <w:r>
              <w:rPr>
                <w:rFonts w:ascii="宋体" w:hAnsi="宋体" w:cs="宋体" w:eastAsia="宋体" w:hint="default"/>
                <w:spacing w:val="-2"/>
                <w:sz w:val="18"/>
                <w:szCs w:val="18"/>
              </w:rPr>
              <w:t>的数据集合。大数据技术，是指从各种各样类型的数据中，快速获得</w:t>
            </w:r>
          </w:p>
        </w:tc>
      </w:tr>
      <w:tr>
        <w:trPr>
          <w:trHeight w:val="318" w:hRule="exact"/>
        </w:trPr>
        <w:tc>
          <w:tcPr>
            <w:tcW w:w="3524" w:type="dxa"/>
            <w:tcBorders>
              <w:top w:val="nil" w:sz="6" w:space="0" w:color="auto"/>
              <w:left w:val="single" w:sz="4" w:space="0" w:color="000000"/>
              <w:bottom w:val="single" w:sz="4" w:space="0" w:color="000000"/>
              <w:right w:val="single" w:sz="4" w:space="0" w:color="000000"/>
            </w:tcBorders>
          </w:tcPr>
          <w:p>
            <w:pPr/>
          </w:p>
        </w:tc>
        <w:tc>
          <w:tcPr>
            <w:tcW w:w="622"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3"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有价值信息的能力。</w:t>
            </w:r>
          </w:p>
        </w:tc>
      </w:tr>
      <w:tr>
        <w:trPr>
          <w:trHeight w:val="317" w:hRule="exact"/>
        </w:trPr>
        <w:tc>
          <w:tcPr>
            <w:tcW w:w="3524" w:type="dxa"/>
            <w:tcBorders>
              <w:top w:val="single" w:sz="4" w:space="0" w:color="000000"/>
              <w:left w:val="single" w:sz="4" w:space="0" w:color="000000"/>
              <w:bottom w:val="nil" w:sz="6" w:space="0" w:color="auto"/>
              <w:right w:val="single" w:sz="4" w:space="0" w:color="000000"/>
            </w:tcBorders>
          </w:tcPr>
          <w:p>
            <w:pPr/>
          </w:p>
        </w:tc>
        <w:tc>
          <w:tcPr>
            <w:tcW w:w="622"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将 </w:t>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相关的能力以服务的方式提供给用户，允许用户在不了解提供</w:t>
            </w:r>
          </w:p>
        </w:tc>
      </w:tr>
      <w:tr>
        <w:trPr>
          <w:trHeight w:val="392" w:hRule="exact"/>
        </w:trPr>
        <w:tc>
          <w:tcPr>
            <w:tcW w:w="3524" w:type="dxa"/>
            <w:tcBorders>
              <w:top w:val="nil" w:sz="6" w:space="0" w:color="auto"/>
              <w:left w:val="single" w:sz="4" w:space="0" w:color="000000"/>
              <w:bottom w:val="nil" w:sz="6" w:space="0" w:color="auto"/>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6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nil" w:sz="6" w:space="0" w:color="auto"/>
              <w:left w:val="single" w:sz="9" w:space="0" w:color="D3D3D3"/>
              <w:bottom w:val="nil" w:sz="6" w:space="0" w:color="auto"/>
              <w:right w:val="single" w:sz="4" w:space="0" w:color="000000"/>
            </w:tcBorders>
          </w:tcPr>
          <w:p>
            <w:pPr>
              <w:pStyle w:val="TableParagraph"/>
              <w:spacing w:line="240" w:lineRule="auto" w:before="50"/>
              <w:ind w:left="16" w:right="0"/>
              <w:jc w:val="left"/>
              <w:rPr>
                <w:rFonts w:ascii="宋体" w:hAnsi="宋体" w:cs="宋体" w:eastAsia="宋体" w:hint="default"/>
                <w:sz w:val="18"/>
                <w:szCs w:val="18"/>
              </w:rPr>
            </w:pPr>
            <w:r>
              <w:rPr>
                <w:rFonts w:ascii="宋体" w:hAnsi="宋体" w:cs="宋体" w:eastAsia="宋体" w:hint="default"/>
                <w:spacing w:val="-2"/>
                <w:sz w:val="18"/>
                <w:szCs w:val="18"/>
              </w:rPr>
              <w:t>服务的技术、没有相关知识以及设备操作能力的情况下，通过网络获</w:t>
            </w:r>
          </w:p>
        </w:tc>
      </w:tr>
      <w:tr>
        <w:trPr>
          <w:trHeight w:val="318" w:hRule="exact"/>
        </w:trPr>
        <w:tc>
          <w:tcPr>
            <w:tcW w:w="3524" w:type="dxa"/>
            <w:tcBorders>
              <w:top w:val="nil" w:sz="6" w:space="0" w:color="auto"/>
              <w:left w:val="single" w:sz="4" w:space="0" w:color="000000"/>
              <w:bottom w:val="single" w:sz="4" w:space="0" w:color="000000"/>
              <w:right w:val="single" w:sz="4" w:space="0" w:color="000000"/>
            </w:tcBorders>
          </w:tcPr>
          <w:p>
            <w:pPr/>
          </w:p>
        </w:tc>
        <w:tc>
          <w:tcPr>
            <w:tcW w:w="622"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3"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取需要的服务。</w:t>
            </w:r>
          </w:p>
        </w:tc>
      </w:tr>
      <w:tr>
        <w:trPr>
          <w:trHeight w:val="317" w:hRule="exact"/>
        </w:trPr>
        <w:tc>
          <w:tcPr>
            <w:tcW w:w="3524" w:type="dxa"/>
            <w:tcBorders>
              <w:top w:val="single" w:sz="4" w:space="0" w:color="000000"/>
              <w:left w:val="single" w:sz="4" w:space="0" w:color="000000"/>
              <w:bottom w:val="nil" w:sz="6" w:space="0" w:color="auto"/>
              <w:right w:val="single" w:sz="4" w:space="0" w:color="000000"/>
            </w:tcBorders>
          </w:tcPr>
          <w:p>
            <w:pPr/>
          </w:p>
        </w:tc>
        <w:tc>
          <w:tcPr>
            <w:tcW w:w="622"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2"/>
                <w:sz w:val="18"/>
                <w:szCs w:val="18"/>
              </w:rPr>
              <w:t>通过信息传感设备，按约定的协议，把相关物品与互联网相连接，进</w:t>
            </w:r>
          </w:p>
        </w:tc>
      </w:tr>
      <w:tr>
        <w:trPr>
          <w:trHeight w:val="392" w:hRule="exact"/>
        </w:trPr>
        <w:tc>
          <w:tcPr>
            <w:tcW w:w="3524" w:type="dxa"/>
            <w:tcBorders>
              <w:top w:val="nil" w:sz="6" w:space="0" w:color="auto"/>
              <w:left w:val="single" w:sz="4" w:space="0" w:color="000000"/>
              <w:bottom w:val="nil" w:sz="6" w:space="0" w:color="auto"/>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物联网</w:t>
            </w:r>
          </w:p>
        </w:tc>
        <w:tc>
          <w:tcPr>
            <w:tcW w:w="6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3" w:type="dxa"/>
            <w:tcBorders>
              <w:top w:val="nil" w:sz="6" w:space="0" w:color="auto"/>
              <w:left w:val="single" w:sz="9" w:space="0" w:color="D3D3D3"/>
              <w:bottom w:val="nil" w:sz="6" w:space="0" w:color="auto"/>
              <w:right w:val="single" w:sz="4" w:space="0" w:color="000000"/>
            </w:tcBorders>
          </w:tcPr>
          <w:p>
            <w:pPr>
              <w:pStyle w:val="TableParagraph"/>
              <w:spacing w:line="240" w:lineRule="auto" w:before="50"/>
              <w:ind w:left="16" w:right="0"/>
              <w:jc w:val="left"/>
              <w:rPr>
                <w:rFonts w:ascii="宋体" w:hAnsi="宋体" w:cs="宋体" w:eastAsia="宋体" w:hint="default"/>
                <w:sz w:val="18"/>
                <w:szCs w:val="18"/>
              </w:rPr>
            </w:pPr>
            <w:r>
              <w:rPr>
                <w:rFonts w:ascii="宋体" w:hAnsi="宋体" w:cs="宋体" w:eastAsia="宋体" w:hint="default"/>
                <w:spacing w:val="-2"/>
                <w:sz w:val="18"/>
                <w:szCs w:val="18"/>
              </w:rPr>
              <w:t>行信息交换和通信，以实现对物品的智能化识别、定位、跟踪、监控</w:t>
            </w:r>
          </w:p>
        </w:tc>
      </w:tr>
      <w:tr>
        <w:trPr>
          <w:trHeight w:val="318" w:hRule="exact"/>
        </w:trPr>
        <w:tc>
          <w:tcPr>
            <w:tcW w:w="3524" w:type="dxa"/>
            <w:tcBorders>
              <w:top w:val="nil" w:sz="6" w:space="0" w:color="auto"/>
              <w:left w:val="single" w:sz="4" w:space="0" w:color="000000"/>
              <w:bottom w:val="single" w:sz="4" w:space="0" w:color="000000"/>
              <w:right w:val="single" w:sz="4" w:space="0" w:color="000000"/>
            </w:tcBorders>
          </w:tcPr>
          <w:p>
            <w:pPr/>
          </w:p>
        </w:tc>
        <w:tc>
          <w:tcPr>
            <w:tcW w:w="622"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3"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23" w:right="0"/>
              <w:jc w:val="left"/>
              <w:rPr>
                <w:rFonts w:ascii="宋体" w:hAnsi="宋体" w:cs="宋体" w:eastAsia="宋体" w:hint="default"/>
                <w:sz w:val="18"/>
                <w:szCs w:val="18"/>
              </w:rPr>
            </w:pPr>
            <w:r>
              <w:rPr>
                <w:rFonts w:ascii="宋体" w:hAnsi="宋体" w:cs="宋体" w:eastAsia="宋体" w:hint="default"/>
                <w:sz w:val="18"/>
                <w:szCs w:val="18"/>
              </w:rPr>
              <w:t>和管理的一种网络。</w:t>
            </w:r>
          </w:p>
        </w:tc>
      </w:tr>
    </w:tbl>
    <w:p>
      <w:pPr>
        <w:spacing w:after="0" w:line="207" w:lineRule="exact"/>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0"/>
        <w:rPr>
          <w:rFonts w:ascii="宋体" w:hAnsi="宋体" w:cs="宋体" w:eastAsia="宋体" w:hint="default"/>
          <w:b/>
          <w:bCs/>
          <w:sz w:val="20"/>
          <w:szCs w:val="20"/>
        </w:rPr>
      </w:pPr>
      <w:r>
        <w:rPr/>
        <w:pict>
          <v:group style="position:absolute;margin-left:171.119995pt;margin-top:272.160004pt;width:362.65pt;height:20.8pt;mso-position-horizontal-relative:page;mso-position-vertical-relative:page;z-index:-1362976" coordorigin="3422,5443" coordsize="7253,416">
            <v:group style="position:absolute;left:3434;top:5455;width:2;height:392" coordorigin="3434,5455" coordsize="2,392">
              <v:shape style="position:absolute;left:3434;top:5455;width:2;height:392" coordorigin="3434,5455" coordsize="0,392" path="m3434,5455l3434,5846e" filled="false" stroked="true" strokeweight="1.2pt" strokecolor="#ffffff">
                <v:path arrowok="t"/>
              </v:shape>
            </v:group>
            <v:group style="position:absolute;left:3446;top:5454;width:7229;height:393" coordorigin="3446,5454" coordsize="7229,393">
              <v:shape style="position:absolute;left:3446;top:5454;width:7229;height:393" coordorigin="3446,5454" coordsize="7229,393" path="m3446,5846l10675,5846,10675,5454,3446,5454,3446,5846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724" w:right="0"/>
        <w:jc w:val="left"/>
        <w:rPr>
          <w:b w:val="0"/>
          <w:bCs w:val="0"/>
        </w:rPr>
      </w:pPr>
      <w:bookmarkStart w:name="_TOC_250011" w:id="2"/>
      <w:r>
        <w:rPr/>
        <w:t>第二节公司简介和主要财务指标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3"/>
        <w:gridCol w:w="2145"/>
        <w:gridCol w:w="2187"/>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常山北明</w:t>
            </w:r>
          </w:p>
        </w:tc>
        <w:tc>
          <w:tcPr>
            <w:tcW w:w="21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000158</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石家庄常山北明科技股份有限公司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常山北明</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Shijiazhuang ChangShan BeiMing Technology</w:t>
            </w:r>
            <w:r>
              <w:rPr>
                <w:rFonts w:ascii="Times New Roman" w:hAnsi="Times New Roman" w:cs="Times New Roman" w:eastAsia="Times New Roman" w:hint="default"/>
                <w:spacing w:val="-25"/>
                <w:sz w:val="18"/>
                <w:szCs w:val="18"/>
              </w:rPr>
              <w:t> </w:t>
            </w:r>
            <w:r>
              <w:rPr>
                <w:rFonts w:ascii="Times New Roman" w:hAnsi="Times New Roman" w:cs="Times New Roman" w:eastAsia="Times New Roman" w:hint="default"/>
                <w:sz w:val="18"/>
                <w:szCs w:val="18"/>
              </w:rPr>
              <w:t>Co.</w:t>
            </w:r>
            <w:r>
              <w:rPr>
                <w:rFonts w:ascii="宋体" w:hAnsi="宋体" w:cs="宋体" w:eastAsia="宋体" w:hint="default"/>
                <w:sz w:val="18"/>
                <w:szCs w:val="18"/>
              </w:rPr>
              <w:t>，</w:t>
            </w:r>
            <w:r>
              <w:rPr>
                <w:rFonts w:ascii="Times New Roman" w:hAnsi="Times New Roman" w:cs="Times New Roman" w:eastAsia="Times New Roman" w:hint="default"/>
                <w:sz w:val="18"/>
                <w:szCs w:val="18"/>
              </w:rPr>
              <w:t>Ltd</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34"/>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CSBM</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肖荣智</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河北省石家庄市和平东路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050011</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河北省石家庄市和平东路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050011</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0">
              <w:r>
                <w:rPr>
                  <w:rFonts w:ascii="Times New Roman"/>
                  <w:sz w:val="18"/>
                </w:rPr>
                <w:t>http://www.csbmkj.com</w:t>
              </w:r>
            </w:hyperlink>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1">
              <w:r>
                <w:rPr>
                  <w:rFonts w:ascii="Times New Roman"/>
                  <w:sz w:val="18"/>
                </w:rPr>
                <w:t>chshgf@heinfo.net</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8"/>
        <w:gridCol w:w="3190"/>
        <w:gridCol w:w="3190"/>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池俊平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  莉</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河北省石家庄市和平东路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河北省石家庄市和平东路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0311-86673856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0311-86673856</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0311-86673929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0311-86673929</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Times New Roman" w:hAnsi="Times New Roman" w:cs="Times New Roman" w:eastAsia="Times New Roman" w:hint="default"/>
                <w:sz w:val="18"/>
                <w:szCs w:val="18"/>
              </w:rPr>
            </w:pPr>
            <w:hyperlink r:id="rId12">
              <w:r>
                <w:rPr>
                  <w:rFonts w:ascii="Times New Roman"/>
                  <w:sz w:val="18"/>
                </w:rPr>
                <w:t>chijunp52@sohu.com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3">
              <w:r>
                <w:rPr>
                  <w:rFonts w:ascii="Times New Roman"/>
                  <w:sz w:val="18"/>
                </w:rPr>
                <w:t>ally</w:t>
              </w:r>
            </w:hyperlink>
            <w:hyperlink r:id="rId14">
              <w:r>
                <w:rPr>
                  <w:rFonts w:ascii="Times New Roman"/>
                  <w:sz w:val="18"/>
                </w:rPr>
                <w:t>0629@sohu.com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2"/>
        <w:gridCol w:w="5575"/>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中国证券报、证券时报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http://www.cninfo.com.cn/</w:t>
              </w:r>
            </w:hyperlink>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石家庄常山北明科技股份有限公司董事会办公室</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统一社会信用代码为：</w:t>
            </w:r>
            <w:r>
              <w:rPr>
                <w:rFonts w:ascii="Times New Roman" w:hAnsi="Times New Roman" w:cs="Times New Roman" w:eastAsia="Times New Roman" w:hint="default"/>
                <w:sz w:val="18"/>
                <w:szCs w:val="18"/>
              </w:rPr>
              <w:t>91130100700715920E</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年度公司完成了重大资产重组，收购北明软件有限公司，公司主营业务由单 一的纺织业务新增软件和信息技术服务业。</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0"/>
        <w:gridCol w:w="6917"/>
      </w:tblGrid>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中兴财光华会计师事务所（特殊普通合伙）</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北京市西城区阜成门外大街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号万通新世界写字楼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层</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王飞 、秦卫国</w:t>
            </w:r>
          </w:p>
        </w:tc>
      </w:tr>
    </w:tbl>
    <w:p>
      <w:pPr>
        <w:pStyle w:val="BodyText"/>
        <w:spacing w:line="240" w:lineRule="auto" w:before="51"/>
        <w:ind w:right="0"/>
        <w:jc w:val="left"/>
      </w:pPr>
      <w:r>
        <w:rPr/>
        <w:t>公司聘请的报告期内履行持续督导职责的保荐机构</w:t>
      </w:r>
    </w:p>
    <w:p>
      <w:pPr>
        <w:pStyle w:val="BodyText"/>
        <w:spacing w:line="338" w:lineRule="auto" w:before="117"/>
        <w:ind w:right="67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037"/>
        <w:gridCol w:w="1632"/>
        <w:gridCol w:w="1541"/>
        <w:gridCol w:w="1784"/>
        <w:gridCol w:w="1620"/>
      </w:tblGrid>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7"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9,446,620,387.05</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9,656,109,155.27</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11,254,467,684.79</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101,100,814.74</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185,972,590.91</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355,095,034.93</w:t>
            </w:r>
          </w:p>
        </w:tc>
      </w:tr>
      <w:tr>
        <w:trPr>
          <w:trHeight w:val="714"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33"/>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 损益的净利润（元）</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-272,559,502.45</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-138,139,642.73</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-97.31%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-209,420,809.58</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300,619,463.58</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867,710,334.61</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-65.35%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382,788,193.92</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w w:val="95"/>
                <w:sz w:val="18"/>
              </w:rPr>
              <w:t>0.11</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-45.45%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0.21</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w w:val="95"/>
                <w:sz w:val="18"/>
              </w:rPr>
              <w:t>0.11</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-45.45%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0.21</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1.69%</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6.05%</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5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4"/>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14,156,415,878.09</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14,142,745,019.87</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12,789,214,507.47</w:t>
            </w:r>
          </w:p>
        </w:tc>
      </w:tr>
      <w:tr>
        <w:trPr>
          <w:trHeight w:val="403"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5,912,543,312.51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6,084,461,167.59</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6,008,086,488.76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55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八、分季度主要财务指标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7"/>
        <w:gridCol w:w="1752"/>
        <w:gridCol w:w="1739"/>
        <w:gridCol w:w="1740"/>
        <w:gridCol w:w="1729"/>
      </w:tblGrid>
      <w:tr>
        <w:trPr>
          <w:trHeight w:val="402" w:hRule="exact"/>
        </w:trPr>
        <w:tc>
          <w:tcPr>
            <w:tcW w:w="25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2,069,907,287.75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2,286,828,746.58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2,132,529,945.72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2,957,354,407.00</w:t>
            </w:r>
          </w:p>
        </w:tc>
      </w:tr>
      <w:tr>
        <w:trPr>
          <w:trHeight w:val="402" w:hRule="exact"/>
        </w:trPr>
        <w:tc>
          <w:tcPr>
            <w:tcW w:w="2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-14,643,881.52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44,722,386.48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11,240,215.23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59,782,094.55</w:t>
            </w:r>
          </w:p>
        </w:tc>
      </w:tr>
      <w:tr>
        <w:trPr>
          <w:trHeight w:val="714" w:hRule="exact"/>
        </w:trPr>
        <w:tc>
          <w:tcPr>
            <w:tcW w:w="2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-85,404,995.35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2,832,213.23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-54,300,092.86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-135,686,627.47</w:t>
            </w:r>
          </w:p>
        </w:tc>
      </w:tr>
      <w:tr>
        <w:trPr>
          <w:trHeight w:val="403" w:hRule="exact"/>
        </w:trPr>
        <w:tc>
          <w:tcPr>
            <w:tcW w:w="25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-796,989,125.64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157,360,982.80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-30,587,290.20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970,834,896.62</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九、非经常性损益项目及金额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1"/>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43,878,478.93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-4,214,205.94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-24,205,783.87</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其中：赵纺土地收储 收益</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51,155,350.25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w:t>
            </w: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301,764,596.71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294,057,714.47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607,857,291.03</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其中：政府搬迁补助</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282,493,853.48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1"/>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 费用等</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-3,249,781.37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-14,293,530.04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-52,874,957.55</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职工安置补偿金</w:t>
            </w:r>
          </w:p>
        </w:tc>
      </w:tr>
      <w:tr>
        <w:trPr>
          <w:trHeight w:val="1610"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1"/>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w:t>
            </w:r>
          </w:p>
        </w:tc>
        <w:tc>
          <w:tcPr>
            <w:tcW w:w="1531" w:type="dxa"/>
            <w:tcBorders>
              <w:top w:val="single" w:sz="4" w:space="0" w:color="000000"/>
              <w:left w:val="single" w:sz="13" w:space="0" w:color="D3D3D3"/>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13,488,939.38</w:t>
            </w:r>
          </w:p>
        </w:tc>
        <w:tc>
          <w:tcPr>
            <w:tcW w:w="171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6"/>
        <w:gridCol w:w="1519"/>
        <w:gridCol w:w="1520"/>
        <w:gridCol w:w="1522"/>
        <w:gridCol w:w="1710"/>
      </w:tblGrid>
      <w:tr>
        <w:trPr>
          <w:trHeight w:val="67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负债、衍生金融负债和其他债权投资取得 的投资收益</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单独进行减值测试的应收款项、合同资产 减值准备转回</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1,175,149.17</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2,180,980.14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32,909,747.12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57,375,072.42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21,045,277.38</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both"/>
              <w:rPr>
                <w:rFonts w:ascii="宋体" w:hAnsi="宋体" w:cs="宋体" w:eastAsia="宋体" w:hint="default"/>
                <w:sz w:val="18"/>
                <w:szCs w:val="18"/>
              </w:rPr>
            </w:pPr>
            <w:r>
              <w:rPr>
                <w:rFonts w:ascii="宋体" w:hAnsi="宋体" w:cs="宋体" w:eastAsia="宋体" w:hint="default"/>
                <w:sz w:val="18"/>
                <w:szCs w:val="18"/>
              </w:rPr>
              <w:t>其中：无需支付金实 盈信原股东的股权转 让款</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35,918,100.00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元</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2,781,181.18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8,809,077.21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2,996,256.82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36,692.19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3,740.06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-20,354.82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373,660,317.19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324,112,233.64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564,515,844.51</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2" w:lineRule="auto" w:before="61"/>
        <w:ind w:right="111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4"/>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976"/>
        <w:jc w:val="center"/>
        <w:rPr>
          <w:b w:val="0"/>
          <w:bCs w:val="0"/>
        </w:rPr>
      </w:pPr>
      <w:bookmarkStart w:name="_TOC_250010" w:id="3"/>
      <w:r>
        <w:rPr/>
        <w:t>第三节公司业务概要</w:t>
      </w:r>
      <w:bookmarkEnd w:id="3"/>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both"/>
        <w:rPr>
          <w:b w:val="0"/>
          <w:bCs w:val="0"/>
        </w:rPr>
      </w:pP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357" w:lineRule="auto" w:before="103"/>
        <w:ind w:left="527" w:right="1197" w:hanging="14"/>
        <w:jc w:val="left"/>
      </w:pPr>
      <w:r>
        <w:rPr/>
        <w:t>（一）纺织板块 纺织业务包括纯棉纱、布和涤棉纱、布的生产销售；自产产品和技术的进出口业务；棉花批发、零售。公司根据订单</w:t>
      </w:r>
    </w:p>
    <w:p>
      <w:pPr>
        <w:pStyle w:val="BodyText"/>
        <w:spacing w:line="224" w:lineRule="exact"/>
        <w:ind w:right="0"/>
        <w:jc w:val="both"/>
      </w:pPr>
      <w:r>
        <w:rPr/>
        <w:t>需要，采购原料，组织生产，直接销售。纺织主业主导产品有环保型纱线、功能型面料以及高档品牌服装、家纺和产业用纺</w:t>
      </w:r>
    </w:p>
    <w:p>
      <w:pPr>
        <w:pStyle w:val="BodyText"/>
        <w:spacing w:line="240" w:lineRule="auto" w:before="77"/>
        <w:ind w:right="0"/>
        <w:jc w:val="both"/>
      </w:pPr>
      <w:r>
        <w:rPr/>
        <w:t>织品。</w:t>
      </w:r>
    </w:p>
    <w:p>
      <w:pPr>
        <w:pStyle w:val="BodyText"/>
        <w:spacing w:line="319" w:lineRule="auto" w:before="115"/>
        <w:ind w:right="0" w:firstLine="373"/>
        <w:jc w:val="left"/>
      </w:pPr>
      <w:r>
        <w:rPr/>
        <w:t>报告期内，我国纺织行业发展面临的国内外风险挑战明显增多，全行业坚持深化供给侧结构性改革，持续加快推动转 </w:t>
      </w:r>
      <w:r>
        <w:rPr>
          <w:spacing w:val="-2"/>
        </w:rPr>
        <w:t>型升级，努力克服下行风险压力，综合景气度及生产情况大体平稳。但在内外市场需求放缓、贸易环境更趋复杂、综合成本</w:t>
      </w:r>
      <w:r>
        <w:rPr>
          <w:spacing w:val="-66"/>
        </w:rPr>
        <w:t> </w:t>
      </w:r>
      <w:r>
        <w:rPr>
          <w:spacing w:val="-66"/>
        </w:rPr>
      </w:r>
      <w:r>
        <w:rPr/>
        <w:t>持续提升等多重压力下，企业投资增长动力偏弱，效益水平下滑，主要经济运行指标均呈现放缓态势。</w:t>
      </w:r>
    </w:p>
    <w:p>
      <w:pPr>
        <w:pStyle w:val="BodyText"/>
        <w:spacing w:line="357" w:lineRule="auto" w:before="58"/>
        <w:ind w:left="527" w:right="1197" w:hanging="90"/>
        <w:jc w:val="left"/>
      </w:pPr>
      <w:r>
        <w:rPr/>
        <w:t>（二）软件板块 软件和信息技术服务业包括软件开发、软件服务；智能化安装工程服务，技术进出口；通信设备零售，计算机应用电</w:t>
      </w:r>
    </w:p>
    <w:p>
      <w:pPr>
        <w:pStyle w:val="BodyText"/>
        <w:spacing w:line="224" w:lineRule="exact"/>
        <w:ind w:right="0"/>
        <w:jc w:val="both"/>
      </w:pPr>
      <w:r>
        <w:rPr/>
        <w:t>子设备制造；环保技术开发服务，环保技术咨询、交流服务，环保技术转让服务；通信系统设备制造；信息系统集成服务等</w:t>
      </w:r>
    </w:p>
    <w:p>
      <w:pPr>
        <w:pStyle w:val="BodyText"/>
        <w:spacing w:line="312" w:lineRule="auto" w:before="76"/>
        <w:ind w:right="1129"/>
        <w:jc w:val="both"/>
      </w:pPr>
      <w:r>
        <w:rPr>
          <w:spacing w:val="-2"/>
        </w:rPr>
        <w:t>等。公司子公司北明软件是一家提供新一代</w:t>
      </w:r>
      <w:r>
        <w:rPr>
          <w:rFonts w:ascii="Times New Roman" w:hAnsi="Times New Roman" w:cs="Times New Roman" w:eastAsia="Times New Roman" w:hint="default"/>
          <w:spacing w:val="-2"/>
        </w:rPr>
        <w:t>IT</w:t>
      </w:r>
      <w:r>
        <w:rPr>
          <w:spacing w:val="-2"/>
        </w:rPr>
        <w:t>技术和解决方案的综合服务商，在新型智慧城市建设领域、面向司法为民的在</w:t>
      </w:r>
      <w:r>
        <w:rPr>
          <w:spacing w:val="-52"/>
        </w:rPr>
        <w:t> </w:t>
      </w:r>
      <w:r>
        <w:rPr>
          <w:spacing w:val="-52"/>
        </w:rPr>
      </w:r>
      <w:r>
        <w:rPr>
          <w:spacing w:val="-2"/>
        </w:rPr>
        <w:t>线社会矛盾纠纷多元化解领域、运用大数据和人工智能技术以及区块链技术服务于创新型社会治理、各领域的智慧化管理建</w:t>
      </w:r>
      <w:r>
        <w:rPr>
          <w:spacing w:val="-64"/>
        </w:rPr>
        <w:t> </w:t>
      </w:r>
      <w:r>
        <w:rPr>
          <w:spacing w:val="-64"/>
        </w:rPr>
      </w:r>
      <w:r>
        <w:rPr>
          <w:spacing w:val="-2"/>
        </w:rPr>
        <w:t>设等多个领域都具有鲜明的特点，公司致力于运用新一代科技手段助力各个领域的数字化转型，打造覆盖全社会、万物互联</w:t>
      </w:r>
      <w:r>
        <w:rPr>
          <w:spacing w:val="-66"/>
        </w:rPr>
        <w:t> </w:t>
      </w:r>
      <w:r>
        <w:rPr>
          <w:spacing w:val="-66"/>
        </w:rPr>
      </w:r>
      <w:r>
        <w:rPr/>
        <w:t>的信息服务体系。</w:t>
      </w:r>
    </w:p>
    <w:p>
      <w:pPr>
        <w:pStyle w:val="BodyText"/>
        <w:spacing w:line="307" w:lineRule="auto" w:before="61"/>
        <w:ind w:right="1041" w:firstLine="290"/>
        <w:jc w:val="left"/>
      </w:pPr>
      <w:r>
        <w:rPr/>
        <w:t>报告期内，软件与信息技术服务业既面临着《深化</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先进制造业</w:t>
      </w:r>
      <w:r>
        <w:rPr>
          <w:rFonts w:ascii="Times New Roman" w:hAnsi="Times New Roman" w:cs="Times New Roman" w:eastAsia="Times New Roman" w:hint="default"/>
        </w:rPr>
        <w:t>”</w:t>
      </w:r>
      <w:r>
        <w:rPr/>
        <w:t>发展工业互联网的指导意见》、《云计算发展</w:t>
      </w:r>
      <w:r>
        <w:rPr>
          <w:spacing w:val="2"/>
        </w:rPr>
        <w:t> </w:t>
      </w:r>
      <w:r>
        <w:rPr/>
        <w:t>三年行动计划（</w:t>
      </w:r>
      <w:r>
        <w:rPr>
          <w:rFonts w:ascii="Times New Roman" w:hAnsi="Times New Roman" w:cs="Times New Roman" w:eastAsia="Times New Roman" w:hint="default"/>
        </w:rPr>
        <w:t>2017-2019</w:t>
      </w:r>
      <w:r>
        <w:rPr/>
        <w:t>年）》、《关于进一步扩大和升级信息消费持续释放内需潜力的指导意见》等政策红利释放</w:t>
      </w:r>
      <w:r>
        <w:rPr>
          <w:rFonts w:ascii="Times New Roman" w:hAnsi="Times New Roman" w:cs="Times New Roman" w:eastAsia="Times New Roman" w:hint="default"/>
        </w:rPr>
        <w:t>,</w:t>
      </w:r>
      <w:r>
        <w:rPr/>
        <w:t>大数 据、人工智能、区块链、</w:t>
      </w:r>
      <w:r>
        <w:rPr>
          <w:rFonts w:ascii="Times New Roman" w:hAnsi="Times New Roman" w:cs="Times New Roman" w:eastAsia="Times New Roman" w:hint="default"/>
        </w:rPr>
        <w:t>5G</w:t>
      </w:r>
      <w:r>
        <w:rPr/>
        <w:t>产业崛起等新兴动能深层次拓展等发展机遇，同时也继续面临着国内经济持续放缓、国际贸易</w:t>
      </w:r>
      <w:r>
        <w:rPr>
          <w:spacing w:val="-42"/>
        </w:rPr>
        <w:t> </w:t>
      </w:r>
      <w:r>
        <w:rPr>
          <w:spacing w:val="-42"/>
        </w:rPr>
      </w:r>
      <w:r>
        <w:rPr>
          <w:spacing w:val="-2"/>
        </w:rPr>
        <w:t>形势严峻、产业加速转型调整等重大压力和挑战。云计算相关的生态迅速膨胀，其相关运营服务和技术服务成为产业增长的</w:t>
      </w:r>
      <w:r>
        <w:rPr>
          <w:spacing w:val="-66"/>
        </w:rPr>
        <w:t> </w:t>
      </w:r>
      <w:r>
        <w:rPr>
          <w:spacing w:val="-66"/>
        </w:rPr>
      </w:r>
      <w:r>
        <w:rPr/>
        <w:t>最重要动力来源。同时，包括云原生技术的云计算、大数据、人工智能技术、技术中台等也全面影响到传统软件开发领域， </w:t>
      </w:r>
      <w:r>
        <w:rPr>
          <w:spacing w:val="-3"/>
        </w:rPr>
        <w:t>使开发、交付和盈利等模式转型，引发计算平台重构并带来新的市场空间，使平台软件、</w:t>
      </w:r>
      <w:r>
        <w:rPr>
          <w:rFonts w:ascii="Times New Roman" w:hAnsi="Times New Roman" w:cs="Times New Roman" w:eastAsia="Times New Roman" w:hint="default"/>
          <w:spacing w:val="-3"/>
        </w:rPr>
        <w:t>APP</w:t>
      </w:r>
      <w:r>
        <w:rPr>
          <w:spacing w:val="-3"/>
        </w:rPr>
        <w:t>软件等继续呈现快速兴起之势。</w:t>
      </w:r>
    </w:p>
    <w:p>
      <w:pPr>
        <w:spacing w:line="240" w:lineRule="auto" w:before="10"/>
        <w:rPr>
          <w:rFonts w:ascii="宋体" w:hAnsi="宋体" w:cs="宋体" w:eastAsia="宋体" w:hint="default"/>
          <w:sz w:val="19"/>
          <w:szCs w:val="19"/>
        </w:rPr>
      </w:pPr>
    </w:p>
    <w:p>
      <w:pPr>
        <w:pStyle w:val="Heading2"/>
        <w:spacing w:line="240" w:lineRule="auto"/>
        <w:ind w:right="0"/>
        <w:jc w:val="both"/>
        <w:rPr>
          <w:b w:val="0"/>
          <w:bCs w:val="0"/>
        </w:rPr>
      </w:pP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5"/>
          <w:szCs w:val="25"/>
        </w:rPr>
      </w:pPr>
    </w:p>
    <w:p>
      <w:pPr>
        <w:pStyle w:val="BodyText"/>
        <w:spacing w:line="240" w:lineRule="auto" w:before="44"/>
        <w:ind w:left="0" w:right="1167"/>
        <w:jc w:val="right"/>
      </w:pPr>
      <w:r>
        <w:rPr/>
        <w:pict>
          <v:shape style="position:absolute;margin-left:57.029995pt;margin-top:-39.027985pt;width:477.15pt;height:165.9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49"/>
                    <w:gridCol w:w="8280"/>
                  </w:tblGrid>
                  <w:tr>
                    <w:trPr>
                      <w:trHeight w:val="179" w:hRule="exact"/>
                    </w:trPr>
                    <w:tc>
                      <w:tcPr>
                        <w:tcW w:w="1249" w:type="dxa"/>
                        <w:tcBorders>
                          <w:top w:val="single" w:sz="4" w:space="0" w:color="000000"/>
                          <w:left w:val="single" w:sz="4" w:space="0" w:color="000000"/>
                          <w:bottom w:val="nil" w:sz="6" w:space="0" w:color="auto"/>
                          <w:right w:val="single" w:sz="4" w:space="0" w:color="000000"/>
                        </w:tcBorders>
                        <w:shd w:val="clear" w:color="auto" w:fill="D3D3D3"/>
                      </w:tcPr>
                      <w:p>
                        <w:pPr/>
                      </w:p>
                    </w:tc>
                    <w:tc>
                      <w:tcPr>
                        <w:tcW w:w="828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124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82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92" w:hRule="exact"/>
                    </w:trPr>
                    <w:tc>
                      <w:tcPr>
                        <w:tcW w:w="1249" w:type="dxa"/>
                        <w:tcBorders>
                          <w:top w:val="nil" w:sz="6" w:space="0" w:color="auto"/>
                          <w:left w:val="single" w:sz="4" w:space="0" w:color="000000"/>
                          <w:bottom w:val="single" w:sz="4" w:space="0" w:color="000000"/>
                          <w:right w:val="single" w:sz="4" w:space="0" w:color="000000"/>
                        </w:tcBorders>
                        <w:shd w:val="clear" w:color="auto" w:fill="D3D3D3"/>
                      </w:tcPr>
                      <w:p>
                        <w:pPr/>
                      </w:p>
                    </w:tc>
                    <w:tc>
                      <w:tcPr>
                        <w:tcW w:w="8280"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60" w:hRule="exact"/>
                    </w:trPr>
                    <w:tc>
                      <w:tcPr>
                        <w:tcW w:w="1249" w:type="dxa"/>
                        <w:tcBorders>
                          <w:top w:val="single" w:sz="4" w:space="0" w:color="000000"/>
                          <w:left w:val="single" w:sz="4" w:space="0" w:color="000000"/>
                          <w:bottom w:val="nil" w:sz="6" w:space="0" w:color="auto"/>
                          <w:right w:val="single" w:sz="4" w:space="0" w:color="000000"/>
                        </w:tcBorders>
                        <w:shd w:val="clear" w:color="auto" w:fill="D3D3D3"/>
                      </w:tcPr>
                      <w:p>
                        <w:pPr/>
                      </w:p>
                    </w:tc>
                    <w:tc>
                      <w:tcPr>
                        <w:tcW w:w="8280" w:type="dxa"/>
                        <w:vMerge w:val="restart"/>
                        <w:tcBorders>
                          <w:top w:val="single" w:sz="4" w:space="0" w:color="000000"/>
                          <w:left w:val="single" w:sz="10" w:space="0" w:color="D3D3D3"/>
                          <w:right w:val="single" w:sz="4" w:space="0" w:color="000000"/>
                        </w:tcBorders>
                      </w:tcPr>
                      <w:p>
                        <w:pPr>
                          <w:pStyle w:val="TableParagraph"/>
                          <w:spacing w:line="300" w:lineRule="auto" w:before="51"/>
                          <w:ind w:left="15" w:right="113"/>
                          <w:jc w:val="left"/>
                          <w:rPr>
                            <w:rFonts w:ascii="宋体" w:hAnsi="宋体" w:cs="宋体" w:eastAsia="宋体" w:hint="default"/>
                            <w:sz w:val="18"/>
                            <w:szCs w:val="18"/>
                          </w:rPr>
                        </w:pPr>
                        <w:r>
                          <w:rPr>
                            <w:rFonts w:ascii="宋体" w:hAnsi="宋体" w:cs="宋体" w:eastAsia="宋体" w:hint="default"/>
                            <w:sz w:val="18"/>
                            <w:szCs w:val="18"/>
                          </w:rPr>
                          <w:t>期末数为</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1,419</w:t>
                        </w:r>
                        <w:r>
                          <w:rPr>
                            <w:rFonts w:ascii="Times New Roman" w:hAnsi="Times New Roman" w:cs="Times New Roman" w:eastAsia="Times New Roman" w:hint="default"/>
                            <w:spacing w:val="7"/>
                            <w:sz w:val="18"/>
                            <w:szCs w:val="18"/>
                          </w:rPr>
                          <w:t> </w:t>
                        </w:r>
                        <w:r>
                          <w:rPr>
                            <w:rFonts w:ascii="宋体" w:hAnsi="宋体" w:cs="宋体" w:eastAsia="宋体" w:hint="default"/>
                            <w:spacing w:val="-11"/>
                            <w:sz w:val="18"/>
                            <w:szCs w:val="18"/>
                          </w:rPr>
                          <w:t>万元，较年初减少</w:t>
                        </w:r>
                        <w:r>
                          <w:rPr>
                            <w:rFonts w:ascii="宋体" w:hAnsi="宋体" w:cs="宋体" w:eastAsia="宋体" w:hint="default"/>
                            <w:spacing w:val="-38"/>
                            <w:sz w:val="18"/>
                            <w:szCs w:val="18"/>
                          </w:rPr>
                          <w:t> </w:t>
                        </w:r>
                        <w:r>
                          <w:rPr>
                            <w:rFonts w:ascii="Times New Roman" w:hAnsi="Times New Roman" w:cs="Times New Roman" w:eastAsia="Times New Roman" w:hint="default"/>
                            <w:spacing w:val="-3"/>
                            <w:sz w:val="18"/>
                            <w:szCs w:val="18"/>
                          </w:rPr>
                          <w:t>46.45%</w:t>
                        </w:r>
                        <w:r>
                          <w:rPr>
                            <w:rFonts w:ascii="宋体" w:hAnsi="宋体" w:cs="宋体" w:eastAsia="宋体" w:hint="default"/>
                            <w:spacing w:val="-3"/>
                            <w:sz w:val="18"/>
                            <w:szCs w:val="18"/>
                          </w:rPr>
                          <w:t>，主要系本期公司收购北京英特莱技术公司持有的赛孚纺织股权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赛孚纺织由联营企业成为公司全资子公司所致。</w:t>
                        </w:r>
                      </w:p>
                    </w:tc>
                  </w:tr>
                  <w:tr>
                    <w:trPr>
                      <w:trHeight w:val="393" w:hRule="exact"/>
                    </w:trPr>
                    <w:tc>
                      <w:tcPr>
                        <w:tcW w:w="124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8280" w:type="dxa"/>
                        <w:vMerge/>
                        <w:tcBorders>
                          <w:left w:val="single" w:sz="10" w:space="0" w:color="D3D3D3"/>
                          <w:right w:val="single" w:sz="4" w:space="0" w:color="000000"/>
                        </w:tcBorders>
                      </w:tcPr>
                      <w:p>
                        <w:pPr/>
                      </w:p>
                    </w:tc>
                  </w:tr>
                  <w:tr>
                    <w:trPr>
                      <w:trHeight w:val="160" w:hRule="exact"/>
                    </w:trPr>
                    <w:tc>
                      <w:tcPr>
                        <w:tcW w:w="1249" w:type="dxa"/>
                        <w:tcBorders>
                          <w:top w:val="nil" w:sz="6" w:space="0" w:color="auto"/>
                          <w:left w:val="single" w:sz="4" w:space="0" w:color="000000"/>
                          <w:bottom w:val="single" w:sz="4" w:space="0" w:color="000000"/>
                          <w:right w:val="single" w:sz="4" w:space="0" w:color="000000"/>
                        </w:tcBorders>
                        <w:shd w:val="clear" w:color="auto" w:fill="D3D3D3"/>
                      </w:tcPr>
                      <w:p>
                        <w:pPr/>
                      </w:p>
                    </w:tc>
                    <w:tc>
                      <w:tcPr>
                        <w:tcW w:w="8280" w:type="dxa"/>
                        <w:vMerge/>
                        <w:tcBorders>
                          <w:left w:val="single" w:sz="10" w:space="0" w:color="D3D3D3"/>
                          <w:bottom w:val="single" w:sz="4" w:space="0" w:color="000000"/>
                          <w:right w:val="single" w:sz="4" w:space="0" w:color="000000"/>
                        </w:tcBorders>
                      </w:tcPr>
                      <w:p>
                        <w:pPr/>
                      </w:p>
                    </w:tc>
                  </w:tr>
                  <w:tr>
                    <w:trPr>
                      <w:trHeight w:val="160" w:hRule="exact"/>
                    </w:trPr>
                    <w:tc>
                      <w:tcPr>
                        <w:tcW w:w="1249" w:type="dxa"/>
                        <w:tcBorders>
                          <w:top w:val="single" w:sz="4" w:space="0" w:color="000000"/>
                          <w:left w:val="single" w:sz="4" w:space="0" w:color="000000"/>
                          <w:bottom w:val="nil" w:sz="6" w:space="0" w:color="auto"/>
                          <w:right w:val="single" w:sz="4" w:space="0" w:color="000000"/>
                        </w:tcBorders>
                        <w:shd w:val="clear" w:color="auto" w:fill="D3D3D3"/>
                      </w:tcPr>
                      <w:p>
                        <w:pPr/>
                      </w:p>
                    </w:tc>
                    <w:tc>
                      <w:tcPr>
                        <w:tcW w:w="8280" w:type="dxa"/>
                        <w:vMerge w:val="restart"/>
                        <w:tcBorders>
                          <w:top w:val="single" w:sz="4" w:space="0" w:color="000000"/>
                          <w:left w:val="single" w:sz="10" w:space="0" w:color="D3D3D3"/>
                          <w:right w:val="single" w:sz="4" w:space="0" w:color="000000"/>
                        </w:tcBorders>
                      </w:tcPr>
                      <w:p>
                        <w:pPr>
                          <w:pStyle w:val="TableParagraph"/>
                          <w:spacing w:line="300" w:lineRule="auto" w:before="51"/>
                          <w:ind w:left="15" w:right="41"/>
                          <w:jc w:val="left"/>
                          <w:rPr>
                            <w:rFonts w:ascii="宋体" w:hAnsi="宋体" w:cs="宋体" w:eastAsia="宋体" w:hint="default"/>
                            <w:sz w:val="18"/>
                            <w:szCs w:val="18"/>
                          </w:rPr>
                        </w:pPr>
                        <w:r>
                          <w:rPr>
                            <w:rFonts w:ascii="宋体" w:hAnsi="宋体" w:cs="宋体" w:eastAsia="宋体" w:hint="default"/>
                            <w:sz w:val="18"/>
                            <w:szCs w:val="18"/>
                          </w:rPr>
                          <w:t>期末数为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243,920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9.48%</w:t>
                        </w:r>
                        <w:r>
                          <w:rPr>
                            <w:rFonts w:ascii="宋体" w:hAnsi="宋体" w:cs="宋体" w:eastAsia="宋体" w:hint="default"/>
                            <w:sz w:val="18"/>
                            <w:szCs w:val="18"/>
                          </w:rPr>
                          <w:t>，主要系本期公司将常山云数据中心一期工程完工部分转入固 定资产所致。</w:t>
                        </w:r>
                      </w:p>
                    </w:tc>
                  </w:tr>
                  <w:tr>
                    <w:trPr>
                      <w:trHeight w:val="393" w:hRule="exact"/>
                    </w:trPr>
                    <w:tc>
                      <w:tcPr>
                        <w:tcW w:w="124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8280" w:type="dxa"/>
                        <w:vMerge/>
                        <w:tcBorders>
                          <w:left w:val="single" w:sz="10" w:space="0" w:color="D3D3D3"/>
                          <w:right w:val="single" w:sz="4" w:space="0" w:color="000000"/>
                        </w:tcBorders>
                      </w:tcPr>
                      <w:p>
                        <w:pPr/>
                      </w:p>
                    </w:tc>
                  </w:tr>
                  <w:tr>
                    <w:trPr>
                      <w:trHeight w:val="160" w:hRule="exact"/>
                    </w:trPr>
                    <w:tc>
                      <w:tcPr>
                        <w:tcW w:w="1249" w:type="dxa"/>
                        <w:tcBorders>
                          <w:top w:val="nil" w:sz="6" w:space="0" w:color="auto"/>
                          <w:left w:val="single" w:sz="4" w:space="0" w:color="000000"/>
                          <w:bottom w:val="single" w:sz="4" w:space="0" w:color="000000"/>
                          <w:right w:val="single" w:sz="4" w:space="0" w:color="000000"/>
                        </w:tcBorders>
                        <w:shd w:val="clear" w:color="auto" w:fill="D3D3D3"/>
                      </w:tcPr>
                      <w:p>
                        <w:pPr/>
                      </w:p>
                    </w:tc>
                    <w:tc>
                      <w:tcPr>
                        <w:tcW w:w="8280" w:type="dxa"/>
                        <w:vMerge/>
                        <w:tcBorders>
                          <w:left w:val="single" w:sz="10" w:space="0" w:color="D3D3D3"/>
                          <w:bottom w:val="single" w:sz="4" w:space="0" w:color="000000"/>
                          <w:right w:val="single" w:sz="4" w:space="0" w:color="000000"/>
                        </w:tcBorders>
                      </w:tcPr>
                      <w:p>
                        <w:pPr/>
                      </w:p>
                    </w:tc>
                  </w:tr>
                  <w:tr>
                    <w:trPr>
                      <w:trHeight w:val="160" w:hRule="exact"/>
                    </w:trPr>
                    <w:tc>
                      <w:tcPr>
                        <w:tcW w:w="1249" w:type="dxa"/>
                        <w:tcBorders>
                          <w:top w:val="single" w:sz="4" w:space="0" w:color="000000"/>
                          <w:left w:val="single" w:sz="4" w:space="0" w:color="000000"/>
                          <w:bottom w:val="nil" w:sz="6" w:space="0" w:color="auto"/>
                          <w:right w:val="single" w:sz="4" w:space="0" w:color="000000"/>
                        </w:tcBorders>
                        <w:shd w:val="clear" w:color="auto" w:fill="D3D3D3"/>
                      </w:tcPr>
                      <w:p>
                        <w:pPr/>
                      </w:p>
                    </w:tc>
                    <w:tc>
                      <w:tcPr>
                        <w:tcW w:w="8280" w:type="dxa"/>
                        <w:vMerge w:val="restart"/>
                        <w:tcBorders>
                          <w:top w:val="single" w:sz="4" w:space="0" w:color="000000"/>
                          <w:left w:val="single" w:sz="10" w:space="0" w:color="D3D3D3"/>
                          <w:right w:val="single" w:sz="4" w:space="0" w:color="000000"/>
                        </w:tcBorders>
                      </w:tcPr>
                      <w:p>
                        <w:pPr>
                          <w:pStyle w:val="TableParagraph"/>
                          <w:spacing w:line="300" w:lineRule="auto" w:before="51"/>
                          <w:ind w:left="15" w:right="41"/>
                          <w:jc w:val="left"/>
                          <w:rPr>
                            <w:rFonts w:ascii="宋体" w:hAnsi="宋体" w:cs="宋体" w:eastAsia="宋体" w:hint="default"/>
                            <w:sz w:val="18"/>
                            <w:szCs w:val="18"/>
                          </w:rPr>
                        </w:pPr>
                        <w:r>
                          <w:rPr>
                            <w:rFonts w:ascii="宋体" w:hAnsi="宋体" w:cs="宋体" w:eastAsia="宋体" w:hint="default"/>
                            <w:sz w:val="18"/>
                            <w:szCs w:val="18"/>
                          </w:rPr>
                          <w:t>期末数为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40,428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万元，较年初增加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21.67%</w:t>
                        </w:r>
                        <w:r>
                          <w:rPr>
                            <w:rFonts w:ascii="宋体" w:hAnsi="宋体" w:cs="宋体" w:eastAsia="宋体" w:hint="default"/>
                            <w:sz w:val="18"/>
                            <w:szCs w:val="18"/>
                          </w:rPr>
                          <w:t>，主要系本期公司部分内部研究开发项目开发阶段完成由开发 支出转入无形资产所致。</w:t>
                        </w:r>
                      </w:p>
                    </w:tc>
                  </w:tr>
                  <w:tr>
                    <w:trPr>
                      <w:trHeight w:val="393" w:hRule="exact"/>
                    </w:trPr>
                    <w:tc>
                      <w:tcPr>
                        <w:tcW w:w="124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8280" w:type="dxa"/>
                        <w:vMerge/>
                        <w:tcBorders>
                          <w:left w:val="single" w:sz="10" w:space="0" w:color="D3D3D3"/>
                          <w:right w:val="single" w:sz="4" w:space="0" w:color="000000"/>
                        </w:tcBorders>
                      </w:tcPr>
                      <w:p>
                        <w:pPr/>
                      </w:p>
                    </w:tc>
                  </w:tr>
                  <w:tr>
                    <w:trPr>
                      <w:trHeight w:val="160" w:hRule="exact"/>
                    </w:trPr>
                    <w:tc>
                      <w:tcPr>
                        <w:tcW w:w="1249" w:type="dxa"/>
                        <w:tcBorders>
                          <w:top w:val="nil" w:sz="6" w:space="0" w:color="auto"/>
                          <w:left w:val="single" w:sz="4" w:space="0" w:color="000000"/>
                          <w:bottom w:val="single" w:sz="4" w:space="0" w:color="000000"/>
                          <w:right w:val="single" w:sz="4" w:space="0" w:color="000000"/>
                        </w:tcBorders>
                        <w:shd w:val="clear" w:color="auto" w:fill="D3D3D3"/>
                      </w:tcPr>
                      <w:p>
                        <w:pPr/>
                      </w:p>
                    </w:tc>
                    <w:tc>
                      <w:tcPr>
                        <w:tcW w:w="8280" w:type="dxa"/>
                        <w:vMerge/>
                        <w:tcBorders>
                          <w:left w:val="single" w:sz="10" w:space="0" w:color="D3D3D3"/>
                          <w:bottom w:val="single" w:sz="4" w:space="0" w:color="000000"/>
                          <w:right w:val="single" w:sz="4" w:space="0" w:color="000000"/>
                        </w:tcBorders>
                      </w:tcPr>
                      <w:p>
                        <w:pPr/>
                      </w:p>
                    </w:tc>
                  </w:tr>
                  <w:tr>
                    <w:trPr>
                      <w:trHeight w:val="402" w:hRule="exact"/>
                    </w:trPr>
                    <w:tc>
                      <w:tcPr>
                        <w:tcW w:w="12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82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期末数为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37,744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万元，较年初减少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35.36%</w:t>
                        </w:r>
                        <w:r>
                          <w:rPr>
                            <w:rFonts w:ascii="宋体" w:hAnsi="宋体" w:cs="宋体" w:eastAsia="宋体" w:hint="default"/>
                            <w:sz w:val="18"/>
                            <w:szCs w:val="18"/>
                          </w:rPr>
                          <w:t>，主要系本期部分在建工程完工转入固定资产所致。</w:t>
                        </w:r>
                      </w:p>
                    </w:tc>
                  </w:tr>
                </w:tbl>
                <w:p>
                  <w:pPr/>
                </w:p>
              </w:txbxContent>
            </v:textbox>
            <w10:wrap type="none"/>
          </v:shape>
        </w:pict>
      </w:r>
      <w:r>
        <w:rPr/>
        <w:t>，</w:t>
      </w:r>
    </w:p>
    <w:p>
      <w:pPr>
        <w:spacing w:after="0" w:line="240" w:lineRule="auto"/>
        <w:jc w:val="right"/>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60"/>
        <w:gridCol w:w="8280"/>
      </w:tblGrid>
      <w:tr>
        <w:trPr>
          <w:trHeight w:val="402"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8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期末数为</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180,715</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万元，较年初减少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10.41%</w:t>
            </w:r>
            <w:r>
              <w:rPr>
                <w:rFonts w:ascii="宋体" w:hAnsi="宋体" w:cs="宋体" w:eastAsia="宋体" w:hint="default"/>
                <w:sz w:val="18"/>
                <w:szCs w:val="18"/>
              </w:rPr>
              <w:t>，主要系本期支付股份回购款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亿元所致。</w:t>
            </w:r>
          </w:p>
        </w:tc>
      </w:tr>
      <w:tr>
        <w:trPr>
          <w:trHeight w:val="71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828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期末数为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23,412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万元，较年初增加</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31.68%</w:t>
            </w:r>
            <w:r>
              <w:rPr>
                <w:rFonts w:ascii="宋体" w:hAnsi="宋体" w:cs="宋体" w:eastAsia="宋体" w:hint="default"/>
                <w:sz w:val="18"/>
                <w:szCs w:val="18"/>
              </w:rPr>
              <w:t>，主要系将应收赵县土地储备中心的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万元土地及房屋收 购补偿款计入其他应收款所致。</w:t>
            </w:r>
          </w:p>
        </w:tc>
      </w:tr>
      <w:tr>
        <w:trPr>
          <w:trHeight w:val="71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828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期末数为 </w:t>
            </w:r>
            <w:r>
              <w:rPr>
                <w:rFonts w:ascii="Times New Roman" w:hAnsi="Times New Roman" w:cs="Times New Roman" w:eastAsia="Times New Roman" w:hint="default"/>
                <w:sz w:val="18"/>
                <w:szCs w:val="18"/>
              </w:rPr>
              <w:t>12,630 </w:t>
            </w:r>
            <w:r>
              <w:rPr>
                <w:rFonts w:ascii="宋体" w:hAnsi="宋体" w:cs="宋体" w:eastAsia="宋体" w:hint="default"/>
                <w:sz w:val="18"/>
                <w:szCs w:val="18"/>
              </w:rPr>
              <w:t>万元，较年初增加</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34.20%</w:t>
            </w:r>
            <w:r>
              <w:rPr>
                <w:rFonts w:ascii="宋体" w:hAnsi="宋体" w:cs="宋体" w:eastAsia="宋体" w:hint="default"/>
                <w:sz w:val="18"/>
                <w:szCs w:val="18"/>
              </w:rPr>
              <w:t>，主要系本期软件板块加大研发投入，研发项目较多，且法律 风险智能评估系统、诉讼保全平台项目等项目研发投入金额较大所致。</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（一）纺织业务的优势：</w:t>
      </w:r>
    </w:p>
    <w:p>
      <w:pPr>
        <w:pStyle w:val="BodyText"/>
        <w:spacing w:line="240" w:lineRule="auto" w:before="116"/>
        <w:ind w:left="513" w:right="0"/>
        <w:jc w:val="left"/>
      </w:pPr>
      <w:r>
        <w:rPr>
          <w:rFonts w:ascii="Times New Roman" w:hAnsi="Times New Roman" w:cs="Times New Roman" w:eastAsia="Times New Roman" w:hint="default"/>
        </w:rPr>
        <w:t>1</w:t>
      </w:r>
      <w:r>
        <w:rPr/>
        <w:t>、人才优势。聘请中科院院士为公司技术顾问，近年来，公司员工获得中华技能大奖</w:t>
      </w:r>
      <w:r>
        <w:rPr>
          <w:rFonts w:ascii="Times New Roman" w:hAnsi="Times New Roman" w:cs="Times New Roman" w:eastAsia="Times New Roman" w:hint="default"/>
        </w:rPr>
        <w:t>1</w:t>
      </w:r>
      <w:r>
        <w:rPr/>
        <w:t>名、省市级技术状元或技术能手</w:t>
      </w:r>
    </w:p>
    <w:p>
      <w:pPr>
        <w:pStyle w:val="BodyText"/>
        <w:spacing w:line="302" w:lineRule="auto" w:before="63"/>
        <w:ind w:left="153" w:right="1121"/>
        <w:jc w:val="left"/>
      </w:pPr>
      <w:r>
        <w:rPr>
          <w:rFonts w:ascii="Times New Roman" w:hAnsi="Times New Roman" w:cs="Times New Roman" w:eastAsia="Times New Roman" w:hint="default"/>
        </w:rPr>
        <w:t>162</w:t>
      </w:r>
      <w:r>
        <w:rPr/>
        <w:t>名，全国劳模</w:t>
      </w:r>
      <w:r>
        <w:rPr>
          <w:rFonts w:ascii="Times New Roman" w:hAnsi="Times New Roman" w:cs="Times New Roman" w:eastAsia="Times New Roman" w:hint="default"/>
        </w:rPr>
        <w:t>2</w:t>
      </w:r>
      <w:r>
        <w:rPr/>
        <w:t>名，全国五一劳动奖章</w:t>
      </w:r>
      <w:r>
        <w:rPr>
          <w:rFonts w:ascii="Times New Roman" w:hAnsi="Times New Roman" w:cs="Times New Roman" w:eastAsia="Times New Roman" w:hint="default"/>
        </w:rPr>
        <w:t>7</w:t>
      </w:r>
      <w:r>
        <w:rPr/>
        <w:t>名，全国五四青年奖章</w:t>
      </w:r>
      <w:r>
        <w:rPr>
          <w:rFonts w:ascii="Times New Roman" w:hAnsi="Times New Roman" w:cs="Times New Roman" w:eastAsia="Times New Roman" w:hint="default"/>
        </w:rPr>
        <w:t>1</w:t>
      </w:r>
      <w:r>
        <w:rPr/>
        <w:t>名，全国纺织工业劳动模范</w:t>
      </w:r>
      <w:r>
        <w:rPr>
          <w:rFonts w:ascii="Times New Roman" w:hAnsi="Times New Roman" w:cs="Times New Roman" w:eastAsia="Times New Roman" w:hint="default"/>
        </w:rPr>
        <w:t>8</w:t>
      </w:r>
      <w:r>
        <w:rPr/>
        <w:t>名，省市级劳动模范及市级 以上荣誉</w:t>
      </w:r>
      <w:r>
        <w:rPr>
          <w:rFonts w:ascii="Times New Roman" w:hAnsi="Times New Roman" w:cs="Times New Roman" w:eastAsia="Times New Roman" w:hint="default"/>
        </w:rPr>
        <w:t>97</w:t>
      </w:r>
      <w:r>
        <w:rPr/>
        <w:t>人，为公司的技术产品开发奠定了坚实的人才基础。</w:t>
      </w:r>
    </w:p>
    <w:p>
      <w:pPr>
        <w:pStyle w:val="BodyText"/>
        <w:spacing w:line="302" w:lineRule="auto" w:before="49"/>
        <w:ind w:left="153" w:right="1121" w:firstLine="360"/>
        <w:jc w:val="left"/>
      </w:pPr>
      <w:r>
        <w:rPr>
          <w:rFonts w:ascii="Times New Roman" w:hAnsi="Times New Roman" w:cs="Times New Roman" w:eastAsia="Times New Roman" w:hint="default"/>
        </w:rPr>
        <w:t>2</w:t>
      </w:r>
      <w:r>
        <w:rPr/>
        <w:t>、管理优势。公司不断加强质量、物耗、成本、安全、岗位职责等各项管理，基础管理在行业内始终保持先进水平。 同时，深入开展质量管理小组活动和对标行动，荣获全国纺织行业质量管理小组活动优秀企业。</w:t>
      </w:r>
    </w:p>
    <w:p>
      <w:pPr>
        <w:pStyle w:val="BodyText"/>
        <w:spacing w:line="302" w:lineRule="auto" w:before="68"/>
        <w:ind w:left="153" w:right="1121" w:firstLine="360"/>
        <w:jc w:val="left"/>
      </w:pPr>
      <w:r>
        <w:rPr>
          <w:rFonts w:ascii="Times New Roman" w:hAnsi="Times New Roman" w:cs="Times New Roman" w:eastAsia="Times New Roman" w:hint="default"/>
        </w:rPr>
        <w:t>3</w:t>
      </w:r>
      <w:r>
        <w:rPr/>
        <w:t>、研发优势。公司拥有国家认定的企业技术中心、国家认可实验室和国家级技能大师工作室等。公司每年投入大量研 发经费，为新技术和新产品的研发提供强有力的保障。公司纺织业务现有</w:t>
      </w:r>
      <w:r>
        <w:rPr>
          <w:rFonts w:ascii="Times New Roman" w:hAnsi="Times New Roman" w:cs="Times New Roman" w:eastAsia="Times New Roman" w:hint="default"/>
        </w:rPr>
        <w:t>97</w:t>
      </w:r>
      <w:r>
        <w:rPr/>
        <w:t>项专利，其中</w:t>
      </w:r>
      <w:r>
        <w:rPr>
          <w:rFonts w:ascii="Times New Roman" w:hAnsi="Times New Roman" w:cs="Times New Roman" w:eastAsia="Times New Roman" w:hint="default"/>
        </w:rPr>
        <w:t>16</w:t>
      </w:r>
      <w:r>
        <w:rPr/>
        <w:t>项发明专利。</w:t>
      </w:r>
    </w:p>
    <w:p>
      <w:pPr>
        <w:pStyle w:val="BodyText"/>
        <w:spacing w:line="302" w:lineRule="auto" w:before="50"/>
        <w:ind w:left="153" w:right="1117" w:firstLine="360"/>
        <w:jc w:val="left"/>
      </w:pPr>
      <w:r>
        <w:rPr>
          <w:rFonts w:ascii="Times New Roman" w:hAnsi="Times New Roman" w:cs="Times New Roman" w:eastAsia="Times New Roman" w:hint="default"/>
          <w:spacing w:val="-3"/>
        </w:rPr>
        <w:t>4</w:t>
      </w:r>
      <w:r>
        <w:rPr>
          <w:spacing w:val="-3"/>
        </w:rPr>
        <w:t>、质量优势。公司通过</w:t>
      </w:r>
      <w:r>
        <w:rPr>
          <w:rFonts w:ascii="Times New Roman" w:hAnsi="Times New Roman" w:cs="Times New Roman" w:eastAsia="Times New Roman" w:hint="default"/>
          <w:spacing w:val="-3"/>
        </w:rPr>
        <w:t>ISO9001</w:t>
      </w:r>
      <w:r>
        <w:rPr>
          <w:spacing w:val="-3"/>
        </w:rPr>
        <w:t>质量管理体系认证，获得了</w:t>
      </w:r>
      <w:r>
        <w:rPr>
          <w:rFonts w:ascii="Times New Roman" w:hAnsi="Times New Roman" w:cs="Times New Roman" w:eastAsia="Times New Roman" w:hint="default"/>
          <w:spacing w:val="-3"/>
        </w:rPr>
        <w:t>33</w:t>
      </w:r>
      <w:r>
        <w:rPr>
          <w:spacing w:val="-3"/>
        </w:rPr>
        <w:t>个国家和地区通认的</w:t>
      </w:r>
      <w:r>
        <w:rPr>
          <w:rFonts w:ascii="Times New Roman" w:hAnsi="Times New Roman" w:cs="Times New Roman" w:eastAsia="Times New Roman" w:hint="default"/>
          <w:spacing w:val="-3"/>
        </w:rPr>
        <w:t>IQNet</w:t>
      </w:r>
      <w:r>
        <w:rPr>
          <w:spacing w:val="-3"/>
        </w:rPr>
        <w:t>，国际环保纺织协会</w:t>
      </w:r>
      <w:r>
        <w:rPr>
          <w:rFonts w:ascii="Times New Roman" w:hAnsi="Times New Roman" w:cs="Times New Roman" w:eastAsia="Times New Roman" w:hint="default"/>
          <w:spacing w:val="-3"/>
        </w:rPr>
        <w:t>Oeko—Tex</w:t>
      </w:r>
      <w:r>
        <w:rPr>
          <w:rFonts w:ascii="Times New Roman" w:hAnsi="Times New Roman" w:cs="Times New Roman" w:eastAsia="Times New Roman" w:hint="default"/>
        </w:rPr>
        <w:t> Standard 100 I</w:t>
      </w:r>
      <w:r>
        <w:rPr>
          <w:rFonts w:ascii="Times New Roman" w:hAnsi="Times New Roman" w:cs="Times New Roman" w:eastAsia="Times New Roman" w:hint="default"/>
          <w:spacing w:val="25"/>
        </w:rPr>
        <w:t> </w:t>
      </w:r>
      <w:r>
        <w:rPr/>
        <w:t>级等证书。公司拥有中国棉纺织行业最具影响力产品品牌</w:t>
      </w:r>
      <w:r>
        <w:rPr>
          <w:rFonts w:ascii="Times New Roman" w:hAnsi="Times New Roman" w:cs="Times New Roman" w:eastAsia="Times New Roman" w:hint="default"/>
        </w:rPr>
        <w:t>2</w:t>
      </w:r>
      <w:r>
        <w:rPr/>
        <w:t>个，河北省知名品牌</w:t>
      </w:r>
      <w:r>
        <w:rPr>
          <w:rFonts w:ascii="Times New Roman" w:hAnsi="Times New Roman" w:cs="Times New Roman" w:eastAsia="Times New Roman" w:hint="default"/>
        </w:rPr>
        <w:t>3</w:t>
      </w:r>
      <w:r>
        <w:rPr/>
        <w:t>个，河北省著名商标</w:t>
      </w:r>
      <w:r>
        <w:rPr>
          <w:rFonts w:ascii="Times New Roman" w:hAnsi="Times New Roman" w:cs="Times New Roman" w:eastAsia="Times New Roman" w:hint="default"/>
        </w:rPr>
        <w:t>1</w:t>
      </w:r>
      <w:r>
        <w:rPr/>
        <w:t>个。</w:t>
      </w:r>
    </w:p>
    <w:p>
      <w:pPr>
        <w:pStyle w:val="BodyText"/>
        <w:spacing w:line="300" w:lineRule="auto" w:before="49"/>
        <w:ind w:right="0" w:firstLine="360"/>
        <w:jc w:val="left"/>
      </w:pPr>
      <w:r>
        <w:rPr>
          <w:rFonts w:ascii="Times New Roman" w:hAnsi="Times New Roman" w:cs="Times New Roman" w:eastAsia="Times New Roman" w:hint="default"/>
          <w:spacing w:val="-2"/>
        </w:rPr>
        <w:t>5</w:t>
      </w:r>
      <w:r>
        <w:rPr>
          <w:spacing w:val="-2"/>
        </w:rPr>
        <w:t>、土地资源优势。地处市中心黄金地段、占地共约</w:t>
      </w:r>
      <w:r>
        <w:rPr>
          <w:rFonts w:ascii="Times New Roman" w:hAnsi="Times New Roman" w:cs="Times New Roman" w:eastAsia="Times New Roman" w:hint="default"/>
          <w:spacing w:val="-2"/>
        </w:rPr>
        <w:t>509</w:t>
      </w:r>
      <w:r>
        <w:rPr>
          <w:spacing w:val="-2"/>
        </w:rPr>
        <w:t>亩的棉一、棉二厂区土地尚未出让。报告期内，第五分公司土地</w:t>
      </w:r>
      <w:r>
        <w:rPr/>
        <w:t> 已公开出让，拍卖价格为</w:t>
      </w:r>
      <w:r>
        <w:rPr>
          <w:rFonts w:ascii="Times New Roman" w:hAnsi="Times New Roman" w:cs="Times New Roman" w:eastAsia="Times New Roman" w:hint="default"/>
        </w:rPr>
        <w:t>20.11</w:t>
      </w:r>
      <w:r>
        <w:rPr/>
        <w:t>亿元，石家庄市土地储备中心将按照第五分公司土地出让总价款的</w:t>
      </w:r>
      <w:r>
        <w:rPr>
          <w:rFonts w:ascii="Times New Roman" w:hAnsi="Times New Roman" w:cs="Times New Roman" w:eastAsia="Times New Roman" w:hint="default"/>
        </w:rPr>
        <w:t>60%</w:t>
      </w:r>
      <w:r>
        <w:rPr/>
        <w:t>对公司进行补偿。地 块拍卖将增强公司的资金实力。</w:t>
      </w:r>
      <w:r>
        <w:rPr>
          <w:rFonts w:ascii="Times New Roman" w:hAnsi="Times New Roman" w:cs="Times New Roman" w:eastAsia="Times New Roman" w:hint="default"/>
        </w:rPr>
        <w:t>2019</w:t>
      </w:r>
      <w:r>
        <w:rPr/>
        <w:t>年度公司收到土地收益返还资金</w:t>
      </w:r>
      <w:r>
        <w:rPr>
          <w:rFonts w:ascii="Times New Roman" w:hAnsi="Times New Roman" w:cs="Times New Roman" w:eastAsia="Times New Roman" w:hint="default"/>
        </w:rPr>
        <w:t>3.7</w:t>
      </w:r>
      <w:r>
        <w:rPr/>
        <w:t>亿元。</w:t>
      </w:r>
    </w:p>
    <w:p>
      <w:pPr>
        <w:pStyle w:val="BodyText"/>
        <w:spacing w:line="240" w:lineRule="auto" w:before="52"/>
        <w:ind w:left="474" w:right="0"/>
        <w:jc w:val="left"/>
      </w:pPr>
      <w:r>
        <w:rPr/>
        <w:t>（二）软件业务的优势：</w:t>
      </w:r>
    </w:p>
    <w:p>
      <w:pPr>
        <w:pStyle w:val="BodyText"/>
        <w:spacing w:line="338" w:lineRule="auto" w:before="117"/>
        <w:ind w:left="474" w:right="1122"/>
        <w:jc w:val="left"/>
      </w:pPr>
      <w:r>
        <w:rPr>
          <w:rFonts w:ascii="Times New Roman" w:hAnsi="Times New Roman" w:cs="Times New Roman" w:eastAsia="Times New Roman" w:hint="default"/>
        </w:rPr>
        <w:t>1</w:t>
      </w:r>
      <w:r>
        <w:rPr/>
        <w:t>、客户端业务能力优势 </w:t>
      </w:r>
      <w:r>
        <w:rPr>
          <w:spacing w:val="-1"/>
        </w:rPr>
        <w:t>公司产品在新型智慧城市管理领域、融合智能化技术和大数据技术以及区块链技术的社会治理领域、同样运用人工智能</w:t>
      </w:r>
    </w:p>
    <w:p>
      <w:pPr>
        <w:pStyle w:val="BodyText"/>
        <w:spacing w:line="319" w:lineRule="auto" w:before="2"/>
        <w:ind w:right="0"/>
        <w:jc w:val="left"/>
      </w:pPr>
      <w:r>
        <w:rPr>
          <w:spacing w:val="-2"/>
        </w:rPr>
        <w:t>领域技术和大数据的智慧供热领域及企业智慧化管理领域，所体现出的应用领域的出色技术实力及服务能力得到市场及客户</w:t>
      </w:r>
      <w:r>
        <w:rPr>
          <w:spacing w:val="-64"/>
        </w:rPr>
        <w:t> </w:t>
      </w:r>
      <w:r>
        <w:rPr>
          <w:spacing w:val="-64"/>
        </w:rPr>
      </w:r>
      <w:r>
        <w:rPr>
          <w:spacing w:val="-4"/>
        </w:rPr>
        <w:t>的高度认可，树立了良好的公司品牌和信誉。在业务发展过程中，公司在金融、交通、电力、数字政府、司法、以及互联网、</w:t>
      </w:r>
      <w:r>
        <w:rPr>
          <w:spacing w:val="-46"/>
        </w:rPr>
        <w:t> </w:t>
      </w:r>
      <w:r>
        <w:rPr>
          <w:spacing w:val="-46"/>
        </w:rPr>
      </w:r>
      <w:r>
        <w:rPr/>
        <w:t>供热等行业中积累了大量的优质客户资源。</w:t>
      </w:r>
    </w:p>
    <w:p>
      <w:pPr>
        <w:pStyle w:val="BodyText"/>
        <w:spacing w:line="309" w:lineRule="auto" w:before="55"/>
        <w:ind w:right="1034" w:firstLine="320"/>
        <w:jc w:val="left"/>
      </w:pPr>
      <w:r>
        <w:rPr>
          <w:spacing w:val="-6"/>
        </w:rPr>
        <w:t>目前公司已形成覆盖广泛、稳定优质的客户资源，包括：金融行业（中国人寿、中国太保、中国银行、中国农业银行等）、</w:t>
      </w:r>
      <w:r>
        <w:rPr/>
        <w:t> </w:t>
      </w:r>
      <w:r>
        <w:rPr>
          <w:spacing w:val="-7"/>
        </w:rPr>
        <w:t>司法领域（多级检察院、法院、司法局）以及国内首创的在线矛盾纠纷多元化解平台（ＯＤＲ）的实践（已在多地广泛落地）、</w:t>
      </w:r>
      <w:r>
        <w:rPr>
          <w:spacing w:val="-56"/>
        </w:rPr>
        <w:t> </w:t>
      </w:r>
      <w:r>
        <w:rPr>
          <w:spacing w:val="-56"/>
        </w:rPr>
      </w:r>
      <w:r>
        <w:rPr/>
        <w:t>电力行业、能源行业（中石化、中石油）、交通领域（中国民航空管局、铁路总公司等）、数字政府</w:t>
      </w:r>
      <w:r>
        <w:rPr>
          <w:rFonts w:ascii="Times New Roman" w:hAnsi="Times New Roman" w:cs="Times New Roman" w:eastAsia="Times New Roman" w:hint="default"/>
        </w:rPr>
        <w:t>(</w:t>
      </w:r>
      <w:r>
        <w:rPr/>
        <w:t>多个智慧城市建设领</w:t>
      </w:r>
      <w:r>
        <w:rPr>
          <w:spacing w:val="-57"/>
        </w:rPr>
        <w:t> </w:t>
      </w:r>
      <w:r>
        <w:rPr>
          <w:spacing w:val="-57"/>
        </w:rPr>
      </w:r>
      <w:r>
        <w:rPr/>
        <w:t>域）、主流互联网企业（百度、滴滴、美团、</w:t>
      </w:r>
      <w:r>
        <w:rPr>
          <w:rFonts w:ascii="Times New Roman" w:hAnsi="Times New Roman" w:cs="Times New Roman" w:eastAsia="Times New Roman" w:hint="default"/>
        </w:rPr>
        <w:t>ucloud</w:t>
      </w:r>
      <w:r>
        <w:rPr/>
        <w:t>）、多地供热领域等。公司的客户主要是具有</w:t>
      </w:r>
      <w:r>
        <w:rPr>
          <w:rFonts w:ascii="Times New Roman" w:hAnsi="Times New Roman" w:cs="Times New Roman" w:eastAsia="Times New Roman" w:hint="default"/>
        </w:rPr>
        <w:t>IT</w:t>
      </w:r>
      <w:r>
        <w:rPr/>
        <w:t>服务需求的（尤其是新 </w:t>
      </w:r>
      <w:r>
        <w:rPr>
          <w:spacing w:val="-2"/>
        </w:rPr>
        <w:t>型</w:t>
      </w:r>
      <w:r>
        <w:rPr>
          <w:rFonts w:ascii="Times New Roman" w:hAnsi="Times New Roman" w:cs="Times New Roman" w:eastAsia="Times New Roman" w:hint="default"/>
          <w:spacing w:val="-2"/>
        </w:rPr>
        <w:t>IT</w:t>
      </w:r>
      <w:r>
        <w:rPr>
          <w:spacing w:val="-2"/>
        </w:rPr>
        <w:t>技术的）大中型企事业单位，企业规模较大、信誉度较高，是公司长期的合作伙伴。由于公司在人工智能、大数据分析</w:t>
      </w:r>
      <w:r>
        <w:rPr>
          <w:spacing w:val="-52"/>
        </w:rPr>
        <w:t> </w:t>
      </w:r>
      <w:r>
        <w:rPr>
          <w:spacing w:val="-52"/>
        </w:rPr>
      </w:r>
      <w:r>
        <w:rPr>
          <w:spacing w:val="-4"/>
        </w:rPr>
        <w:t>和应用、统一信息服务平台、多活信息技术等领域的快速技术发展，进一步衍生出众多在新技术领域与公司合作的优质用户，</w:t>
      </w:r>
      <w:r>
        <w:rPr>
          <w:spacing w:val="-44"/>
        </w:rPr>
        <w:t> </w:t>
      </w:r>
      <w:r>
        <w:rPr>
          <w:spacing w:val="-44"/>
        </w:rPr>
      </w:r>
      <w:r>
        <w:rPr/>
        <w:t>良好的客户基础是公司持续快速发展的重要因素。</w:t>
      </w:r>
    </w:p>
    <w:p>
      <w:pPr>
        <w:pStyle w:val="BodyText"/>
        <w:spacing w:line="338" w:lineRule="auto" w:before="65"/>
        <w:ind w:left="474" w:right="1122"/>
        <w:jc w:val="left"/>
      </w:pPr>
      <w:r>
        <w:rPr>
          <w:rFonts w:ascii="Times New Roman" w:hAnsi="Times New Roman" w:cs="Times New Roman" w:eastAsia="Times New Roman" w:hint="default"/>
        </w:rPr>
        <w:t>2</w:t>
      </w:r>
      <w:r>
        <w:rPr/>
        <w:t>、行业经验和技术优势 </w:t>
      </w:r>
      <w:r>
        <w:rPr>
          <w:spacing w:val="-1"/>
        </w:rPr>
        <w:t>做为新型智慧城市的专家，公司积极推动人工智能、物联网、区块链等新一代信息技术与业务的深度融合，新推出城市</w:t>
      </w:r>
    </w:p>
    <w:p>
      <w:pPr>
        <w:pStyle w:val="BodyText"/>
        <w:spacing w:line="300" w:lineRule="auto" w:before="2"/>
        <w:ind w:right="0"/>
        <w:jc w:val="left"/>
      </w:pPr>
      <w:r>
        <w:rPr>
          <w:spacing w:val="-2"/>
        </w:rPr>
        <w:t>运营中心、互联网</w:t>
      </w:r>
      <w:r>
        <w:rPr>
          <w:rFonts w:ascii="Times New Roman" w:hAnsi="Times New Roman" w:cs="Times New Roman" w:eastAsia="Times New Roman" w:hint="default"/>
          <w:spacing w:val="-2"/>
        </w:rPr>
        <w:t>+</w:t>
      </w:r>
      <w:r>
        <w:rPr>
          <w:spacing w:val="-2"/>
        </w:rPr>
        <w:t>监管、应急指挥系统、智能客服机器人等解决方案基于新一代信息技术，结合行业城市管理领域的</w:t>
      </w:r>
      <w:r>
        <w:rPr>
          <w:rFonts w:ascii="Times New Roman" w:hAnsi="Times New Roman" w:cs="Times New Roman" w:eastAsia="Times New Roman" w:hint="default"/>
          <w:spacing w:val="-2"/>
        </w:rPr>
        <w:t>"</w:t>
      </w:r>
      <w:r>
        <w:rPr>
          <w:spacing w:val="-2"/>
        </w:rPr>
        <w:t>智慧</w:t>
      </w:r>
      <w:r>
        <w:rPr>
          <w:spacing w:val="-61"/>
        </w:rPr>
        <w:t> </w:t>
      </w:r>
      <w:r>
        <w:rPr/>
        <w:t>化</w:t>
      </w:r>
      <w:r>
        <w:rPr>
          <w:rFonts w:ascii="Times New Roman" w:hAnsi="Times New Roman" w:cs="Times New Roman" w:eastAsia="Times New Roman" w:hint="default"/>
        </w:rPr>
        <w:t>"</w:t>
      </w:r>
      <w:r>
        <w:rPr/>
        <w:t>发展趋势，形成了智慧政务、智慧交通、智慧教育、智慧医疗、智慧旅游等系列解决方案，成为我国智慧城市建设领域</w:t>
      </w:r>
    </w:p>
    <w:p>
      <w:pPr>
        <w:spacing w:after="0" w:line="300" w:lineRule="auto"/>
        <w:jc w:val="left"/>
        <w:sectPr>
          <w:pgSz w:w="11910" w:h="16840"/>
          <w:pgMar w:header="747" w:footer="982" w:top="1060" w:bottom="1180" w:left="980" w:right="0"/>
        </w:sectPr>
      </w:pPr>
    </w:p>
    <w:p>
      <w:pPr>
        <w:spacing w:line="240" w:lineRule="auto" w:before="13"/>
        <w:rPr>
          <w:rFonts w:ascii="宋体" w:hAnsi="宋体" w:cs="宋体" w:eastAsia="宋体" w:hint="default"/>
          <w:sz w:val="25"/>
          <w:szCs w:val="25"/>
        </w:rPr>
      </w:pPr>
    </w:p>
    <w:p>
      <w:pPr>
        <w:pStyle w:val="BodyText"/>
        <w:spacing w:line="357" w:lineRule="auto" w:before="44"/>
        <w:ind w:left="474" w:right="1070" w:hanging="321"/>
        <w:jc w:val="left"/>
      </w:pPr>
      <w:r>
        <w:rPr/>
        <w:t>领先的解决方案提供商。这一智能化城市管理领域所涉及的智慧城市专业设计和建设包含了多项新兴技术： 数据资源体系、云计算中心、大数据和人工智能平台（汇集和处理城市中的各类数据资源，提供数据共享、建模分析、</w:t>
      </w:r>
    </w:p>
    <w:p>
      <w:pPr>
        <w:pStyle w:val="BodyText"/>
        <w:spacing w:line="224" w:lineRule="exact"/>
        <w:ind w:left="153" w:right="0"/>
        <w:jc w:val="left"/>
      </w:pPr>
      <w:r>
        <w:rPr/>
        <w:t>可视化展现等功能，支撑各领域的精准服务、辅助决策、业务创新等活动，基于大数据管理的思想，规划城市未来的发展方</w:t>
      </w:r>
    </w:p>
    <w:p>
      <w:pPr>
        <w:pStyle w:val="BodyText"/>
        <w:spacing w:line="319" w:lineRule="auto" w:before="76"/>
        <w:ind w:left="153" w:right="1131"/>
        <w:jc w:val="both"/>
      </w:pPr>
      <w:r>
        <w:rPr>
          <w:spacing w:val="-2"/>
        </w:rPr>
        <w:t>向）、统一服务平台、智慧应用、智慧政务、城市运行指挥中心、智慧政务、智能交通管理、信息惠民、精准扶贫、智能热</w:t>
      </w:r>
      <w:r>
        <w:rPr>
          <w:spacing w:val="-71"/>
        </w:rPr>
        <w:t> </w:t>
      </w:r>
      <w:r>
        <w:rPr>
          <w:spacing w:val="-71"/>
        </w:rPr>
      </w:r>
      <w:r>
        <w:rPr/>
        <w:t>网等等。</w:t>
      </w:r>
    </w:p>
    <w:p>
      <w:pPr>
        <w:pStyle w:val="BodyText"/>
        <w:spacing w:line="312" w:lineRule="auto" w:before="56"/>
        <w:ind w:left="153" w:right="1131" w:firstLine="320"/>
        <w:jc w:val="both"/>
      </w:pPr>
      <w:r>
        <w:rPr>
          <w:spacing w:val="-1"/>
        </w:rPr>
        <w:t>公司还利用资金优势与客户资源优势，参与智慧城市建设的投融资与运营，已成功实施广州市电子政务云、舞钢智慧城</w:t>
      </w:r>
      <w:r>
        <w:rPr/>
        <w:t> </w:t>
      </w:r>
      <w:r>
        <w:rPr>
          <w:spacing w:val="-1"/>
        </w:rPr>
        <w:t>市等</w:t>
      </w:r>
      <w:r>
        <w:rPr>
          <w:rFonts w:ascii="Times New Roman" w:hAnsi="Times New Roman" w:cs="Times New Roman" w:eastAsia="Times New Roman" w:hint="default"/>
          <w:spacing w:val="-1"/>
        </w:rPr>
        <w:t>ppp</w:t>
      </w:r>
      <w:r>
        <w:rPr>
          <w:spacing w:val="-1"/>
        </w:rPr>
        <w:t>项目。同时，公司战略上与巨头联手，与华为、腾讯等公司携手深度拓展全国市场，</w:t>
      </w:r>
      <w:r>
        <w:rPr>
          <w:rFonts w:ascii="Times New Roman" w:hAnsi="Times New Roman" w:cs="Times New Roman" w:eastAsia="Times New Roman" w:hint="default"/>
          <w:spacing w:val="-1"/>
        </w:rPr>
        <w:t>2019</w:t>
      </w:r>
      <w:r>
        <w:rPr>
          <w:spacing w:val="-1"/>
        </w:rPr>
        <w:t>年基于华为公司在</w:t>
      </w:r>
      <w:r>
        <w:rPr>
          <w:rFonts w:ascii="Times New Roman" w:hAnsi="Times New Roman" w:cs="Times New Roman" w:eastAsia="Times New Roman" w:hint="default"/>
          <w:spacing w:val="-1"/>
        </w:rPr>
        <w:t>5G</w:t>
      </w:r>
      <w:r>
        <w:rPr>
          <w:spacing w:val="-1"/>
        </w:rPr>
        <w:t>、鲲</w:t>
      </w:r>
      <w:r>
        <w:rPr>
          <w:spacing w:val="-69"/>
        </w:rPr>
        <w:t> </w:t>
      </w:r>
      <w:r>
        <w:rPr>
          <w:spacing w:val="-2"/>
        </w:rPr>
        <w:t>鹏云、数字底座等基础架构，结合北明的行业应用优势，北明和华为联合体一举中标了湖南长沙望城智慧城市项目，该项目</w:t>
      </w:r>
      <w:r>
        <w:rPr>
          <w:spacing w:val="-66"/>
        </w:rPr>
        <w:t> </w:t>
      </w:r>
      <w:r>
        <w:rPr>
          <w:spacing w:val="-66"/>
        </w:rPr>
      </w:r>
      <w:r>
        <w:rPr/>
        <w:t>也是国内首个基于华为鲲鹏生态的智慧城市项目。</w:t>
      </w:r>
    </w:p>
    <w:p>
      <w:pPr>
        <w:pStyle w:val="BodyText"/>
        <w:spacing w:line="309" w:lineRule="auto" w:before="61"/>
        <w:ind w:left="153" w:right="1129" w:firstLine="320"/>
        <w:jc w:val="both"/>
      </w:pPr>
      <w:r>
        <w:rPr>
          <w:spacing w:val="-2"/>
        </w:rPr>
        <w:t>而公司一直倾力打造的</w:t>
      </w:r>
      <w:r>
        <w:rPr>
          <w:rFonts w:ascii="Times New Roman" w:hAnsi="Times New Roman" w:cs="Times New Roman" w:eastAsia="Times New Roman" w:hint="default"/>
          <w:spacing w:val="-2"/>
        </w:rPr>
        <w:t>ODR</w:t>
      </w:r>
      <w:r>
        <w:rPr>
          <w:spacing w:val="-2"/>
        </w:rPr>
        <w:t>在线矛盾纠纷多元化解平台形成了创新型高效社会矛盾化解体系，打造了融合人工智能和大</w:t>
      </w:r>
      <w:r>
        <w:rPr/>
        <w:t> 数据分析技术的互联网</w:t>
      </w:r>
      <w:r>
        <w:rPr>
          <w:rFonts w:ascii="Times New Roman" w:hAnsi="Times New Roman" w:cs="Times New Roman" w:eastAsia="Times New Roman" w:hint="default"/>
        </w:rPr>
        <w:t>+</w:t>
      </w:r>
      <w:r>
        <w:rPr/>
        <w:t>司法、互联网</w:t>
      </w:r>
      <w:r>
        <w:rPr>
          <w:rFonts w:ascii="Times New Roman" w:hAnsi="Times New Roman" w:cs="Times New Roman" w:eastAsia="Times New Roman" w:hint="default"/>
        </w:rPr>
        <w:t>+</w:t>
      </w:r>
      <w:r>
        <w:rPr/>
        <w:t>调解的新型民生司法模式和社会矛盾化解模式，形成化解司法问题和社会矛盾堰塞</w:t>
      </w:r>
      <w:r>
        <w:rPr>
          <w:spacing w:val="-29"/>
        </w:rPr>
        <w:t> </w:t>
      </w:r>
      <w:r>
        <w:rPr>
          <w:spacing w:val="-29"/>
        </w:rPr>
      </w:r>
      <w:r>
        <w:rPr>
          <w:spacing w:val="-2"/>
        </w:rPr>
        <w:t>湖的突破，逐渐将会产生巨大的应用前景，形成面向社会运营服务的新的蓝海。公司充分运用人工智能、区块链等技术在社</w:t>
      </w:r>
      <w:r>
        <w:rPr>
          <w:spacing w:val="-66"/>
        </w:rPr>
        <w:t> </w:t>
      </w:r>
      <w:r>
        <w:rPr>
          <w:spacing w:val="-66"/>
        </w:rPr>
      </w:r>
      <w:r>
        <w:rPr>
          <w:spacing w:val="-2"/>
        </w:rPr>
        <w:t>会治理场景下的巨大能量，用技术手段建立社会信任机制、提供社会知识建设、公平调解机制建设、智能服务建设，已经变</w:t>
      </w:r>
      <w:r>
        <w:rPr>
          <w:spacing w:val="-66"/>
        </w:rPr>
        <w:t> </w:t>
      </w:r>
      <w:r>
        <w:rPr>
          <w:spacing w:val="-66"/>
        </w:rPr>
      </w:r>
      <w:r>
        <w:rPr/>
        <w:t>成了社会治理领域的不可或缺的信息化服务公司。</w:t>
      </w:r>
    </w:p>
    <w:p>
      <w:pPr>
        <w:pStyle w:val="BodyText"/>
        <w:spacing w:line="319" w:lineRule="auto" w:before="62"/>
        <w:ind w:left="153" w:right="1031" w:firstLine="320"/>
        <w:jc w:val="left"/>
      </w:pPr>
      <w:r>
        <w:rPr/>
        <w:t>在大数据领域，公司在智慧化监狱管理、交通大数据应用、基于大数据技术的数据治理、舆情分析、精准营销（客户画 像）、金融风控领域等广泛耕耘，体现了公司在大数据分析和应用领域的深度研究，随着越来越多大数据应用项目的落地， 在各个数据管理和分析领域，公司的大数据专家在不断地创造着数据的价值。</w:t>
      </w:r>
    </w:p>
    <w:p>
      <w:pPr>
        <w:pStyle w:val="BodyText"/>
        <w:spacing w:line="319" w:lineRule="auto" w:before="56"/>
        <w:ind w:left="153" w:right="0" w:firstLine="320"/>
        <w:jc w:val="left"/>
      </w:pPr>
      <w:r>
        <w:rPr>
          <w:spacing w:val="2"/>
        </w:rPr>
        <w:t>通过承担不同行业信息化建设工程的设计和开发实施任务，公司积累成功实施案例的同时也积累了丰富的行业实践经</w:t>
      </w:r>
      <w:r>
        <w:rPr/>
        <w:t> </w:t>
      </w:r>
      <w:r>
        <w:rPr>
          <w:spacing w:val="-4"/>
        </w:rPr>
        <w:t>验，培养了一大批行业专家，并积累了各类系统规划、实施和维护经验，促使公司系统规划能力和实施能力协同发展。同时，</w:t>
      </w:r>
      <w:r>
        <w:rPr>
          <w:spacing w:val="-44"/>
        </w:rPr>
        <w:t> </w:t>
      </w:r>
      <w:r>
        <w:rPr>
          <w:spacing w:val="-44"/>
        </w:rPr>
      </w:r>
      <w:r>
        <w:rPr>
          <w:spacing w:val="-2"/>
        </w:rPr>
        <w:t>随着公司典型性成功案例的增多，在行业内形成了一定的示范作用，积累了丰富的项目经验。这些都会建立客户对企业的信</w:t>
      </w:r>
      <w:r>
        <w:rPr>
          <w:spacing w:val="-66"/>
        </w:rPr>
        <w:t> </w:t>
      </w:r>
      <w:r>
        <w:rPr>
          <w:spacing w:val="-66"/>
        </w:rPr>
      </w:r>
      <w:r>
        <w:rPr/>
        <w:t>赖，从而为企业未来的发展打开了空间。</w:t>
      </w:r>
    </w:p>
    <w:p>
      <w:pPr>
        <w:pStyle w:val="BodyText"/>
        <w:spacing w:line="338" w:lineRule="auto" w:before="56"/>
        <w:ind w:left="474" w:right="1122"/>
        <w:jc w:val="left"/>
      </w:pPr>
      <w:r>
        <w:rPr>
          <w:rFonts w:ascii="Times New Roman" w:hAnsi="Times New Roman" w:cs="Times New Roman" w:eastAsia="Times New Roman" w:hint="default"/>
        </w:rPr>
        <w:t>3</w:t>
      </w:r>
      <w:r>
        <w:rPr/>
        <w:t>、人才团队优势 </w:t>
      </w:r>
      <w:r>
        <w:rPr>
          <w:spacing w:val="-1"/>
        </w:rPr>
        <w:t>目前我国许多大型企业（包括银行、石化、电力、政府等）和全国性企业的总部在北京，针对这一规律，基于贴近客户</w:t>
      </w:r>
    </w:p>
    <w:p>
      <w:pPr>
        <w:pStyle w:val="BodyText"/>
        <w:spacing w:line="312" w:lineRule="auto" w:before="2"/>
        <w:ind w:left="153" w:right="1130"/>
        <w:jc w:val="both"/>
      </w:pPr>
      <w:r>
        <w:rPr>
          <w:spacing w:val="-2"/>
        </w:rPr>
        <w:t>的原则，公司建立了由全国性中心、区域性次中心及运维服务网点构成的三级营销和服务网络，能持续、及时、有效地为客</w:t>
      </w:r>
      <w:r>
        <w:rPr>
          <w:spacing w:val="-66"/>
        </w:rPr>
        <w:t> </w:t>
      </w:r>
      <w:r>
        <w:rPr>
          <w:spacing w:val="-66"/>
        </w:rPr>
      </w:r>
      <w:r>
        <w:rPr>
          <w:spacing w:val="-2"/>
        </w:rPr>
        <w:t>户提供前期规划设计、中期实施交互、后期技术及运维服务。公司将经营总部设在北京，在研发人才和销售人才培养方面都</w:t>
      </w:r>
      <w:r>
        <w:rPr>
          <w:spacing w:val="-66"/>
        </w:rPr>
        <w:t> </w:t>
      </w:r>
      <w:r>
        <w:rPr>
          <w:spacing w:val="-66"/>
        </w:rPr>
      </w:r>
      <w:r>
        <w:rPr>
          <w:spacing w:val="-2"/>
        </w:rPr>
        <w:t>具有一定的地缘优势。公司在多年的</w:t>
      </w:r>
      <w:r>
        <w:rPr>
          <w:rFonts w:ascii="Times New Roman" w:hAnsi="Times New Roman" w:cs="Times New Roman" w:eastAsia="Times New Roman" w:hint="default"/>
          <w:spacing w:val="-2"/>
        </w:rPr>
        <w:t>IT</w:t>
      </w:r>
      <w:r>
        <w:rPr>
          <w:spacing w:val="-2"/>
        </w:rPr>
        <w:t>基础设施服务过程中形成了一支稳定的、专业化水平较高的技术团队，且这些技术研</w:t>
      </w:r>
      <w:r>
        <w:rPr>
          <w:spacing w:val="-52"/>
        </w:rPr>
        <w:t> </w:t>
      </w:r>
      <w:r>
        <w:rPr>
          <w:spacing w:val="-52"/>
        </w:rPr>
      </w:r>
      <w:r>
        <w:rPr/>
        <w:t>发人员大多都具备丰富的</w:t>
      </w:r>
      <w:r>
        <w:rPr>
          <w:rFonts w:ascii="Times New Roman" w:hAnsi="Times New Roman" w:cs="Times New Roman" w:eastAsia="Times New Roman" w:hint="default"/>
        </w:rPr>
        <w:t>IT</w:t>
      </w:r>
      <w:r>
        <w:rPr/>
        <w:t>基础设施技术支持经验和项目管理经验。</w:t>
      </w:r>
    </w:p>
    <w:p>
      <w:pPr>
        <w:pStyle w:val="BodyText"/>
        <w:spacing w:line="309" w:lineRule="auto" w:before="42"/>
        <w:ind w:left="153" w:right="1131" w:firstLine="320"/>
        <w:jc w:val="both"/>
      </w:pPr>
      <w:r>
        <w:rPr>
          <w:spacing w:val="-1"/>
        </w:rPr>
        <w:t>同时，公司管理团队稳定，具有较强的创新意识、学习能力和执行能力，多年来专注于</w:t>
      </w:r>
      <w:r>
        <w:rPr>
          <w:rFonts w:ascii="Times New Roman" w:hAnsi="Times New Roman" w:cs="Times New Roman" w:eastAsia="Times New Roman" w:hint="default"/>
          <w:spacing w:val="-1"/>
        </w:rPr>
        <w:t>IT</w:t>
      </w:r>
      <w:r>
        <w:rPr>
          <w:spacing w:val="-1"/>
        </w:rPr>
        <w:t>基础设施服务领域并积累了丰</w:t>
      </w:r>
      <w:r>
        <w:rPr/>
        <w:t> </w:t>
      </w:r>
      <w:r>
        <w:rPr>
          <w:spacing w:val="-2"/>
        </w:rPr>
        <w:t>富的管理经验和行业经验，对市场发展有着前瞻性的把握，能够敏锐地捕捉到行业发展的机会。稳定的管理团队是公司稳定</w:t>
      </w:r>
      <w:r>
        <w:rPr>
          <w:spacing w:val="-66"/>
        </w:rPr>
        <w:t> </w:t>
      </w:r>
      <w:r>
        <w:rPr>
          <w:spacing w:val="-66"/>
        </w:rPr>
      </w:r>
      <w:r>
        <w:rPr/>
        <w:t>发展的有力保障。</w:t>
      </w:r>
    </w:p>
    <w:p>
      <w:pPr>
        <w:pStyle w:val="BodyText"/>
        <w:spacing w:line="338" w:lineRule="auto" w:before="64"/>
        <w:ind w:left="474" w:right="1122"/>
        <w:jc w:val="left"/>
      </w:pPr>
      <w:r>
        <w:rPr>
          <w:rFonts w:ascii="Times New Roman" w:hAnsi="Times New Roman" w:cs="Times New Roman" w:eastAsia="Times New Roman" w:hint="default"/>
        </w:rPr>
        <w:t>4</w:t>
      </w:r>
      <w:r>
        <w:rPr/>
        <w:t>、业务资质优势 </w:t>
      </w:r>
      <w:r>
        <w:rPr>
          <w:spacing w:val="-1"/>
        </w:rPr>
        <w:t>业务资质一方面代表了一家软件服务商技术上的实力，另一方面同样是一种技术壁垒。公司拥有国家规划布局重点软件</w:t>
      </w:r>
    </w:p>
    <w:p>
      <w:pPr>
        <w:pStyle w:val="BodyText"/>
        <w:spacing w:line="240" w:lineRule="auto" w:before="2"/>
        <w:ind w:left="153" w:right="0"/>
        <w:jc w:val="left"/>
      </w:pPr>
      <w:r>
        <w:rPr/>
        <w:t>企业资质、国家计算机信息系统集成资质（大型一级骨干企业）称号；通过了</w:t>
      </w:r>
      <w:r>
        <w:rPr>
          <w:rFonts w:ascii="Times New Roman" w:hAnsi="Times New Roman" w:cs="Times New Roman" w:eastAsia="Times New Roman" w:hint="default"/>
        </w:rPr>
        <w:t>ISO9001</w:t>
      </w:r>
      <w:r>
        <w:rPr/>
        <w:t>、</w:t>
      </w:r>
      <w:r>
        <w:rPr>
          <w:rFonts w:ascii="Times New Roman" w:hAnsi="Times New Roman" w:cs="Times New Roman" w:eastAsia="Times New Roman" w:hint="default"/>
        </w:rPr>
        <w:t>CMMI5</w:t>
      </w:r>
      <w:r>
        <w:rPr/>
        <w:t>级认证；国家信息安全服务</w:t>
      </w:r>
    </w:p>
    <w:p>
      <w:pPr>
        <w:pStyle w:val="BodyText"/>
        <w:spacing w:line="319" w:lineRule="auto" w:before="63"/>
        <w:ind w:left="153" w:right="1130"/>
        <w:jc w:val="both"/>
      </w:pPr>
      <w:r>
        <w:rPr>
          <w:spacing w:val="-2"/>
        </w:rPr>
        <w:t>（一级）资质、涉及国家秘密的计算机信息系统集成资质（甲级）等多种重要资质。上述雄厚的资质条件为公司未来发展奠</w:t>
      </w:r>
      <w:r>
        <w:rPr>
          <w:spacing w:val="-65"/>
        </w:rPr>
        <w:t> </w:t>
      </w:r>
      <w:r>
        <w:rPr>
          <w:spacing w:val="-65"/>
        </w:rPr>
      </w:r>
      <w:r>
        <w:rPr/>
        <w:t>定了坚实的支撑。</w:t>
      </w:r>
    </w:p>
    <w:p>
      <w:pPr>
        <w:pStyle w:val="BodyText"/>
        <w:spacing w:line="348" w:lineRule="auto" w:before="58"/>
        <w:ind w:left="474" w:right="1117"/>
        <w:jc w:val="left"/>
      </w:pPr>
      <w:r>
        <w:rPr>
          <w:rFonts w:ascii="Times New Roman" w:hAnsi="Times New Roman" w:cs="Times New Roman" w:eastAsia="Times New Roman" w:hint="default"/>
        </w:rPr>
        <w:t>5</w:t>
      </w:r>
      <w:r>
        <w:rPr/>
        <w:t>、与行业巨头的战略合作 公司与华为、腾讯等业界巨头的战略合作也不断拓展着双赢的市场辐射，形成良性的发展动力。 公司从华为战略合作伙伴又成为华为</w:t>
      </w:r>
      <w:r>
        <w:rPr>
          <w:rFonts w:ascii="Times New Roman" w:hAnsi="Times New Roman" w:cs="Times New Roman" w:eastAsia="Times New Roman" w:hint="default"/>
        </w:rPr>
        <w:t>ISV</w:t>
      </w:r>
      <w:r>
        <w:rPr/>
        <w:t>（独立软件开发商）合作伙伴、云领先级合作伙伴，利用自身的解决方案与华</w:t>
      </w:r>
    </w:p>
    <w:p>
      <w:pPr>
        <w:pStyle w:val="BodyText"/>
        <w:spacing w:line="209" w:lineRule="exact"/>
        <w:ind w:left="153" w:right="0"/>
        <w:jc w:val="left"/>
      </w:pPr>
      <w:r>
        <w:rPr/>
        <w:t>为智能化、数字化转型的全面战略结合，成为华为云生态体系和鲲鹏生态体系的重要成员，共同打造企业云化服务、企业智</w:t>
      </w:r>
    </w:p>
    <w:p>
      <w:pPr>
        <w:pStyle w:val="BodyText"/>
        <w:spacing w:line="357" w:lineRule="auto" w:before="77"/>
        <w:ind w:left="513" w:right="0" w:hanging="360"/>
        <w:jc w:val="left"/>
      </w:pPr>
      <w:r>
        <w:rPr/>
        <w:t>能服务、鲲鹏产业服务、面向企业的数字化平台服务，已经演变成互相推动的良性发展模式。 </w:t>
      </w:r>
      <w:r>
        <w:rPr>
          <w:spacing w:val="-2"/>
        </w:rPr>
        <w:t>公司的内在价值也促成并深化了与腾讯的战略合作。腾讯将持有的常山定向增发资产管理计划对应的本公司股份，通过</w:t>
      </w:r>
    </w:p>
    <w:p>
      <w:pPr>
        <w:pStyle w:val="BodyText"/>
        <w:spacing w:line="224" w:lineRule="exact"/>
        <w:ind w:left="153" w:right="0"/>
        <w:jc w:val="left"/>
      </w:pPr>
      <w:r>
        <w:rPr/>
        <w:t>大宗交易方式转为直接持有本公司股份，与公司形成了紧密的产品融合、解决方案融合，子公司北明数科公司依托腾讯的强</w:t>
      </w:r>
    </w:p>
    <w:p>
      <w:pPr>
        <w:pStyle w:val="BodyText"/>
        <w:spacing w:line="240" w:lineRule="auto" w:before="77"/>
        <w:ind w:left="153" w:right="0"/>
        <w:jc w:val="left"/>
      </w:pPr>
      <w:r>
        <w:rPr/>
        <w:t>大平台和赋能，在多个解决方案形成了融合和互相依托，呈现了良好的共同拓展势头。</w:t>
      </w:r>
    </w:p>
    <w:p>
      <w:pPr>
        <w:spacing w:after="0" w:line="240"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4" w:right="0"/>
        <w:jc w:val="left"/>
        <w:rPr>
          <w:b w:val="0"/>
          <w:bCs w:val="0"/>
        </w:rPr>
      </w:pPr>
      <w:bookmarkStart w:name="_TOC_250009" w:id="4"/>
      <w:r>
        <w:rPr/>
        <w:t>第四节经营情况讨论与分析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3" w:right="1113" w:firstLine="360"/>
        <w:jc w:val="left"/>
      </w:pPr>
      <w:r>
        <w:rPr>
          <w:spacing w:val="-2"/>
        </w:rPr>
        <w:t>报告期内，世界经济增长持续放缓，全球动荡源和风险点显著增多，我国正处在转变发展方式、优化经济结构、转换增</w:t>
      </w:r>
      <w:r>
        <w:rPr/>
        <w:t> </w:t>
      </w:r>
      <w:r>
        <w:rPr>
          <w:spacing w:val="-1"/>
        </w:rPr>
        <w:t>长动力的攻关期，结构性、体制性、周期性问题相互交织，</w:t>
      </w:r>
      <w:r>
        <w:rPr>
          <w:rFonts w:ascii="Times New Roman" w:hAnsi="Times New Roman" w:cs="Times New Roman" w:eastAsia="Times New Roman" w:hint="default"/>
          <w:spacing w:val="-1"/>
        </w:rPr>
        <w:t>"</w:t>
      </w:r>
      <w:r>
        <w:rPr>
          <w:spacing w:val="-1"/>
        </w:rPr>
        <w:t>三期叠加</w:t>
      </w:r>
      <w:r>
        <w:rPr>
          <w:rFonts w:ascii="Times New Roman" w:hAnsi="Times New Roman" w:cs="Times New Roman" w:eastAsia="Times New Roman" w:hint="default"/>
          <w:spacing w:val="-1"/>
        </w:rPr>
        <w:t>"</w:t>
      </w:r>
      <w:r>
        <w:rPr>
          <w:spacing w:val="-1"/>
        </w:rPr>
        <w:t>影响持续深化，经济下行压力加大；公司积极应对复</w:t>
      </w:r>
      <w:r>
        <w:rPr/>
        <w:t> 杂多变的市场环境，迎难而上，在纺织和软件两主业运营、项目推进、资金保障等方面取得较好的成效。本报告期因</w:t>
      </w:r>
      <w:r>
        <w:rPr>
          <w:rFonts w:ascii="Times New Roman" w:hAnsi="Times New Roman" w:cs="Times New Roman" w:eastAsia="Times New Roman" w:hint="default"/>
        </w:rPr>
        <w:t>ODR</w:t>
      </w:r>
      <w:r>
        <w:rPr>
          <w:rFonts w:ascii="Times New Roman" w:hAnsi="Times New Roman" w:cs="Times New Roman" w:eastAsia="Times New Roman" w:hint="default"/>
          <w:spacing w:val="-1"/>
        </w:rPr>
        <w:t> </w:t>
      </w:r>
      <w:r>
        <w:rPr>
          <w:spacing w:val="-2"/>
        </w:rPr>
        <w:t>平台主要处于推进阶段，尚未产生规模效益；同时软件板块研发投入持续加大，研发费用较上年显著增加；不必支付的股权</w:t>
      </w:r>
      <w:r>
        <w:rPr>
          <w:spacing w:val="-66"/>
        </w:rPr>
        <w:t> </w:t>
      </w:r>
      <w:r>
        <w:rPr>
          <w:spacing w:val="-66"/>
        </w:rPr>
      </w:r>
      <w:r>
        <w:rPr>
          <w:spacing w:val="-2"/>
        </w:rPr>
        <w:t>转让款同比减少，使营业外收入较上年下降；同时2019年持续升级的贸易摩擦压缩了纺织行业的盈利水平，本期计提的存货</w:t>
      </w:r>
      <w:r>
        <w:rPr>
          <w:spacing w:val="-62"/>
        </w:rPr>
        <w:t> </w:t>
      </w:r>
      <w:r>
        <w:rPr>
          <w:spacing w:val="-62"/>
        </w:rPr>
      </w:r>
      <w:r>
        <w:rPr>
          <w:spacing w:val="-2"/>
        </w:rPr>
        <w:t>减值损失高于同期；将代替赔偿义务人垫付的棉五火灾赔偿款计入营业外支出、确认新疆恒宏项目在建工程等非经常性损失</w:t>
      </w:r>
      <w:r>
        <w:rPr>
          <w:spacing w:val="-64"/>
        </w:rPr>
        <w:t> </w:t>
      </w:r>
      <w:r>
        <w:rPr>
          <w:spacing w:val="-64"/>
        </w:rPr>
      </w:r>
      <w:r>
        <w:rPr>
          <w:spacing w:val="-6"/>
        </w:rPr>
        <w:t>等原因，导致本报告期业绩比上年同期下降。报告期内，公司营业收入</w:t>
      </w:r>
      <w:r>
        <w:rPr>
          <w:rFonts w:ascii="Times New Roman" w:hAnsi="Times New Roman" w:cs="Times New Roman" w:eastAsia="Times New Roman" w:hint="default"/>
          <w:spacing w:val="-6"/>
        </w:rPr>
        <w:t>944,662.04</w:t>
      </w:r>
      <w:r>
        <w:rPr>
          <w:spacing w:val="-6"/>
        </w:rPr>
        <w:t>万元，比上年降低</w:t>
      </w:r>
      <w:r>
        <w:rPr>
          <w:rFonts w:ascii="Times New Roman" w:hAnsi="Times New Roman" w:cs="Times New Roman" w:eastAsia="Times New Roman" w:hint="default"/>
          <w:spacing w:val="-6"/>
        </w:rPr>
        <w:t>2.17%</w:t>
      </w:r>
      <w:r>
        <w:rPr>
          <w:spacing w:val="-6"/>
        </w:rPr>
        <w:t>；营业成本</w:t>
      </w:r>
      <w:r>
        <w:rPr>
          <w:rFonts w:ascii="Times New Roman" w:hAnsi="Times New Roman" w:cs="Times New Roman" w:eastAsia="Times New Roman" w:hint="default"/>
          <w:spacing w:val="-6"/>
        </w:rPr>
        <w:t>863,981.87</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t>万元，比上年降低</w:t>
      </w:r>
      <w:r>
        <w:rPr>
          <w:rFonts w:ascii="Times New Roman" w:hAnsi="Times New Roman" w:cs="Times New Roman" w:eastAsia="Times New Roman" w:hint="default"/>
        </w:rPr>
        <w:t>1.42%</w:t>
      </w:r>
      <w:r>
        <w:rPr/>
        <w:t>。营业利润</w:t>
      </w:r>
      <w:r>
        <w:rPr>
          <w:spacing w:val="-56"/>
        </w:rPr>
        <w:t> </w:t>
      </w:r>
      <w:r>
        <w:rPr>
          <w:rFonts w:ascii="Times New Roman" w:hAnsi="Times New Roman" w:cs="Times New Roman" w:eastAsia="Times New Roman" w:hint="default"/>
        </w:rPr>
        <w:t>9,915.10</w:t>
      </w:r>
      <w:r>
        <w:rPr/>
        <w:t>万元，比上年降低</w:t>
      </w:r>
      <w:r>
        <w:rPr>
          <w:rFonts w:ascii="Times New Roman" w:hAnsi="Times New Roman" w:cs="Times New Roman" w:eastAsia="Times New Roman" w:hint="default"/>
        </w:rPr>
        <w:t>54.07%</w:t>
      </w:r>
      <w:r>
        <w:rPr/>
        <w:t>，归属于母公司所有者的净利润</w:t>
      </w:r>
      <w:r>
        <w:rPr>
          <w:spacing w:val="-56"/>
        </w:rPr>
        <w:t> </w:t>
      </w:r>
      <w:r>
        <w:rPr>
          <w:rFonts w:ascii="Times New Roman" w:hAnsi="Times New Roman" w:cs="Times New Roman" w:eastAsia="Times New Roman" w:hint="default"/>
        </w:rPr>
        <w:t>10,110.08</w:t>
      </w:r>
      <w:r>
        <w:rPr/>
        <w:t>万元，比上 年降低</w:t>
      </w:r>
      <w:r>
        <w:rPr>
          <w:rFonts w:ascii="Times New Roman" w:hAnsi="Times New Roman" w:cs="Times New Roman" w:eastAsia="Times New Roman" w:hint="default"/>
        </w:rPr>
        <w:t>45.64%</w:t>
      </w:r>
      <w:r>
        <w:rPr/>
        <w:t>；基本每股收益为</w:t>
      </w:r>
      <w:r>
        <w:rPr>
          <w:rFonts w:ascii="Times New Roman" w:hAnsi="Times New Roman" w:cs="Times New Roman" w:eastAsia="Times New Roman" w:hint="default"/>
        </w:rPr>
        <w:t>0.06</w:t>
      </w:r>
      <w:r>
        <w:rPr/>
        <w:t>元，比上年减少</w:t>
      </w:r>
      <w:r>
        <w:rPr>
          <w:rFonts w:ascii="Times New Roman" w:hAnsi="Times New Roman" w:cs="Times New Roman" w:eastAsia="Times New Roman" w:hint="default"/>
        </w:rPr>
        <w:t>45.45%</w:t>
      </w:r>
      <w:r>
        <w:rPr/>
        <w:t>。</w:t>
      </w:r>
    </w:p>
    <w:p>
      <w:pPr>
        <w:pStyle w:val="BodyText"/>
        <w:spacing w:line="357" w:lineRule="auto" w:before="44"/>
        <w:ind w:left="513" w:right="0"/>
        <w:jc w:val="left"/>
      </w:pPr>
      <w:r>
        <w:rPr/>
        <w:t>报告期内，公司重点做了以下工作： </w:t>
      </w:r>
      <w:r>
        <w:rPr>
          <w:spacing w:val="-2"/>
        </w:rPr>
        <w:t>一是纺织主业围绕提质增效，着力夯实基础，狠抓质量提升、降本增效和市场拓展，扎实提高企业管理水平。强化基础</w:t>
      </w:r>
    </w:p>
    <w:p>
      <w:pPr>
        <w:pStyle w:val="BodyText"/>
        <w:spacing w:line="224" w:lineRule="exact"/>
        <w:ind w:left="153" w:right="0"/>
        <w:jc w:val="both"/>
      </w:pPr>
      <w:r>
        <w:rPr/>
        <w:t>管理，修订制定基础性管理制度。对岗位设置进行优化，对劳动定额进行完善，用工效率明显提高。通过严格考核、严格管</w:t>
      </w:r>
    </w:p>
    <w:p>
      <w:pPr>
        <w:pStyle w:val="BodyText"/>
        <w:spacing w:line="319" w:lineRule="auto" w:before="76"/>
        <w:ind w:left="153" w:right="1128"/>
        <w:jc w:val="both"/>
      </w:pPr>
      <w:r>
        <w:rPr>
          <w:spacing w:val="-2"/>
        </w:rPr>
        <w:t>理和组织开展岗位练兵、技能测定、技术比武，产品质量稳步提升，各项生产指标明显好转。强化精细管理，增强全员节能</w:t>
      </w:r>
      <w:r>
        <w:rPr>
          <w:spacing w:val="-68"/>
        </w:rPr>
        <w:t> </w:t>
      </w:r>
      <w:r>
        <w:rPr>
          <w:spacing w:val="-68"/>
        </w:rPr>
      </w:r>
      <w:r>
        <w:rPr>
          <w:spacing w:val="-2"/>
        </w:rPr>
        <w:t>意识。加大市场拓展力度，健全完善客户管理和评价系统，加大市场开拓和市场营销力度，客户结构进一步优化，大客户采</w:t>
      </w:r>
      <w:r>
        <w:rPr>
          <w:spacing w:val="-66"/>
        </w:rPr>
        <w:t> </w:t>
      </w:r>
      <w:r>
        <w:rPr>
          <w:spacing w:val="-66"/>
        </w:rPr>
      </w:r>
      <w:r>
        <w:rPr>
          <w:spacing w:val="-2"/>
        </w:rPr>
        <w:t>购额占比和产销率大幅提升。同时，公司成功获得了郑州商品交易所棉纱期货交割厂库资质，为纺织主业加快提质增效提供</w:t>
      </w:r>
      <w:r>
        <w:rPr>
          <w:spacing w:val="-66"/>
        </w:rPr>
        <w:t> </w:t>
      </w:r>
      <w:r>
        <w:rPr>
          <w:spacing w:val="-66"/>
        </w:rPr>
      </w:r>
      <w:r>
        <w:rPr/>
        <w:t>了新的助力。</w:t>
      </w:r>
    </w:p>
    <w:p>
      <w:pPr>
        <w:pStyle w:val="BodyText"/>
        <w:spacing w:line="304" w:lineRule="auto" w:before="56"/>
        <w:ind w:left="153" w:right="1031" w:firstLine="373"/>
        <w:jc w:val="left"/>
      </w:pPr>
      <w:r>
        <w:rPr/>
        <w:t>二是软件板块发展势头强劲。以前期重点发力建设的在线矛盾纠纷多元化解平台（简称</w:t>
      </w:r>
      <w:r>
        <w:rPr>
          <w:rFonts w:ascii="Times New Roman" w:hAnsi="Times New Roman" w:cs="Times New Roman" w:eastAsia="Times New Roman" w:hint="default"/>
        </w:rPr>
        <w:t>“ODR</w:t>
      </w:r>
      <w:r>
        <w:rPr/>
        <w:t>平台</w:t>
      </w:r>
      <w:r>
        <w:rPr>
          <w:rFonts w:ascii="Times New Roman" w:hAnsi="Times New Roman" w:cs="Times New Roman" w:eastAsia="Times New Roman" w:hint="default"/>
        </w:rPr>
        <w:t>”</w:t>
      </w:r>
      <w:r>
        <w:rPr/>
        <w:t>），全面提升基层 社会治理的核心业务系统，截至目前，</w:t>
      </w:r>
      <w:r>
        <w:rPr>
          <w:spacing w:val="-19"/>
        </w:rPr>
        <w:t> </w:t>
      </w:r>
      <w:r>
        <w:rPr>
          <w:rFonts w:ascii="Times New Roman" w:hAnsi="Times New Roman" w:cs="Times New Roman" w:eastAsia="Times New Roman" w:hint="default"/>
        </w:rPr>
        <w:t>ODR</w:t>
      </w:r>
      <w:r>
        <w:rPr/>
        <w:t>平台已经在浙江、北京、广东、云南、江苏等二十余个省市落地，为市域社会 治理体系和治理能力现代化提供了坚强的科技支撑。北明软件在政法领域的签约额呈现了快速增长趋势；</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月，公司 子公司北明软件与</w:t>
      </w:r>
      <w:r>
        <w:rPr>
          <w:rFonts w:ascii="Times New Roman" w:hAnsi="Times New Roman" w:cs="Times New Roman" w:eastAsia="Times New Roman" w:hint="default"/>
        </w:rPr>
        <w:t>ODR</w:t>
      </w:r>
      <w:r>
        <w:rPr/>
        <w:t>核心团队等合资成立了</w:t>
      </w:r>
      <w:r>
        <w:rPr>
          <w:rFonts w:ascii="Times New Roman" w:hAnsi="Times New Roman" w:cs="Times New Roman" w:eastAsia="Times New Roman" w:hint="default"/>
        </w:rPr>
        <w:t>“</w:t>
      </w:r>
      <w:r>
        <w:rPr/>
        <w:t>北京枫调理顺科技发展有限公司</w:t>
      </w:r>
      <w:r>
        <w:rPr>
          <w:rFonts w:ascii="Times New Roman" w:hAnsi="Times New Roman" w:cs="Times New Roman" w:eastAsia="Times New Roman" w:hint="default"/>
        </w:rPr>
        <w:t>”</w:t>
      </w:r>
      <w:r>
        <w:rPr/>
        <w:t>，专门从事</w:t>
      </w:r>
      <w:r>
        <w:rPr>
          <w:rFonts w:ascii="Times New Roman" w:hAnsi="Times New Roman" w:cs="Times New Roman" w:eastAsia="Times New Roman" w:hint="default"/>
        </w:rPr>
        <w:t>“</w:t>
      </w:r>
      <w:r>
        <w:rPr/>
        <w:t>市域社会治理辅助运营类服 务</w:t>
      </w:r>
      <w:r>
        <w:rPr>
          <w:rFonts w:ascii="Times New Roman" w:hAnsi="Times New Roman" w:cs="Times New Roman" w:eastAsia="Times New Roman" w:hint="default"/>
        </w:rPr>
        <w:t>”</w:t>
      </w:r>
      <w:r>
        <w:rPr/>
        <w:t>，专项经营</w:t>
      </w:r>
      <w:r>
        <w:rPr>
          <w:rFonts w:ascii="Times New Roman" w:hAnsi="Times New Roman" w:cs="Times New Roman" w:eastAsia="Times New Roman" w:hint="default"/>
        </w:rPr>
        <w:t>“</w:t>
      </w:r>
      <w:r>
        <w:rPr/>
        <w:t>基层社会治理人才教育与培养</w:t>
      </w:r>
      <w:r>
        <w:rPr>
          <w:rFonts w:ascii="Times New Roman" w:hAnsi="Times New Roman" w:cs="Times New Roman" w:eastAsia="Times New Roman" w:hint="default"/>
        </w:rPr>
        <w:t>”</w:t>
      </w:r>
      <w:r>
        <w:rPr/>
        <w:t>服务、与腾讯集团和中国网安等共建基于区块链技术的基层社会治理协同机 制保障的开放式法律存证</w:t>
      </w:r>
      <w:r>
        <w:rPr>
          <w:rFonts w:ascii="Times New Roman" w:hAnsi="Times New Roman" w:cs="Times New Roman" w:eastAsia="Times New Roman" w:hint="default"/>
        </w:rPr>
        <w:t>“</w:t>
      </w:r>
      <w:r>
        <w:rPr/>
        <w:t>至信链</w:t>
      </w:r>
      <w:r>
        <w:rPr>
          <w:rFonts w:ascii="Times New Roman" w:hAnsi="Times New Roman" w:cs="Times New Roman" w:eastAsia="Times New Roman" w:hint="default"/>
        </w:rPr>
        <w:t>”</w:t>
      </w:r>
      <w:r>
        <w:rPr/>
        <w:t>服务、基层社会治理触达服务空间</w:t>
      </w:r>
      <w:r>
        <w:rPr>
          <w:rFonts w:ascii="Times New Roman" w:hAnsi="Times New Roman" w:cs="Times New Roman" w:eastAsia="Times New Roman" w:hint="default"/>
        </w:rPr>
        <w:t>“</w:t>
      </w:r>
      <w:r>
        <w:rPr/>
        <w:t>微治理空间</w:t>
      </w:r>
      <w:r>
        <w:rPr>
          <w:rFonts w:ascii="Times New Roman" w:hAnsi="Times New Roman" w:cs="Times New Roman" w:eastAsia="Times New Roman" w:hint="default"/>
        </w:rPr>
        <w:t>”</w:t>
      </w:r>
      <w:r>
        <w:rPr/>
        <w:t>服务及各类专项关键基层社会治理场景及 </w:t>
      </w:r>
      <w:r>
        <w:rPr>
          <w:spacing w:val="-2"/>
        </w:rPr>
        <w:t>类型化纠纷处置服务，全面提升基层社会治理辅助服务能力，并在多省市初见成效，成为中央政法委、最高人民法院、司法</w:t>
      </w:r>
      <w:r>
        <w:rPr>
          <w:spacing w:val="-66"/>
        </w:rPr>
        <w:t> </w:t>
      </w:r>
      <w:r>
        <w:rPr>
          <w:spacing w:val="-66"/>
        </w:rPr>
      </w:r>
      <w:r>
        <w:rPr/>
        <w:t>部等行业主管部门重点关注业务领域和试点项目，并在后疫情期的基层社会治理工作中起到了重要作用。在智慧城市领域， 北明软件积极推动人工智能、物联网、区块链等新一代信息技术与业务的深度融合，新推出城市运营中心、互联网</w:t>
      </w:r>
      <w:r>
        <w:rPr>
          <w:rFonts w:ascii="Times New Roman" w:hAnsi="Times New Roman" w:cs="Times New Roman" w:eastAsia="Times New Roman" w:hint="default"/>
        </w:rPr>
        <w:t>+</w:t>
      </w:r>
      <w:r>
        <w:rPr/>
        <w:t>监管、 应急指挥系统、智能客服机器人等解决方案。</w:t>
      </w:r>
    </w:p>
    <w:p>
      <w:pPr>
        <w:pStyle w:val="BodyText"/>
        <w:spacing w:line="319" w:lineRule="auto" w:before="66"/>
        <w:ind w:right="0" w:firstLine="300"/>
        <w:jc w:val="left"/>
      </w:pPr>
      <w:r>
        <w:rPr>
          <w:spacing w:val="-1"/>
        </w:rPr>
        <w:t>常山云数据中心一期项目的机房楼、动力楼业已竣工并交付使用，腾讯、阿里和中国联通、中国移动、中国电信三大运</w:t>
      </w:r>
      <w:r>
        <w:rPr/>
        <w:t> 营商正式入驻，现正在加大招商力度，积极对接客户，争取早日达产达效。</w:t>
      </w:r>
    </w:p>
    <w:p>
      <w:pPr>
        <w:pStyle w:val="BodyText"/>
        <w:spacing w:line="309" w:lineRule="auto" w:before="55"/>
        <w:ind w:right="1108" w:firstLine="300"/>
        <w:jc w:val="both"/>
      </w:pPr>
      <w:r>
        <w:rPr/>
        <w:t>智慧城市项目多点开花。与腾讯合作，深度参与了国省事、北京通、数字广东、数字湖北、智慧宿州、长沙城市智脑、 </w:t>
      </w:r>
      <w:r>
        <w:rPr>
          <w:spacing w:val="-2"/>
        </w:rPr>
        <w:t>江苏省政务服务、深圳盐田智慧城市、深圳罗湖区智慧教育等多个项目。北明软件与华为联合中标的长沙市望城区智慧城市</w:t>
      </w:r>
      <w:r>
        <w:rPr>
          <w:spacing w:val="-66"/>
        </w:rPr>
        <w:t> </w:t>
      </w:r>
      <w:r>
        <w:rPr>
          <w:spacing w:val="-66"/>
        </w:rPr>
      </w:r>
      <w:r>
        <w:rPr>
          <w:spacing w:val="-2"/>
        </w:rPr>
        <w:t>项目是全国第一个基于全鲲鹏架构下的智慧城市，华为及北明将共同构建长沙望城</w:t>
      </w:r>
      <w:r>
        <w:rPr>
          <w:rFonts w:ascii="Times New Roman" w:hAnsi="Times New Roman" w:cs="Times New Roman" w:eastAsia="Times New Roman" w:hint="default"/>
          <w:spacing w:val="-2"/>
        </w:rPr>
        <w:t>“</w:t>
      </w:r>
      <w:r>
        <w:rPr>
          <w:spacing w:val="-2"/>
        </w:rPr>
        <w:t>云底座</w:t>
      </w:r>
      <w:r>
        <w:rPr>
          <w:rFonts w:ascii="Times New Roman" w:hAnsi="Times New Roman" w:cs="Times New Roman" w:eastAsia="Times New Roman" w:hint="default"/>
          <w:spacing w:val="-2"/>
        </w:rPr>
        <w:t>”</w:t>
      </w:r>
      <w:r>
        <w:rPr>
          <w:spacing w:val="-2"/>
        </w:rPr>
        <w:t>，提供城市大数据以及智慧城市</w:t>
      </w:r>
      <w:r>
        <w:rPr>
          <w:spacing w:val="-44"/>
        </w:rPr>
        <w:t> </w:t>
      </w:r>
      <w:r>
        <w:rPr>
          <w:spacing w:val="-44"/>
        </w:rPr>
      </w:r>
      <w:r>
        <w:rPr>
          <w:spacing w:val="-2"/>
        </w:rPr>
        <w:t>应用等服务。该项目建成后将形成</w:t>
      </w:r>
      <w:r>
        <w:rPr>
          <w:rFonts w:ascii="Times New Roman" w:hAnsi="Times New Roman" w:cs="Times New Roman" w:eastAsia="Times New Roman" w:hint="default"/>
          <w:spacing w:val="-2"/>
        </w:rPr>
        <w:t>“</w:t>
      </w:r>
      <w:r>
        <w:rPr>
          <w:spacing w:val="-2"/>
        </w:rPr>
        <w:t>大平台共享、大数据慧治、大系统共治</w:t>
      </w:r>
      <w:r>
        <w:rPr>
          <w:rFonts w:ascii="Times New Roman" w:hAnsi="Times New Roman" w:cs="Times New Roman" w:eastAsia="Times New Roman" w:hint="default"/>
          <w:spacing w:val="-2"/>
        </w:rPr>
        <w:t>”</w:t>
      </w:r>
      <w:r>
        <w:rPr>
          <w:spacing w:val="-2"/>
        </w:rPr>
        <w:t>的顶层新架构，推动政府数据治理，释放政府数</w:t>
      </w:r>
      <w:r>
        <w:rPr>
          <w:spacing w:val="-42"/>
        </w:rPr>
        <w:t> </w:t>
      </w:r>
      <w:r>
        <w:rPr>
          <w:spacing w:val="-42"/>
        </w:rPr>
      </w:r>
      <w:r>
        <w:rPr/>
        <w:t>据红利，形成大数据驱动、智能化运行、多主体协同、内生性治理的</w:t>
      </w:r>
      <w:r>
        <w:rPr>
          <w:rFonts w:ascii="Times New Roman" w:hAnsi="Times New Roman" w:cs="Times New Roman" w:eastAsia="Times New Roman" w:hint="default"/>
        </w:rPr>
        <w:t>“</w:t>
      </w:r>
      <w:r>
        <w:rPr/>
        <w:t>智慧城市</w:t>
      </w:r>
      <w:r>
        <w:rPr>
          <w:rFonts w:ascii="Times New Roman" w:hAnsi="Times New Roman" w:cs="Times New Roman" w:eastAsia="Times New Roman" w:hint="default"/>
        </w:rPr>
        <w:t>”</w:t>
      </w:r>
      <w:r>
        <w:rPr/>
        <w:t>可持续发展路径。</w:t>
      </w:r>
    </w:p>
    <w:p>
      <w:pPr>
        <w:pStyle w:val="BodyText"/>
        <w:spacing w:line="316" w:lineRule="auto" w:before="43"/>
        <w:ind w:right="1020" w:firstLine="362"/>
        <w:jc w:val="left"/>
      </w:pPr>
      <w:r>
        <w:rPr>
          <w:spacing w:val="-2"/>
        </w:rPr>
        <w:t>公司同样与华为公司联手，利用北明软件优势技术，携手打造智慧供热的民生工程，助力政府的社会服务。年内，华为</w:t>
      </w:r>
      <w:r>
        <w:rPr/>
        <w:t> </w:t>
      </w:r>
      <w:r>
        <w:rPr>
          <w:spacing w:val="-2"/>
        </w:rPr>
        <w:t>和北明联合体共同中标的哈尔滨智慧供热试点项目，已由华为和北明联合体开展承建施工，全面采用了云计算、大数据、人</w:t>
      </w:r>
      <w:r>
        <w:rPr>
          <w:spacing w:val="-66"/>
        </w:rPr>
        <w:t> </w:t>
      </w:r>
      <w:r>
        <w:rPr>
          <w:spacing w:val="-66"/>
        </w:rPr>
      </w:r>
      <w:r>
        <w:rPr>
          <w:spacing w:val="-4"/>
        </w:rPr>
        <w:t>工智能、物联网等新技术，由端、管、云架构构建了一个端到端的智慧供热平台。该项目为首次在大地理尺度公共事业领域、</w:t>
      </w:r>
      <w:r>
        <w:rPr>
          <w:spacing w:val="-44"/>
        </w:rPr>
        <w:t> </w:t>
      </w:r>
      <w:r>
        <w:rPr>
          <w:spacing w:val="-44"/>
        </w:rPr>
      </w:r>
      <w:r>
        <w:rPr/>
        <w:t>真正落地的从数据采集到负荷预测、到</w:t>
      </w:r>
      <w:r>
        <w:rPr>
          <w:rFonts w:ascii="Times New Roman" w:hAnsi="Times New Roman" w:cs="Times New Roman" w:eastAsia="Times New Roman" w:hint="default"/>
        </w:rPr>
        <w:t>AI</w:t>
      </w:r>
      <w:r>
        <w:rPr/>
        <w:t>算法模型、直到末端控制的全集成供热解决方案，第一次将供热行业涵盖源、网、</w:t>
      </w:r>
    </w:p>
    <w:p>
      <w:pPr>
        <w:spacing w:after="0" w:line="316" w:lineRule="auto"/>
        <w:jc w:val="left"/>
        <w:sectPr>
          <w:pgSz w:w="11910" w:h="16840"/>
          <w:pgMar w:header="747" w:footer="982" w:top="1060" w:bottom="1180" w:left="980" w:right="0"/>
        </w:sectPr>
      </w:pPr>
    </w:p>
    <w:p>
      <w:pPr>
        <w:spacing w:line="240" w:lineRule="auto" w:before="13"/>
        <w:rPr>
          <w:rFonts w:ascii="宋体" w:hAnsi="宋体" w:cs="宋体" w:eastAsia="宋体" w:hint="default"/>
          <w:sz w:val="25"/>
          <w:szCs w:val="25"/>
        </w:rPr>
      </w:pPr>
    </w:p>
    <w:p>
      <w:pPr>
        <w:pStyle w:val="BodyText"/>
        <w:spacing w:line="357" w:lineRule="auto" w:before="44"/>
        <w:ind w:left="513" w:right="0" w:hanging="360"/>
        <w:jc w:val="left"/>
      </w:pPr>
      <w:r>
        <w:rPr/>
        <w:t>站、户的全环节生产过程统一在一个平台上的，实现了全流程、全工艺的数据融合和控制逻辑的全面贯通。 </w:t>
      </w:r>
      <w:r>
        <w:rPr>
          <w:spacing w:val="-2"/>
        </w:rPr>
        <w:t>三是进一步加强资金管理，调整负债结构，加紧销售回款，加快资金回笼，降低资金成本和资金风险，保障公司生产经</w:t>
      </w:r>
    </w:p>
    <w:p>
      <w:pPr>
        <w:pStyle w:val="BodyText"/>
        <w:spacing w:line="237" w:lineRule="exact"/>
        <w:ind w:left="153" w:right="0"/>
        <w:jc w:val="left"/>
      </w:pPr>
      <w:r>
        <w:rPr/>
        <w:t>营、项目建设、研发投入的正常进行。积极协调跑办，年内收到棉三棉四土地收益返还资金</w:t>
      </w:r>
      <w:r>
        <w:rPr>
          <w:rFonts w:ascii="Times New Roman" w:hAnsi="Times New Roman" w:cs="Times New Roman" w:eastAsia="Times New Roman" w:hint="default"/>
        </w:rPr>
        <w:t>3.7</w:t>
      </w:r>
      <w:r>
        <w:rPr/>
        <w:t>亿元。完成了第五分公司土</w:t>
      </w:r>
    </w:p>
    <w:p>
      <w:pPr>
        <w:pStyle w:val="BodyText"/>
        <w:spacing w:line="302" w:lineRule="auto" w:before="63"/>
        <w:ind w:right="0" w:hanging="1"/>
        <w:jc w:val="left"/>
      </w:pPr>
      <w:r>
        <w:rPr/>
        <w:t>地出让，确定了资金返还方式和比例。</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日第五分公司地块以</w:t>
      </w:r>
      <w:r>
        <w:rPr>
          <w:rFonts w:ascii="Times New Roman" w:hAnsi="Times New Roman" w:cs="Times New Roman" w:eastAsia="Times New Roman" w:hint="default"/>
        </w:rPr>
        <w:t>20.11</w:t>
      </w:r>
      <w:r>
        <w:rPr/>
        <w:t>亿元的价格由北京中海地产竞得。与赵县土</w:t>
      </w:r>
      <w:r>
        <w:rPr>
          <w:spacing w:val="-49"/>
        </w:rPr>
        <w:t> </w:t>
      </w:r>
      <w:r>
        <w:rPr>
          <w:spacing w:val="-49"/>
        </w:rPr>
      </w:r>
      <w:r>
        <w:rPr/>
        <w:t>地储备中心签订了赵纺土地房产收购合同，收购补偿金</w:t>
      </w:r>
      <w:r>
        <w:rPr>
          <w:rFonts w:ascii="Times New Roman" w:hAnsi="Times New Roman" w:cs="Times New Roman" w:eastAsia="Times New Roman" w:hint="default"/>
        </w:rPr>
        <w:t>6,000</w:t>
      </w:r>
      <w:r>
        <w:rPr/>
        <w:t>万元。</w:t>
      </w:r>
    </w:p>
    <w:p>
      <w:pPr>
        <w:spacing w:line="240" w:lineRule="auto" w:before="1"/>
        <w:rPr>
          <w:rFonts w:ascii="宋体" w:hAnsi="宋体" w:cs="宋体" w:eastAsia="宋体" w:hint="default"/>
          <w:sz w:val="20"/>
          <w:szCs w:val="20"/>
        </w:rPr>
      </w:pPr>
    </w:p>
    <w:p>
      <w:pPr>
        <w:pStyle w:val="Heading2"/>
        <w:spacing w:line="240" w:lineRule="auto"/>
        <w:ind w:right="0"/>
        <w:jc w:val="left"/>
        <w:rPr>
          <w:b w:val="0"/>
          <w:bCs w:val="0"/>
        </w:rPr>
      </w:pPr>
      <w:r>
        <w:rPr/>
        <w:t>二、主营业务分析</w:t>
      </w:r>
      <w:r>
        <w:rPr>
          <w:b w:val="0"/>
          <w:bCs w:val="0"/>
        </w:rPr>
      </w:r>
    </w:p>
    <w:p>
      <w:pPr>
        <w:spacing w:line="240" w:lineRule="auto" w:before="8"/>
        <w:rPr>
          <w:rFonts w:ascii="宋体" w:hAnsi="宋体" w:cs="宋体" w:eastAsia="宋体" w:hint="default"/>
          <w:b/>
          <w:bCs/>
          <w:sz w:val="24"/>
          <w:szCs w:val="24"/>
        </w:rPr>
      </w:pPr>
    </w:p>
    <w:p>
      <w:pPr>
        <w:spacing w:line="547" w:lineRule="auto" w:before="0"/>
        <w:ind w:left="154" w:right="647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6"/>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9"/>
        <w:gridCol w:w="1591"/>
        <w:gridCol w:w="1595"/>
        <w:gridCol w:w="1594"/>
        <w:gridCol w:w="1591"/>
        <w:gridCol w:w="1598"/>
      </w:tblGrid>
      <w:tr>
        <w:trPr>
          <w:trHeight w:val="200" w:hRule="exact"/>
        </w:trPr>
        <w:tc>
          <w:tcPr>
            <w:tcW w:w="1599" w:type="dxa"/>
            <w:tcBorders>
              <w:top w:val="single" w:sz="4" w:space="0" w:color="000000"/>
              <w:left w:val="single" w:sz="4" w:space="0" w:color="000000"/>
              <w:bottom w:val="nil" w:sz="6" w:space="0" w:color="auto"/>
              <w:right w:val="single" w:sz="4" w:space="0" w:color="000000"/>
            </w:tcBorders>
            <w:shd w:val="clear" w:color="auto" w:fill="D3D3D3"/>
          </w:tcPr>
          <w:p>
            <w:pPr/>
          </w:p>
        </w:tc>
        <w:tc>
          <w:tcPr>
            <w:tcW w:w="318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2" w:hRule="exact"/>
        </w:trPr>
        <w:tc>
          <w:tcPr>
            <w:tcW w:w="1599" w:type="dxa"/>
            <w:vMerge w:val="restart"/>
            <w:tcBorders>
              <w:top w:val="nil" w:sz="6" w:space="0" w:color="auto"/>
              <w:left w:val="single" w:sz="4" w:space="0" w:color="000000"/>
              <w:right w:val="single" w:sz="4" w:space="0" w:color="000000"/>
            </w:tcBorders>
            <w:shd w:val="clear" w:color="auto" w:fill="D3D3D3"/>
          </w:tcPr>
          <w:p>
            <w:pPr/>
          </w:p>
        </w:tc>
        <w:tc>
          <w:tcPr>
            <w:tcW w:w="3186" w:type="dxa"/>
            <w:gridSpan w:val="2"/>
            <w:vMerge/>
            <w:tcBorders>
              <w:left w:val="single" w:sz="4" w:space="0" w:color="000000"/>
              <w:bottom w:val="single" w:sz="4" w:space="0" w:color="000000"/>
              <w:right w:val="single" w:sz="4" w:space="0" w:color="000000"/>
            </w:tcBorders>
            <w:shd w:val="clear" w:color="auto" w:fill="D3D3D3"/>
          </w:tcPr>
          <w:p>
            <w:pPr/>
          </w:p>
        </w:tc>
        <w:tc>
          <w:tcPr>
            <w:tcW w:w="3184" w:type="dxa"/>
            <w:gridSpan w:val="2"/>
            <w:vMerge/>
            <w:tcBorders>
              <w:left w:val="single" w:sz="4" w:space="0" w:color="000000"/>
              <w:bottom w:val="single" w:sz="4" w:space="0" w:color="000000"/>
              <w:right w:val="single" w:sz="4" w:space="0" w:color="000000"/>
            </w:tcBorders>
            <w:shd w:val="clear" w:color="auto" w:fill="D3D3D3"/>
          </w:tcPr>
          <w:p>
            <w:pPr/>
          </w:p>
        </w:tc>
        <w:tc>
          <w:tcPr>
            <w:tcW w:w="15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0" w:hRule="exact"/>
        </w:trPr>
        <w:tc>
          <w:tcPr>
            <w:tcW w:w="1599" w:type="dxa"/>
            <w:vMerge/>
            <w:tcBorders>
              <w:left w:val="single" w:sz="4" w:space="0" w:color="000000"/>
              <w:bottom w:val="nil" w:sz="6" w:space="0" w:color="auto"/>
              <w:right w:val="single" w:sz="4" w:space="0" w:color="000000"/>
            </w:tcBorders>
            <w:shd w:val="clear" w:color="auto" w:fill="D3D3D3"/>
          </w:tcPr>
          <w:p>
            <w:pPr/>
          </w:p>
        </w:tc>
        <w:tc>
          <w:tcPr>
            <w:tcW w:w="15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3D3D3"/>
          </w:tcPr>
          <w:p>
            <w:pPr/>
          </w:p>
        </w:tc>
      </w:tr>
      <w:tr>
        <w:trPr>
          <w:trHeight w:val="212" w:hRule="exact"/>
        </w:trPr>
        <w:tc>
          <w:tcPr>
            <w:tcW w:w="1599"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1" w:type="dxa"/>
            <w:vMerge/>
            <w:tcBorders>
              <w:left w:val="single" w:sz="4" w:space="0" w:color="000000"/>
              <w:bottom w:val="single" w:sz="4" w:space="0" w:color="000000"/>
              <w:right w:val="single" w:sz="4" w:space="0" w:color="000000"/>
            </w:tcBorders>
            <w:shd w:val="clear" w:color="auto" w:fill="D3D3D3"/>
          </w:tcPr>
          <w:p>
            <w:pPr/>
          </w:p>
        </w:tc>
        <w:tc>
          <w:tcPr>
            <w:tcW w:w="1595"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1" w:type="dxa"/>
            <w:vMerge/>
            <w:tcBorders>
              <w:left w:val="single" w:sz="4" w:space="0" w:color="000000"/>
              <w:bottom w:val="single" w:sz="4" w:space="0" w:color="000000"/>
              <w:right w:val="single" w:sz="4" w:space="0" w:color="000000"/>
            </w:tcBorders>
            <w:shd w:val="clear" w:color="auto" w:fill="D3D3D3"/>
          </w:tcPr>
          <w:p>
            <w:pPr/>
          </w:p>
        </w:tc>
        <w:tc>
          <w:tcPr>
            <w:tcW w:w="159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1"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9,446,620,387.05</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9,656,109,155.27</w:t>
            </w:r>
          </w:p>
        </w:tc>
        <w:tc>
          <w:tcPr>
            <w:tcW w:w="15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159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纺织业</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4,718,618,332.48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4,782,279,490.04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49.53%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w:t>
            </w:r>
          </w:p>
        </w:tc>
      </w:tr>
      <w:tr>
        <w:trPr>
          <w:trHeight w:val="71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软件和信息技术服 务业</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4,728,002,054.57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4,873,829,665.23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50.47%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-2.99%</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坯布</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541,300,876.88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667,406,545.87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6.91%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-18.89%</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棉纱</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1,373,455,513.84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771,557,772.31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7.99%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78.01%</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棉花</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2,530,581,893.33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2,748,515,809.05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28.46%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-7.93%</w:t>
            </w:r>
          </w:p>
        </w:tc>
      </w:tr>
      <w:tr>
        <w:trPr>
          <w:trHeight w:val="71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系统集成及行业解 决方案服务</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3,233,344,975.55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3,556,499,938.58</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36.83%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-9.09%</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代理产品增值销售</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417,760,127.41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392,404,025.63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6.46%</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定制软件及服务</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1,076,896,951.61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924,925,701.02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9.58%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16.43%</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273,280,048.43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594,799,362.81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-54.06%</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6,339,897,266.74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67.11%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5,859,788,206.96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60.68%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8.19%</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1,467,476,480.62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2,106,459,006.64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21.81%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-30.33%</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1,414,134,027.98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1,238,732,172.66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12.83%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14.16%</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其他地区</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225,112,611.71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451,129,769.01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4.67%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-50.10%</w:t>
            </w:r>
          </w:p>
        </w:tc>
      </w:tr>
    </w:tbl>
    <w:p>
      <w:pPr>
        <w:pStyle w:val="BodyText"/>
        <w:spacing w:line="240" w:lineRule="auto" w:before="51"/>
        <w:ind w:right="0"/>
        <w:jc w:val="left"/>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after="0" w:line="240"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09" w:lineRule="auto" w:before="44"/>
        <w:ind w:right="0" w:firstLine="360"/>
        <w:jc w:val="left"/>
      </w:pPr>
      <w:r>
        <w:rPr/>
        <w:t>本期公司棉纱业务收入同比增长</w:t>
      </w:r>
      <w:r>
        <w:rPr>
          <w:spacing w:val="-47"/>
        </w:rPr>
        <w:t> </w:t>
      </w:r>
      <w:r>
        <w:rPr>
          <w:rFonts w:ascii="Times New Roman" w:hAnsi="Times New Roman" w:cs="Times New Roman" w:eastAsia="Times New Roman" w:hint="default"/>
        </w:rPr>
        <w:t>78.01%</w:t>
      </w:r>
      <w:r>
        <w:rPr/>
        <w:t>、其他业务收入同比下降</w:t>
      </w:r>
      <w:r>
        <w:rPr>
          <w:spacing w:val="-47"/>
        </w:rPr>
        <w:t> </w:t>
      </w:r>
      <w:r>
        <w:rPr>
          <w:rFonts w:ascii="Times New Roman" w:hAnsi="Times New Roman" w:cs="Times New Roman" w:eastAsia="Times New Roman" w:hint="default"/>
        </w:rPr>
        <w:t>54.06%</w:t>
      </w:r>
      <w:r>
        <w:rPr/>
        <w:t>，主要原因是</w:t>
      </w:r>
      <w:r>
        <w:rPr>
          <w:spacing w:val="-47"/>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0"/>
        </w:rPr>
        <w:t> </w:t>
      </w:r>
      <w:r>
        <w:rPr/>
        <w:t>年公司进一步优化业务结 </w:t>
      </w:r>
      <w:r>
        <w:rPr>
          <w:spacing w:val="-2"/>
        </w:rPr>
        <w:t>构，专注主业经营，实现业务整合，利用公司多年从事纺织业务积累的渠道优势，增加了棉纱贸易，而对非主业的电解铜贸</w:t>
      </w:r>
      <w:r>
        <w:rPr>
          <w:spacing w:val="-66"/>
        </w:rPr>
        <w:t> </w:t>
      </w:r>
      <w:r>
        <w:rPr>
          <w:spacing w:val="-66"/>
        </w:rPr>
      </w:r>
      <w:r>
        <w:rPr/>
        <w:t>易业务进行了收缩。</w:t>
      </w:r>
    </w:p>
    <w:p>
      <w:pPr>
        <w:pStyle w:val="BodyText"/>
        <w:spacing w:line="340" w:lineRule="auto" w:before="64"/>
        <w:ind w:left="514" w:right="4211"/>
        <w:jc w:val="left"/>
      </w:pPr>
      <w:r>
        <w:rPr/>
        <w:t>华东地区营业收入较同期下降</w:t>
      </w:r>
      <w:r>
        <w:rPr>
          <w:spacing w:val="-46"/>
        </w:rPr>
        <w:t> </w:t>
      </w:r>
      <w:r>
        <w:rPr>
          <w:rFonts w:ascii="Times New Roman" w:hAnsi="Times New Roman" w:cs="Times New Roman" w:eastAsia="Times New Roman" w:hint="default"/>
        </w:rPr>
        <w:t>30.33%</w:t>
      </w:r>
      <w:r>
        <w:rPr/>
        <w:t>，主要系电解铜贸易收入减少。 其他地区营业收入较同期下降</w:t>
      </w:r>
      <w:r>
        <w:rPr>
          <w:spacing w:val="-46"/>
        </w:rPr>
        <w:t> </w:t>
      </w:r>
      <w:r>
        <w:rPr>
          <w:rFonts w:ascii="Times New Roman" w:hAnsi="Times New Roman" w:cs="Times New Roman" w:eastAsia="Times New Roman" w:hint="default"/>
        </w:rPr>
        <w:t>50.10%</w:t>
      </w:r>
      <w:r>
        <w:rPr/>
        <w:t>，主要是华中地区的棉花销售收入下降。</w:t>
      </w:r>
    </w:p>
    <w:p>
      <w:pPr>
        <w:pStyle w:val="BodyText"/>
        <w:spacing w:line="240" w:lineRule="auto" w:before="18"/>
        <w:ind w:left="0" w:right="1129"/>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07"/>
        <w:gridCol w:w="1008"/>
        <w:gridCol w:w="1010"/>
        <w:gridCol w:w="1010"/>
        <w:gridCol w:w="1012"/>
        <w:gridCol w:w="1003"/>
        <w:gridCol w:w="1004"/>
        <w:gridCol w:w="1002"/>
        <w:gridCol w:w="1002"/>
      </w:tblGrid>
      <w:tr>
        <w:trPr>
          <w:trHeight w:val="200" w:hRule="exact"/>
        </w:trPr>
        <w:tc>
          <w:tcPr>
            <w:tcW w:w="1507" w:type="dxa"/>
            <w:tcBorders>
              <w:top w:val="single" w:sz="4" w:space="0" w:color="000000"/>
              <w:left w:val="single" w:sz="4" w:space="0" w:color="000000"/>
              <w:bottom w:val="nil" w:sz="6" w:space="0" w:color="auto"/>
              <w:right w:val="single" w:sz="4" w:space="0" w:color="000000"/>
            </w:tcBorders>
            <w:shd w:val="clear" w:color="auto" w:fill="D3D3D3"/>
          </w:tcPr>
          <w:p>
            <w:pPr/>
          </w:p>
        </w:tc>
        <w:tc>
          <w:tcPr>
            <w:tcW w:w="4040" w:type="dxa"/>
            <w:gridSpan w:val="4"/>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4012" w:type="dxa"/>
            <w:gridSpan w:val="4"/>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202" w:hRule="exact"/>
        </w:trPr>
        <w:tc>
          <w:tcPr>
            <w:tcW w:w="1507" w:type="dxa"/>
            <w:vMerge w:val="restart"/>
            <w:tcBorders>
              <w:top w:val="nil" w:sz="6" w:space="0" w:color="auto"/>
              <w:left w:val="single" w:sz="4" w:space="0" w:color="000000"/>
              <w:right w:val="single" w:sz="4" w:space="0" w:color="000000"/>
            </w:tcBorders>
            <w:shd w:val="clear" w:color="auto" w:fill="D3D3D3"/>
          </w:tcPr>
          <w:p>
            <w:pPr/>
          </w:p>
        </w:tc>
        <w:tc>
          <w:tcPr>
            <w:tcW w:w="4040" w:type="dxa"/>
            <w:gridSpan w:val="4"/>
            <w:vMerge/>
            <w:tcBorders>
              <w:left w:val="single" w:sz="4" w:space="0" w:color="000000"/>
              <w:bottom w:val="single" w:sz="4" w:space="0" w:color="000000"/>
              <w:right w:val="single" w:sz="4" w:space="0" w:color="000000"/>
            </w:tcBorders>
            <w:shd w:val="clear" w:color="auto" w:fill="D3D3D3"/>
          </w:tcPr>
          <w:p>
            <w:pPr/>
          </w:p>
        </w:tc>
        <w:tc>
          <w:tcPr>
            <w:tcW w:w="4012" w:type="dxa"/>
            <w:gridSpan w:val="4"/>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1507" w:type="dxa"/>
            <w:vMerge/>
            <w:tcBorders>
              <w:left w:val="single" w:sz="4" w:space="0" w:color="000000"/>
              <w:bottom w:val="nil" w:sz="6" w:space="0" w:color="auto"/>
              <w:right w:val="single" w:sz="4" w:space="0" w:color="000000"/>
            </w:tcBorders>
            <w:shd w:val="clear" w:color="auto" w:fill="D3D3D3"/>
          </w:tcPr>
          <w:p>
            <w:pPr/>
          </w:p>
        </w:tc>
        <w:tc>
          <w:tcPr>
            <w:tcW w:w="100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11" w:hRule="exact"/>
        </w:trPr>
        <w:tc>
          <w:tcPr>
            <w:tcW w:w="1507" w:type="dxa"/>
            <w:tcBorders>
              <w:top w:val="nil" w:sz="6" w:space="0" w:color="auto"/>
              <w:left w:val="single" w:sz="4" w:space="0" w:color="000000"/>
              <w:bottom w:val="single" w:sz="4" w:space="0" w:color="000000"/>
              <w:right w:val="single" w:sz="4" w:space="0" w:color="000000"/>
            </w:tcBorders>
            <w:shd w:val="clear" w:color="auto" w:fill="D3D3D3"/>
          </w:tcPr>
          <w:p>
            <w:pPr/>
          </w:p>
        </w:tc>
        <w:tc>
          <w:tcPr>
            <w:tcW w:w="1008" w:type="dxa"/>
            <w:vMerge/>
            <w:tcBorders>
              <w:left w:val="single" w:sz="4" w:space="0" w:color="000000"/>
              <w:bottom w:val="single" w:sz="4" w:space="0" w:color="000000"/>
              <w:right w:val="single" w:sz="4" w:space="0" w:color="000000"/>
            </w:tcBorders>
            <w:shd w:val="clear" w:color="auto" w:fill="D3D3D3"/>
          </w:tcPr>
          <w:p>
            <w:pPr/>
          </w:p>
        </w:tc>
        <w:tc>
          <w:tcPr>
            <w:tcW w:w="1010" w:type="dxa"/>
            <w:vMerge/>
            <w:tcBorders>
              <w:left w:val="single" w:sz="4" w:space="0" w:color="000000"/>
              <w:bottom w:val="single" w:sz="4" w:space="0" w:color="000000"/>
              <w:right w:val="single" w:sz="4" w:space="0" w:color="000000"/>
            </w:tcBorders>
            <w:shd w:val="clear" w:color="auto" w:fill="D3D3D3"/>
          </w:tcPr>
          <w:p>
            <w:pPr/>
          </w:p>
        </w:tc>
        <w:tc>
          <w:tcPr>
            <w:tcW w:w="1010" w:type="dxa"/>
            <w:vMerge/>
            <w:tcBorders>
              <w:left w:val="single" w:sz="4" w:space="0" w:color="000000"/>
              <w:bottom w:val="single" w:sz="4" w:space="0" w:color="000000"/>
              <w:right w:val="single" w:sz="4" w:space="0" w:color="000000"/>
            </w:tcBorders>
            <w:shd w:val="clear" w:color="auto" w:fill="D3D3D3"/>
          </w:tcPr>
          <w:p>
            <w:pPr/>
          </w:p>
        </w:tc>
        <w:tc>
          <w:tcPr>
            <w:tcW w:w="1012" w:type="dxa"/>
            <w:vMerge/>
            <w:tcBorders>
              <w:left w:val="single" w:sz="4" w:space="0" w:color="000000"/>
              <w:bottom w:val="single" w:sz="4" w:space="0" w:color="000000"/>
              <w:right w:val="single" w:sz="4" w:space="0" w:color="000000"/>
            </w:tcBorders>
            <w:shd w:val="clear" w:color="auto" w:fill="D3D3D3"/>
          </w:tcPr>
          <w:p>
            <w:pPr/>
          </w:p>
        </w:tc>
        <w:tc>
          <w:tcPr>
            <w:tcW w:w="1003" w:type="dxa"/>
            <w:vMerge/>
            <w:tcBorders>
              <w:left w:val="single" w:sz="4" w:space="0" w:color="000000"/>
              <w:bottom w:val="single" w:sz="4" w:space="0" w:color="000000"/>
              <w:right w:val="single" w:sz="4" w:space="0" w:color="000000"/>
            </w:tcBorders>
            <w:shd w:val="clear" w:color="auto" w:fill="D3D3D3"/>
          </w:tcPr>
          <w:p>
            <w:pPr/>
          </w:p>
        </w:tc>
        <w:tc>
          <w:tcPr>
            <w:tcW w:w="1004" w:type="dxa"/>
            <w:vMerge/>
            <w:tcBorders>
              <w:left w:val="single" w:sz="4" w:space="0" w:color="000000"/>
              <w:bottom w:val="single" w:sz="4" w:space="0" w:color="000000"/>
              <w:right w:val="single" w:sz="4" w:space="0" w:color="000000"/>
            </w:tcBorders>
            <w:shd w:val="clear" w:color="auto" w:fill="D3D3D3"/>
          </w:tcPr>
          <w:p>
            <w:pPr/>
          </w:p>
        </w:tc>
        <w:tc>
          <w:tcPr>
            <w:tcW w:w="1002" w:type="dxa"/>
            <w:vMerge/>
            <w:tcBorders>
              <w:left w:val="single" w:sz="4" w:space="0" w:color="000000"/>
              <w:bottom w:val="single" w:sz="4" w:space="0" w:color="000000"/>
              <w:right w:val="single" w:sz="4" w:space="0" w:color="000000"/>
            </w:tcBorders>
            <w:shd w:val="clear" w:color="auto" w:fill="D3D3D3"/>
          </w:tcPr>
          <w:p>
            <w:pPr/>
          </w:p>
        </w:tc>
        <w:tc>
          <w:tcPr>
            <w:tcW w:w="1002"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1507" w:type="dxa"/>
            <w:tcBorders>
              <w:top w:val="single" w:sz="4" w:space="0" w:color="000000"/>
              <w:left w:val="single" w:sz="4" w:space="0" w:color="000000"/>
              <w:bottom w:val="nil" w:sz="6" w:space="0" w:color="auto"/>
              <w:right w:val="single" w:sz="4" w:space="0" w:color="000000"/>
            </w:tcBorders>
            <w:shd w:val="clear" w:color="auto" w:fill="D3D3D3"/>
          </w:tcPr>
          <w:p>
            <w:pPr/>
          </w:p>
        </w:tc>
        <w:tc>
          <w:tcPr>
            <w:tcW w:w="1008" w:type="dxa"/>
            <w:vMerge w:val="restart"/>
            <w:tcBorders>
              <w:top w:val="single" w:sz="4" w:space="0" w:color="000000"/>
              <w:left w:val="single" w:sz="10" w:space="0" w:color="D3D3D3"/>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2,069,907,28</w:t>
            </w:r>
          </w:p>
          <w:p>
            <w:pPr>
              <w:pStyle w:val="TableParagraph"/>
              <w:spacing w:line="240" w:lineRule="auto" w:before="106"/>
              <w:ind w:left="651" w:right="0"/>
              <w:jc w:val="left"/>
              <w:rPr>
                <w:rFonts w:ascii="Times New Roman" w:hAnsi="Times New Roman" w:cs="Times New Roman" w:eastAsia="Times New Roman" w:hint="default"/>
                <w:sz w:val="18"/>
                <w:szCs w:val="18"/>
              </w:rPr>
            </w:pPr>
            <w:r>
              <w:rPr>
                <w:rFonts w:ascii="Times New Roman"/>
                <w:sz w:val="18"/>
              </w:rPr>
              <w:t>7.75</w:t>
            </w:r>
          </w:p>
        </w:tc>
        <w:tc>
          <w:tcPr>
            <w:tcW w:w="1010" w:type="dxa"/>
            <w:vMerge w:val="restart"/>
            <w:tcBorders>
              <w:top w:val="single" w:sz="4" w:space="0" w:color="000000"/>
              <w:left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2,286,828,74</w:t>
            </w:r>
          </w:p>
          <w:p>
            <w:pPr>
              <w:pStyle w:val="TableParagraph"/>
              <w:spacing w:line="240" w:lineRule="auto" w:before="106"/>
              <w:ind w:left="661" w:right="0"/>
              <w:jc w:val="left"/>
              <w:rPr>
                <w:rFonts w:ascii="Times New Roman" w:hAnsi="Times New Roman" w:cs="Times New Roman" w:eastAsia="Times New Roman" w:hint="default"/>
                <w:sz w:val="18"/>
                <w:szCs w:val="18"/>
              </w:rPr>
            </w:pPr>
            <w:r>
              <w:rPr>
                <w:rFonts w:ascii="Times New Roman"/>
                <w:sz w:val="18"/>
              </w:rPr>
              <w:t>6.58</w:t>
            </w:r>
          </w:p>
        </w:tc>
        <w:tc>
          <w:tcPr>
            <w:tcW w:w="1010" w:type="dxa"/>
            <w:vMerge w:val="restart"/>
            <w:tcBorders>
              <w:top w:val="single" w:sz="4" w:space="0" w:color="000000"/>
              <w:left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2,132,529,94</w:t>
            </w:r>
          </w:p>
          <w:p>
            <w:pPr>
              <w:pStyle w:val="TableParagraph"/>
              <w:spacing w:line="240" w:lineRule="auto" w:before="106"/>
              <w:ind w:left="662" w:right="0"/>
              <w:jc w:val="left"/>
              <w:rPr>
                <w:rFonts w:ascii="Times New Roman" w:hAnsi="Times New Roman" w:cs="Times New Roman" w:eastAsia="Times New Roman" w:hint="default"/>
                <w:sz w:val="18"/>
                <w:szCs w:val="18"/>
              </w:rPr>
            </w:pPr>
            <w:r>
              <w:rPr>
                <w:rFonts w:ascii="Times New Roman"/>
                <w:sz w:val="18"/>
              </w:rPr>
              <w:t>5.72</w:t>
            </w:r>
          </w:p>
        </w:tc>
        <w:tc>
          <w:tcPr>
            <w:tcW w:w="1012" w:type="dxa"/>
            <w:vMerge w:val="restart"/>
            <w:tcBorders>
              <w:top w:val="single" w:sz="4" w:space="0" w:color="000000"/>
              <w:left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2,957,354,40</w:t>
            </w:r>
          </w:p>
          <w:p>
            <w:pPr>
              <w:pStyle w:val="TableParagraph"/>
              <w:spacing w:line="240" w:lineRule="auto" w:before="106"/>
              <w:ind w:left="663" w:right="0"/>
              <w:jc w:val="left"/>
              <w:rPr>
                <w:rFonts w:ascii="Times New Roman" w:hAnsi="Times New Roman" w:cs="Times New Roman" w:eastAsia="Times New Roman" w:hint="default"/>
                <w:sz w:val="18"/>
                <w:szCs w:val="18"/>
              </w:rPr>
            </w:pPr>
            <w:r>
              <w:rPr>
                <w:rFonts w:ascii="Times New Roman"/>
                <w:sz w:val="18"/>
              </w:rPr>
              <w:t>7.00</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1,806,584,86</w:t>
            </w:r>
          </w:p>
          <w:p>
            <w:pPr>
              <w:pStyle w:val="TableParagraph"/>
              <w:spacing w:line="240" w:lineRule="auto" w:before="106"/>
              <w:ind w:left="655" w:right="0"/>
              <w:jc w:val="left"/>
              <w:rPr>
                <w:rFonts w:ascii="Times New Roman" w:hAnsi="Times New Roman" w:cs="Times New Roman" w:eastAsia="Times New Roman" w:hint="default"/>
                <w:sz w:val="18"/>
                <w:szCs w:val="18"/>
              </w:rPr>
            </w:pPr>
            <w:r>
              <w:rPr>
                <w:rFonts w:ascii="Times New Roman"/>
                <w:sz w:val="18"/>
              </w:rPr>
              <w:t>5.52</w:t>
            </w:r>
          </w:p>
        </w:tc>
        <w:tc>
          <w:tcPr>
            <w:tcW w:w="1004" w:type="dxa"/>
            <w:vMerge w:val="restart"/>
            <w:tcBorders>
              <w:top w:val="single" w:sz="4" w:space="0" w:color="000000"/>
              <w:left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1,949,496,02</w:t>
            </w:r>
          </w:p>
          <w:p>
            <w:pPr>
              <w:pStyle w:val="TableParagraph"/>
              <w:spacing w:line="240" w:lineRule="auto" w:before="106"/>
              <w:ind w:left="656" w:right="0"/>
              <w:jc w:val="left"/>
              <w:rPr>
                <w:rFonts w:ascii="Times New Roman" w:hAnsi="Times New Roman" w:cs="Times New Roman" w:eastAsia="Times New Roman" w:hint="default"/>
                <w:sz w:val="18"/>
                <w:szCs w:val="18"/>
              </w:rPr>
            </w:pPr>
            <w:r>
              <w:rPr>
                <w:rFonts w:ascii="Times New Roman"/>
                <w:sz w:val="18"/>
              </w:rPr>
              <w:t>9.56</w:t>
            </w:r>
          </w:p>
        </w:tc>
        <w:tc>
          <w:tcPr>
            <w:tcW w:w="1002" w:type="dxa"/>
            <w:vMerge w:val="restart"/>
            <w:tcBorders>
              <w:top w:val="single" w:sz="4" w:space="0" w:color="000000"/>
              <w:left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1,795,985,94</w:t>
            </w:r>
          </w:p>
          <w:p>
            <w:pPr>
              <w:pStyle w:val="TableParagraph"/>
              <w:spacing w:line="240" w:lineRule="auto" w:before="106"/>
              <w:ind w:left="652" w:right="0"/>
              <w:jc w:val="left"/>
              <w:rPr>
                <w:rFonts w:ascii="Times New Roman" w:hAnsi="Times New Roman" w:cs="Times New Roman" w:eastAsia="Times New Roman" w:hint="default"/>
                <w:sz w:val="18"/>
                <w:szCs w:val="18"/>
              </w:rPr>
            </w:pPr>
            <w:r>
              <w:rPr>
                <w:rFonts w:ascii="Times New Roman"/>
                <w:sz w:val="18"/>
              </w:rPr>
              <w:t>8.90</w:t>
            </w:r>
          </w:p>
        </w:tc>
        <w:tc>
          <w:tcPr>
            <w:tcW w:w="1002" w:type="dxa"/>
            <w:vMerge w:val="restart"/>
            <w:tcBorders>
              <w:top w:val="single" w:sz="4" w:space="0" w:color="000000"/>
              <w:left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4,104,042,31</w:t>
            </w:r>
          </w:p>
          <w:p>
            <w:pPr>
              <w:pStyle w:val="TableParagraph"/>
              <w:spacing w:line="240" w:lineRule="auto" w:before="106"/>
              <w:ind w:left="652" w:right="0"/>
              <w:jc w:val="left"/>
              <w:rPr>
                <w:rFonts w:ascii="Times New Roman" w:hAnsi="Times New Roman" w:cs="Times New Roman" w:eastAsia="Times New Roman" w:hint="default"/>
                <w:sz w:val="18"/>
                <w:szCs w:val="18"/>
              </w:rPr>
            </w:pPr>
            <w:r>
              <w:rPr>
                <w:rFonts w:ascii="Times New Roman"/>
                <w:sz w:val="18"/>
              </w:rPr>
              <w:t>1.29</w:t>
            </w:r>
          </w:p>
        </w:tc>
      </w:tr>
      <w:tr>
        <w:trPr>
          <w:trHeight w:val="392" w:hRule="exact"/>
        </w:trPr>
        <w:tc>
          <w:tcPr>
            <w:tcW w:w="150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vMerge/>
            <w:tcBorders>
              <w:left w:val="single" w:sz="10" w:space="0" w:color="D3D3D3"/>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2"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c>
          <w:tcPr>
            <w:tcW w:w="1004" w:type="dxa"/>
            <w:vMerge/>
            <w:tcBorders>
              <w:left w:val="single" w:sz="4" w:space="0" w:color="000000"/>
              <w:right w:val="single" w:sz="4" w:space="0" w:color="000000"/>
            </w:tcBorders>
          </w:tcPr>
          <w:p>
            <w:pPr/>
          </w:p>
        </w:tc>
        <w:tc>
          <w:tcPr>
            <w:tcW w:w="1002" w:type="dxa"/>
            <w:vMerge/>
            <w:tcBorders>
              <w:left w:val="single" w:sz="4" w:space="0" w:color="000000"/>
              <w:right w:val="single" w:sz="4" w:space="0" w:color="000000"/>
            </w:tcBorders>
          </w:tcPr>
          <w:p>
            <w:pPr/>
          </w:p>
        </w:tc>
        <w:tc>
          <w:tcPr>
            <w:tcW w:w="1002" w:type="dxa"/>
            <w:vMerge/>
            <w:tcBorders>
              <w:left w:val="single" w:sz="4" w:space="0" w:color="000000"/>
              <w:right w:val="single" w:sz="4" w:space="0" w:color="000000"/>
            </w:tcBorders>
          </w:tcPr>
          <w:p>
            <w:pPr/>
          </w:p>
        </w:tc>
      </w:tr>
      <w:tr>
        <w:trPr>
          <w:trHeight w:val="161" w:hRule="exact"/>
        </w:trPr>
        <w:tc>
          <w:tcPr>
            <w:tcW w:w="1507" w:type="dxa"/>
            <w:tcBorders>
              <w:top w:val="nil" w:sz="6" w:space="0" w:color="auto"/>
              <w:left w:val="single" w:sz="4" w:space="0" w:color="000000"/>
              <w:bottom w:val="single" w:sz="4" w:space="0" w:color="000000"/>
              <w:right w:val="single" w:sz="4" w:space="0" w:color="000000"/>
            </w:tcBorders>
            <w:shd w:val="clear" w:color="auto" w:fill="D3D3D3"/>
          </w:tcPr>
          <w:p>
            <w:pPr/>
          </w:p>
        </w:tc>
        <w:tc>
          <w:tcPr>
            <w:tcW w:w="1008" w:type="dxa"/>
            <w:vMerge/>
            <w:tcBorders>
              <w:left w:val="single" w:sz="10" w:space="0" w:color="D3D3D3"/>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2"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c>
          <w:tcPr>
            <w:tcW w:w="1004" w:type="dxa"/>
            <w:vMerge/>
            <w:tcBorders>
              <w:left w:val="single" w:sz="4" w:space="0" w:color="000000"/>
              <w:bottom w:val="single" w:sz="4" w:space="0" w:color="000000"/>
              <w:right w:val="single" w:sz="4" w:space="0" w:color="000000"/>
            </w:tcBorders>
          </w:tcPr>
          <w:p>
            <w:pPr/>
          </w:p>
        </w:tc>
        <w:tc>
          <w:tcPr>
            <w:tcW w:w="1002" w:type="dxa"/>
            <w:vMerge/>
            <w:tcBorders>
              <w:left w:val="single" w:sz="4" w:space="0" w:color="000000"/>
              <w:bottom w:val="single" w:sz="4" w:space="0" w:color="000000"/>
              <w:right w:val="single" w:sz="4" w:space="0" w:color="000000"/>
            </w:tcBorders>
          </w:tcPr>
          <w:p>
            <w:pPr/>
          </w:p>
        </w:tc>
        <w:tc>
          <w:tcPr>
            <w:tcW w:w="1002" w:type="dxa"/>
            <w:vMerge/>
            <w:tcBorders>
              <w:left w:val="single" w:sz="4" w:space="0" w:color="000000"/>
              <w:bottom w:val="single" w:sz="4" w:space="0" w:color="000000"/>
              <w:right w:val="single" w:sz="4" w:space="0" w:color="000000"/>
            </w:tcBorders>
          </w:tcPr>
          <w:p>
            <w:pPr/>
          </w:p>
        </w:tc>
      </w:tr>
      <w:tr>
        <w:trPr>
          <w:trHeight w:val="715" w:hRule="exact"/>
        </w:trPr>
        <w:tc>
          <w:tcPr>
            <w:tcW w:w="15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3"/>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-14,643,881.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44,722,386.4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11,240,215.2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59,782,094.5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-21,691,701.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09</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51,685,553.7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9,726,502.10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146,252,236.</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14</w:t>
            </w:r>
          </w:p>
        </w:tc>
      </w:tr>
    </w:tbl>
    <w:p>
      <w:pPr>
        <w:pStyle w:val="BodyText"/>
        <w:spacing w:line="357" w:lineRule="auto" w:before="51"/>
        <w:ind w:left="516" w:right="0" w:hanging="363"/>
        <w:jc w:val="left"/>
      </w:pPr>
      <w:r>
        <w:rPr/>
        <w:t>说明经营季节性（或周期性）发生的原因及波动风险 </w:t>
      </w:r>
      <w:r>
        <w:rPr>
          <w:spacing w:val="-2"/>
        </w:rPr>
        <w:t>公司季度性经营活动波动主要与公司软业板块行业周期特点和客户需求节奏相关。由于公司主要客户为金融、石化、电</w:t>
      </w:r>
    </w:p>
    <w:p>
      <w:pPr>
        <w:pStyle w:val="BodyText"/>
        <w:spacing w:line="224" w:lineRule="exact"/>
        <w:ind w:left="153" w:right="0"/>
        <w:jc w:val="left"/>
      </w:pPr>
      <w:r>
        <w:rPr/>
        <w:t>力、政府等行业用户，客户通常在一季度启动全年采购计划及履行申请、审批等程序。二、三季度陆续进行项目的招标、谈</w:t>
      </w:r>
    </w:p>
    <w:p>
      <w:pPr>
        <w:pStyle w:val="BodyText"/>
        <w:spacing w:line="240" w:lineRule="auto" w:before="76"/>
        <w:ind w:left="153" w:right="0"/>
        <w:jc w:val="left"/>
      </w:pPr>
      <w:r>
        <w:rPr/>
        <w:t>判、签约、实施等。四季度完成交付并付款，因此相对前三季度，公司第四季度产品交付、验收、确认收入较为集中。</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0"/>
        </w:sectPr>
      </w:pPr>
    </w:p>
    <w:p>
      <w:pPr>
        <w:pStyle w:val="BodyText"/>
        <w:spacing w:line="240" w:lineRule="auto" w:before="44"/>
        <w:ind w:right="-17"/>
        <w:jc w:val="left"/>
      </w:pPr>
      <w:r>
        <w:rPr/>
        <w:t>√ 适用 □ 不适用</w:t>
      </w:r>
    </w:p>
    <w:p>
      <w:pPr>
        <w:pStyle w:val="BodyText"/>
        <w:spacing w:line="240" w:lineRule="auto" w:before="117"/>
        <w:ind w:left="153" w:right="-17"/>
        <w:jc w:val="left"/>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32" w:right="0"/>
        <w:jc w:val="left"/>
      </w:pPr>
      <w:r>
        <w:rPr/>
        <w:t>单位：元</w:t>
      </w:r>
    </w:p>
    <w:p>
      <w:pPr>
        <w:spacing w:after="0" w:line="240" w:lineRule="auto"/>
        <w:jc w:val="left"/>
        <w:sectPr>
          <w:type w:val="continuous"/>
          <w:pgSz w:w="11910" w:h="16840"/>
          <w:pgMar w:top="1060" w:bottom="1180" w:left="980" w:right="0"/>
          <w:cols w:num="2" w:equalWidth="0">
            <w:col w:w="9065" w:space="40"/>
            <w:col w:w="1825"/>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20"/>
        <w:gridCol w:w="1366"/>
        <w:gridCol w:w="1367"/>
        <w:gridCol w:w="761"/>
        <w:gridCol w:w="1260"/>
        <w:gridCol w:w="1153"/>
        <w:gridCol w:w="1080"/>
      </w:tblGrid>
      <w:tr>
        <w:trPr>
          <w:trHeight w:val="714" w:hRule="exact"/>
        </w:trPr>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74" w:right="84" w:hanging="90"/>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1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21" w:right="30" w:hanging="90"/>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3" w:right="84"/>
              <w:jc w:val="left"/>
              <w:rPr>
                <w:rFonts w:ascii="宋体" w:hAnsi="宋体" w:cs="宋体" w:eastAsia="宋体" w:hint="default"/>
                <w:sz w:val="18"/>
                <w:szCs w:val="18"/>
              </w:rPr>
            </w:pPr>
            <w:r>
              <w:rPr>
                <w:rFonts w:ascii="宋体" w:hAnsi="宋体" w:cs="宋体" w:eastAsia="宋体" w:hint="default"/>
                <w:sz w:val="18"/>
                <w:szCs w:val="18"/>
              </w:rPr>
              <w:t>毛利率比上 年同期增减</w:t>
            </w:r>
          </w:p>
        </w:tc>
      </w:tr>
      <w:tr>
        <w:trPr>
          <w:trHeight w:val="402" w:hRule="exact"/>
        </w:trPr>
        <w:tc>
          <w:tcPr>
            <w:tcW w:w="9506"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纺织业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4,718,618,332.48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4,666,709,088.35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-0.92%</w:t>
            </w: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4,728,002,054.57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3,973,109,651.19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-2.99%</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-0.35%</w:t>
            </w:r>
          </w:p>
        </w:tc>
      </w:tr>
      <w:tr>
        <w:trPr>
          <w:trHeight w:val="402" w:hRule="exact"/>
        </w:trPr>
        <w:tc>
          <w:tcPr>
            <w:tcW w:w="9506"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棉花</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2,530,581,893.33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2,527,079,053.63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-7.93%</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0.01%</w:t>
            </w: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棉纱</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1,373,455,513.84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1,295,116,824.98</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78.01%</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88.29%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-5.15%</w:t>
            </w: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系统集成及行业解决方案服务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3,233,344,975.55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2,836,177,295.62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-9.09%</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-8.94%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-0.14%</w:t>
            </w: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定制软件及服务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1,076,896,951.61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737,135,957.00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16.43%</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24.17%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-4.27%</w:t>
            </w:r>
          </w:p>
        </w:tc>
      </w:tr>
      <w:tr>
        <w:trPr>
          <w:trHeight w:val="402" w:hRule="exact"/>
        </w:trPr>
        <w:tc>
          <w:tcPr>
            <w:tcW w:w="9506"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6,339,897,266.74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5,868,079,040.51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8.19%</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12.99%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-3.93%</w:t>
            </w:r>
          </w:p>
        </w:tc>
      </w:tr>
      <w:tr>
        <w:trPr>
          <w:trHeight w:val="40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1,467,476,480.62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1,300,086,267.55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11.41%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-30.33%</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-35.49%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7.08%</w:t>
            </w:r>
          </w:p>
        </w:tc>
      </w:tr>
      <w:tr>
        <w:trPr>
          <w:trHeight w:val="40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1,414,134,027.98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1,259,372,026.99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14.16%</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11.84%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1.84%</w:t>
            </w:r>
          </w:p>
        </w:tc>
      </w:tr>
    </w:tbl>
    <w:p>
      <w:pPr>
        <w:pStyle w:val="BodyText"/>
        <w:spacing w:line="300" w:lineRule="auto" w:before="51"/>
        <w:ind w:right="1121" w:firstLine="360"/>
        <w:jc w:val="left"/>
      </w:pPr>
      <w:r>
        <w:rPr/>
        <w:t>棉纱业务毛利率较同期降低</w:t>
      </w:r>
      <w:r>
        <w:rPr>
          <w:spacing w:val="-22"/>
        </w:rPr>
        <w:t> </w:t>
      </w:r>
      <w:r>
        <w:rPr>
          <w:rFonts w:ascii="Times New Roman" w:hAnsi="Times New Roman" w:cs="Times New Roman" w:eastAsia="Times New Roman" w:hint="default"/>
          <w:spacing w:val="-2"/>
        </w:rPr>
        <w:t>5.15%</w:t>
      </w:r>
      <w:r>
        <w:rPr>
          <w:spacing w:val="-2"/>
        </w:rPr>
        <w:t>，一方面是持续升级的贸易摩擦压缩了自产纱线的盈利水平，一方面是增加了棉纱贸</w:t>
      </w:r>
      <w:r>
        <w:rPr/>
        <w:t> 易，棉纱贸易盈利点较低，拉低了棉纱业务的整体毛利率。</w:t>
      </w:r>
    </w:p>
    <w:p>
      <w:pPr>
        <w:spacing w:after="0" w:line="300" w:lineRule="auto"/>
        <w:jc w:val="left"/>
        <w:sectPr>
          <w:type w:val="continuous"/>
          <w:pgSz w:w="11910" w:h="16840"/>
          <w:pgMar w:top="1060" w:bottom="1180" w:left="980" w:right="0"/>
        </w:sectPr>
      </w:pPr>
    </w:p>
    <w:p>
      <w:pPr>
        <w:spacing w:line="240" w:lineRule="auto" w:before="12"/>
        <w:rPr>
          <w:rFonts w:ascii="宋体" w:hAnsi="宋体" w:cs="宋体" w:eastAsia="宋体" w:hint="default"/>
          <w:sz w:val="25"/>
          <w:szCs w:val="25"/>
        </w:rPr>
      </w:pPr>
    </w:p>
    <w:p>
      <w:pPr>
        <w:pStyle w:val="BodyText"/>
        <w:spacing w:line="302" w:lineRule="auto" w:before="44"/>
        <w:ind w:right="1120" w:firstLine="360"/>
        <w:jc w:val="left"/>
      </w:pPr>
      <w:r>
        <w:rPr/>
        <w:t>华东地区毛利率较同期增加</w:t>
      </w:r>
      <w:r>
        <w:rPr>
          <w:spacing w:val="-21"/>
        </w:rPr>
        <w:t> </w:t>
      </w:r>
      <w:r>
        <w:rPr>
          <w:rFonts w:ascii="Times New Roman" w:hAnsi="Times New Roman" w:cs="Times New Roman" w:eastAsia="Times New Roman" w:hint="default"/>
          <w:spacing w:val="-2"/>
        </w:rPr>
        <w:t>7.08%</w:t>
      </w:r>
      <w:r>
        <w:rPr>
          <w:spacing w:val="-2"/>
        </w:rPr>
        <w:t>，主要系公司去年同期有电解铜业务，电解铜业务毛利率较低，拉低了该地区的毛利</w:t>
      </w:r>
      <w:r>
        <w:rPr/>
        <w:t> 率。</w:t>
      </w:r>
    </w:p>
    <w:p>
      <w:pPr>
        <w:pStyle w:val="BodyText"/>
        <w:spacing w:line="240" w:lineRule="auto" w:before="69"/>
        <w:ind w:right="0"/>
        <w:jc w:val="left"/>
      </w:pPr>
      <w:r>
        <w:rPr/>
        <w:t>公司主营业务数据统计口径在报告期发生调整的情况下，公司最近</w:t>
      </w:r>
      <w:r>
        <w:rPr>
          <w:spacing w:val="-46"/>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t>□ 适用 √ 不适用</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pStyle w:val="BodyText"/>
        <w:spacing w:line="240" w:lineRule="auto" w:before="168"/>
        <w:ind w:right="0"/>
        <w:jc w:val="left"/>
      </w:pPr>
      <w:r>
        <w:rPr/>
        <w:t>√ 是 □ 否</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83"/>
        <w:gridCol w:w="1606"/>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5" w:type="dxa"/>
            <w:vMerge w:val="restart"/>
            <w:tcBorders>
              <w:top w:val="single" w:sz="4" w:space="0" w:color="000000"/>
              <w:left w:val="single" w:sz="4" w:space="0" w:color="000000"/>
              <w:right w:val="single" w:sz="9"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坯布</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-13.53%</w:t>
            </w:r>
          </w:p>
        </w:tc>
      </w:tr>
      <w:tr>
        <w:trPr>
          <w:trHeight w:val="402" w:hRule="exact"/>
        </w:trPr>
        <w:tc>
          <w:tcPr>
            <w:tcW w:w="1595" w:type="dxa"/>
            <w:vMerge/>
            <w:tcBorders>
              <w:left w:val="single" w:sz="4" w:space="0" w:color="000000"/>
              <w:right w:val="single" w:sz="9" w:space="0" w:color="D3D3D3"/>
            </w:tcBorders>
          </w:tcPr>
          <w:p>
            <w:pP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-10.97%</w:t>
            </w:r>
          </w:p>
        </w:tc>
      </w:tr>
      <w:tr>
        <w:trPr>
          <w:trHeight w:val="402" w:hRule="exact"/>
        </w:trPr>
        <w:tc>
          <w:tcPr>
            <w:tcW w:w="1595" w:type="dxa"/>
            <w:vMerge/>
            <w:tcBorders>
              <w:left w:val="single" w:sz="4" w:space="0" w:color="000000"/>
              <w:bottom w:val="single" w:sz="4" w:space="0" w:color="000000"/>
              <w:right w:val="single" w:sz="9" w:space="0" w:color="D3D3D3"/>
            </w:tcBorders>
          </w:tcPr>
          <w:p>
            <w:pP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万米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-5.27%</w:t>
            </w:r>
          </w:p>
        </w:tc>
      </w:tr>
      <w:tr>
        <w:trPr>
          <w:trHeight w:val="402" w:hRule="exact"/>
        </w:trPr>
        <w:tc>
          <w:tcPr>
            <w:tcW w:w="1595" w:type="dxa"/>
            <w:vMerge w:val="restart"/>
            <w:tcBorders>
              <w:top w:val="single" w:sz="4" w:space="0" w:color="000000"/>
              <w:left w:val="single" w:sz="4" w:space="0" w:color="000000"/>
              <w:right w:val="single" w:sz="9"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售纱</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w:t>
            </w:r>
          </w:p>
        </w:tc>
      </w:tr>
      <w:tr>
        <w:trPr>
          <w:trHeight w:val="402" w:hRule="exact"/>
        </w:trPr>
        <w:tc>
          <w:tcPr>
            <w:tcW w:w="1595" w:type="dxa"/>
            <w:vMerge/>
            <w:tcBorders>
              <w:left w:val="single" w:sz="4" w:space="0" w:color="000000"/>
              <w:right w:val="single" w:sz="9" w:space="0" w:color="D3D3D3"/>
            </w:tcBorders>
          </w:tcPr>
          <w:p>
            <w:pP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22,761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-6.71%</w:t>
            </w:r>
          </w:p>
        </w:tc>
      </w:tr>
      <w:tr>
        <w:trPr>
          <w:trHeight w:val="402" w:hRule="exact"/>
        </w:trPr>
        <w:tc>
          <w:tcPr>
            <w:tcW w:w="1595" w:type="dxa"/>
            <w:vMerge/>
            <w:tcBorders>
              <w:left w:val="single" w:sz="4" w:space="0" w:color="000000"/>
              <w:bottom w:val="single" w:sz="4" w:space="0" w:color="000000"/>
              <w:right w:val="single" w:sz="9" w:space="0" w:color="D3D3D3"/>
            </w:tcBorders>
          </w:tcPr>
          <w:p>
            <w:pP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r>
    </w:tbl>
    <w:p>
      <w:pPr>
        <w:pStyle w:val="BodyText"/>
        <w:spacing w:line="240" w:lineRule="auto" w:before="51"/>
        <w:ind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240" w:lineRule="auto" w:before="103"/>
        <w:ind w:right="0"/>
        <w:jc w:val="left"/>
      </w:pPr>
      <w:r>
        <w:rPr/>
        <w:t>□ 适用 √ 不适用</w:t>
      </w:r>
    </w:p>
    <w:p>
      <w:pPr>
        <w:spacing w:line="240" w:lineRule="auto" w:before="13"/>
        <w:rPr>
          <w:rFonts w:ascii="宋体" w:hAnsi="宋体" w:cs="宋体" w:eastAsia="宋体" w:hint="default"/>
          <w:sz w:val="12"/>
          <w:szCs w:val="1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0"/>
        <w:rPr>
          <w:rFonts w:ascii="宋体" w:hAnsi="宋体" w:cs="宋体" w:eastAsia="宋体" w:hint="default"/>
          <w:b/>
          <w:bCs/>
          <w:sz w:val="22"/>
          <w:szCs w:val="22"/>
        </w:rPr>
      </w:pPr>
    </w:p>
    <w:p>
      <w:pPr>
        <w:pStyle w:val="BodyText"/>
        <w:spacing w:line="240" w:lineRule="auto"/>
        <w:ind w:right="0"/>
        <w:jc w:val="left"/>
      </w:pPr>
      <w:r>
        <w:rPr/>
        <w:t>□ 适用 √ 不适用</w:t>
      </w:r>
    </w:p>
    <w:p>
      <w:pPr>
        <w:spacing w:line="240" w:lineRule="auto" w:before="2"/>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right="0"/>
        <w:jc w:val="left"/>
      </w:pPr>
      <w:r>
        <w:rPr/>
        <w:t>行业和产品分类</w:t>
      </w:r>
    </w:p>
    <w:p>
      <w:pPr>
        <w:pStyle w:val="BodyText"/>
        <w:spacing w:line="240" w:lineRule="auto" w:before="116"/>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60"/>
        <w:gridCol w:w="971"/>
        <w:gridCol w:w="1367"/>
        <w:gridCol w:w="1368"/>
        <w:gridCol w:w="1367"/>
        <w:gridCol w:w="1367"/>
        <w:gridCol w:w="941"/>
      </w:tblGrid>
      <w:tr>
        <w:trPr>
          <w:trHeight w:val="402" w:hRule="exact"/>
        </w:trPr>
        <w:tc>
          <w:tcPr>
            <w:tcW w:w="21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1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97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160" w:type="dxa"/>
            <w:vMerge/>
            <w:tcBorders>
              <w:left w:val="single" w:sz="4" w:space="0" w:color="000000"/>
              <w:bottom w:val="single" w:sz="4" w:space="0" w:color="000000"/>
              <w:right w:val="single" w:sz="4" w:space="0" w:color="000000"/>
            </w:tcBorders>
            <w:shd w:val="clear" w:color="auto" w:fill="D3D3D3"/>
          </w:tcPr>
          <w:p>
            <w:pPr/>
          </w:p>
        </w:tc>
        <w:tc>
          <w:tcPr>
            <w:tcW w:w="971"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941"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纺织业</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888,517,071.69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1,032,896,783.15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73.86%</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-13.98%</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纺织业</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149,979,863.76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140,351,910.91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10.04%</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6.86%</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纺织业</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91,023,132.81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90,493,922.27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6.47%</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0.58%</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纺织业</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128,518,098.75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130,879,446.41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9.36%</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纺织业</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4,418,598.68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3,920,969.04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0.28%</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12.69%</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3,752,678,647.44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3,900,671,362.79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95.64%</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-3.79%</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软件和信息技术服务业</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220,431,003.75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177,800,909.62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4.36%</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23.98%</w:t>
            </w:r>
          </w:p>
        </w:tc>
      </w:tr>
    </w:tbl>
    <w:p>
      <w:pPr>
        <w:pStyle w:val="BodyText"/>
        <w:spacing w:line="240" w:lineRule="auto" w:before="51"/>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60"/>
        <w:gridCol w:w="971"/>
        <w:gridCol w:w="1367"/>
        <w:gridCol w:w="1368"/>
        <w:gridCol w:w="1367"/>
        <w:gridCol w:w="1367"/>
        <w:gridCol w:w="941"/>
      </w:tblGrid>
      <w:tr>
        <w:trPr>
          <w:trHeight w:val="402" w:hRule="exact"/>
        </w:trPr>
        <w:tc>
          <w:tcPr>
            <w:tcW w:w="21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13"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97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9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160" w:type="dxa"/>
            <w:vMerge/>
            <w:tcBorders>
              <w:left w:val="single" w:sz="4" w:space="0" w:color="000000"/>
              <w:bottom w:val="single" w:sz="4" w:space="0" w:color="000000"/>
              <w:right w:val="single" w:sz="4" w:space="0" w:color="000000"/>
            </w:tcBorders>
            <w:shd w:val="clear" w:color="auto" w:fill="D3D3D3"/>
          </w:tcPr>
          <w:p>
            <w:pPr/>
          </w:p>
        </w:tc>
        <w:tc>
          <w:tcPr>
            <w:tcW w:w="971"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941"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坯布</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599,068,810.38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710,699,018.98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8.11%</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-15.71%</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棉纱</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1,295,116,824.98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687,844,012.80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7.85%</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88.29%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60"/>
        <w:gridCol w:w="971"/>
        <w:gridCol w:w="1367"/>
        <w:gridCol w:w="1368"/>
        <w:gridCol w:w="1367"/>
        <w:gridCol w:w="1367"/>
        <w:gridCol w:w="941"/>
      </w:tblGrid>
      <w:tr>
        <w:trPr>
          <w:trHeight w:val="40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棉花</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2,527,079,053.63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2,745,049,180.57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31.32%</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-7.94%</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245,444,399.36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542,087,554.65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6.19%</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-54.72%</w:t>
            </w:r>
          </w:p>
        </w:tc>
      </w:tr>
      <w:tr>
        <w:trPr>
          <w:trHeight w:val="714"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系统集成及行业解决方案 服务</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2,836,177,295.62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3,114,721,396.85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35.54%</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-8.94%</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代理产品增值销售</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399,796,398.57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370,117,113.88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8.02%</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定制软件及服务</w:t>
            </w:r>
          </w:p>
        </w:tc>
        <w:tc>
          <w:tcPr>
            <w:tcW w:w="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737,135,957.00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593,633,761.68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6.77%</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24.17%</w:t>
            </w:r>
          </w:p>
        </w:tc>
      </w:tr>
    </w:tbl>
    <w:p>
      <w:pPr>
        <w:pStyle w:val="BodyText"/>
        <w:spacing w:line="240" w:lineRule="auto" w:before="51"/>
        <w:ind w:right="0"/>
        <w:jc w:val="left"/>
      </w:pPr>
      <w:r>
        <w:rPr/>
        <w:t>说明</w:t>
      </w:r>
    </w:p>
    <w:p>
      <w:pPr>
        <w:pStyle w:val="BodyText"/>
        <w:spacing w:line="300" w:lineRule="auto" w:before="116"/>
        <w:ind w:left="514" w:right="1555"/>
        <w:jc w:val="left"/>
      </w:pPr>
      <w:r>
        <w:rPr/>
        <w:t>本期公司棉纱业务成本同比增长</w:t>
      </w:r>
      <w:r>
        <w:rPr>
          <w:rFonts w:ascii="Times New Roman" w:hAnsi="Times New Roman" w:cs="Times New Roman" w:eastAsia="Times New Roman" w:hint="default"/>
        </w:rPr>
        <w:t>88.29%</w:t>
      </w:r>
      <w:r>
        <w:rPr/>
        <w:t>，主要原因是棉纱业务收入同比增长，营业成本与营业收入同方向变动。 本期其他业务营业成本同比下降</w:t>
      </w:r>
      <w:r>
        <w:rPr>
          <w:rFonts w:ascii="Times New Roman" w:hAnsi="Times New Roman" w:cs="Times New Roman" w:eastAsia="Times New Roman" w:hint="default"/>
        </w:rPr>
        <w:t>54.72%</w:t>
      </w:r>
      <w:r>
        <w:rPr/>
        <w:t>，主要原因是其他业务收入同比下降，营业成本与营业收入同方向变动。</w:t>
      </w:r>
    </w:p>
    <w:p>
      <w:pPr>
        <w:pStyle w:val="BodyText"/>
        <w:spacing w:line="340" w:lineRule="auto" w:before="53"/>
        <w:ind w:right="1842"/>
        <w:jc w:val="left"/>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主营业务成本构成</w:t>
      </w:r>
    </w:p>
    <w:p>
      <w:pPr>
        <w:pStyle w:val="BodyText"/>
        <w:spacing w:line="240" w:lineRule="auto" w:before="40"/>
        <w:ind w:left="0" w:right="1129"/>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3,752,678,647.44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3,900,671,362.79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220,431,003.75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177,800,909.62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23.98%</w:t>
            </w:r>
          </w:p>
        </w:tc>
      </w:tr>
    </w:tbl>
    <w:p>
      <w:pPr>
        <w:spacing w:line="240" w:lineRule="auto" w:before="2"/>
        <w:rPr>
          <w:rFonts w:ascii="宋体" w:hAnsi="宋体" w:cs="宋体" w:eastAsia="宋体" w:hint="default"/>
          <w:sz w:val="19"/>
          <w:szCs w:val="19"/>
        </w:rPr>
      </w:pPr>
    </w:p>
    <w:p>
      <w:pPr>
        <w:pStyle w:val="Heading3"/>
        <w:spacing w:line="240" w:lineRule="auto" w:before="35"/>
        <w:ind w:right="0"/>
        <w:jc w:val="both"/>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444" w:right="1117" w:hanging="291"/>
        <w:jc w:val="left"/>
      </w:pPr>
      <w:r>
        <w:rPr/>
        <w:t>√ 是 □ 否 </w:t>
      </w:r>
      <w:r>
        <w:rPr>
          <w:spacing w:val="-4"/>
        </w:rPr>
        <w:t>本年度增加</w:t>
      </w:r>
      <w:r>
        <w:rPr>
          <w:rFonts w:ascii="Times New Roman" w:hAnsi="Times New Roman" w:cs="Times New Roman" w:eastAsia="Times New Roman" w:hint="default"/>
          <w:spacing w:val="-4"/>
        </w:rPr>
        <w:t>8</w:t>
      </w:r>
      <w:r>
        <w:rPr>
          <w:spacing w:val="-4"/>
        </w:rPr>
        <w:t>家合并单位，其中</w:t>
      </w:r>
      <w:r>
        <w:rPr>
          <w:rFonts w:ascii="Times New Roman" w:hAnsi="Times New Roman" w:cs="Times New Roman" w:eastAsia="Times New Roman" w:hint="default"/>
          <w:spacing w:val="-4"/>
        </w:rPr>
        <w:t>7</w:t>
      </w:r>
      <w:r>
        <w:rPr>
          <w:spacing w:val="-4"/>
        </w:rPr>
        <w:t>家公司为</w:t>
      </w:r>
      <w:r>
        <w:rPr>
          <w:rFonts w:ascii="Times New Roman" w:hAnsi="Times New Roman" w:cs="Times New Roman" w:eastAsia="Times New Roman" w:hint="default"/>
          <w:spacing w:val="-4"/>
        </w:rPr>
        <w:t>2019</w:t>
      </w:r>
      <w:r>
        <w:rPr>
          <w:spacing w:val="-4"/>
        </w:rPr>
        <w:t>年新设立的公司：河北北明鼎云信息技术有限公司、北明天时智能技术（北</w:t>
      </w:r>
      <w:r>
        <w:rPr/>
      </w:r>
    </w:p>
    <w:p>
      <w:pPr>
        <w:pStyle w:val="BodyText"/>
        <w:spacing w:line="201" w:lineRule="exact"/>
        <w:ind w:left="153" w:right="0"/>
        <w:jc w:val="both"/>
      </w:pPr>
      <w:r>
        <w:rPr/>
        <w:t>京）有限公司、湖南北明信息技术有限公司、北明（青岛）信息技术有限公司、成都北明祺舯信息技术有限公司、北京枫调</w:t>
      </w:r>
    </w:p>
    <w:p>
      <w:pPr>
        <w:pStyle w:val="BodyText"/>
        <w:spacing w:line="304" w:lineRule="auto" w:before="76"/>
        <w:ind w:left="153" w:right="1128"/>
        <w:jc w:val="both"/>
      </w:pPr>
      <w:r>
        <w:rPr>
          <w:spacing w:val="-2"/>
        </w:rPr>
        <w:t>理顺科技发展有限公司、全面智能（厦门）科技有限公司，上述，其中本公司持有河北北明鼎云信息技术有限公司、湖南北</w:t>
      </w:r>
      <w:r>
        <w:rPr>
          <w:spacing w:val="-68"/>
        </w:rPr>
        <w:t> </w:t>
      </w:r>
      <w:r>
        <w:rPr>
          <w:spacing w:val="-68"/>
        </w:rPr>
      </w:r>
      <w:r>
        <w:rPr/>
        <w:t>明信息技术有限公司、北明（青岛）信息技术有限公司</w:t>
      </w:r>
      <w:r>
        <w:rPr>
          <w:rFonts w:ascii="Times New Roman" w:hAnsi="Times New Roman" w:cs="Times New Roman" w:eastAsia="Times New Roman" w:hint="default"/>
        </w:rPr>
        <w:t>100%</w:t>
      </w:r>
      <w:r>
        <w:rPr/>
        <w:t>股权，持有北明天时智能技术（北京）有限公司、北京枫调理 </w:t>
      </w:r>
      <w:r>
        <w:rPr>
          <w:spacing w:val="-2"/>
        </w:rPr>
        <w:t>顺科技发展有限公司、全面智能（厦门）科技有限公司</w:t>
      </w:r>
      <w:r>
        <w:rPr>
          <w:rFonts w:ascii="Times New Roman" w:hAnsi="Times New Roman" w:cs="Times New Roman" w:eastAsia="Times New Roman" w:hint="default"/>
          <w:spacing w:val="-2"/>
        </w:rPr>
        <w:t>51%</w:t>
      </w:r>
      <w:r>
        <w:rPr>
          <w:spacing w:val="-2"/>
        </w:rPr>
        <w:t>股权，持有成都北明祺舯信息技术有限公司</w:t>
      </w:r>
      <w:r>
        <w:rPr>
          <w:rFonts w:ascii="Times New Roman" w:hAnsi="Times New Roman" w:cs="Times New Roman" w:eastAsia="Times New Roman" w:hint="default"/>
          <w:spacing w:val="-2"/>
        </w:rPr>
        <w:t>60%</w:t>
      </w:r>
      <w:r>
        <w:rPr>
          <w:spacing w:val="-2"/>
        </w:rPr>
        <w:t>股权；</w:t>
      </w:r>
      <w:r>
        <w:rPr>
          <w:rFonts w:ascii="Times New Roman" w:hAnsi="Times New Roman" w:cs="Times New Roman" w:eastAsia="Times New Roman" w:hint="default"/>
          <w:spacing w:val="-2"/>
        </w:rPr>
        <w:t>1</w:t>
      </w:r>
      <w:r>
        <w:rPr>
          <w:spacing w:val="-2"/>
        </w:rPr>
        <w:t>家为</w:t>
      </w:r>
      <w:r>
        <w:rPr>
          <w:rFonts w:ascii="Times New Roman" w:hAnsi="Times New Roman" w:cs="Times New Roman" w:eastAsia="Times New Roman" w:hint="default"/>
          <w:spacing w:val="-2"/>
        </w:rPr>
        <w:t>2019</w:t>
      </w:r>
      <w:r>
        <w:rPr>
          <w:rFonts w:ascii="Times New Roman" w:hAnsi="Times New Roman" w:cs="Times New Roman" w:eastAsia="Times New Roman" w:hint="default"/>
          <w:spacing w:val="-41"/>
        </w:rPr>
        <w:t> </w:t>
      </w:r>
      <w:r>
        <w:rPr/>
        <w:t>年非同一控制下企业合并的公司：石家庄赛孚纺织有限公司。本年度减少</w:t>
      </w:r>
      <w:r>
        <w:rPr>
          <w:rFonts w:ascii="Times New Roman" w:hAnsi="Times New Roman" w:cs="Times New Roman" w:eastAsia="Times New Roman" w:hint="default"/>
        </w:rPr>
        <w:t>2</w:t>
      </w:r>
      <w:r>
        <w:rPr/>
        <w:t>家合并单位为：北明云山（武汉）软件开发有限 公司、北京北明云易信息科技有限公司，为</w:t>
      </w:r>
      <w:r>
        <w:rPr>
          <w:rFonts w:ascii="Times New Roman" w:hAnsi="Times New Roman" w:cs="Times New Roman" w:eastAsia="Times New Roman" w:hint="default"/>
        </w:rPr>
        <w:t>2019</w:t>
      </w:r>
      <w:r>
        <w:rPr/>
        <w:t>年注销的公司。</w:t>
      </w:r>
    </w:p>
    <w:p>
      <w:pPr>
        <w:spacing w:line="240" w:lineRule="auto" w:before="10"/>
        <w:rPr>
          <w:rFonts w:ascii="宋体" w:hAnsi="宋体" w:cs="宋体" w:eastAsia="宋体" w:hint="default"/>
          <w:sz w:val="21"/>
          <w:szCs w:val="21"/>
        </w:rPr>
      </w:pPr>
    </w:p>
    <w:p>
      <w:pPr>
        <w:pStyle w:val="Heading3"/>
        <w:spacing w:line="240" w:lineRule="auto"/>
        <w:ind w:right="0"/>
        <w:jc w:val="both"/>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公司主要销售客户情况</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489"/>
        <w:gridCol w:w="5040"/>
      </w:tblGrid>
      <w:tr>
        <w:trPr>
          <w:trHeight w:val="402" w:hRule="exact"/>
        </w:trPr>
        <w:tc>
          <w:tcPr>
            <w:tcW w:w="44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2,603,795,098.51</w:t>
            </w:r>
          </w:p>
        </w:tc>
      </w:tr>
      <w:tr>
        <w:trPr>
          <w:trHeight w:val="402" w:hRule="exact"/>
        </w:trPr>
        <w:tc>
          <w:tcPr>
            <w:tcW w:w="44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27.56%</w:t>
            </w:r>
          </w:p>
        </w:tc>
      </w:tr>
      <w:tr>
        <w:trPr>
          <w:trHeight w:val="402" w:hRule="exact"/>
        </w:trPr>
        <w:tc>
          <w:tcPr>
            <w:tcW w:w="44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779"/>
        <w:gridCol w:w="3313"/>
        <w:gridCol w:w="2322"/>
        <w:gridCol w:w="3143"/>
      </w:tblGrid>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7"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天津纺织集团（控股）有限公司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1,272,098,888.48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13.47%</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深圳市前海一卫供应链管理有限公司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561,818,018.61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5.95%</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华棉所（太仓）棉纺有限公司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273,327,064.21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中国银行股份有限公司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262,017,500.56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北京经纬信息技术公司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234,533,626.65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2,603,795,098.51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27.56%</w:t>
            </w:r>
          </w:p>
        </w:tc>
      </w:tr>
    </w:tbl>
    <w:p>
      <w:pPr>
        <w:pStyle w:val="BodyText"/>
        <w:spacing w:line="240" w:lineRule="auto" w:before="51"/>
        <w:ind w:right="0"/>
        <w:jc w:val="left"/>
      </w:pPr>
      <w:r>
        <w:rPr/>
        <w:t>主要客户其他情况说明</w:t>
      </w:r>
    </w:p>
    <w:p>
      <w:pPr>
        <w:pStyle w:val="BodyText"/>
        <w:spacing w:line="340" w:lineRule="auto" w:before="116"/>
        <w:ind w:right="9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680"/>
        <w:gridCol w:w="4860"/>
      </w:tblGrid>
      <w:tr>
        <w:trPr>
          <w:trHeight w:val="402" w:hRule="exact"/>
        </w:trPr>
        <w:tc>
          <w:tcPr>
            <w:tcW w:w="46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3,866,873,664.74</w:t>
            </w:r>
          </w:p>
        </w:tc>
      </w:tr>
      <w:tr>
        <w:trPr>
          <w:trHeight w:val="402" w:hRule="exact"/>
        </w:trPr>
        <w:tc>
          <w:tcPr>
            <w:tcW w:w="46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45.50%</w:t>
            </w:r>
          </w:p>
        </w:tc>
      </w:tr>
      <w:tr>
        <w:trPr>
          <w:trHeight w:val="402" w:hRule="exact"/>
        </w:trPr>
        <w:tc>
          <w:tcPr>
            <w:tcW w:w="46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1"/>
        <w:gridCol w:w="3180"/>
        <w:gridCol w:w="2322"/>
        <w:gridCol w:w="3143"/>
      </w:tblGrid>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7"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华为技术有限公司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1,378,991,235.79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16.23%</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重庆市棉麻集团有限公司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1,042,309,624.17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12.26%</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天津纺织集团（控股）有限公司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790,823,487.82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9.30%</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中棉集团河北棉花有限公司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449,359,765.28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5.29%</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河北银浪棉业有限公司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205,389,551.67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w:t>
            </w:r>
          </w:p>
        </w:tc>
      </w:tr>
      <w:tr>
        <w:trPr>
          <w:trHeight w:val="402" w:hRule="exact"/>
        </w:trPr>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3,866,873,664.74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45.50%</w:t>
            </w:r>
          </w:p>
        </w:tc>
      </w:tr>
    </w:tbl>
    <w:p>
      <w:pPr>
        <w:pStyle w:val="BodyText"/>
        <w:spacing w:line="240" w:lineRule="auto" w:before="51"/>
        <w:ind w:right="0"/>
        <w:jc w:val="left"/>
      </w:pPr>
      <w:r>
        <w:rPr/>
        <w:t>主要供应商其他情况说明</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057"/>
        <w:gridCol w:w="1452"/>
        <w:gridCol w:w="1423"/>
        <w:gridCol w:w="1226"/>
        <w:gridCol w:w="4370"/>
      </w:tblGrid>
      <w:tr>
        <w:trPr>
          <w:trHeight w:val="402" w:hRule="exact"/>
        </w:trPr>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4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5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221,155,239.82</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227,904,951.31</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-2.96%</w:t>
            </w:r>
          </w:p>
        </w:tc>
        <w:tc>
          <w:tcPr>
            <w:tcW w:w="4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45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292,406,842.18</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292,797,506.34</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-0.13%</w:t>
            </w:r>
          </w:p>
        </w:tc>
        <w:tc>
          <w:tcPr>
            <w:tcW w:w="4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45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269,340,073.97</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260,725,175.13</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3.30%</w:t>
            </w:r>
          </w:p>
        </w:tc>
        <w:tc>
          <w:tcPr>
            <w:tcW w:w="43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45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115,315,688.95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46,048,176.15</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150.42%</w:t>
            </w:r>
          </w:p>
        </w:tc>
        <w:tc>
          <w:tcPr>
            <w:tcW w:w="4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主要系本报告期公司研发项目数量及投入增加所致。</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0"/>
        </w:sectPr>
      </w:pPr>
    </w:p>
    <w:p>
      <w:pPr>
        <w:spacing w:line="240" w:lineRule="auto" w:before="13"/>
        <w:rPr>
          <w:rFonts w:ascii="宋体" w:hAnsi="宋体" w:cs="宋体" w:eastAsia="宋体" w:hint="default"/>
          <w:sz w:val="25"/>
          <w:szCs w:val="25"/>
        </w:rPr>
      </w:pPr>
    </w:p>
    <w:p>
      <w:pPr>
        <w:pStyle w:val="BodyText"/>
        <w:spacing w:line="338" w:lineRule="auto" w:before="44"/>
        <w:ind w:left="513" w:right="8501"/>
        <w:jc w:val="left"/>
      </w:pPr>
      <w:r>
        <w:rPr>
          <w:rFonts w:ascii="Times New Roman" w:hAnsi="Times New Roman" w:cs="Times New Roman" w:eastAsia="Times New Roman" w:hint="default"/>
        </w:rPr>
        <w:t>1</w:t>
      </w:r>
      <w:r>
        <w:rPr/>
        <w:t>、北明城市智脑的研发 项目目的：</w:t>
      </w:r>
    </w:p>
    <w:p>
      <w:pPr>
        <w:pStyle w:val="BodyText"/>
        <w:spacing w:line="307" w:lineRule="auto" w:before="42"/>
        <w:ind w:right="1128" w:firstLine="360"/>
        <w:jc w:val="both"/>
      </w:pPr>
      <w:r>
        <w:rPr>
          <w:spacing w:val="-2"/>
        </w:rPr>
        <w:t>城市智脑是实现智慧城市</w:t>
      </w:r>
      <w:r>
        <w:rPr>
          <w:rFonts w:ascii="Times New Roman" w:hAnsi="Times New Roman" w:cs="Times New Roman" w:eastAsia="Times New Roman" w:hint="default"/>
          <w:spacing w:val="-2"/>
        </w:rPr>
        <w:t>“</w:t>
      </w:r>
      <w:r>
        <w:rPr>
          <w:spacing w:val="-2"/>
        </w:rPr>
        <w:t>智慧</w:t>
      </w:r>
      <w:r>
        <w:rPr>
          <w:rFonts w:ascii="Times New Roman" w:hAnsi="Times New Roman" w:cs="Times New Roman" w:eastAsia="Times New Roman" w:hint="default"/>
          <w:spacing w:val="-2"/>
        </w:rPr>
        <w:t>”</w:t>
      </w:r>
      <w:r>
        <w:rPr>
          <w:spacing w:val="-2"/>
        </w:rPr>
        <w:t>的核心技术架构，由云计算中心、统一服务平台、大数据平台、人工智能平台、运营中</w:t>
      </w:r>
      <w:r>
        <w:rPr/>
        <w:t> </w:t>
      </w:r>
      <w:r>
        <w:rPr>
          <w:spacing w:val="-2"/>
        </w:rPr>
        <w:t>心等组成，将来自政府部门、社会机构、个人的数据、应用系统等资源整合在一起，打破各机构独立运作的藩篱，为城市级</w:t>
      </w:r>
      <w:r>
        <w:rPr>
          <w:spacing w:val="-67"/>
        </w:rPr>
        <w:t> </w:t>
      </w:r>
      <w:r>
        <w:rPr>
          <w:spacing w:val="-67"/>
        </w:rPr>
      </w:r>
      <w:r>
        <w:rPr>
          <w:spacing w:val="-2"/>
        </w:rPr>
        <w:t>的创新应用提供统一的基础架构，为实现前台</w:t>
      </w:r>
      <w:r>
        <w:rPr>
          <w:rFonts w:ascii="Times New Roman" w:hAnsi="Times New Roman" w:cs="Times New Roman" w:eastAsia="Times New Roman" w:hint="default"/>
          <w:spacing w:val="-2"/>
        </w:rPr>
        <w:t>“</w:t>
      </w:r>
      <w:r>
        <w:rPr>
          <w:spacing w:val="-2"/>
        </w:rPr>
        <w:t>以人中心</w:t>
      </w:r>
      <w:r>
        <w:rPr>
          <w:rFonts w:ascii="Times New Roman" w:hAnsi="Times New Roman" w:cs="Times New Roman" w:eastAsia="Times New Roman" w:hint="default"/>
          <w:spacing w:val="-2"/>
        </w:rPr>
        <w:t>”</w:t>
      </w:r>
      <w:r>
        <w:rPr>
          <w:spacing w:val="-2"/>
        </w:rPr>
        <w:t>的一体化应用、跨部门的业务流程、人性化的交互体验、城市级的</w:t>
      </w:r>
      <w:r>
        <w:rPr>
          <w:spacing w:val="-44"/>
        </w:rPr>
        <w:t> </w:t>
      </w:r>
      <w:r>
        <w:rPr>
          <w:spacing w:val="-44"/>
        </w:rPr>
      </w:r>
      <w:r>
        <w:rPr/>
        <w:t>运行指挥提供技术支撑。</w:t>
      </w:r>
    </w:p>
    <w:p>
      <w:pPr>
        <w:pStyle w:val="BodyText"/>
        <w:spacing w:line="357" w:lineRule="auto" w:before="65"/>
        <w:ind w:left="514" w:right="3370"/>
        <w:jc w:val="left"/>
      </w:pPr>
      <w:r>
        <w:rPr/>
        <w:t>拟达到的目标： 重点深入研发人工智能平台、城市运营中心，实现在项目中落地应用，形成利润增长点：</w:t>
      </w:r>
    </w:p>
    <w:p>
      <w:pPr>
        <w:pStyle w:val="BodyText"/>
        <w:spacing w:line="302" w:lineRule="auto" w:before="28"/>
        <w:ind w:right="1127" w:firstLine="360"/>
        <w:jc w:val="both"/>
      </w:pPr>
      <w:r>
        <w:rPr>
          <w:rFonts w:ascii="Times New Roman" w:hAnsi="Times New Roman" w:cs="Times New Roman" w:eastAsia="Times New Roman" w:hint="default"/>
        </w:rPr>
        <w:t>(1)</w:t>
      </w:r>
      <w:r>
        <w:rPr/>
        <w:t>人工智能平台：利用人工智能技术处理大规模多源数据、形成行业领域知识体系、全面提升科学决策的能力。通过</w:t>
      </w:r>
      <w:r>
        <w:rPr>
          <w:spacing w:val="1"/>
        </w:rPr>
        <w:t> </w:t>
      </w:r>
      <w:r>
        <w:rPr/>
        <w:t>与各个行业领域的融合创新，实现城市全面感知、科学规划、预知预测、精准行动等智慧行为的一整套体系。</w:t>
      </w:r>
    </w:p>
    <w:p>
      <w:pPr>
        <w:pStyle w:val="BodyText"/>
        <w:spacing w:line="309" w:lineRule="auto" w:before="68"/>
        <w:ind w:right="1127" w:firstLine="360"/>
        <w:jc w:val="both"/>
      </w:pPr>
      <w:r>
        <w:rPr>
          <w:rFonts w:ascii="Times New Roman" w:hAnsi="Times New Roman" w:cs="Times New Roman" w:eastAsia="Times New Roman" w:hint="default"/>
        </w:rPr>
        <w:t>(2)</w:t>
      </w:r>
      <w:r>
        <w:rPr/>
        <w:t>城市运营中心：整合城市各种类型的数据资源，利用大数据、人工智能等技术进行数据融合、建模、展示、分析、</w:t>
      </w:r>
      <w:r>
        <w:rPr>
          <w:spacing w:val="1"/>
        </w:rPr>
        <w:t> </w:t>
      </w:r>
      <w:r>
        <w:rPr>
          <w:spacing w:val="-2"/>
        </w:rPr>
        <w:t>预测、优化，形成城市运行的实时全景图，为城市运行指标展示、重大风险预测预警、跨部门的协同联动、突发事件应急指</w:t>
      </w:r>
      <w:r>
        <w:rPr>
          <w:spacing w:val="-67"/>
        </w:rPr>
        <w:t> </w:t>
      </w:r>
      <w:r>
        <w:rPr>
          <w:spacing w:val="-67"/>
        </w:rPr>
      </w:r>
      <w:r>
        <w:rPr/>
        <w:t>挥等活动提供技术支撑。</w:t>
      </w:r>
    </w:p>
    <w:p>
      <w:pPr>
        <w:pStyle w:val="BodyText"/>
        <w:spacing w:line="348" w:lineRule="auto" w:before="64"/>
        <w:ind w:left="514" w:right="0"/>
        <w:jc w:val="left"/>
      </w:pPr>
      <w:r>
        <w:rPr>
          <w:rFonts w:ascii="Times New Roman" w:hAnsi="Times New Roman" w:cs="Times New Roman" w:eastAsia="Times New Roman" w:hint="default"/>
        </w:rPr>
        <w:t>(3)</w:t>
      </w:r>
      <w:r>
        <w:rPr/>
        <w:t>项目落地应用：根据多个智慧城市的建设项目经验，结合城市的具体业务需求，将城市智脑应用于具体业务领域。 预期对未来的影响： </w:t>
      </w:r>
      <w:r>
        <w:rPr>
          <w:spacing w:val="-2"/>
        </w:rPr>
        <w:t>项目完成后，将有力地提升公司智慧城市整体解决方案的能力，特别是形成强大的技术中台能力，能够有效整合上下游</w:t>
      </w:r>
    </w:p>
    <w:p>
      <w:pPr>
        <w:pStyle w:val="BodyText"/>
        <w:spacing w:line="309" w:lineRule="auto"/>
        <w:ind w:right="1128"/>
        <w:jc w:val="both"/>
      </w:pPr>
      <w:r>
        <w:rPr>
          <w:spacing w:val="-2"/>
        </w:rPr>
        <w:t>合作伙伴的解决方案，为实现前台</w:t>
      </w:r>
      <w:r>
        <w:rPr>
          <w:rFonts w:ascii="Times New Roman" w:hAnsi="Times New Roman" w:cs="Times New Roman" w:eastAsia="Times New Roman" w:hint="default"/>
          <w:spacing w:val="-2"/>
        </w:rPr>
        <w:t>“</w:t>
      </w:r>
      <w:r>
        <w:rPr>
          <w:spacing w:val="-2"/>
        </w:rPr>
        <w:t>以人中心</w:t>
      </w:r>
      <w:r>
        <w:rPr>
          <w:rFonts w:ascii="Times New Roman" w:hAnsi="Times New Roman" w:cs="Times New Roman" w:eastAsia="Times New Roman" w:hint="default"/>
          <w:spacing w:val="-2"/>
        </w:rPr>
        <w:t>”</w:t>
      </w:r>
      <w:r>
        <w:rPr>
          <w:spacing w:val="-2"/>
        </w:rPr>
        <w:t>的一体化应用、跨部门的业务流程、人性化的交互体验、城市级的运行指挥提</w:t>
      </w:r>
      <w:r>
        <w:rPr>
          <w:spacing w:val="-44"/>
        </w:rPr>
        <w:t> </w:t>
      </w:r>
      <w:r>
        <w:rPr>
          <w:spacing w:val="-44"/>
        </w:rPr>
      </w:r>
      <w:r>
        <w:rPr>
          <w:spacing w:val="-2"/>
        </w:rPr>
        <w:t>供技术支撑。基于城市智脑研发的业务系统，整体融合效果更好、整合能力更强、开发成本更低、产品迭代速度更快、成本</w:t>
      </w:r>
      <w:r>
        <w:rPr>
          <w:spacing w:val="-68"/>
        </w:rPr>
        <w:t> </w:t>
      </w:r>
      <w:r>
        <w:rPr>
          <w:spacing w:val="-68"/>
        </w:rPr>
      </w:r>
      <w:r>
        <w:rPr/>
        <w:t>更低，通过给智慧城市用户带来更好的应用效果，也为企业带来更多盈利点和更高的利润率。</w:t>
      </w:r>
    </w:p>
    <w:p>
      <w:pPr>
        <w:pStyle w:val="BodyText"/>
        <w:spacing w:line="340" w:lineRule="auto" w:before="64"/>
        <w:ind w:left="514" w:right="8140"/>
        <w:jc w:val="left"/>
      </w:pPr>
      <w:r>
        <w:rPr>
          <w:rFonts w:ascii="Times New Roman" w:hAnsi="Times New Roman" w:cs="Times New Roman" w:eastAsia="Times New Roman" w:hint="default"/>
        </w:rPr>
        <w:t>2</w:t>
      </w:r>
      <w:r>
        <w:rPr/>
        <w:t>、北明城市智脑平台的研发 项目目的：</w:t>
      </w:r>
    </w:p>
    <w:p>
      <w:pPr>
        <w:pStyle w:val="BodyText"/>
        <w:spacing w:line="309" w:lineRule="auto" w:before="39"/>
        <w:ind w:right="1128" w:firstLine="360"/>
        <w:jc w:val="both"/>
      </w:pPr>
      <w:r>
        <w:rPr>
          <w:spacing w:val="-2"/>
        </w:rPr>
        <w:t>为了实现新型智慧城市的五大目标，推进新一代信息技术与城市现代化深度融合，提升政府管理与服务能力，破解城市</w:t>
      </w:r>
      <w:r>
        <w:rPr/>
        <w:t> 发展难题，城市智脑将成为新型智慧城市建设的核心，人工智能技术将成为城市智脑的引擎。北明城市智脑包括</w:t>
      </w:r>
      <w:r>
        <w:rPr>
          <w:rFonts w:ascii="Times New Roman" w:hAnsi="Times New Roman" w:cs="Times New Roman" w:eastAsia="Times New Roman" w:hint="default"/>
        </w:rPr>
        <w:t>“</w:t>
      </w:r>
      <w:r>
        <w:rPr/>
        <w:t>一中心三</w:t>
      </w:r>
      <w:r>
        <w:rPr>
          <w:spacing w:val="-78"/>
        </w:rPr>
        <w:t> </w:t>
      </w:r>
      <w:r>
        <w:rPr>
          <w:spacing w:val="-78"/>
        </w:rPr>
      </w:r>
      <w:r>
        <w:rPr/>
        <w:t>平台</w:t>
      </w:r>
      <w:r>
        <w:rPr>
          <w:rFonts w:ascii="Times New Roman" w:hAnsi="Times New Roman" w:cs="Times New Roman" w:eastAsia="Times New Roman" w:hint="default"/>
        </w:rPr>
        <w:t>”</w:t>
      </w:r>
      <w:r>
        <w:rPr/>
        <w:t>：云计算中心提供计算存储安全网络资源，实现按需分配、动态调整；大数据平台负责数据采集、存储、运算、挖掘</w:t>
      </w:r>
      <w:r>
        <w:rPr>
          <w:spacing w:val="-77"/>
        </w:rPr>
        <w:t> </w:t>
      </w:r>
      <w:r>
        <w:rPr>
          <w:spacing w:val="-77"/>
        </w:rPr>
      </w:r>
      <w:r>
        <w:rPr>
          <w:spacing w:val="-2"/>
        </w:rPr>
        <w:t>分析辅助决策、交换共享等；统一服务平台实现业务融合、协同运作；人工智能平台提供经过业务数据训练、深度学习、机</w:t>
      </w:r>
      <w:r>
        <w:rPr>
          <w:spacing w:val="-67"/>
        </w:rPr>
        <w:t> </w:t>
      </w:r>
      <w:r>
        <w:rPr>
          <w:spacing w:val="-67"/>
        </w:rPr>
      </w:r>
      <w:r>
        <w:rPr/>
        <w:t>器学习的算法模型和业务智能组件群。</w:t>
      </w:r>
    </w:p>
    <w:p>
      <w:pPr>
        <w:pStyle w:val="BodyText"/>
        <w:spacing w:line="357" w:lineRule="auto" w:before="64"/>
        <w:ind w:left="514" w:right="0"/>
        <w:jc w:val="left"/>
      </w:pPr>
      <w:r>
        <w:rPr/>
        <w:t>拟达到的目标： </w:t>
      </w:r>
      <w:r>
        <w:rPr>
          <w:spacing w:val="-2"/>
        </w:rPr>
        <w:t>研发人工智能平台，开发典型政务业务应用系统，为实现人工智能平台的应用，对统一服务平台和大数据平台进行功能</w:t>
      </w:r>
    </w:p>
    <w:p>
      <w:pPr>
        <w:pStyle w:val="BodyText"/>
        <w:spacing w:line="224" w:lineRule="exact"/>
        <w:ind w:right="0"/>
        <w:jc w:val="left"/>
      </w:pPr>
      <w:r>
        <w:rPr/>
        <w:t>升级改造，最终实现智慧城市的业务应用，包括政务、教育、医疗等重要领域的业务协同和人机智能一体化，实现业务、数</w:t>
      </w:r>
    </w:p>
    <w:p>
      <w:pPr>
        <w:pStyle w:val="BodyText"/>
        <w:spacing w:line="319" w:lineRule="auto" w:before="76"/>
        <w:ind w:right="1131"/>
        <w:jc w:val="both"/>
      </w:pPr>
      <w:r>
        <w:rPr>
          <w:spacing w:val="-2"/>
        </w:rPr>
        <w:t>据和技术融合，为智慧政务、智慧教育、智慧旅游、智慧民政、智慧交通、公共信用、智慧医疗、智慧税务、城市一卡通等</w:t>
      </w:r>
      <w:r>
        <w:rPr>
          <w:spacing w:val="-69"/>
        </w:rPr>
        <w:t> </w:t>
      </w:r>
      <w:r>
        <w:rPr>
          <w:spacing w:val="-69"/>
        </w:rPr>
      </w:r>
      <w:r>
        <w:rPr/>
        <w:t>主要应用领域提供支撑。</w:t>
      </w:r>
    </w:p>
    <w:p>
      <w:pPr>
        <w:pStyle w:val="BodyText"/>
        <w:spacing w:line="357" w:lineRule="auto" w:before="56"/>
        <w:ind w:left="514" w:right="0"/>
        <w:jc w:val="left"/>
      </w:pPr>
      <w:r>
        <w:rPr/>
        <w:t>预计对未来发展影响： 项目完成后，将增强公司在城市智能运营中心项目、人工智能平台项目、人工智能</w:t>
      </w:r>
      <w:r>
        <w:rPr>
          <w:rFonts w:ascii="Times New Roman" w:hAnsi="Times New Roman" w:cs="Times New Roman" w:eastAsia="Times New Roman" w:hint="default"/>
        </w:rPr>
        <w:t>+</w:t>
      </w:r>
      <w:r>
        <w:rPr/>
        <w:t>政务服务项目、人工智能</w:t>
      </w:r>
      <w:r>
        <w:rPr>
          <w:rFonts w:ascii="Times New Roman" w:hAnsi="Times New Roman" w:cs="Times New Roman" w:eastAsia="Times New Roman" w:hint="default"/>
        </w:rPr>
        <w:t>+</w:t>
      </w:r>
      <w:r>
        <w:rPr/>
        <w:t>公安警</w:t>
      </w:r>
    </w:p>
    <w:p>
      <w:pPr>
        <w:pStyle w:val="BodyText"/>
        <w:spacing w:line="214" w:lineRule="exact"/>
        <w:ind w:left="153" w:right="0"/>
        <w:jc w:val="left"/>
      </w:pPr>
      <w:r>
        <w:rPr/>
        <w:t>务服务项目、人工智能</w:t>
      </w:r>
      <w:r>
        <w:rPr>
          <w:rFonts w:ascii="Times New Roman" w:hAnsi="Times New Roman" w:cs="Times New Roman" w:eastAsia="Times New Roman" w:hint="default"/>
        </w:rPr>
        <w:t>+</w:t>
      </w:r>
      <w:r>
        <w:rPr/>
        <w:t>公共信用服务项目、人工智能</w:t>
      </w:r>
      <w:r>
        <w:rPr>
          <w:rFonts w:ascii="Times New Roman" w:hAnsi="Times New Roman" w:cs="Times New Roman" w:eastAsia="Times New Roman" w:hint="default"/>
        </w:rPr>
        <w:t>+</w:t>
      </w:r>
      <w:r>
        <w:rPr/>
        <w:t>旅游服务项目、人工智能</w:t>
      </w:r>
      <w:r>
        <w:rPr>
          <w:rFonts w:ascii="Times New Roman" w:hAnsi="Times New Roman" w:cs="Times New Roman" w:eastAsia="Times New Roman" w:hint="default"/>
        </w:rPr>
        <w:t>+</w:t>
      </w:r>
      <w:r>
        <w:rPr/>
        <w:t>其他智慧城市服务项目等领域的竞争力，</w:t>
      </w:r>
    </w:p>
    <w:p>
      <w:pPr>
        <w:pStyle w:val="BodyText"/>
        <w:spacing w:line="348" w:lineRule="auto" w:before="64"/>
        <w:ind w:left="514" w:right="6490" w:hanging="360"/>
        <w:jc w:val="left"/>
      </w:pPr>
      <w:r>
        <w:rPr/>
        <w:t>形成新的利润增长点，增加企业效益。 </w:t>
      </w:r>
      <w:r>
        <w:rPr>
          <w:rFonts w:ascii="Times New Roman" w:hAnsi="Times New Roman" w:cs="Times New Roman" w:eastAsia="Times New Roman" w:hint="default"/>
        </w:rPr>
        <w:t>3</w:t>
      </w:r>
      <w:r>
        <w:rPr/>
        <w:t>、</w:t>
      </w:r>
      <w:r>
        <w:rPr>
          <w:rFonts w:ascii="Times New Roman" w:hAnsi="Times New Roman" w:cs="Times New Roman" w:eastAsia="Times New Roman" w:hint="default"/>
        </w:rPr>
        <w:t>ODR</w:t>
      </w:r>
      <w:r>
        <w:rPr/>
        <w:t>在线矛盾纠纷多元化解平台的</w:t>
      </w:r>
      <w:r>
        <w:rPr>
          <w:rFonts w:ascii="Times New Roman" w:hAnsi="Times New Roman" w:cs="Times New Roman" w:eastAsia="Times New Roman" w:hint="default"/>
        </w:rPr>
        <w:t>AI</w:t>
      </w:r>
      <w:r>
        <w:rPr/>
        <w:t>技术研发 项目目的：</w:t>
      </w:r>
    </w:p>
    <w:p>
      <w:pPr>
        <w:pStyle w:val="BodyText"/>
        <w:spacing w:line="300" w:lineRule="auto" w:before="34"/>
        <w:ind w:right="1129" w:firstLine="360"/>
        <w:jc w:val="both"/>
      </w:pPr>
      <w:r>
        <w:rPr/>
        <w:t>利用人工智能技术促进公司在</w:t>
      </w:r>
      <w:r>
        <w:rPr>
          <w:rFonts w:ascii="Times New Roman" w:hAnsi="Times New Roman" w:cs="Times New Roman" w:eastAsia="Times New Roman" w:hint="default"/>
        </w:rPr>
        <w:t>ODR</w:t>
      </w:r>
      <w:r>
        <w:rPr/>
        <w:t>在线矛盾纠纷多元化解领域的大规模应用和推广，在法律科技领域孵化多个产品，</w:t>
      </w:r>
      <w:r>
        <w:rPr>
          <w:spacing w:val="1"/>
        </w:rPr>
        <w:t> </w:t>
      </w:r>
      <w:r>
        <w:rPr/>
        <w:t>尤其是</w:t>
      </w:r>
      <w:r>
        <w:rPr>
          <w:rFonts w:ascii="Times New Roman" w:hAnsi="Times New Roman" w:cs="Times New Roman" w:eastAsia="Times New Roman" w:hint="default"/>
        </w:rPr>
        <w:t>AI</w:t>
      </w:r>
      <w:r>
        <w:rPr/>
        <w:t>技术的研发和应用，促进司法为民实践，以这些产品为核心在公检法司安、监察委等部门和行业也将形成日臻成</w:t>
      </w:r>
      <w:r>
        <w:rPr>
          <w:spacing w:val="-20"/>
        </w:rPr>
        <w:t> </w:t>
      </w:r>
      <w:r>
        <w:rPr>
          <w:spacing w:val="-20"/>
        </w:rPr>
      </w:r>
      <w:r>
        <w:rPr/>
        <w:t>熟的解决方案。</w:t>
      </w:r>
    </w:p>
    <w:p>
      <w:pPr>
        <w:pStyle w:val="BodyText"/>
        <w:spacing w:line="357" w:lineRule="auto" w:before="72"/>
        <w:ind w:left="514" w:right="0"/>
        <w:jc w:val="left"/>
      </w:pPr>
      <w:r>
        <w:rPr/>
        <w:t>拟达到的目标： 开发流程机器人，这是</w:t>
      </w:r>
      <w:r>
        <w:rPr>
          <w:rFonts w:ascii="Times New Roman" w:hAnsi="Times New Roman" w:cs="Times New Roman" w:eastAsia="Times New Roman" w:hint="default"/>
        </w:rPr>
        <w:t>ODR</w:t>
      </w:r>
      <w:r>
        <w:rPr/>
        <w:t>法律科技的核心产品，主要应用于对接法院和司法的核心办案系统，提升系统对接效率。</w:t>
      </w:r>
    </w:p>
    <w:p>
      <w:pPr>
        <w:spacing w:after="0" w:line="357"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09" w:lineRule="auto" w:before="44"/>
        <w:ind w:left="153" w:right="1131"/>
        <w:jc w:val="both"/>
      </w:pPr>
      <w:r>
        <w:rPr/>
        <w:t>该产品可以在不需要对方应用系统厂商配合的情况下快速实现系统对接。面向实现</w:t>
      </w:r>
      <w:r>
        <w:rPr>
          <w:rFonts w:ascii="Times New Roman" w:hAnsi="Times New Roman" w:cs="Times New Roman" w:eastAsia="Times New Roman" w:hint="default"/>
        </w:rPr>
        <w:t>BS</w:t>
      </w:r>
      <w:r>
        <w:rPr/>
        <w:t>、</w:t>
      </w:r>
      <w:r>
        <w:rPr>
          <w:rFonts w:ascii="Times New Roman" w:hAnsi="Times New Roman" w:cs="Times New Roman" w:eastAsia="Times New Roman" w:hint="default"/>
        </w:rPr>
        <w:t>CS</w:t>
      </w:r>
      <w:r>
        <w:rPr/>
        <w:t>、移动三类主要应用平台的自动</w:t>
      </w:r>
      <w:r>
        <w:rPr>
          <w:spacing w:val="-79"/>
        </w:rPr>
        <w:t> </w:t>
      </w:r>
      <w:r>
        <w:rPr>
          <w:spacing w:val="-79"/>
        </w:rPr>
      </w:r>
      <w:r>
        <w:rPr>
          <w:spacing w:val="-1"/>
        </w:rPr>
        <w:t>化操作，中控平台的集群技术可以稳定支持</w:t>
      </w:r>
      <w:r>
        <w:rPr>
          <w:rFonts w:ascii="Times New Roman" w:hAnsi="Times New Roman" w:cs="Times New Roman" w:eastAsia="Times New Roman" w:hint="default"/>
          <w:spacing w:val="-1"/>
        </w:rPr>
        <w:t>500-1000</w:t>
      </w:r>
      <w:r>
        <w:rPr>
          <w:spacing w:val="-1"/>
        </w:rPr>
        <w:t>个机器人同时操作并对大规模机器人集群实现群集智能的优化。以流程</w:t>
      </w:r>
      <w:r>
        <w:rPr>
          <w:spacing w:val="-86"/>
        </w:rPr>
        <w:t> </w:t>
      </w:r>
      <w:r>
        <w:rPr>
          <w:spacing w:val="-86"/>
        </w:rPr>
      </w:r>
      <w:r>
        <w:rPr>
          <w:spacing w:val="-2"/>
        </w:rPr>
        <w:t>机器人为核心的解决方案可以大大减少一线办案人员的工作量，减少重复数据填录工作。流程机器人也可以带动多种智能应</w:t>
      </w:r>
      <w:r>
        <w:rPr>
          <w:spacing w:val="-64"/>
        </w:rPr>
        <w:t> </w:t>
      </w:r>
      <w:r>
        <w:rPr>
          <w:spacing w:val="-64"/>
        </w:rPr>
      </w:r>
      <w:r>
        <w:rPr>
          <w:spacing w:val="-2"/>
        </w:rPr>
        <w:t>用，如法律自然语言处理产品，桌面图像分析引擎，前端桌面感知平台，知识规则引擎等，建立新一代的基于人工智能和流</w:t>
      </w:r>
      <w:r>
        <w:rPr>
          <w:spacing w:val="-66"/>
        </w:rPr>
        <w:t> </w:t>
      </w:r>
      <w:r>
        <w:rPr>
          <w:spacing w:val="-66"/>
        </w:rPr>
      </w:r>
      <w:r>
        <w:rPr/>
        <w:t>程自动化的增强型流程系统。</w:t>
      </w:r>
    </w:p>
    <w:p>
      <w:pPr>
        <w:pStyle w:val="BodyText"/>
        <w:spacing w:line="302" w:lineRule="auto" w:before="62"/>
        <w:ind w:left="153" w:right="1131" w:firstLine="360"/>
        <w:jc w:val="both"/>
      </w:pPr>
      <w:r>
        <w:rPr>
          <w:spacing w:val="-1"/>
        </w:rPr>
        <w:t>开发法律问答机器人，也是</w:t>
      </w:r>
      <w:r>
        <w:rPr>
          <w:rFonts w:ascii="Times New Roman" w:hAnsi="Times New Roman" w:cs="Times New Roman" w:eastAsia="Times New Roman" w:hint="default"/>
          <w:spacing w:val="-1"/>
        </w:rPr>
        <w:t>ODR</w:t>
      </w:r>
      <w:r>
        <w:rPr>
          <w:spacing w:val="-1"/>
        </w:rPr>
        <w:t>的核心应用。采用第</w:t>
      </w:r>
      <w:r>
        <w:rPr>
          <w:rFonts w:ascii="Times New Roman" w:hAnsi="Times New Roman" w:cs="Times New Roman" w:eastAsia="Times New Roman" w:hint="default"/>
          <w:spacing w:val="-1"/>
        </w:rPr>
        <w:t>2</w:t>
      </w:r>
      <w:r>
        <w:rPr>
          <w:spacing w:val="-1"/>
        </w:rPr>
        <w:t>代智能问答技术，在短文本相似性评价方面具有特色。建立知识</w:t>
      </w:r>
      <w:r>
        <w:rPr/>
        <w:t> 加工厂、文书标注平台、法律语义理解引擎，构成法律问答机器人的基础支持平台。</w:t>
      </w:r>
    </w:p>
    <w:p>
      <w:pPr>
        <w:pStyle w:val="BodyText"/>
        <w:spacing w:line="302" w:lineRule="auto" w:before="69"/>
        <w:ind w:left="153" w:right="1129" w:firstLine="360"/>
        <w:jc w:val="both"/>
      </w:pPr>
      <w:r>
        <w:rPr/>
        <w:t>利用区块链技术执行悬赏应用区块链匿名认证，在</w:t>
      </w:r>
      <w:r>
        <w:rPr>
          <w:rFonts w:ascii="Times New Roman" w:hAnsi="Times New Roman" w:cs="Times New Roman" w:eastAsia="Times New Roman" w:hint="default"/>
        </w:rPr>
        <w:t>ODR</w:t>
      </w:r>
      <w:r>
        <w:rPr/>
        <w:t>平台应用区块链司法存证，在破产系统应用区块链清分和资金</w:t>
      </w:r>
      <w:r>
        <w:rPr>
          <w:spacing w:val="1"/>
        </w:rPr>
        <w:t> </w:t>
      </w:r>
      <w:r>
        <w:rPr/>
        <w:t>监管。</w:t>
      </w:r>
    </w:p>
    <w:p>
      <w:pPr>
        <w:pStyle w:val="BodyText"/>
        <w:spacing w:line="357" w:lineRule="auto" w:before="69"/>
        <w:ind w:left="513" w:right="0"/>
        <w:jc w:val="left"/>
      </w:pPr>
      <w:r>
        <w:rPr/>
        <w:t>预计对未来发展影响： 我们设想未来</w:t>
      </w:r>
      <w:r>
        <w:rPr>
          <w:rFonts w:ascii="Times New Roman" w:hAnsi="Times New Roman" w:cs="Times New Roman" w:eastAsia="Times New Roman" w:hint="default"/>
        </w:rPr>
        <w:t>ODR</w:t>
      </w:r>
      <w:r>
        <w:rPr/>
        <w:t>机制将成为国内纠纷解决的主要机制，法律科技产品的开发将会大幅提升公司在全国矛盾纠纷多元</w:t>
      </w:r>
    </w:p>
    <w:p>
      <w:pPr>
        <w:pStyle w:val="BodyText"/>
        <w:spacing w:line="202" w:lineRule="exact"/>
        <w:ind w:left="153" w:right="0"/>
        <w:jc w:val="both"/>
      </w:pPr>
      <w:r>
        <w:rPr/>
        <w:t>化解领域的核心地位，大幅增加市场占有率，提升企业效益。</w:t>
      </w:r>
    </w:p>
    <w:p>
      <w:pPr>
        <w:pStyle w:val="BodyText"/>
        <w:spacing w:line="338" w:lineRule="auto" w:before="117"/>
        <w:ind w:left="513" w:right="8501"/>
        <w:jc w:val="left"/>
      </w:pPr>
      <w:r>
        <w:rPr>
          <w:rFonts w:ascii="Times New Roman" w:hAnsi="Times New Roman" w:cs="Times New Roman" w:eastAsia="Times New Roman" w:hint="default"/>
        </w:rPr>
        <w:t>4</w:t>
      </w:r>
      <w:r>
        <w:rPr/>
        <w:t>、数据治理平台的研发 项目目的：</w:t>
      </w:r>
    </w:p>
    <w:p>
      <w:pPr>
        <w:pStyle w:val="BodyText"/>
        <w:spacing w:line="319" w:lineRule="auto" w:before="41"/>
        <w:ind w:left="153" w:right="1128" w:firstLine="360"/>
        <w:jc w:val="both"/>
      </w:pPr>
      <w:r>
        <w:rPr>
          <w:spacing w:val="-2"/>
        </w:rPr>
        <w:t>建立数据治理平台，帮助企业绘制数据地图，统一数据标准，标明数据方位，分析数据关系，规范数据开发，管理数据</w:t>
      </w:r>
      <w:r>
        <w:rPr/>
        <w:t> </w:t>
      </w:r>
      <w:r>
        <w:rPr>
          <w:spacing w:val="-2"/>
        </w:rPr>
        <w:t>使用，监控质量变化。以达到数据可查、数据可信、数据可用、数据可控的效果，从而更加有效的发掘和利用数据资产的价</w:t>
      </w:r>
      <w:r>
        <w:rPr>
          <w:spacing w:val="-68"/>
        </w:rPr>
        <w:t> </w:t>
      </w:r>
      <w:r>
        <w:rPr>
          <w:spacing w:val="-68"/>
        </w:rPr>
      </w:r>
      <w:r>
        <w:rPr/>
        <w:t>值，实现精准高效的分析和决策。</w:t>
      </w:r>
    </w:p>
    <w:p>
      <w:pPr>
        <w:pStyle w:val="BodyText"/>
        <w:spacing w:line="357" w:lineRule="auto" w:before="58"/>
        <w:ind w:left="513" w:right="1031"/>
        <w:jc w:val="left"/>
      </w:pPr>
      <w:r>
        <w:rPr/>
        <w:t>拟达到的目标： 通过数据治理平台，解决目前数据行业存在大量问题，如缺乏统一数据标准，数据周期规划混乱，难以统筹业务管理，</w:t>
      </w:r>
    </w:p>
    <w:p>
      <w:pPr>
        <w:pStyle w:val="BodyText"/>
        <w:spacing w:line="224" w:lineRule="exact"/>
        <w:ind w:left="153" w:right="0"/>
        <w:jc w:val="both"/>
      </w:pPr>
      <w:r>
        <w:rPr/>
        <w:t>数据处理效率低下，数据质量参差不齐，数据垃圾亟待解决，数据价值难以评估等问题</w:t>
      </w:r>
      <w:r>
        <w:rPr>
          <w:spacing w:val="1"/>
        </w:rPr>
        <w:t> </w:t>
      </w:r>
      <w:r>
        <w:rPr/>
        <w:t>。通过数据治理平台，帮助企业实</w:t>
      </w:r>
    </w:p>
    <w:p>
      <w:pPr>
        <w:pStyle w:val="BodyText"/>
        <w:spacing w:line="319" w:lineRule="auto" w:before="76"/>
        <w:ind w:left="153" w:right="1131"/>
        <w:jc w:val="both"/>
      </w:pPr>
      <w:r>
        <w:rPr>
          <w:spacing w:val="-2"/>
        </w:rPr>
        <w:t>现数据资产的运营，实现数据的易用，让数据更加准确、一致、完整、透明、安全，没有歧义，方便获取，来源统一，降低</w:t>
      </w:r>
      <w:r>
        <w:rPr>
          <w:spacing w:val="-71"/>
        </w:rPr>
        <w:t> </w:t>
      </w:r>
      <w:r>
        <w:rPr>
          <w:spacing w:val="-71"/>
        </w:rPr>
      </w:r>
      <w:r>
        <w:rPr/>
        <w:t>采集、开发、管理、沟通和使用成本。</w:t>
      </w:r>
    </w:p>
    <w:p>
      <w:pPr>
        <w:pStyle w:val="BodyText"/>
        <w:spacing w:line="357" w:lineRule="auto" w:before="56"/>
        <w:ind w:left="513" w:right="0"/>
        <w:jc w:val="left"/>
      </w:pPr>
      <w:r>
        <w:rPr/>
        <w:t>预期对未来的影响： </w:t>
      </w:r>
      <w:r>
        <w:rPr>
          <w:spacing w:val="-2"/>
        </w:rPr>
        <w:t>数据治理行业正在迅速发展。数据治理平台预计将会使公司今后在企业的数据市场形成特色，拓展数据治理领域的市场</w:t>
      </w:r>
    </w:p>
    <w:p>
      <w:pPr>
        <w:pStyle w:val="BodyText"/>
        <w:spacing w:line="225" w:lineRule="exact"/>
        <w:ind w:left="153" w:right="0"/>
        <w:jc w:val="both"/>
      </w:pPr>
      <w:r>
        <w:rPr/>
        <w:t>占有。</w:t>
      </w:r>
    </w:p>
    <w:p>
      <w:pPr>
        <w:pStyle w:val="BodyText"/>
        <w:spacing w:line="338" w:lineRule="auto" w:before="116"/>
        <w:ind w:left="513" w:right="8501"/>
        <w:jc w:val="left"/>
      </w:pPr>
      <w:r>
        <w:rPr>
          <w:rFonts w:ascii="Times New Roman" w:hAnsi="Times New Roman" w:cs="Times New Roman" w:eastAsia="Times New Roman" w:hint="default"/>
        </w:rPr>
        <w:t>5</w:t>
      </w:r>
      <w:r>
        <w:rPr/>
        <w:t>、保险智慧反欺诈平台 项目目的：</w:t>
      </w:r>
    </w:p>
    <w:p>
      <w:pPr>
        <w:pStyle w:val="BodyText"/>
        <w:spacing w:line="319" w:lineRule="auto" w:before="42"/>
        <w:ind w:left="153" w:right="1130" w:firstLine="360"/>
        <w:jc w:val="both"/>
      </w:pPr>
      <w:r>
        <w:rPr>
          <w:spacing w:val="-2"/>
        </w:rPr>
        <w:t>随着经济快速发展，人们收入水平逐步提高，汽车需求量不断增加，车险需求也在不断增加。然而，车险领域的违法犯</w:t>
      </w:r>
      <w:r>
        <w:rPr/>
        <w:t> </w:t>
      </w:r>
      <w:r>
        <w:rPr>
          <w:spacing w:val="-2"/>
        </w:rPr>
        <w:t>罪活动日益频繁，成为保险犯罪的高发区，且呈现团伙化、专业化和职业化等特征，因车险欺诈而导致的支出比例在不断攀</w:t>
      </w:r>
      <w:r>
        <w:rPr>
          <w:spacing w:val="-66"/>
        </w:rPr>
        <w:t> </w:t>
      </w:r>
      <w:r>
        <w:rPr>
          <w:spacing w:val="-66"/>
        </w:rPr>
      </w:r>
      <w:r>
        <w:rPr/>
        <w:t>升。</w:t>
      </w:r>
    </w:p>
    <w:p>
      <w:pPr>
        <w:pStyle w:val="BodyText"/>
        <w:spacing w:line="319" w:lineRule="auto" w:before="55"/>
        <w:ind w:left="153" w:right="1130" w:firstLine="360"/>
        <w:jc w:val="both"/>
      </w:pPr>
      <w:r>
        <w:rPr>
          <w:spacing w:val="-2"/>
        </w:rPr>
        <w:t>公司开发保险智慧反欺诈平台项目属于嵌入业务流程的大数据智慧应用，供反欺诈作业人员使用。促进各保险业务中车</w:t>
      </w:r>
      <w:r>
        <w:rPr/>
        <w:t> 险业务的稳定健康发展，提高反欺诈团队作业效率，提高检出率；减少公司欺诈损失；震慑社会欺诈团伙。</w:t>
      </w:r>
    </w:p>
    <w:p>
      <w:pPr>
        <w:pStyle w:val="BodyText"/>
        <w:spacing w:line="357" w:lineRule="auto" w:before="56"/>
        <w:ind w:left="513" w:right="1031"/>
        <w:jc w:val="left"/>
      </w:pPr>
      <w:r>
        <w:rPr/>
        <w:t>拟达到的目标： 以车险数据为中心对可疑关联案件进行检索、追踪。保险智慧反欺诈平台将围绕报案号、涉案人员、涉案车辆、账号、</w:t>
      </w:r>
    </w:p>
    <w:p>
      <w:pPr>
        <w:pStyle w:val="BodyText"/>
        <w:spacing w:line="224" w:lineRule="exact"/>
        <w:ind w:left="153" w:right="0"/>
        <w:jc w:val="both"/>
      </w:pPr>
      <w:r>
        <w:rPr/>
        <w:t>电话等数据以及它们之间的关联进行可疑性分析与排查，将可疑性更高的可疑案件推荐给反欺诈业务人员，以提高检出率以</w:t>
      </w:r>
    </w:p>
    <w:p>
      <w:pPr>
        <w:pStyle w:val="BodyText"/>
        <w:spacing w:line="319" w:lineRule="auto" w:before="76"/>
        <w:ind w:left="153" w:right="1131"/>
        <w:jc w:val="both"/>
      </w:pPr>
      <w:r>
        <w:rPr>
          <w:spacing w:val="-2"/>
        </w:rPr>
        <w:t>及反欺诈业务的工作效率，丰富展现内容和展现形式，并能对实时的触点数据形成一些分析结果推送给用户，积极学习先行</w:t>
      </w:r>
      <w:r>
        <w:rPr>
          <w:spacing w:val="-66"/>
        </w:rPr>
        <w:t> </w:t>
      </w:r>
      <w:r>
        <w:rPr>
          <w:spacing w:val="-66"/>
        </w:rPr>
      </w:r>
      <w:r>
        <w:rPr/>
        <w:t>者的成功案例，并能快速应用上线提升数据质量尤其保额的数据质量。</w:t>
      </w:r>
    </w:p>
    <w:p>
      <w:pPr>
        <w:pStyle w:val="BodyText"/>
        <w:spacing w:line="319" w:lineRule="auto" w:before="55"/>
        <w:ind w:left="153" w:right="1131" w:firstLine="360"/>
        <w:jc w:val="both"/>
      </w:pPr>
      <w:r>
        <w:rPr>
          <w:spacing w:val="-2"/>
        </w:rPr>
        <w:t>产品模块将包括高效方便的图谱检索与探查框架、图谱管理与交互功能、基于机器学习的模型计算等，构建新型反欺诈</w:t>
      </w:r>
      <w:r>
        <w:rPr/>
        <w:t> 模式，提升了客户的体验度，提高反欺诈作业效率和欺诈案件检出率。</w:t>
      </w:r>
    </w:p>
    <w:p>
      <w:pPr>
        <w:pStyle w:val="BodyText"/>
        <w:spacing w:line="357" w:lineRule="auto" w:before="56"/>
        <w:ind w:left="513" w:right="0"/>
        <w:jc w:val="left"/>
      </w:pPr>
      <w:r>
        <w:rPr/>
        <w:t>预期对未来的影响： </w:t>
      </w:r>
      <w:r>
        <w:rPr>
          <w:spacing w:val="-2"/>
        </w:rPr>
        <w:t>保险智慧反欺诈平台的定位在于加强对保险数据的专业应用分析。从业务的角度而言，大部分保险公司为营销活动进行</w:t>
      </w:r>
    </w:p>
    <w:p>
      <w:pPr>
        <w:pStyle w:val="BodyText"/>
        <w:spacing w:line="224" w:lineRule="exact"/>
        <w:ind w:left="153" w:right="0"/>
        <w:jc w:val="both"/>
      </w:pPr>
      <w:r>
        <w:rPr/>
        <w:t>的客群分析及客户名单提出还是手动，相对落后。从这一点看，保险智慧反欺诈平台将加强我公司在保险行业的优势地位，</w:t>
      </w:r>
    </w:p>
    <w:p>
      <w:pPr>
        <w:spacing w:after="0" w:line="224" w:lineRule="exact"/>
        <w:jc w:val="both"/>
        <w:sectPr>
          <w:pgSz w:w="11910" w:h="16840"/>
          <w:pgMar w:header="747" w:footer="982" w:top="1060" w:bottom="118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提升公司在保险行业的市场竞争力，从而增加市场份额，拓展这一</w:t>
      </w:r>
      <w:r>
        <w:rPr>
          <w:rFonts w:ascii="Times New Roman" w:hAnsi="Times New Roman" w:cs="Times New Roman" w:eastAsia="Times New Roman" w:hint="default"/>
        </w:rPr>
        <w:t>“</w:t>
      </w:r>
      <w:r>
        <w:rPr/>
        <w:t>蓝海</w:t>
      </w:r>
      <w:r>
        <w:rPr>
          <w:rFonts w:ascii="Times New Roman" w:hAnsi="Times New Roman" w:cs="Times New Roman" w:eastAsia="Times New Roman" w:hint="default"/>
        </w:rPr>
        <w:t>”</w:t>
      </w:r>
      <w:r>
        <w:rPr/>
        <w:t>市场。</w:t>
      </w:r>
    </w:p>
    <w:p>
      <w:pPr>
        <w:pStyle w:val="BodyText"/>
        <w:spacing w:line="340" w:lineRule="auto" w:before="102"/>
        <w:ind w:left="514" w:right="8520"/>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w:t>
      </w:r>
      <w:r>
        <w:rPr/>
        <w:t>至信链</w:t>
      </w:r>
      <w:r>
        <w:rPr>
          <w:rFonts w:ascii="Times New Roman" w:hAnsi="Times New Roman" w:cs="Times New Roman" w:eastAsia="Times New Roman" w:hint="default"/>
        </w:rPr>
        <w:t>”</w:t>
      </w:r>
      <w:r>
        <w:rPr/>
        <w:t>的开发工作 项目目的：</w:t>
      </w:r>
    </w:p>
    <w:p>
      <w:pPr>
        <w:pStyle w:val="BodyText"/>
        <w:spacing w:line="300" w:lineRule="auto" w:before="39"/>
        <w:ind w:right="1128" w:firstLine="360"/>
        <w:jc w:val="both"/>
      </w:pPr>
      <w:r>
        <w:rPr>
          <w:rFonts w:ascii="Times New Roman" w:hAnsi="Times New Roman" w:cs="Times New Roman" w:eastAsia="Times New Roman" w:hint="default"/>
          <w:spacing w:val="-2"/>
        </w:rPr>
        <w:t>“</w:t>
      </w:r>
      <w:r>
        <w:rPr>
          <w:spacing w:val="-2"/>
        </w:rPr>
        <w:t>至信链</w:t>
      </w:r>
      <w:r>
        <w:rPr>
          <w:rFonts w:ascii="Times New Roman" w:hAnsi="Times New Roman" w:cs="Times New Roman" w:eastAsia="Times New Roman" w:hint="default"/>
          <w:spacing w:val="-2"/>
        </w:rPr>
        <w:t>”</w:t>
      </w:r>
      <w:r>
        <w:rPr>
          <w:spacing w:val="-2"/>
        </w:rPr>
        <w:t>是公司与腾讯公司、中国网安与枫调理顺三家公司联手打造的立足于基层社会治理协同工作场景下联合开发的</w:t>
      </w:r>
      <w:r>
        <w:rPr/>
        <w:t> </w:t>
      </w:r>
      <w:r>
        <w:rPr>
          <w:spacing w:val="-1"/>
        </w:rPr>
        <w:t>基于区块链技术的开放式司法存证服务平台。其核心工作内容是利用区块链技术的</w:t>
      </w:r>
      <w:r>
        <w:rPr>
          <w:rFonts w:ascii="Times New Roman" w:hAnsi="Times New Roman" w:cs="Times New Roman" w:eastAsia="Times New Roman" w:hint="default"/>
          <w:spacing w:val="-1"/>
        </w:rPr>
        <w:t>“</w:t>
      </w:r>
      <w:r>
        <w:rPr>
          <w:spacing w:val="-1"/>
        </w:rPr>
        <w:t>不易篡改性</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可追溯</w:t>
      </w:r>
      <w:r>
        <w:rPr>
          <w:rFonts w:ascii="Times New Roman" w:hAnsi="Times New Roman" w:cs="Times New Roman" w:eastAsia="Times New Roman" w:hint="default"/>
          <w:spacing w:val="-1"/>
        </w:rPr>
        <w:t>”</w:t>
      </w:r>
      <w:r>
        <w:rPr>
          <w:spacing w:val="-1"/>
        </w:rPr>
        <w:t>的特性，能够充</w:t>
      </w:r>
      <w:r>
        <w:rPr>
          <w:spacing w:val="-77"/>
        </w:rPr>
        <w:t> </w:t>
      </w:r>
      <w:r>
        <w:rPr>
          <w:spacing w:val="-77"/>
        </w:rPr>
      </w:r>
      <w:r>
        <w:rPr>
          <w:spacing w:val="-2"/>
        </w:rPr>
        <w:t>分运用于基层社会治理过程中，各部门协同进行治理工作的衔接和协同，促进了从传统的生产交易过程中的</w:t>
      </w:r>
      <w:r>
        <w:rPr>
          <w:rFonts w:ascii="Times New Roman" w:hAnsi="Times New Roman" w:cs="Times New Roman" w:eastAsia="Times New Roman" w:hint="default"/>
          <w:spacing w:val="-2"/>
        </w:rPr>
        <w:t>“</w:t>
      </w:r>
      <w:r>
        <w:rPr>
          <w:spacing w:val="-2"/>
        </w:rPr>
        <w:t>证据固定</w:t>
      </w:r>
      <w:r>
        <w:rPr>
          <w:rFonts w:ascii="Times New Roman" w:hAnsi="Times New Roman" w:cs="Times New Roman" w:eastAsia="Times New Roman" w:hint="default"/>
          <w:spacing w:val="-2"/>
        </w:rPr>
        <w:t>”</w:t>
      </w:r>
      <w:r>
        <w:rPr>
          <w:spacing w:val="-2"/>
        </w:rPr>
        <w:t>、纠</w:t>
      </w:r>
      <w:r>
        <w:rPr>
          <w:spacing w:val="-64"/>
        </w:rPr>
        <w:t> </w:t>
      </w:r>
      <w:r>
        <w:rPr>
          <w:spacing w:val="-1"/>
        </w:rPr>
        <w:t>纷发生后的</w:t>
      </w:r>
      <w:r>
        <w:rPr>
          <w:rFonts w:ascii="Times New Roman" w:hAnsi="Times New Roman" w:cs="Times New Roman" w:eastAsia="Times New Roman" w:hint="default"/>
          <w:spacing w:val="-1"/>
        </w:rPr>
        <w:t>“</w:t>
      </w:r>
      <w:r>
        <w:rPr>
          <w:spacing w:val="-1"/>
        </w:rPr>
        <w:t>证据链组成</w:t>
      </w:r>
      <w:r>
        <w:rPr>
          <w:rFonts w:ascii="Times New Roman" w:hAnsi="Times New Roman" w:cs="Times New Roman" w:eastAsia="Times New Roman" w:hint="default"/>
          <w:spacing w:val="-1"/>
        </w:rPr>
        <w:t>”</w:t>
      </w:r>
      <w:r>
        <w:rPr>
          <w:spacing w:val="-1"/>
        </w:rPr>
        <w:t>，各社会组织和职能部门完成治理协作过程中的</w:t>
      </w:r>
      <w:r>
        <w:rPr>
          <w:rFonts w:ascii="Times New Roman" w:hAnsi="Times New Roman" w:cs="Times New Roman" w:eastAsia="Times New Roman" w:hint="default"/>
          <w:spacing w:val="-1"/>
        </w:rPr>
        <w:t>“</w:t>
      </w:r>
      <w:r>
        <w:rPr>
          <w:spacing w:val="-1"/>
        </w:rPr>
        <w:t>全程追溯</w:t>
      </w:r>
      <w:r>
        <w:rPr>
          <w:rFonts w:ascii="Times New Roman" w:hAnsi="Times New Roman" w:cs="Times New Roman" w:eastAsia="Times New Roman" w:hint="default"/>
          <w:spacing w:val="-1"/>
        </w:rPr>
        <w:t>”</w:t>
      </w:r>
      <w:r>
        <w:rPr>
          <w:spacing w:val="-1"/>
        </w:rPr>
        <w:t>与</w:t>
      </w:r>
      <w:r>
        <w:rPr>
          <w:rFonts w:ascii="Times New Roman" w:hAnsi="Times New Roman" w:cs="Times New Roman" w:eastAsia="Times New Roman" w:hint="default"/>
          <w:spacing w:val="-1"/>
        </w:rPr>
        <w:t>“</w:t>
      </w:r>
      <w:r>
        <w:rPr>
          <w:spacing w:val="-1"/>
        </w:rPr>
        <w:t>自证清白</w:t>
      </w:r>
      <w:r>
        <w:rPr>
          <w:rFonts w:ascii="Times New Roman" w:hAnsi="Times New Roman" w:cs="Times New Roman" w:eastAsia="Times New Roman" w:hint="default"/>
          <w:spacing w:val="-1"/>
        </w:rPr>
        <w:t>”</w:t>
      </w:r>
      <w:r>
        <w:rPr>
          <w:spacing w:val="-1"/>
        </w:rPr>
        <w:t>。至信链产品将会充分应</w:t>
      </w:r>
      <w:r>
        <w:rPr>
          <w:spacing w:val="-57"/>
        </w:rPr>
        <w:t> </w:t>
      </w:r>
      <w:r>
        <w:rPr>
          <w:spacing w:val="-57"/>
        </w:rPr>
      </w:r>
      <w:r>
        <w:rPr/>
        <w:t>用于社会生产的方方面面，便于在纠纷发生后的高效处理甚至自动处理。</w:t>
      </w:r>
    </w:p>
    <w:p>
      <w:pPr>
        <w:pStyle w:val="BodyText"/>
        <w:spacing w:line="357" w:lineRule="auto" w:before="71"/>
        <w:ind w:left="514" w:right="0"/>
        <w:jc w:val="left"/>
      </w:pPr>
      <w:r>
        <w:rPr/>
        <w:t>拟达到的目标： </w:t>
      </w:r>
      <w:r>
        <w:rPr>
          <w:spacing w:val="-2"/>
        </w:rPr>
        <w:t>至信链产品，是社会基层治理协同过程中的核心基础产品，主要是在获得政府和法院的背书下，应用于各行各业生产业</w:t>
      </w:r>
    </w:p>
    <w:p>
      <w:pPr>
        <w:pStyle w:val="BodyText"/>
        <w:spacing w:line="224" w:lineRule="exact"/>
        <w:ind w:right="0"/>
        <w:jc w:val="left"/>
      </w:pPr>
      <w:r>
        <w:rPr/>
        <w:t>务的全流程存证，从合同缔约、过程存证，反向溯源、到纠纷发生后的取证服务，证据链形成，并对接政府、法院和司法等</w:t>
      </w:r>
    </w:p>
    <w:p>
      <w:pPr>
        <w:pStyle w:val="BodyText"/>
        <w:spacing w:line="357" w:lineRule="auto" w:before="77"/>
        <w:ind w:left="514" w:right="1041" w:hanging="360"/>
        <w:jc w:val="left"/>
      </w:pPr>
      <w:r>
        <w:rPr/>
        <w:t>职能部门的办公办案系统，极大提升基层治理过程中通过行政和诉讼手段进行纠纷处理工作的业务效率。 预计对未来发展影响： </w:t>
      </w:r>
      <w:r>
        <w:rPr>
          <w:rFonts w:ascii="Times New Roman" w:hAnsi="Times New Roman" w:cs="Times New Roman" w:eastAsia="Times New Roman" w:hint="default"/>
          <w:spacing w:val="-3"/>
        </w:rPr>
        <w:t>“</w:t>
      </w:r>
      <w:r>
        <w:rPr>
          <w:spacing w:val="-3"/>
        </w:rPr>
        <w:t>至信链</w:t>
      </w:r>
      <w:r>
        <w:rPr>
          <w:rFonts w:ascii="Times New Roman" w:hAnsi="Times New Roman" w:cs="Times New Roman" w:eastAsia="Times New Roman" w:hint="default"/>
          <w:spacing w:val="-3"/>
        </w:rPr>
        <w:t>”</w:t>
      </w:r>
      <w:r>
        <w:rPr>
          <w:spacing w:val="-3"/>
        </w:rPr>
        <w:t>是基层社会治理现代化工作中的</w:t>
      </w:r>
      <w:r>
        <w:rPr>
          <w:rFonts w:ascii="Times New Roman" w:hAnsi="Times New Roman" w:cs="Times New Roman" w:eastAsia="Times New Roman" w:hint="default"/>
          <w:spacing w:val="-3"/>
        </w:rPr>
        <w:t>“</w:t>
      </w:r>
      <w:r>
        <w:rPr>
          <w:spacing w:val="-3"/>
        </w:rPr>
        <w:t>新型基础设施建设</w:t>
      </w:r>
      <w:r>
        <w:rPr>
          <w:rFonts w:ascii="Times New Roman" w:hAnsi="Times New Roman" w:cs="Times New Roman" w:eastAsia="Times New Roman" w:hint="default"/>
          <w:spacing w:val="-3"/>
        </w:rPr>
        <w:t>”</w:t>
      </w:r>
      <w:r>
        <w:rPr>
          <w:spacing w:val="-3"/>
        </w:rPr>
        <w:t>工程，将完善基层社会治理过程中，党委领导、政府负责、</w:t>
      </w:r>
    </w:p>
    <w:p>
      <w:pPr>
        <w:pStyle w:val="BodyText"/>
        <w:spacing w:line="201" w:lineRule="exact"/>
        <w:ind w:right="0"/>
        <w:jc w:val="left"/>
      </w:pPr>
      <w:r>
        <w:rPr/>
        <w:t>民主协商、社会协同、公众参与、法治保障、科技支撑的社会治理方针中各组织体系协同治理的底层关键技术能力，能大幅</w:t>
      </w:r>
    </w:p>
    <w:p>
      <w:pPr>
        <w:pStyle w:val="BodyText"/>
        <w:spacing w:line="240" w:lineRule="auto" w:before="77"/>
        <w:ind w:right="0"/>
        <w:jc w:val="left"/>
      </w:pPr>
      <w:r>
        <w:rPr/>
        <w:t>提升枫调理顺公司在基层社会治理辅助服务运营商的定位下的核心地位，大幅增加该领域市场的影响力，加强市场占有率。</w:t>
      </w:r>
    </w:p>
    <w:p>
      <w:pPr>
        <w:pStyle w:val="BodyText"/>
        <w:spacing w:line="338" w:lineRule="auto" w:before="117"/>
        <w:ind w:left="514" w:right="8230" w:hanging="70"/>
        <w:jc w:val="left"/>
      </w:pPr>
      <w:r>
        <w:rPr>
          <w:rFonts w:ascii="Times New Roman" w:hAnsi="Times New Roman" w:cs="Times New Roman" w:eastAsia="Times New Roman" w:hint="default"/>
        </w:rPr>
        <w:t>7</w:t>
      </w:r>
      <w:r>
        <w:rPr/>
        <w:t>、</w:t>
      </w:r>
      <w:r>
        <w:rPr>
          <w:rFonts w:ascii="Times New Roman" w:hAnsi="Times New Roman" w:cs="Times New Roman" w:eastAsia="Times New Roman" w:hint="default"/>
        </w:rPr>
        <w:t>“</w:t>
      </w:r>
      <w:r>
        <w:rPr/>
        <w:t>微治理空间</w:t>
      </w:r>
      <w:r>
        <w:rPr>
          <w:rFonts w:ascii="Times New Roman" w:hAnsi="Times New Roman" w:cs="Times New Roman" w:eastAsia="Times New Roman" w:hint="default"/>
        </w:rPr>
        <w:t>”</w:t>
      </w:r>
      <w:r>
        <w:rPr/>
        <w:t>的开发工作 项目目的：</w:t>
      </w:r>
    </w:p>
    <w:p>
      <w:pPr>
        <w:pStyle w:val="BodyText"/>
        <w:spacing w:line="302" w:lineRule="auto" w:before="41"/>
        <w:ind w:right="1126" w:firstLine="360"/>
        <w:jc w:val="both"/>
      </w:pPr>
      <w:r>
        <w:rPr>
          <w:rFonts w:ascii="Times New Roman" w:hAnsi="Times New Roman" w:cs="Times New Roman" w:eastAsia="Times New Roman" w:hint="default"/>
        </w:rPr>
        <w:t>“</w:t>
      </w:r>
      <w:r>
        <w:rPr/>
        <w:t>微治理空间</w:t>
      </w:r>
      <w:r>
        <w:rPr>
          <w:rFonts w:ascii="Times New Roman" w:hAnsi="Times New Roman" w:cs="Times New Roman" w:eastAsia="Times New Roman" w:hint="default"/>
        </w:rPr>
        <w:t>”</w:t>
      </w:r>
      <w:r>
        <w:rPr/>
        <w:t>是枫调理顺公司与腾讯深度合作，致力于将腾讯政法类的服务进行整合，集成入一个标准的智能化</w:t>
      </w:r>
      <w:r>
        <w:rPr>
          <w:rFonts w:ascii="Times New Roman" w:hAnsi="Times New Roman" w:cs="Times New Roman" w:eastAsia="Times New Roman" w:hint="default"/>
        </w:rPr>
        <w:t>“</w:t>
      </w:r>
      <w:r>
        <w:rPr/>
        <w:t>微空</w:t>
      </w:r>
      <w:r>
        <w:rPr>
          <w:spacing w:val="1"/>
        </w:rPr>
        <w:t> </w:t>
      </w:r>
      <w:r>
        <w:rPr/>
        <w:t>间</w:t>
      </w:r>
      <w:r>
        <w:rPr>
          <w:rFonts w:ascii="Times New Roman" w:hAnsi="Times New Roman" w:cs="Times New Roman" w:eastAsia="Times New Roman" w:hint="default"/>
        </w:rPr>
        <w:t>”</w:t>
      </w:r>
      <w:r>
        <w:rPr/>
        <w:t>，将专业的政法服务触达到基层社会治理关键单元。</w:t>
      </w:r>
    </w:p>
    <w:p>
      <w:pPr>
        <w:pStyle w:val="BodyText"/>
        <w:spacing w:line="357" w:lineRule="auto" w:before="52"/>
        <w:ind w:left="514" w:right="0"/>
        <w:jc w:val="left"/>
      </w:pPr>
      <w:r>
        <w:rPr/>
        <w:t>拟达到的目标： </w:t>
      </w:r>
      <w:r>
        <w:rPr>
          <w:spacing w:val="-3"/>
        </w:rPr>
        <w:t>通过</w:t>
      </w:r>
      <w:r>
        <w:rPr>
          <w:rFonts w:ascii="Times New Roman" w:hAnsi="Times New Roman" w:cs="Times New Roman" w:eastAsia="Times New Roman" w:hint="default"/>
          <w:spacing w:val="-3"/>
        </w:rPr>
        <w:t>“</w:t>
      </w:r>
      <w:r>
        <w:rPr>
          <w:spacing w:val="-3"/>
        </w:rPr>
        <w:t>微治理空间</w:t>
      </w:r>
      <w:r>
        <w:rPr>
          <w:rFonts w:ascii="Times New Roman" w:hAnsi="Times New Roman" w:cs="Times New Roman" w:eastAsia="Times New Roman" w:hint="default"/>
          <w:spacing w:val="-3"/>
        </w:rPr>
        <w:t>”</w:t>
      </w:r>
      <w:r>
        <w:rPr>
          <w:spacing w:val="-3"/>
        </w:rPr>
        <w:t>，充分整合腾讯系的政法类业务，并集成入一个</w:t>
      </w:r>
      <w:r>
        <w:rPr>
          <w:rFonts w:ascii="Times New Roman" w:hAnsi="Times New Roman" w:cs="Times New Roman" w:eastAsia="Times New Roman" w:hint="default"/>
          <w:spacing w:val="-3"/>
        </w:rPr>
        <w:t>“</w:t>
      </w:r>
      <w:r>
        <w:rPr>
          <w:spacing w:val="-3"/>
        </w:rPr>
        <w:t>智能微空间</w:t>
      </w:r>
      <w:r>
        <w:rPr>
          <w:rFonts w:ascii="Times New Roman" w:hAnsi="Times New Roman" w:cs="Times New Roman" w:eastAsia="Times New Roman" w:hint="default"/>
          <w:spacing w:val="-3"/>
        </w:rPr>
        <w:t>”</w:t>
      </w:r>
      <w:r>
        <w:rPr>
          <w:spacing w:val="-3"/>
        </w:rPr>
        <w:t>，从而大幅降低业务创新的开发工作量，</w:t>
      </w:r>
    </w:p>
    <w:p>
      <w:pPr>
        <w:pStyle w:val="BodyText"/>
        <w:spacing w:line="202" w:lineRule="exact"/>
        <w:ind w:right="0"/>
        <w:jc w:val="left"/>
      </w:pPr>
      <w:r>
        <w:rPr/>
        <w:t>并完成腾讯微信小程序生态下的相关业务有效触达一线客户，提供高效、高质量的专业服务空间。</w:t>
      </w:r>
    </w:p>
    <w:p>
      <w:pPr>
        <w:pStyle w:val="BodyText"/>
        <w:spacing w:line="240" w:lineRule="auto" w:before="116"/>
        <w:ind w:left="514" w:right="0"/>
        <w:jc w:val="left"/>
      </w:pPr>
      <w:r>
        <w:rPr/>
        <w:t>预计对未来发展影响：</w:t>
      </w:r>
    </w:p>
    <w:p>
      <w:pPr>
        <w:pStyle w:val="BodyText"/>
        <w:spacing w:line="302" w:lineRule="auto" w:before="116"/>
        <w:ind w:left="153" w:right="1131" w:firstLine="433"/>
        <w:jc w:val="both"/>
      </w:pPr>
      <w:r>
        <w:rPr>
          <w:rFonts w:ascii="Times New Roman" w:hAnsi="Times New Roman" w:cs="Times New Roman" w:eastAsia="Times New Roman" w:hint="default"/>
        </w:rPr>
        <w:t>“</w:t>
      </w:r>
      <w:r>
        <w:rPr/>
        <w:t>微治理空间</w:t>
      </w:r>
      <w:r>
        <w:rPr>
          <w:rFonts w:ascii="Times New Roman" w:hAnsi="Times New Roman" w:cs="Times New Roman" w:eastAsia="Times New Roman" w:hint="default"/>
        </w:rPr>
        <w:t>”</w:t>
      </w:r>
      <w:r>
        <w:rPr/>
        <w:t>将成为基层社会治理现代化工作中的</w:t>
      </w:r>
      <w:r>
        <w:rPr>
          <w:rFonts w:ascii="Times New Roman" w:hAnsi="Times New Roman" w:cs="Times New Roman" w:eastAsia="Times New Roman" w:hint="default"/>
        </w:rPr>
        <w:t>“</w:t>
      </w:r>
      <w:r>
        <w:rPr/>
        <w:t>新型基础设施建设</w:t>
      </w:r>
      <w:r>
        <w:rPr>
          <w:rFonts w:ascii="Times New Roman" w:hAnsi="Times New Roman" w:cs="Times New Roman" w:eastAsia="Times New Roman" w:hint="default"/>
        </w:rPr>
        <w:t>”</w:t>
      </w:r>
      <w:r>
        <w:rPr/>
        <w:t>工程之一，成为基层社会治理过程中政法服务 能力向基层延伸的重要手段，将政法服务工作进社区、进园区、进学校、进政府，完成政法的基层治理服务充分触达。</w:t>
      </w:r>
    </w:p>
    <w:p>
      <w:pPr>
        <w:pStyle w:val="BodyText"/>
        <w:spacing w:line="338" w:lineRule="auto" w:before="69"/>
        <w:ind w:left="514" w:right="5280"/>
        <w:jc w:val="left"/>
      </w:pPr>
      <w:r>
        <w:rPr>
          <w:rFonts w:ascii="Times New Roman" w:hAnsi="Times New Roman" w:cs="Times New Roman" w:eastAsia="Times New Roman" w:hint="default"/>
        </w:rPr>
        <w:t>8</w:t>
      </w:r>
      <w:r>
        <w:rPr/>
        <w:t>、</w:t>
      </w:r>
      <w:r>
        <w:rPr>
          <w:rFonts w:ascii="Times New Roman" w:hAnsi="Times New Roman" w:cs="Times New Roman" w:eastAsia="Times New Roman" w:hint="default"/>
        </w:rPr>
        <w:t>“</w:t>
      </w:r>
      <w:r>
        <w:rPr/>
        <w:t>基层社会治理人才教育培训课程体系及学习平台</w:t>
      </w:r>
      <w:r>
        <w:rPr>
          <w:rFonts w:ascii="Times New Roman" w:hAnsi="Times New Roman" w:cs="Times New Roman" w:eastAsia="Times New Roman" w:hint="default"/>
        </w:rPr>
        <w:t>”</w:t>
      </w:r>
      <w:r>
        <w:rPr/>
        <w:t>的开发工作 项目目的：</w:t>
      </w:r>
    </w:p>
    <w:p>
      <w:pPr>
        <w:pStyle w:val="BodyText"/>
        <w:spacing w:line="309" w:lineRule="auto" w:before="42"/>
        <w:ind w:right="1131" w:firstLine="300"/>
        <w:jc w:val="both"/>
      </w:pPr>
      <w:r>
        <w:rPr>
          <w:rFonts w:ascii="Times New Roman" w:hAnsi="Times New Roman" w:cs="Times New Roman" w:eastAsia="Times New Roman" w:hint="default"/>
        </w:rPr>
        <w:t>“</w:t>
      </w:r>
      <w:r>
        <w:rPr/>
        <w:t>基层社会治理人才教育培训课程体系及学习平台</w:t>
      </w:r>
      <w:r>
        <w:rPr>
          <w:rFonts w:ascii="Times New Roman" w:hAnsi="Times New Roman" w:cs="Times New Roman" w:eastAsia="Times New Roman" w:hint="default"/>
        </w:rPr>
        <w:t>”</w:t>
      </w:r>
      <w:r>
        <w:rPr/>
        <w:t>是公司基于对基层社会治理的深度认知，对基础社会治理人才，包括 </w:t>
      </w:r>
      <w:r>
        <w:rPr>
          <w:spacing w:val="-2"/>
        </w:rPr>
        <w:t>调解员、网格员、社工等关键基层力量，进行基础能力培养和持续学习支持的重要平台，也将会迅速拓展到全国，形成新的</w:t>
      </w:r>
      <w:r>
        <w:rPr>
          <w:spacing w:val="-66"/>
        </w:rPr>
        <w:t> </w:t>
      </w:r>
      <w:r>
        <w:rPr>
          <w:spacing w:val="-66"/>
        </w:rPr>
      </w:r>
      <w:r>
        <w:rPr/>
        <w:t>业务增长点。</w:t>
      </w:r>
    </w:p>
    <w:p>
      <w:pPr>
        <w:pStyle w:val="BodyText"/>
        <w:spacing w:line="357" w:lineRule="auto" w:before="64"/>
        <w:ind w:left="514" w:right="0"/>
        <w:jc w:val="left"/>
      </w:pPr>
      <w:r>
        <w:rPr/>
        <w:t>拟达到的目标： </w:t>
      </w:r>
      <w:r>
        <w:rPr>
          <w:spacing w:val="-2"/>
        </w:rPr>
        <w:t>开发调解员、网格员、社工等基层社会治理主要基层力量，对其主要工作职能及职业发展，针对国家政策要求和自身发</w:t>
      </w:r>
    </w:p>
    <w:p>
      <w:pPr>
        <w:pStyle w:val="BodyText"/>
        <w:spacing w:line="224" w:lineRule="exact"/>
        <w:ind w:right="0"/>
        <w:jc w:val="left"/>
      </w:pPr>
      <w:r>
        <w:rPr/>
        <w:t>展的特点，进行详细设计与规划，开发专业课程与教材，并配套专业在线教育学习运营服务平台，结合基层学习特点，对基</w:t>
      </w:r>
    </w:p>
    <w:p>
      <w:pPr>
        <w:pStyle w:val="BodyText"/>
        <w:spacing w:line="360" w:lineRule="auto" w:before="77"/>
        <w:ind w:left="514" w:right="6610" w:hanging="360"/>
        <w:jc w:val="left"/>
      </w:pPr>
      <w:r>
        <w:rPr/>
        <w:t>层治理力量持续提升工作能力，加强基层治理效果。 预计对未来发展影响：</w:t>
      </w:r>
    </w:p>
    <w:p>
      <w:pPr>
        <w:pStyle w:val="BodyText"/>
        <w:spacing w:line="300" w:lineRule="auto" w:before="25"/>
        <w:ind w:right="0" w:firstLine="300"/>
        <w:jc w:val="left"/>
      </w:pPr>
      <w:r>
        <w:rPr>
          <w:rFonts w:ascii="Times New Roman" w:hAnsi="Times New Roman" w:cs="Times New Roman" w:eastAsia="Times New Roman" w:hint="default"/>
        </w:rPr>
        <w:t>“</w:t>
      </w:r>
      <w:r>
        <w:rPr/>
        <w:t>基层社会治理人才教育培训课程体系及学习平台</w:t>
      </w:r>
      <w:r>
        <w:rPr>
          <w:rFonts w:ascii="Times New Roman" w:hAnsi="Times New Roman" w:cs="Times New Roman" w:eastAsia="Times New Roman" w:hint="default"/>
        </w:rPr>
        <w:t>”</w:t>
      </w:r>
      <w:r>
        <w:rPr/>
        <w:t>将会成为基层社会治理现代化工作中</w:t>
      </w:r>
      <w:r>
        <w:rPr>
          <w:rFonts w:ascii="Times New Roman" w:hAnsi="Times New Roman" w:cs="Times New Roman" w:eastAsia="Times New Roman" w:hint="default"/>
        </w:rPr>
        <w:t>“</w:t>
      </w:r>
      <w:r>
        <w:rPr/>
        <w:t>人才队伍建设工作</w:t>
      </w:r>
      <w:r>
        <w:rPr>
          <w:rFonts w:ascii="Times New Roman" w:hAnsi="Times New Roman" w:cs="Times New Roman" w:eastAsia="Times New Roman" w:hint="default"/>
        </w:rPr>
        <w:t>”</w:t>
      </w:r>
      <w:r>
        <w:rPr/>
        <w:t>的基础服务 </w:t>
      </w:r>
      <w:r>
        <w:rPr>
          <w:spacing w:val="-2"/>
        </w:rPr>
        <w:t>之一，为调解员、网格员、社工这个最大基层治理主要力量，提供持续能力提升的专业内容服务平台。预计在未来的</w:t>
      </w:r>
      <w:r>
        <w:rPr>
          <w:rFonts w:ascii="Times New Roman" w:hAnsi="Times New Roman" w:cs="Times New Roman" w:eastAsia="Times New Roman" w:hint="default"/>
          <w:spacing w:val="-2"/>
        </w:rPr>
        <w:t>3</w:t>
      </w:r>
      <w:r>
        <w:rPr>
          <w:spacing w:val="-2"/>
        </w:rPr>
        <w:t>年内，</w:t>
      </w:r>
      <w:r>
        <w:rPr>
          <w:spacing w:val="-65"/>
        </w:rPr>
        <w:t> </w:t>
      </w:r>
      <w:r>
        <w:rPr/>
        <w:t>将覆盖全国不少于</w:t>
      </w:r>
      <w:r>
        <w:rPr>
          <w:rFonts w:ascii="Times New Roman" w:hAnsi="Times New Roman" w:cs="Times New Roman" w:eastAsia="Times New Roman" w:hint="default"/>
        </w:rPr>
        <w:t>30%</w:t>
      </w:r>
      <w:r>
        <w:rPr/>
        <w:t>的基层社会治理力量的教育培训工作，每年有望达到数十万人的培训规模。</w:t>
      </w:r>
    </w:p>
    <w:p>
      <w:pPr>
        <w:pStyle w:val="BodyText"/>
        <w:spacing w:line="340" w:lineRule="auto" w:before="52"/>
        <w:ind w:left="514" w:right="7130" w:hanging="70"/>
        <w:jc w:val="left"/>
      </w:pPr>
      <w:r>
        <w:rPr>
          <w:rFonts w:ascii="Times New Roman" w:hAnsi="Times New Roman" w:cs="Times New Roman" w:eastAsia="Times New Roman" w:hint="default"/>
        </w:rPr>
        <w:t>9</w:t>
      </w:r>
      <w:r>
        <w:rPr/>
        <w:t>、单用途消费储值卡风险防范系统的开发 项目目的：</w:t>
      </w:r>
    </w:p>
    <w:p>
      <w:pPr>
        <w:spacing w:after="0" w:line="340"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153" w:right="1128" w:firstLine="360"/>
        <w:jc w:val="both"/>
      </w:pPr>
      <w:r>
        <w:rPr>
          <w:rFonts w:ascii="Times New Roman" w:hAnsi="Times New Roman" w:cs="Times New Roman" w:eastAsia="Times New Roman" w:hint="default"/>
        </w:rPr>
        <w:t>“</w:t>
      </w:r>
      <w:r>
        <w:rPr/>
        <w:t>单用途消费储值卡风险防范系统</w:t>
      </w:r>
      <w:r>
        <w:rPr>
          <w:rFonts w:ascii="Times New Roman" w:hAnsi="Times New Roman" w:cs="Times New Roman" w:eastAsia="Times New Roman" w:hint="default"/>
        </w:rPr>
        <w:t>”</w:t>
      </w:r>
      <w:r>
        <w:rPr/>
        <w:t>是枫调理顺公司在社会治理辅助服务运营商定位下，针对</w:t>
      </w:r>
      <w:r>
        <w:rPr>
          <w:rFonts w:ascii="Times New Roman" w:hAnsi="Times New Roman" w:cs="Times New Roman" w:eastAsia="Times New Roman" w:hint="default"/>
        </w:rPr>
        <w:t>“</w:t>
      </w:r>
      <w:r>
        <w:rPr/>
        <w:t>单用途消费储值卡社会风 险防范</w:t>
      </w:r>
      <w:r>
        <w:rPr>
          <w:rFonts w:ascii="Times New Roman" w:hAnsi="Times New Roman" w:cs="Times New Roman" w:eastAsia="Times New Roman" w:hint="default"/>
        </w:rPr>
        <w:t>”</w:t>
      </w:r>
      <w:r>
        <w:rPr/>
        <w:t>这一类型化基层社会治理场景，充分应用</w:t>
      </w:r>
      <w:r>
        <w:rPr>
          <w:rFonts w:ascii="Times New Roman" w:hAnsi="Times New Roman" w:cs="Times New Roman" w:eastAsia="Times New Roman" w:hint="default"/>
        </w:rPr>
        <w:t>“</w:t>
      </w:r>
      <w:r>
        <w:rPr/>
        <w:t>至信链</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多元化解</w:t>
      </w:r>
      <w:r>
        <w:rPr>
          <w:rFonts w:ascii="Times New Roman" w:hAnsi="Times New Roman" w:cs="Times New Roman" w:eastAsia="Times New Roman" w:hint="default"/>
        </w:rPr>
        <w:t>ODR”</w:t>
      </w:r>
      <w:r>
        <w:rPr/>
        <w:t>、</w:t>
      </w:r>
      <w:r>
        <w:rPr>
          <w:rFonts w:ascii="Times New Roman" w:hAnsi="Times New Roman" w:cs="Times New Roman" w:eastAsia="Times New Roman" w:hint="default"/>
        </w:rPr>
        <w:t>“</w:t>
      </w:r>
      <w:r>
        <w:rPr/>
        <w:t>专业解纷人才培养</w:t>
      </w:r>
      <w:r>
        <w:rPr>
          <w:rFonts w:ascii="Times New Roman" w:hAnsi="Times New Roman" w:cs="Times New Roman" w:eastAsia="Times New Roman" w:hint="default"/>
        </w:rPr>
        <w:t>”</w:t>
      </w:r>
      <w:r>
        <w:rPr/>
        <w:t>等基层社会治理基础服</w:t>
      </w:r>
      <w:r>
        <w:rPr>
          <w:spacing w:val="-47"/>
        </w:rPr>
        <w:t> </w:t>
      </w:r>
      <w:r>
        <w:rPr>
          <w:spacing w:val="-47"/>
        </w:rPr>
      </w:r>
      <w:r>
        <w:rPr/>
        <w:t>务手段，完成对</w:t>
      </w:r>
      <w:r>
        <w:rPr>
          <w:rFonts w:ascii="Times New Roman" w:hAnsi="Times New Roman" w:cs="Times New Roman" w:eastAsia="Times New Roman" w:hint="default"/>
        </w:rPr>
        <w:t>“</w:t>
      </w:r>
      <w:r>
        <w:rPr/>
        <w:t>单用途预付消费卡跑路</w:t>
      </w:r>
      <w:r>
        <w:rPr>
          <w:rFonts w:ascii="Times New Roman" w:hAnsi="Times New Roman" w:cs="Times New Roman" w:eastAsia="Times New Roman" w:hint="default"/>
        </w:rPr>
        <w:t>”</w:t>
      </w:r>
      <w:r>
        <w:rPr/>
        <w:t>这一基层乱象进行针对性解决的一体化解决方案。</w:t>
      </w:r>
    </w:p>
    <w:p>
      <w:pPr>
        <w:pStyle w:val="BodyText"/>
        <w:spacing w:line="240" w:lineRule="auto" w:before="52"/>
        <w:ind w:left="514" w:right="0"/>
        <w:jc w:val="left"/>
      </w:pPr>
      <w:r>
        <w:rPr/>
        <w:t>拟达到的目标：</w:t>
      </w:r>
    </w:p>
    <w:p>
      <w:pPr>
        <w:pStyle w:val="BodyText"/>
        <w:spacing w:line="309" w:lineRule="auto" w:before="116"/>
        <w:ind w:right="1129" w:firstLine="360"/>
        <w:jc w:val="both"/>
      </w:pPr>
      <w:r>
        <w:rPr>
          <w:rFonts w:ascii="Times New Roman" w:hAnsi="Times New Roman" w:cs="Times New Roman" w:eastAsia="Times New Roman" w:hint="default"/>
          <w:spacing w:val="-2"/>
        </w:rPr>
        <w:t>“</w:t>
      </w:r>
      <w:r>
        <w:rPr>
          <w:spacing w:val="-2"/>
        </w:rPr>
        <w:t>单用途消费储值卡风险防范系统</w:t>
      </w:r>
      <w:r>
        <w:rPr>
          <w:rFonts w:ascii="Times New Roman" w:hAnsi="Times New Roman" w:cs="Times New Roman" w:eastAsia="Times New Roman" w:hint="default"/>
          <w:spacing w:val="-2"/>
        </w:rPr>
        <w:t>”</w:t>
      </w:r>
      <w:r>
        <w:rPr>
          <w:spacing w:val="-2"/>
        </w:rPr>
        <w:t>希望能够通过可信消费记录的方式，完成商家和消费者之间服务消费过程的全程留痕</w:t>
      </w:r>
      <w:r>
        <w:rPr/>
        <w:t> </w:t>
      </w:r>
      <w:r>
        <w:rPr>
          <w:spacing w:val="-2"/>
        </w:rPr>
        <w:t>存证，并通过金融和保险的手段，完成预付费卡的资金管控和跑路风险对冲，一旦发生投诉或跑路的情况，一方面可以为行</w:t>
      </w:r>
      <w:r>
        <w:rPr>
          <w:spacing w:val="-66"/>
        </w:rPr>
        <w:t> </w:t>
      </w:r>
      <w:r>
        <w:rPr>
          <w:spacing w:val="-66"/>
        </w:rPr>
      </w:r>
      <w:r>
        <w:rPr/>
        <w:t>政和司法对该纠纷处置提供关键依据，另一方面也可以通过社会金融和保险手段，降低消费者和社会损失。</w:t>
      </w:r>
    </w:p>
    <w:p>
      <w:pPr>
        <w:pStyle w:val="BodyText"/>
        <w:spacing w:line="240" w:lineRule="auto" w:before="64"/>
        <w:ind w:left="514" w:right="0"/>
        <w:jc w:val="left"/>
      </w:pPr>
      <w:r>
        <w:rPr/>
        <w:t>预计对未来发展影响：</w:t>
      </w:r>
    </w:p>
    <w:p>
      <w:pPr>
        <w:pStyle w:val="BodyText"/>
        <w:spacing w:line="307" w:lineRule="auto" w:before="115"/>
        <w:ind w:right="1128" w:firstLine="360"/>
        <w:jc w:val="both"/>
      </w:pPr>
      <w:r>
        <w:rPr>
          <w:rFonts w:ascii="Times New Roman" w:hAnsi="Times New Roman" w:cs="Times New Roman" w:eastAsia="Times New Roman" w:hint="default"/>
          <w:spacing w:val="-2"/>
        </w:rPr>
        <w:t>“</w:t>
      </w:r>
      <w:r>
        <w:rPr>
          <w:spacing w:val="-2"/>
        </w:rPr>
        <w:t>单用途消费储值卡风险防范系统</w:t>
      </w:r>
      <w:r>
        <w:rPr>
          <w:rFonts w:ascii="Times New Roman" w:hAnsi="Times New Roman" w:cs="Times New Roman" w:eastAsia="Times New Roman" w:hint="default"/>
          <w:spacing w:val="-2"/>
        </w:rPr>
        <w:t>”</w:t>
      </w:r>
      <w:r>
        <w:rPr>
          <w:spacing w:val="-2"/>
        </w:rPr>
        <w:t>对单用途消费储值卡发卡市场具有重要影响力，在政府和司法的有效背书下，一方面</w:t>
      </w:r>
      <w:r>
        <w:rPr/>
        <w:t> </w:t>
      </w:r>
      <w:r>
        <w:rPr>
          <w:spacing w:val="-2"/>
        </w:rPr>
        <w:t>规范了该市场的全流程交易行为的合规性，另一方面通过引入社会金融和商业保险手段，提升该市场的市场活跃性，既增强</w:t>
      </w:r>
      <w:r>
        <w:rPr>
          <w:spacing w:val="-66"/>
        </w:rPr>
        <w:t> </w:t>
      </w:r>
      <w:r>
        <w:rPr>
          <w:spacing w:val="-66"/>
        </w:rPr>
      </w:r>
      <w:r>
        <w:rPr/>
        <w:t>了商家抵御经营风险的能力，同时也提升了消费者预付费服务资金的安全性。在未来的</w:t>
      </w:r>
      <w:r>
        <w:rPr>
          <w:rFonts w:ascii="Times New Roman" w:hAnsi="Times New Roman" w:cs="Times New Roman" w:eastAsia="Times New Roman" w:hint="default"/>
        </w:rPr>
        <w:t>3</w:t>
      </w:r>
      <w:r>
        <w:rPr/>
        <w:t>年内，完成不少于</w:t>
      </w:r>
      <w:r>
        <w:rPr>
          <w:rFonts w:ascii="Times New Roman" w:hAnsi="Times New Roman" w:cs="Times New Roman" w:eastAsia="Times New Roman" w:hint="default"/>
        </w:rPr>
        <w:t>10</w:t>
      </w:r>
      <w:r>
        <w:rPr/>
        <w:t>个城市的试点</w:t>
      </w:r>
      <w:r>
        <w:rPr>
          <w:spacing w:val="-84"/>
        </w:rPr>
        <w:t> </w:t>
      </w:r>
      <w:r>
        <w:rPr>
          <w:spacing w:val="-84"/>
        </w:rPr>
      </w:r>
      <w:r>
        <w:rPr/>
        <w:t>推广。</w:t>
      </w:r>
    </w:p>
    <w:p>
      <w:pPr>
        <w:pStyle w:val="BodyText"/>
        <w:spacing w:line="240" w:lineRule="auto" w:before="67"/>
        <w:ind w:left="514" w:right="0"/>
        <w:jc w:val="left"/>
        <w:rPr>
          <w:rFonts w:ascii="Times New Roman" w:hAnsi="Times New Roman" w:cs="Times New Roman" w:eastAsia="Times New Roman" w:hint="default"/>
        </w:rPr>
      </w:pPr>
      <w:r>
        <w:rPr>
          <w:rFonts w:ascii="Times New Roman" w:hAnsi="Times New Roman" w:cs="Times New Roman" w:eastAsia="Times New Roman" w:hint="default"/>
        </w:rPr>
        <w:t>10</w:t>
      </w:r>
      <w:r>
        <w:rPr/>
        <w:t>、</w:t>
      </w:r>
      <w:r>
        <w:rPr>
          <w:rFonts w:ascii="Times New Roman" w:hAnsi="Times New Roman" w:cs="Times New Roman" w:eastAsia="Times New Roman" w:hint="default"/>
        </w:rPr>
        <w:t>RPA</w:t>
      </w:r>
      <w:r>
        <w:rPr/>
        <w:t>流程机器人</w:t>
      </w:r>
      <w:r>
        <w:rPr>
          <w:rFonts w:ascii="Times New Roman" w:hAnsi="Times New Roman" w:cs="Times New Roman" w:eastAsia="Times New Roman" w:hint="default"/>
        </w:rPr>
        <w:t>+AI</w:t>
      </w:r>
    </w:p>
    <w:p>
      <w:pPr>
        <w:pStyle w:val="BodyText"/>
        <w:spacing w:line="357" w:lineRule="auto" w:before="102"/>
        <w:ind w:left="514" w:right="1117"/>
        <w:jc w:val="left"/>
      </w:pPr>
      <w:r>
        <w:rPr/>
        <w:t>项目目的： </w:t>
      </w:r>
      <w:r>
        <w:rPr>
          <w:spacing w:val="-2"/>
        </w:rPr>
        <w:t>随着各类企业业务不断发展，工作效率的提升往往跟不上业务的发展速度，并且由于人力成本的不断攀升，信息化程度</w:t>
      </w:r>
    </w:p>
    <w:p>
      <w:pPr>
        <w:pStyle w:val="BodyText"/>
        <w:spacing w:line="237" w:lineRule="exact"/>
        <w:ind w:right="0"/>
        <w:jc w:val="left"/>
        <w:rPr>
          <w:rFonts w:ascii="Times New Roman" w:hAnsi="Times New Roman" w:cs="Times New Roman" w:eastAsia="Times New Roman" w:hint="default"/>
        </w:rPr>
      </w:pPr>
      <w:r>
        <w:rPr/>
        <w:t>的越来越高，催生了各企业对于</w:t>
      </w:r>
      <w:r>
        <w:rPr>
          <w:rFonts w:ascii="Times New Roman" w:hAnsi="Times New Roman" w:cs="Times New Roman" w:eastAsia="Times New Roman" w:hint="default"/>
        </w:rPr>
        <w:t>RPA</w:t>
      </w:r>
      <w:r>
        <w:rPr/>
        <w:t>流程机器人替代繁琐人工劳动的广泛需求，基于</w:t>
      </w:r>
      <w:r>
        <w:rPr>
          <w:rFonts w:ascii="Times New Roman" w:hAnsi="Times New Roman" w:cs="Times New Roman" w:eastAsia="Times New Roman" w:hint="default"/>
        </w:rPr>
        <w:t>AI</w:t>
      </w:r>
      <w:r>
        <w:rPr/>
        <w:t>、大数据等技术的企业和个人</w:t>
      </w:r>
      <w:r>
        <w:rPr>
          <w:rFonts w:ascii="Times New Roman" w:hAnsi="Times New Roman" w:cs="Times New Roman" w:eastAsia="Times New Roman" w:hint="default"/>
        </w:rPr>
        <w:t>RPA</w:t>
      </w:r>
    </w:p>
    <w:p>
      <w:pPr>
        <w:pStyle w:val="BodyText"/>
        <w:spacing w:line="302" w:lineRule="auto" w:before="63"/>
        <w:ind w:right="0"/>
        <w:jc w:val="left"/>
      </w:pPr>
      <w:r>
        <w:rPr/>
        <w:t>智能助手，将是未来事务处理的必然趋势。</w:t>
      </w:r>
      <w:r>
        <w:rPr>
          <w:rFonts w:ascii="Times New Roman" w:hAnsi="Times New Roman" w:cs="Times New Roman" w:eastAsia="Times New Roman" w:hint="default"/>
        </w:rPr>
        <w:t>“RPA</w:t>
      </w:r>
      <w:r>
        <w:rPr/>
        <w:t>流程机器人</w:t>
      </w:r>
      <w:r>
        <w:rPr>
          <w:rFonts w:ascii="Times New Roman" w:hAnsi="Times New Roman" w:cs="Times New Roman" w:eastAsia="Times New Roman" w:hint="default"/>
        </w:rPr>
        <w:t>+AI”</w:t>
      </w:r>
      <w:r>
        <w:rPr/>
        <w:t>产品的研发，迎合了市场的需求，将成为各类企业信息化</w:t>
      </w:r>
      <w:r>
        <w:rPr>
          <w:spacing w:val="-82"/>
        </w:rPr>
        <w:t> </w:t>
      </w:r>
      <w:r>
        <w:rPr>
          <w:spacing w:val="-82"/>
        </w:rPr>
      </w:r>
      <w:r>
        <w:rPr/>
        <w:t>应用的重要组成部分。</w:t>
      </w:r>
    </w:p>
    <w:p>
      <w:pPr>
        <w:pStyle w:val="BodyText"/>
        <w:spacing w:line="357" w:lineRule="auto" w:before="70"/>
        <w:ind w:left="514" w:right="0"/>
        <w:jc w:val="left"/>
      </w:pPr>
      <w:r>
        <w:rPr/>
        <w:t>拟达到的目标： </w:t>
      </w:r>
      <w:r>
        <w:rPr>
          <w:spacing w:val="-2"/>
        </w:rPr>
        <w:t>通过实现全组件流程引擎技术、端到端机器人集群控制技术、多模态界面认知技术、异步自动执行技术、多进程异常处</w:t>
      </w:r>
    </w:p>
    <w:p>
      <w:pPr>
        <w:pStyle w:val="BodyText"/>
        <w:spacing w:line="224" w:lineRule="exact"/>
        <w:ind w:right="0"/>
        <w:jc w:val="left"/>
      </w:pPr>
      <w:r>
        <w:rPr/>
        <w:t>理技术、智能处理技术和视觉处理技术，为政府、事业单位、大中型企业的各类事务性工作提供智能支持，提高效率，提升</w:t>
      </w:r>
    </w:p>
    <w:p>
      <w:pPr>
        <w:pStyle w:val="BodyText"/>
        <w:spacing w:line="240" w:lineRule="auto" w:before="77"/>
        <w:ind w:right="0"/>
        <w:jc w:val="left"/>
      </w:pPr>
      <w:r>
        <w:rPr/>
        <w:t>客户体验度。</w:t>
      </w:r>
    </w:p>
    <w:p>
      <w:pPr>
        <w:pStyle w:val="BodyText"/>
        <w:spacing w:line="240" w:lineRule="auto" w:before="116"/>
        <w:ind w:left="514" w:right="0"/>
        <w:jc w:val="left"/>
      </w:pPr>
      <w:r>
        <w:rPr/>
        <w:t>预期对未来的影响：</w:t>
      </w:r>
    </w:p>
    <w:p>
      <w:pPr>
        <w:pStyle w:val="BodyText"/>
        <w:spacing w:line="300" w:lineRule="auto" w:before="116"/>
        <w:ind w:right="1127" w:firstLine="360"/>
        <w:jc w:val="both"/>
      </w:pPr>
      <w:r>
        <w:rPr>
          <w:rFonts w:ascii="Times New Roman" w:hAnsi="Times New Roman" w:cs="Times New Roman" w:eastAsia="Times New Roman" w:hint="default"/>
        </w:rPr>
        <w:t>“RPA</w:t>
      </w:r>
      <w:r>
        <w:rPr/>
        <w:t>流程机器人</w:t>
      </w:r>
      <w:r>
        <w:rPr>
          <w:rFonts w:ascii="Times New Roman" w:hAnsi="Times New Roman" w:cs="Times New Roman" w:eastAsia="Times New Roman" w:hint="default"/>
        </w:rPr>
        <w:t>+AI”</w:t>
      </w:r>
      <w:r>
        <w:rPr/>
        <w:t>产品，以实现</w:t>
      </w:r>
      <w:r>
        <w:rPr>
          <w:rFonts w:ascii="Times New Roman" w:hAnsi="Times New Roman" w:cs="Times New Roman" w:eastAsia="Times New Roman" w:hint="default"/>
        </w:rPr>
        <w:t>“</w:t>
      </w:r>
      <w:r>
        <w:rPr/>
        <w:t>改善业务流程</w:t>
      </w:r>
      <w:r>
        <w:rPr>
          <w:rFonts w:ascii="Times New Roman" w:hAnsi="Times New Roman" w:cs="Times New Roman" w:eastAsia="Times New Roman" w:hint="default"/>
        </w:rPr>
        <w:t>”</w:t>
      </w:r>
      <w:r>
        <w:rPr/>
        <w:t>为目标，将各类型顾客的业务流程通过机器人进行自动化操作，将</w:t>
      </w:r>
      <w:r>
        <w:rPr>
          <w:spacing w:val="1"/>
        </w:rPr>
        <w:t> </w:t>
      </w:r>
      <w:r>
        <w:rPr/>
        <w:t>有效改善客户的业务流程，提高工作效率，降低客户成本，建立生态体系，为客户提供高水平</w:t>
      </w:r>
      <w:r>
        <w:rPr>
          <w:rFonts w:ascii="Times New Roman" w:hAnsi="Times New Roman" w:cs="Times New Roman" w:eastAsia="Times New Roman" w:hint="default"/>
        </w:rPr>
        <w:t>“</w:t>
      </w:r>
      <w:r>
        <w:rPr/>
        <w:t>智能</w:t>
      </w:r>
      <w:r>
        <w:rPr>
          <w:rFonts w:ascii="Times New Roman" w:hAnsi="Times New Roman" w:cs="Times New Roman" w:eastAsia="Times New Roman" w:hint="default"/>
        </w:rPr>
        <w:t>+”</w:t>
      </w:r>
      <w:r>
        <w:rPr/>
        <w:t>服务。在信息化程度</w:t>
      </w:r>
      <w:r>
        <w:rPr>
          <w:spacing w:val="-79"/>
        </w:rPr>
        <w:t> </w:t>
      </w:r>
      <w:r>
        <w:rPr>
          <w:spacing w:val="-79"/>
        </w:rPr>
      </w:r>
      <w:r>
        <w:rPr/>
        <w:t>越来越高的未来，</w:t>
      </w:r>
      <w:r>
        <w:rPr>
          <w:rFonts w:ascii="Times New Roman" w:hAnsi="Times New Roman" w:cs="Times New Roman" w:eastAsia="Times New Roman" w:hint="default"/>
        </w:rPr>
        <w:t>“RPA</w:t>
      </w:r>
      <w:r>
        <w:rPr/>
        <w:t>流程机器人</w:t>
      </w:r>
      <w:r>
        <w:rPr>
          <w:rFonts w:ascii="Times New Roman" w:hAnsi="Times New Roman" w:cs="Times New Roman" w:eastAsia="Times New Roman" w:hint="default"/>
        </w:rPr>
        <w:t>+AI”</w:t>
      </w:r>
      <w:r>
        <w:rPr/>
        <w:t>将成为公司业务新的增长点，大幅提升市场占有率，提升企业效益。</w:t>
      </w:r>
    </w:p>
    <w:p>
      <w:pPr>
        <w:pStyle w:val="BodyText"/>
        <w:spacing w:line="338" w:lineRule="auto" w:before="52"/>
        <w:ind w:left="513" w:right="7691"/>
        <w:jc w:val="left"/>
      </w:pPr>
      <w:r>
        <w:rPr>
          <w:rFonts w:ascii="Times New Roman" w:hAnsi="Times New Roman" w:cs="Times New Roman" w:eastAsia="Times New Roman" w:hint="default"/>
        </w:rPr>
        <w:t>11</w:t>
      </w:r>
      <w:r>
        <w:rPr/>
        <w:t>、保险智慧反欺诈统一数据平台 项目目的：</w:t>
      </w:r>
    </w:p>
    <w:p>
      <w:pPr>
        <w:pStyle w:val="BodyText"/>
        <w:spacing w:line="314" w:lineRule="auto" w:before="42"/>
        <w:ind w:left="153" w:right="1129" w:firstLine="360"/>
        <w:jc w:val="both"/>
      </w:pPr>
      <w:r>
        <w:rPr>
          <w:spacing w:val="-2"/>
        </w:rPr>
        <w:t>近年来，数字化正在发生迅速变化，改变着人们，陌生拜访、电话推销、面对面讲解已无法适应新一代消费者在互联网</w:t>
      </w:r>
      <w:r>
        <w:rPr/>
        <w:t> </w:t>
      </w:r>
      <w:r>
        <w:rPr>
          <w:spacing w:val="-2"/>
        </w:rPr>
        <w:t>时代下快节奏的生活方式，他们不再仅仅纠结于保险条款本身，而更愿意为理想的生活方式买单，未来保险业将面临更多碎</w:t>
      </w:r>
      <w:r>
        <w:rPr>
          <w:spacing w:val="-66"/>
        </w:rPr>
        <w:t> </w:t>
      </w:r>
      <w:r>
        <w:rPr>
          <w:spacing w:val="-66"/>
        </w:rPr>
      </w:r>
      <w:r>
        <w:rPr>
          <w:spacing w:val="-2"/>
        </w:rPr>
        <w:t>片化的长尾型客户，以及基于场景的线上化、个性化和定制化服务的需求。这就要求传统保险企业不仅要从运作机制上基于</w:t>
      </w:r>
      <w:r>
        <w:rPr>
          <w:spacing w:val="-66"/>
        </w:rPr>
        <w:t> </w:t>
      </w:r>
      <w:r>
        <w:rPr>
          <w:spacing w:val="-66"/>
        </w:rPr>
      </w:r>
      <w:r>
        <w:rPr>
          <w:spacing w:val="-2"/>
        </w:rPr>
        <w:t>客户行为做出调整，而且要从商业创新思维模式上做出根本性的改变，为客户提供从咨询到购买、从索赔到续保、从投诉到</w:t>
      </w:r>
      <w:r>
        <w:rPr>
          <w:spacing w:val="-66"/>
        </w:rPr>
        <w:t> </w:t>
      </w:r>
      <w:r>
        <w:rPr>
          <w:spacing w:val="-66"/>
        </w:rPr>
      </w:r>
      <w:r>
        <w:rPr>
          <w:spacing w:val="-2"/>
        </w:rPr>
        <w:t>建议，贯穿全渠道的无缝、连续、一站式智能保险服务。与此同时，行业自身发展也遇到了来自互联网保险的冲击和对外开</w:t>
      </w:r>
      <w:r>
        <w:rPr>
          <w:spacing w:val="-66"/>
        </w:rPr>
        <w:t> </w:t>
      </w:r>
      <w:r>
        <w:rPr>
          <w:spacing w:val="-66"/>
        </w:rPr>
      </w:r>
      <w:r>
        <w:rPr/>
        <w:t>放提速带来的业务挑战。逐年递增的巨大业务成交量下，运营成本和效率成为永恒的话题，传统保险企业正期待一个</w:t>
      </w:r>
      <w:r>
        <w:rPr>
          <w:rFonts w:ascii="Times New Roman" w:hAnsi="Times New Roman" w:cs="Times New Roman" w:eastAsia="Times New Roman" w:hint="default"/>
        </w:rPr>
        <w:t>“</w:t>
      </w:r>
      <w:r>
        <w:rPr/>
        <w:t>更理</w:t>
      </w:r>
      <w:r>
        <w:rPr>
          <w:spacing w:val="-79"/>
        </w:rPr>
        <w:t> </w:t>
      </w:r>
      <w:r>
        <w:rPr/>
        <w:t>想的生存方式</w:t>
      </w:r>
      <w:r>
        <w:rPr>
          <w:rFonts w:ascii="Times New Roman" w:hAnsi="Times New Roman" w:cs="Times New Roman" w:eastAsia="Times New Roman" w:hint="default"/>
        </w:rPr>
        <w:t>”</w:t>
      </w:r>
      <w:r>
        <w:rPr/>
        <w:t>。</w:t>
      </w:r>
    </w:p>
    <w:p>
      <w:pPr>
        <w:pStyle w:val="BodyText"/>
        <w:spacing w:line="309" w:lineRule="auto" w:before="39"/>
        <w:ind w:right="1131" w:firstLine="360"/>
        <w:jc w:val="both"/>
      </w:pPr>
      <w:r>
        <w:rPr>
          <w:spacing w:val="-2"/>
        </w:rPr>
        <w:t>在保险行业的这种变化下，价值数据已成为保险行业的核心资产，数据应用形态已从数据分析、决策支持向全面业务支</w:t>
      </w:r>
      <w:r>
        <w:rPr/>
        <w:t> </w:t>
      </w:r>
      <w:r>
        <w:rPr>
          <w:spacing w:val="-2"/>
        </w:rPr>
        <w:t>撑转变，逐渐形成了深度整合和挖掘生产经营活动中所产生的内部数据为主，引入和补充外部数据为辅的数据应用架构，以</w:t>
      </w:r>
      <w:r>
        <w:rPr>
          <w:spacing w:val="-66"/>
        </w:rPr>
        <w:t> </w:t>
      </w:r>
      <w:r>
        <w:rPr>
          <w:spacing w:val="-66"/>
        </w:rPr>
      </w:r>
      <w:r>
        <w:rPr>
          <w:spacing w:val="-2"/>
        </w:rPr>
        <w:t>数据为驱动的数字化转型不断加快，金融产品创新、风险管理和</w:t>
      </w:r>
      <w:r>
        <w:rPr>
          <w:rFonts w:ascii="Times New Roman" w:hAnsi="Times New Roman" w:cs="Times New Roman" w:eastAsia="Times New Roman" w:hint="default"/>
          <w:spacing w:val="-2"/>
        </w:rPr>
        <w:t>IT</w:t>
      </w:r>
      <w:r>
        <w:rPr>
          <w:spacing w:val="-2"/>
        </w:rPr>
        <w:t>治理的能力被极大激发。因此，立足保险行业数字化转型</w:t>
      </w:r>
      <w:r>
        <w:rPr>
          <w:spacing w:val="-52"/>
        </w:rPr>
        <w:t> </w:t>
      </w:r>
      <w:r>
        <w:rPr>
          <w:spacing w:val="-52"/>
        </w:rPr>
      </w:r>
      <w:r>
        <w:rPr/>
        <w:t>需求，以大数据和</w:t>
      </w:r>
      <w:r>
        <w:rPr>
          <w:rFonts w:ascii="Times New Roman" w:hAnsi="Times New Roman" w:cs="Times New Roman" w:eastAsia="Times New Roman" w:hint="default"/>
        </w:rPr>
        <w:t>AI</w:t>
      </w:r>
      <w:r>
        <w:rPr/>
        <w:t>技术为抓手，构建从数据聚合、数据发现、数据挖掘到数据服务的数据价值全生命周期管理架构、</w:t>
      </w:r>
      <w:r>
        <w:rPr>
          <w:spacing w:val="-8"/>
        </w:rPr>
        <w:t> </w:t>
      </w:r>
      <w:r>
        <w:rPr/>
        <w:t>以</w:t>
      </w:r>
      <w:r>
        <w:rPr/>
        <w:t> 数据中台驱动实现</w:t>
      </w:r>
      <w:r>
        <w:rPr>
          <w:rFonts w:ascii="Times New Roman" w:hAnsi="Times New Roman" w:cs="Times New Roman" w:eastAsia="Times New Roman" w:hint="default"/>
        </w:rPr>
        <w:t>“</w:t>
      </w:r>
      <w:r>
        <w:rPr/>
        <w:t>以客户为中心</w:t>
      </w:r>
      <w:r>
        <w:rPr>
          <w:rFonts w:ascii="Times New Roman" w:hAnsi="Times New Roman" w:cs="Times New Roman" w:eastAsia="Times New Roman" w:hint="default"/>
        </w:rPr>
        <w:t>”</w:t>
      </w:r>
      <w:r>
        <w:rPr/>
        <w:t>的保险统一数据平台构建，真正实现全域数据资产化。</w:t>
      </w:r>
    </w:p>
    <w:p>
      <w:pPr>
        <w:pStyle w:val="BodyText"/>
        <w:spacing w:line="357" w:lineRule="auto" w:before="44"/>
        <w:ind w:left="514" w:right="0"/>
        <w:jc w:val="left"/>
      </w:pPr>
      <w:r>
        <w:rPr/>
        <w:t>拟达到的目标： </w:t>
      </w:r>
      <w:r>
        <w:rPr>
          <w:spacing w:val="-2"/>
        </w:rPr>
        <w:t>通过保险统一数据平台构建基于大数据和分布式关系型数据库技术的数据基础平台，包括：数据湖区、数据仓库区、数</w:t>
      </w:r>
    </w:p>
    <w:p>
      <w:pPr>
        <w:spacing w:after="0" w:line="357"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07" w:lineRule="auto" w:before="44"/>
        <w:ind w:left="153" w:right="1129"/>
        <w:jc w:val="both"/>
      </w:pPr>
      <w:r>
        <w:rPr/>
        <w:t>据集市区、实时</w:t>
      </w:r>
      <w:r>
        <w:rPr>
          <w:rFonts w:ascii="Times New Roman" w:hAnsi="Times New Roman" w:cs="Times New Roman" w:eastAsia="Times New Roman" w:hint="default"/>
        </w:rPr>
        <w:t>/</w:t>
      </w:r>
      <w:r>
        <w:rPr/>
        <w:t>准实时数据区、系统采集和处理平台、综合数据补录平台、数据管理平台、系统管理平台、统一数据服务</w:t>
      </w:r>
      <w:r>
        <w:rPr>
          <w:spacing w:val="-51"/>
        </w:rPr>
        <w:t> </w:t>
      </w:r>
      <w:r>
        <w:rPr>
          <w:spacing w:val="-51"/>
        </w:rPr>
      </w:r>
      <w:r>
        <w:rPr>
          <w:spacing w:val="-2"/>
        </w:rPr>
        <w:t>门户等，实现结构化、非结构化、半结构化，内部数据、外部数据等多种形态、多种来源的批量、实时准实时等多种时效的</w:t>
      </w:r>
      <w:r>
        <w:rPr>
          <w:spacing w:val="-65"/>
        </w:rPr>
        <w:t> </w:t>
      </w:r>
      <w:r>
        <w:rPr>
          <w:spacing w:val="-65"/>
        </w:rPr>
      </w:r>
      <w:r>
        <w:rPr>
          <w:spacing w:val="-1"/>
        </w:rPr>
        <w:t>采集、计算，实现数据采集、</w:t>
      </w:r>
      <w:r>
        <w:rPr>
          <w:rFonts w:ascii="Times New Roman" w:hAnsi="Times New Roman" w:cs="Times New Roman" w:eastAsia="Times New Roman" w:hint="default"/>
          <w:spacing w:val="-1"/>
        </w:rPr>
        <w:t>ETL</w:t>
      </w:r>
      <w:r>
        <w:rPr>
          <w:spacing w:val="-1"/>
        </w:rPr>
        <w:t>计算、任务管理、作业调度、系统管理、数据管理、综合补录和统一门户等功能，支撑统</w:t>
      </w:r>
      <w:r>
        <w:rPr/>
        <w:t> 一数据平台正常运行。</w:t>
      </w:r>
    </w:p>
    <w:p>
      <w:pPr>
        <w:pStyle w:val="BodyText"/>
        <w:spacing w:line="304" w:lineRule="auto" w:before="64"/>
        <w:ind w:left="153" w:right="0" w:firstLine="360"/>
        <w:jc w:val="left"/>
      </w:pPr>
      <w:r>
        <w:rPr/>
        <w:t>在数据基础平台之上，保险统一数据平台基于中台架构，以服务化的形态形成不同的数据服务能力：</w:t>
      </w:r>
      <w:r>
        <w:rPr>
          <w:rFonts w:ascii="Times New Roman" w:hAnsi="Times New Roman" w:cs="Times New Roman" w:eastAsia="Times New Roman" w:hint="default"/>
        </w:rPr>
        <w:t>1</w:t>
      </w:r>
      <w:r>
        <w:rPr/>
        <w:t>、基于数据统计 </w:t>
      </w:r>
      <w:r>
        <w:rPr>
          <w:spacing w:val="-2"/>
        </w:rPr>
        <w:t>分析驱动的管理决策能力：面向各级经营管理者的经营分析平台、面向高级管理者的管理驾驶舱、面向各业务条线的全面风</w:t>
      </w:r>
      <w:r>
        <w:rPr>
          <w:spacing w:val="-66"/>
        </w:rPr>
        <w:t> </w:t>
      </w:r>
      <w:r>
        <w:rPr>
          <w:spacing w:val="-66"/>
        </w:rPr>
      </w:r>
      <w:r>
        <w:rPr/>
        <w:t>险、统一投资等数据分析型应用，实现决策成果的可视化展现，提升管理决策的信息化水平；</w:t>
      </w:r>
      <w:r>
        <w:rPr>
          <w:rFonts w:ascii="Times New Roman" w:hAnsi="Times New Roman" w:cs="Times New Roman" w:eastAsia="Times New Roman" w:hint="default"/>
        </w:rPr>
        <w:t>2</w:t>
      </w:r>
      <w:r>
        <w:rPr/>
        <w:t>、基于数据挖掘模型驱动的</w:t>
      </w:r>
      <w:r>
        <w:rPr>
          <w:spacing w:val="-84"/>
        </w:rPr>
        <w:t> </w:t>
      </w:r>
      <w:r>
        <w:rPr>
          <w:spacing w:val="-84"/>
        </w:rPr>
      </w:r>
      <w:r>
        <w:rPr>
          <w:spacing w:val="-2"/>
        </w:rPr>
        <w:t>洞见分析能力：基于关系网络数据分析的风险识别、基于脸谱刻画的客户经营等；</w:t>
      </w:r>
      <w:r>
        <w:rPr>
          <w:rFonts w:ascii="Times New Roman" w:hAnsi="Times New Roman" w:cs="Times New Roman" w:eastAsia="Times New Roman" w:hint="default"/>
          <w:spacing w:val="-2"/>
        </w:rPr>
        <w:t>3</w:t>
      </w:r>
      <w:r>
        <w:rPr>
          <w:spacing w:val="-2"/>
        </w:rPr>
        <w:t>、基于数据服务驱动的场景产品化能力：</w:t>
      </w:r>
      <w:r>
        <w:rPr>
          <w:spacing w:val="-64"/>
        </w:rPr>
        <w:t> </w:t>
      </w:r>
      <w:r>
        <w:rPr>
          <w:spacing w:val="-64"/>
        </w:rPr>
      </w:r>
      <w:r>
        <w:rPr/>
        <w:t>全面的数据自服务体系、产品化的数据</w:t>
      </w:r>
      <w:r>
        <w:rPr>
          <w:rFonts w:ascii="Times New Roman" w:hAnsi="Times New Roman" w:cs="Times New Roman" w:eastAsia="Times New Roman" w:hint="default"/>
        </w:rPr>
        <w:t>API</w:t>
      </w:r>
      <w:r>
        <w:rPr/>
        <w:t>工厂等。</w:t>
      </w:r>
    </w:p>
    <w:p>
      <w:pPr>
        <w:pStyle w:val="BodyText"/>
        <w:spacing w:line="357" w:lineRule="auto" w:before="50"/>
        <w:ind w:left="513" w:right="0"/>
        <w:jc w:val="left"/>
      </w:pPr>
      <w:r>
        <w:rPr/>
        <w:t>预期对未来的影响： 保险统一数据平台的定位在于以大数据和</w:t>
      </w:r>
      <w:r>
        <w:rPr>
          <w:rFonts w:ascii="Times New Roman" w:hAnsi="Times New Roman" w:cs="Times New Roman" w:eastAsia="Times New Roman" w:hint="default"/>
        </w:rPr>
        <w:t>AI</w:t>
      </w:r>
      <w:r>
        <w:rPr/>
        <w:t>技术为基础，全面发现、整合和提升数据价值，构建中台化的数据服务架</w:t>
      </w:r>
    </w:p>
    <w:p>
      <w:pPr>
        <w:pStyle w:val="BodyText"/>
        <w:spacing w:line="214" w:lineRule="exact"/>
        <w:ind w:left="153" w:right="0"/>
        <w:jc w:val="both"/>
      </w:pPr>
      <w:r>
        <w:rPr/>
        <w:t>构，形成对保险公司线上化转型、数字化转型的数据基石。</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日银保监会《关于推进财险业务线上化工作征求意见的函》</w:t>
      </w:r>
    </w:p>
    <w:p>
      <w:pPr>
        <w:pStyle w:val="BodyText"/>
        <w:spacing w:line="309" w:lineRule="auto" w:before="63"/>
        <w:ind w:right="1131"/>
        <w:jc w:val="both"/>
      </w:pPr>
      <w:r>
        <w:rPr>
          <w:spacing w:val="-2"/>
        </w:rPr>
        <w:t>更加鲜明的表达了</w:t>
      </w:r>
      <w:r>
        <w:rPr>
          <w:rFonts w:ascii="Times New Roman" w:hAnsi="Times New Roman" w:cs="Times New Roman" w:eastAsia="Times New Roman" w:hint="default"/>
          <w:spacing w:val="-2"/>
        </w:rPr>
        <w:t>“</w:t>
      </w:r>
      <w:r>
        <w:rPr>
          <w:spacing w:val="-2"/>
        </w:rPr>
        <w:t>线上化已成为加快财产保险高质量发展最具活力的因素</w:t>
      </w:r>
      <w:r>
        <w:rPr>
          <w:rFonts w:ascii="Times New Roman" w:hAnsi="Times New Roman" w:cs="Times New Roman" w:eastAsia="Times New Roman" w:hint="default"/>
          <w:spacing w:val="-2"/>
        </w:rPr>
        <w:t>”</w:t>
      </w:r>
      <w:r>
        <w:rPr>
          <w:spacing w:val="-2"/>
        </w:rPr>
        <w:t>，数字化、线上化等等业务转型都极大依赖数据</w:t>
      </w:r>
      <w:r>
        <w:rPr>
          <w:spacing w:val="-44"/>
        </w:rPr>
        <w:t> </w:t>
      </w:r>
      <w:r>
        <w:rPr>
          <w:spacing w:val="-44"/>
        </w:rPr>
      </w:r>
      <w:r>
        <w:rPr>
          <w:spacing w:val="-2"/>
        </w:rPr>
        <w:t>驱动业务的能力。从这一点看，保险统一数据平台将进一步加强我公司在保险行业数据建设领域的优势地位，提升公司在保</w:t>
      </w:r>
      <w:r>
        <w:rPr>
          <w:spacing w:val="-66"/>
        </w:rPr>
        <w:t> </w:t>
      </w:r>
      <w:r>
        <w:rPr>
          <w:spacing w:val="-66"/>
        </w:rPr>
      </w:r>
      <w:r>
        <w:rPr/>
        <w:t>险行业的核心价值及市场竞争力，从而更好的拓展市场，提升市场份额。</w:t>
      </w:r>
    </w:p>
    <w:p>
      <w:pPr>
        <w:pStyle w:val="BodyText"/>
        <w:spacing w:line="340" w:lineRule="auto" w:before="64"/>
        <w:ind w:left="514" w:right="4630"/>
        <w:jc w:val="left"/>
      </w:pPr>
      <w:r>
        <w:rPr>
          <w:rFonts w:ascii="Times New Roman" w:hAnsi="Times New Roman" w:cs="Times New Roman" w:eastAsia="Times New Roman" w:hint="default"/>
        </w:rPr>
        <w:t>12</w:t>
      </w:r>
      <w:r>
        <w:rPr/>
        <w:t>、北明智慧供热和监管大数据平台的研发（哈尔滨智慧供热试点项目） 项目目的：</w:t>
      </w:r>
    </w:p>
    <w:p>
      <w:pPr>
        <w:pStyle w:val="BodyText"/>
        <w:spacing w:line="319" w:lineRule="auto" w:before="39"/>
        <w:ind w:right="1128" w:firstLine="360"/>
        <w:jc w:val="both"/>
      </w:pPr>
      <w:r>
        <w:rPr>
          <w:spacing w:val="-2"/>
        </w:rPr>
        <w:t>智慧供热和监管大数据平台理顺管理机制、制定技术标准和管理规范，应用新技术、新应用，建立了创新高效的供热保</w:t>
      </w:r>
      <w:r>
        <w:rPr/>
        <w:t> </w:t>
      </w:r>
      <w:r>
        <w:rPr>
          <w:spacing w:val="-2"/>
        </w:rPr>
        <w:t>障体系。平台基于互联网、人工智能、云计算和大数据等技术，汇集了供热企业、区县及市级管理部门等三个主要单元，提</w:t>
      </w:r>
      <w:r>
        <w:rPr>
          <w:spacing w:val="-67"/>
        </w:rPr>
        <w:t> </w:t>
      </w:r>
      <w:r>
        <w:rPr>
          <w:spacing w:val="-67"/>
        </w:rPr>
      </w:r>
      <w:r>
        <w:rPr/>
        <w:t>供居民用户互动接口，建设一个统一的集供热保障、管控和服务的一体化平台。</w:t>
      </w:r>
    </w:p>
    <w:p>
      <w:pPr>
        <w:pStyle w:val="BodyText"/>
        <w:spacing w:line="319" w:lineRule="auto" w:before="55"/>
        <w:ind w:right="1041" w:firstLine="360"/>
        <w:jc w:val="both"/>
      </w:pPr>
      <w:r>
        <w:rPr>
          <w:spacing w:val="-4"/>
        </w:rPr>
        <w:t>智慧供热和监管大数据平台汇集政府、企业、热用户三方信息，形成一个政府知悉、督促，企业办结、反馈，用户诉求、</w:t>
      </w:r>
      <w:r>
        <w:rPr/>
        <w:t> </w:t>
      </w:r>
      <w:r>
        <w:rPr>
          <w:spacing w:val="-4"/>
        </w:rPr>
        <w:t>评价的闭环系统，提高政府、企业对用户诉求的反应能力，提升服务质量和社会形象，同时，大幅实现绿色节能的供热目标，</w:t>
      </w:r>
      <w:r>
        <w:rPr>
          <w:spacing w:val="-44"/>
        </w:rPr>
        <w:t> </w:t>
      </w:r>
      <w:r>
        <w:rPr>
          <w:spacing w:val="-44"/>
        </w:rPr>
      </w:r>
      <w:r>
        <w:rPr/>
        <w:t>提升民众的供热满意度，做到政府可管、企业可省、百姓可感。</w:t>
      </w:r>
    </w:p>
    <w:p>
      <w:pPr>
        <w:pStyle w:val="BodyText"/>
        <w:spacing w:line="338" w:lineRule="auto" w:before="58"/>
        <w:ind w:left="514" w:right="0"/>
        <w:jc w:val="left"/>
      </w:pPr>
      <w:r>
        <w:rPr/>
        <w:t>拟达到的目标：实现</w:t>
      </w:r>
      <w:r>
        <w:rPr>
          <w:rFonts w:ascii="Times New Roman" w:hAnsi="Times New Roman" w:cs="Times New Roman" w:eastAsia="Times New Roman" w:hint="default"/>
        </w:rPr>
        <w:t>“</w:t>
      </w:r>
      <w:r>
        <w:rPr/>
        <w:t>政府可管、企业可省、用户可感</w:t>
      </w:r>
      <w:r>
        <w:rPr>
          <w:rFonts w:ascii="Times New Roman" w:hAnsi="Times New Roman" w:cs="Times New Roman" w:eastAsia="Times New Roman" w:hint="default"/>
        </w:rPr>
        <w:t>”</w:t>
      </w:r>
      <w:r>
        <w:rPr/>
        <w:t>的目标 </w:t>
      </w:r>
      <w:r>
        <w:rPr>
          <w:spacing w:val="-2"/>
        </w:rPr>
        <w:t>基于大数据平台，政府可对供热质量、整体运行状态、能源输入消耗等进行整管控，并对突发情况予以及时调配；企业</w:t>
      </w:r>
    </w:p>
    <w:p>
      <w:pPr>
        <w:pStyle w:val="BodyText"/>
        <w:spacing w:line="319" w:lineRule="auto" w:before="2"/>
        <w:ind w:right="1041"/>
        <w:jc w:val="both"/>
      </w:pPr>
      <w:r>
        <w:rPr>
          <w:spacing w:val="-4"/>
        </w:rPr>
        <w:t>通过数据挖掘改进供热企业的管理和运营方式，实现节能减排，提升企业综合管理能力，降低运营成本；通过实时室内测温，</w:t>
      </w:r>
      <w:r>
        <w:rPr>
          <w:spacing w:val="-46"/>
        </w:rPr>
        <w:t> </w:t>
      </w:r>
      <w:r>
        <w:rPr>
          <w:spacing w:val="-46"/>
        </w:rPr>
      </w:r>
      <w:r>
        <w:rPr/>
        <w:t>用户可实时掌握供热效果，并增强</w:t>
      </w:r>
      <w:r>
        <w:rPr>
          <w:rFonts w:ascii="Times New Roman" w:hAnsi="Times New Roman" w:cs="Times New Roman" w:eastAsia="Times New Roman" w:hint="default"/>
        </w:rPr>
        <w:t>“</w:t>
      </w:r>
      <w:r>
        <w:rPr/>
        <w:t>自主调节、按需用热</w:t>
      </w:r>
      <w:r>
        <w:rPr>
          <w:rFonts w:ascii="Times New Roman" w:hAnsi="Times New Roman" w:cs="Times New Roman" w:eastAsia="Times New Roman" w:hint="default"/>
        </w:rPr>
        <w:t>”</w:t>
      </w:r>
      <w:r>
        <w:rPr/>
        <w:t>的服务理念，提升用户满意度。</w:t>
      </w:r>
    </w:p>
    <w:p>
      <w:pPr>
        <w:pStyle w:val="BodyText"/>
        <w:spacing w:line="357" w:lineRule="auto" w:before="36"/>
        <w:ind w:left="514" w:right="0"/>
        <w:jc w:val="left"/>
      </w:pPr>
      <w:r>
        <w:rPr/>
        <w:t>预计对未来发展影响： </w:t>
      </w:r>
      <w:r>
        <w:rPr>
          <w:spacing w:val="-4"/>
        </w:rPr>
        <w:t>智慧供热和监管大数据平台，采用人工智能的控制策略，基于海量数据，包含：天气、热源供给能力、用户个性化需求、</w:t>
      </w:r>
    </w:p>
    <w:p>
      <w:pPr>
        <w:pStyle w:val="BodyText"/>
        <w:spacing w:line="237" w:lineRule="exact"/>
        <w:ind w:right="0"/>
        <w:jc w:val="both"/>
      </w:pPr>
      <w:r>
        <w:rPr/>
        <w:t>管网特性、建筑特性等多维度的数据，经过</w:t>
      </w:r>
      <w:r>
        <w:rPr>
          <w:rFonts w:ascii="Times New Roman" w:hAnsi="Times New Roman" w:cs="Times New Roman" w:eastAsia="Times New Roman" w:hint="default"/>
        </w:rPr>
        <w:t>AI</w:t>
      </w:r>
      <w:r>
        <w:rPr/>
        <w:t>算法直接推送计算目标给定值供热值。云</w:t>
      </w:r>
      <w:r>
        <w:rPr>
          <w:rFonts w:ascii="Times New Roman" w:hAnsi="Times New Roman" w:cs="Times New Roman" w:eastAsia="Times New Roman" w:hint="default"/>
        </w:rPr>
        <w:t>+AI</w:t>
      </w:r>
      <w:r>
        <w:rPr/>
        <w:t>的巨大算力处理供热数据能够达</w:t>
      </w:r>
    </w:p>
    <w:p>
      <w:pPr>
        <w:pStyle w:val="BodyText"/>
        <w:spacing w:line="319" w:lineRule="auto" w:before="63"/>
        <w:ind w:right="1041"/>
        <w:jc w:val="both"/>
      </w:pPr>
      <w:r>
        <w:rPr>
          <w:spacing w:val="-2"/>
        </w:rPr>
        <w:t>到高速化的程度并得出可执行的结论只需很短的时间，从而实现了在不同地区、不同位置、不同天气、不同建筑形式、需求</w:t>
      </w:r>
      <w:r>
        <w:rPr>
          <w:spacing w:val="-66"/>
        </w:rPr>
        <w:t> </w:t>
      </w:r>
      <w:r>
        <w:rPr>
          <w:spacing w:val="-66"/>
        </w:rPr>
      </w:r>
      <w:r>
        <w:rPr>
          <w:spacing w:val="-4"/>
        </w:rPr>
        <w:t>快速变化条件下，做到精准供热、按需供热、平衡供热，找到最优供热模型，既满足热用户舒适度需求又最大程度节约能源。</w:t>
      </w:r>
    </w:p>
    <w:p>
      <w:pPr>
        <w:pStyle w:val="BodyText"/>
        <w:spacing w:line="319" w:lineRule="auto" w:before="55"/>
        <w:ind w:right="1041" w:firstLine="360"/>
        <w:jc w:val="both"/>
      </w:pPr>
      <w:r>
        <w:rPr>
          <w:spacing w:val="-4"/>
        </w:rPr>
        <w:t>开发项目完成后，将提高公司在智慧供热行业的技术领先性和独特性，增强智慧供热平台项目、政府供热监管平台项目、</w:t>
      </w:r>
      <w:r>
        <w:rPr/>
        <w:t> 人工智能</w:t>
      </w:r>
      <w:r>
        <w:rPr>
          <w:rFonts w:ascii="Times New Roman" w:hAnsi="Times New Roman" w:cs="Times New Roman" w:eastAsia="Times New Roman" w:hint="default"/>
        </w:rPr>
        <w:t>+</w:t>
      </w:r>
      <w:r>
        <w:rPr/>
        <w:t>供热决策与控制项目等领域的竞争力，形成新的利润增长点，增加企业效益。</w:t>
      </w:r>
    </w:p>
    <w:p>
      <w:pPr>
        <w:pStyle w:val="BodyText"/>
        <w:spacing w:line="340" w:lineRule="auto" w:before="36"/>
        <w:ind w:left="514" w:right="7330"/>
        <w:jc w:val="left"/>
      </w:pPr>
      <w:r>
        <w:rPr>
          <w:rFonts w:ascii="Times New Roman" w:hAnsi="Times New Roman" w:cs="Times New Roman" w:eastAsia="Times New Roman" w:hint="default"/>
        </w:rPr>
        <w:t>13</w:t>
      </w:r>
      <w:r>
        <w:rPr/>
        <w:t>、智慧监狱大数据分析研判平台开发 项目目的：</w:t>
      </w:r>
    </w:p>
    <w:p>
      <w:pPr>
        <w:pStyle w:val="BodyText"/>
        <w:spacing w:line="319" w:lineRule="auto" w:before="39"/>
        <w:ind w:right="1128" w:firstLine="360"/>
        <w:jc w:val="both"/>
      </w:pPr>
      <w:r>
        <w:rPr>
          <w:spacing w:val="-2"/>
        </w:rPr>
        <w:t>运用大数据治理技术，遵照司法部智慧监狱相关技术规范，打造监狱的大数据中心，为监狱管理人员提供数据分析、决</w:t>
      </w:r>
      <w:r>
        <w:rPr/>
        <w:t> </w:t>
      </w:r>
      <w:r>
        <w:rPr>
          <w:spacing w:val="-2"/>
        </w:rPr>
        <w:t>策支撑等功能，通过对罪犯的基本信息、消费行为、入狱前表现、狱中表现等数据进行深入挖掘，对其进行全方位分析，发</w:t>
      </w:r>
      <w:r>
        <w:rPr>
          <w:spacing w:val="-67"/>
        </w:rPr>
        <w:t> </w:t>
      </w:r>
      <w:r>
        <w:rPr>
          <w:spacing w:val="-67"/>
        </w:rPr>
      </w:r>
      <w:r>
        <w:rPr>
          <w:spacing w:val="-2"/>
        </w:rPr>
        <w:t>现罪犯行为特征及危险性分析研判；对执法人员警察的执法公正性进行分析研判，呈现警察执法的规范性、实效性、科学性</w:t>
      </w:r>
      <w:r>
        <w:rPr>
          <w:spacing w:val="-66"/>
        </w:rPr>
        <w:t> </w:t>
      </w:r>
      <w:r>
        <w:rPr>
          <w:spacing w:val="-66"/>
        </w:rPr>
      </w:r>
      <w:r>
        <w:rPr>
          <w:spacing w:val="-2"/>
        </w:rPr>
        <w:t>指数，通过警察执法指数推动监狱全流程业务的进一步融合、规范和智能化；对监狱的监管安全趋势进行分析，实时融合监</w:t>
      </w:r>
      <w:r>
        <w:rPr>
          <w:spacing w:val="-66"/>
        </w:rPr>
        <w:t> </w:t>
      </w:r>
      <w:r>
        <w:rPr>
          <w:spacing w:val="-66"/>
        </w:rPr>
      </w:r>
      <w:r>
        <w:rPr>
          <w:spacing w:val="-2"/>
        </w:rPr>
        <w:t>狱在犯情、警情、狱情和物防信息资源提供多方位、全层次的安全指数评估，并针对性提供研判和预警服务。这一开发项目</w:t>
      </w:r>
      <w:r>
        <w:rPr>
          <w:spacing w:val="-66"/>
        </w:rPr>
        <w:t> </w:t>
      </w:r>
      <w:r>
        <w:rPr>
          <w:spacing w:val="-66"/>
        </w:rPr>
      </w:r>
      <w:r>
        <w:rPr/>
        <w:t>根本目标在于利用信息化技术推动智慧司法体系发展。</w:t>
      </w:r>
    </w:p>
    <w:p>
      <w:pPr>
        <w:spacing w:after="0" w:line="319" w:lineRule="auto"/>
        <w:jc w:val="both"/>
        <w:sectPr>
          <w:pgSz w:w="11910" w:h="16840"/>
          <w:pgMar w:header="747" w:footer="982" w:top="1060" w:bottom="1180" w:left="980" w:right="0"/>
        </w:sectPr>
      </w:pPr>
    </w:p>
    <w:p>
      <w:pPr>
        <w:spacing w:line="240" w:lineRule="auto" w:before="13"/>
        <w:rPr>
          <w:rFonts w:ascii="宋体" w:hAnsi="宋体" w:cs="宋体" w:eastAsia="宋体" w:hint="default"/>
          <w:sz w:val="25"/>
          <w:szCs w:val="25"/>
        </w:rPr>
      </w:pPr>
    </w:p>
    <w:p>
      <w:pPr>
        <w:pStyle w:val="BodyText"/>
        <w:spacing w:line="357" w:lineRule="auto" w:before="44"/>
        <w:ind w:left="513" w:right="0"/>
        <w:jc w:val="left"/>
      </w:pPr>
      <w:r>
        <w:rPr/>
        <w:t>拟达到的目标： </w:t>
      </w:r>
      <w:r>
        <w:rPr>
          <w:spacing w:val="-2"/>
        </w:rPr>
        <w:t>建立一个以规范罪犯信息管理、构建规范模式，资源整合，改善管理方法、提高工作效率，采用数据挖掘技术，实现对</w:t>
      </w:r>
    </w:p>
    <w:p>
      <w:pPr>
        <w:pStyle w:val="BodyText"/>
        <w:spacing w:line="224" w:lineRule="exact"/>
        <w:ind w:left="153" w:right="0"/>
        <w:jc w:val="both"/>
      </w:pPr>
      <w:r>
        <w:rPr/>
        <w:t>服刑人员数据进行综合分析研判、改造信息挖掘功能的智能化管理平台。平台将监狱的管理水准通过科学的决策和分析、监</w:t>
      </w:r>
    </w:p>
    <w:p>
      <w:pPr>
        <w:pStyle w:val="BodyText"/>
        <w:spacing w:line="360" w:lineRule="auto" w:before="77"/>
        <w:ind w:left="513" w:right="5171" w:hanging="360"/>
        <w:jc w:val="left"/>
      </w:pPr>
      <w:r>
        <w:rPr/>
        <w:t>控系统提升一个新的台阶，实现监狱管理的科学化、智能化、立体化。 预期对未来的影响：</w:t>
      </w:r>
    </w:p>
    <w:p>
      <w:pPr>
        <w:pStyle w:val="BodyText"/>
        <w:spacing w:line="319" w:lineRule="auto" w:before="25"/>
        <w:ind w:left="153" w:right="1130" w:firstLine="360"/>
        <w:jc w:val="both"/>
      </w:pPr>
      <w:r>
        <w:rPr>
          <w:spacing w:val="-2"/>
        </w:rPr>
        <w:t>这一应用对我国监狱司法管理手段的提升，是一个重要的促进，具有较大的推广意义。目前已开始服务于各省司法监狱</w:t>
      </w:r>
      <w:r>
        <w:rPr/>
        <w:t> </w:t>
      </w:r>
      <w:r>
        <w:rPr>
          <w:spacing w:val="-2"/>
        </w:rPr>
        <w:t>单位客户，平台已经帮助客户通过了司法部智慧监狱验收。通过自有大数据分析研判平台扩大公司软硬件全面服务客户的能</w:t>
      </w:r>
      <w:r>
        <w:rPr>
          <w:spacing w:val="-64"/>
        </w:rPr>
        <w:t> </w:t>
      </w:r>
      <w:r>
        <w:rPr>
          <w:spacing w:val="-64"/>
        </w:rPr>
      </w:r>
      <w:r>
        <w:rPr/>
        <w:t>力，并承担多个省市（四川、广东、广西、河南、江西等）监狱的总集成工作，未来会形成较强的推广态势。</w:t>
      </w:r>
    </w:p>
    <w:p>
      <w:pPr>
        <w:pStyle w:val="BodyText"/>
        <w:spacing w:line="338" w:lineRule="auto" w:before="56"/>
        <w:ind w:left="513" w:right="0"/>
        <w:jc w:val="left"/>
      </w:pPr>
      <w:r>
        <w:rPr>
          <w:rFonts w:ascii="Times New Roman" w:hAnsi="Times New Roman" w:cs="Times New Roman" w:eastAsia="Times New Roman" w:hint="default"/>
        </w:rPr>
        <w:t>14</w:t>
      </w:r>
      <w:r>
        <w:rPr/>
        <w:t>、赛络紧密色纺棉混纺针织纱的研究与开发 </w:t>
      </w:r>
      <w:r>
        <w:rPr>
          <w:spacing w:val="-2"/>
        </w:rPr>
        <w:t>项目目的：色纺纱是采用有色纤维与其他纤维按照一定比例混合生产出的一种具有特殊颜色风格的纱线。由于采用有色</w:t>
      </w:r>
    </w:p>
    <w:p>
      <w:pPr>
        <w:pStyle w:val="BodyText"/>
        <w:spacing w:line="319" w:lineRule="auto" w:before="2"/>
        <w:ind w:left="153" w:right="1131"/>
        <w:jc w:val="both"/>
      </w:pPr>
      <w:r>
        <w:rPr>
          <w:spacing w:val="-2"/>
        </w:rPr>
        <w:t>纤维纺纱，颠覆了传统纺织加工先纺纱后染色的工艺流程，具有生态环保、经济节能等特点，加之色彩丰富绚丽，朦胧立体</w:t>
      </w:r>
      <w:r>
        <w:rPr>
          <w:spacing w:val="-66"/>
        </w:rPr>
        <w:t> </w:t>
      </w:r>
      <w:r>
        <w:rPr>
          <w:spacing w:val="-66"/>
        </w:rPr>
      </w:r>
      <w:r>
        <w:rPr>
          <w:spacing w:val="-2"/>
        </w:rPr>
        <w:t>的特殊风格，使色纺纱及色纺纱织物倍受广大消费者青睐，具有广阔的发展前景。传统的色纺纱多采用普通环锭纺，以棉纤</w:t>
      </w:r>
      <w:r>
        <w:rPr>
          <w:spacing w:val="-66"/>
        </w:rPr>
        <w:t> </w:t>
      </w:r>
      <w:r>
        <w:rPr>
          <w:spacing w:val="-66"/>
        </w:rPr>
      </w:r>
      <w:r>
        <w:rPr>
          <w:spacing w:val="-2"/>
        </w:rPr>
        <w:t>维为主，产品类型单一、附加值低，无法满足高端市场的特殊要求。公司在现有的赛络紧密纺纱设备上，利用已成熟的赛络</w:t>
      </w:r>
      <w:r>
        <w:rPr>
          <w:spacing w:val="-66"/>
        </w:rPr>
        <w:t> </w:t>
      </w:r>
      <w:r>
        <w:rPr>
          <w:spacing w:val="-66"/>
        </w:rPr>
      </w:r>
      <w:r>
        <w:rPr>
          <w:spacing w:val="-2"/>
        </w:rPr>
        <w:t>紧密纺坯纱生产管理和工艺技术，研究开发赛络精密色纱混纺产品，旨在丰富色纺纱品种，提高色纺纱品质，开拓差别化色</w:t>
      </w:r>
      <w:r>
        <w:rPr>
          <w:spacing w:val="-66"/>
        </w:rPr>
        <w:t> </w:t>
      </w:r>
      <w:r>
        <w:rPr>
          <w:spacing w:val="-66"/>
        </w:rPr>
      </w:r>
      <w:r>
        <w:rPr/>
        <w:t>纺纱的新领域。</w:t>
      </w:r>
    </w:p>
    <w:p>
      <w:pPr>
        <w:pStyle w:val="BodyText"/>
        <w:spacing w:line="357" w:lineRule="auto" w:before="56"/>
        <w:ind w:left="513" w:right="6611"/>
        <w:jc w:val="left"/>
      </w:pPr>
      <w:r>
        <w:rPr/>
        <w:t>项目进展：目前公司已开发出赛络紧密纺纱线。 拟达到目标：可根据订单进行批量生产。</w:t>
      </w:r>
    </w:p>
    <w:p>
      <w:pPr>
        <w:pStyle w:val="BodyText"/>
        <w:spacing w:line="319" w:lineRule="auto" w:before="28"/>
        <w:ind w:left="153" w:right="1131" w:firstLine="360"/>
        <w:jc w:val="both"/>
      </w:pPr>
      <w:r>
        <w:rPr>
          <w:spacing w:val="-2"/>
        </w:rPr>
        <w:t>预计对未来发展影响：色纺纱作为一种颠覆传统纺织加工流程的特殊产品，将会快速发展。随着色纺企业的增加和色纺</w:t>
      </w:r>
      <w:r>
        <w:rPr/>
        <w:t> </w:t>
      </w:r>
      <w:r>
        <w:rPr>
          <w:spacing w:val="-2"/>
        </w:rPr>
        <w:t>工艺技术的进步，普通色纺纱竞争会逐渐加剧，采用赛络紧密纺纱技术开发差别化高支高品质色纺纱，将色彩风格与材料工</w:t>
      </w:r>
      <w:r>
        <w:rPr>
          <w:spacing w:val="-66"/>
        </w:rPr>
        <w:t> </w:t>
      </w:r>
      <w:r>
        <w:rPr>
          <w:spacing w:val="-66"/>
        </w:rPr>
      </w:r>
      <w:r>
        <w:rPr/>
        <w:t>艺进行精致组合，将是色纺企业的独特竞争优势。</w:t>
      </w:r>
    </w:p>
    <w:p>
      <w:pPr>
        <w:pStyle w:val="BodyText"/>
        <w:spacing w:line="338" w:lineRule="auto" w:before="56"/>
        <w:ind w:left="513" w:right="0"/>
        <w:jc w:val="left"/>
      </w:pPr>
      <w:r>
        <w:rPr>
          <w:rFonts w:ascii="Times New Roman" w:hAnsi="Times New Roman" w:cs="Times New Roman" w:eastAsia="Times New Roman" w:hint="default"/>
        </w:rPr>
        <w:t>15</w:t>
      </w:r>
      <w:r>
        <w:rPr/>
        <w:t>、绿色环保浆料配方的研发 </w:t>
      </w:r>
      <w:r>
        <w:rPr>
          <w:spacing w:val="-2"/>
        </w:rPr>
        <w:t>项目目的：环境是人类生存和发展的基本前提，保护环境，减轻环境污染，是我们每个企业的使命和责任。国际国内市</w:t>
      </w:r>
    </w:p>
    <w:p>
      <w:pPr>
        <w:pStyle w:val="BodyText"/>
        <w:spacing w:line="302" w:lineRule="auto" w:before="2"/>
        <w:ind w:left="153" w:right="1131"/>
        <w:jc w:val="both"/>
      </w:pPr>
      <w:r>
        <w:rPr/>
        <w:t>场已明确要求纺织产品不含</w:t>
      </w:r>
      <w:r>
        <w:rPr>
          <w:rFonts w:ascii="Times New Roman" w:hAnsi="Times New Roman" w:cs="Times New Roman" w:eastAsia="Times New Roman" w:hint="default"/>
        </w:rPr>
        <w:t>PVA</w:t>
      </w:r>
      <w:r>
        <w:rPr/>
        <w:t>，与市场接轨，无</w:t>
      </w:r>
      <w:r>
        <w:rPr>
          <w:rFonts w:ascii="Times New Roman" w:hAnsi="Times New Roman" w:cs="Times New Roman" w:eastAsia="Times New Roman" w:hint="default"/>
        </w:rPr>
        <w:t>PVA</w:t>
      </w:r>
      <w:r>
        <w:rPr/>
        <w:t>绿色环保上浆与低成本节能上浆，是企业的现实需要和目标。</w:t>
      </w:r>
      <w:r>
        <w:rPr>
          <w:spacing w:val="-4"/>
        </w:rPr>
        <w:t> </w:t>
      </w:r>
      <w:r>
        <w:rPr/>
        <w:t>该项</w:t>
      </w:r>
      <w:r>
        <w:rPr>
          <w:spacing w:val="-88"/>
        </w:rPr>
        <w:t> </w:t>
      </w:r>
      <w:r>
        <w:rPr>
          <w:spacing w:val="-88"/>
        </w:rPr>
      </w:r>
      <w:r>
        <w:rPr/>
        <w:t>目主要探讨如何实现绿色环保上浆，降低成本，更好地适应国内国际市场的需要。</w:t>
      </w:r>
    </w:p>
    <w:p>
      <w:pPr>
        <w:pStyle w:val="BodyText"/>
        <w:spacing w:line="357" w:lineRule="auto" w:before="70"/>
        <w:ind w:left="513" w:right="0"/>
        <w:jc w:val="left"/>
      </w:pPr>
      <w:r>
        <w:rPr>
          <w:spacing w:val="-4"/>
        </w:rPr>
        <w:t>项目进展：公司设计出不同的绿色环保浆料配方，通过有效的数据对比及实践验证，能够满足织机高速高效的织造要求。</w:t>
      </w:r>
      <w:r>
        <w:rPr>
          <w:spacing w:val="-52"/>
        </w:rPr>
        <w:t> </w:t>
      </w:r>
      <w:r>
        <w:rPr>
          <w:spacing w:val="-52"/>
        </w:rPr>
      </w:r>
      <w:r>
        <w:rPr/>
        <w:t>拟达到目的：成功研发绿色环保浆料配方，实现绿色环保上浆，降低成本，同时保证织造效率不降低。 </w:t>
      </w:r>
      <w:r>
        <w:rPr>
          <w:spacing w:val="-2"/>
        </w:rPr>
        <w:t>预计对未来发展影响：随着全球贸易竞争日趋激烈和人们环保意识的增强，在纺织品市场上，欧盟等部分国家和地区已</w:t>
      </w:r>
    </w:p>
    <w:p>
      <w:pPr>
        <w:pStyle w:val="BodyText"/>
        <w:spacing w:line="237" w:lineRule="exact"/>
        <w:ind w:left="153" w:right="0"/>
        <w:jc w:val="both"/>
      </w:pPr>
      <w:r>
        <w:rPr/>
        <w:t>明确要求产品不含</w:t>
      </w:r>
      <w:r>
        <w:rPr>
          <w:rFonts w:ascii="Times New Roman" w:hAnsi="Times New Roman" w:cs="Times New Roman" w:eastAsia="Times New Roman" w:hint="default"/>
        </w:rPr>
        <w:t>PVA</w:t>
      </w:r>
      <w:r>
        <w:rPr/>
        <w:t>，国内部分印染企业也因排污费用的提高和政府治理污染措施的加大纷纷要无</w:t>
      </w:r>
      <w:r>
        <w:rPr>
          <w:rFonts w:ascii="Times New Roman" w:hAnsi="Times New Roman" w:cs="Times New Roman" w:eastAsia="Times New Roman" w:hint="default"/>
        </w:rPr>
        <w:t>PVA</w:t>
      </w:r>
      <w:r>
        <w:rPr/>
        <w:t>上浆。纺织企业采</w:t>
      </w:r>
    </w:p>
    <w:p>
      <w:pPr>
        <w:pStyle w:val="BodyText"/>
        <w:spacing w:line="360" w:lineRule="auto" w:before="64"/>
        <w:ind w:left="153" w:right="4811"/>
        <w:jc w:val="left"/>
      </w:pPr>
      <w:r>
        <w:rPr/>
        <w:t>用绿色环保浆料符合配方同时降低成本、提质增效是企业永恒不变的目标。 公司研发投入情况</w:t>
      </w:r>
    </w:p>
    <w:tbl>
      <w:tblPr>
        <w:tblW w:w="0" w:type="auto"/>
        <w:jc w:val="left"/>
        <w:tblInd w:w="160" w:type="dxa"/>
        <w:tblLayout w:type="fixed"/>
        <w:tblCellMar>
          <w:top w:w="0" w:type="dxa"/>
          <w:left w:w="0" w:type="dxa"/>
          <w:bottom w:w="0" w:type="dxa"/>
          <w:right w:w="0" w:type="dxa"/>
        </w:tblCellMar>
        <w:tblLook w:val="01E0"/>
      </w:tblPr>
      <w:tblGrid>
        <w:gridCol w:w="3397"/>
        <w:gridCol w:w="2172"/>
        <w:gridCol w:w="2032"/>
        <w:gridCol w:w="1776"/>
      </w:tblGrid>
      <w:tr>
        <w:trPr>
          <w:trHeight w:val="402"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1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1,910</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1,648</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15.90%</w:t>
            </w:r>
          </w:p>
        </w:tc>
      </w:tr>
      <w:tr>
        <w:trPr>
          <w:trHeight w:val="402"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37.57%</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32.36%</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5.21%</w:t>
            </w:r>
          </w:p>
        </w:tc>
      </w:tr>
      <w:tr>
        <w:trPr>
          <w:trHeight w:val="402"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255,693,662.79</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142,782,749.98</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79.08%</w:t>
            </w:r>
          </w:p>
        </w:tc>
      </w:tr>
      <w:tr>
        <w:trPr>
          <w:trHeight w:val="402"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2.71%</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w:t>
            </w:r>
          </w:p>
        </w:tc>
      </w:tr>
      <w:tr>
        <w:trPr>
          <w:trHeight w:val="402"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140,377,973.84</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96,734,573.83</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45.12%</w:t>
            </w:r>
          </w:p>
        </w:tc>
      </w:tr>
      <w:tr>
        <w:trPr>
          <w:trHeight w:val="402" w:hRule="exact"/>
        </w:trPr>
        <w:tc>
          <w:tcPr>
            <w:tcW w:w="33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资本化研发投入占研发投入的比例</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54.90%</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67.75%</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-12.85%</w:t>
            </w:r>
          </w:p>
        </w:tc>
      </w:tr>
    </w:tbl>
    <w:p>
      <w:pPr>
        <w:pStyle w:val="BodyText"/>
        <w:spacing w:line="240" w:lineRule="auto" w:before="65"/>
        <w:ind w:right="0"/>
        <w:jc w:val="left"/>
      </w:pPr>
      <w:r>
        <w:rPr/>
        <w:t>研发投入总额占营业收入的比重较上年发生显著变化的原因</w:t>
      </w:r>
    </w:p>
    <w:p>
      <w:pPr>
        <w:pStyle w:val="BodyText"/>
        <w:spacing w:line="357" w:lineRule="auto" w:before="117"/>
        <w:ind w:left="371" w:right="3333" w:hanging="218"/>
        <w:jc w:val="left"/>
      </w:pPr>
      <w:r>
        <w:rPr/>
        <w:t>√ 适用 □ 不适用 报告期公司进一步加大研发投入，费用化研发投入和资本化研发投入较上年都有显著增加。</w:t>
      </w:r>
    </w:p>
    <w:p>
      <w:pPr>
        <w:spacing w:after="0" w:line="357" w:lineRule="auto"/>
        <w:jc w:val="left"/>
        <w:sectPr>
          <w:pgSz w:w="11910" w:h="16840"/>
          <w:pgMar w:header="747" w:footer="982" w:top="1060" w:bottom="1180" w:left="980" w:right="0"/>
        </w:sectPr>
      </w:pPr>
    </w:p>
    <w:p>
      <w:pPr>
        <w:spacing w:line="240" w:lineRule="auto" w:before="13"/>
        <w:rPr>
          <w:rFonts w:ascii="宋体" w:hAnsi="宋体" w:cs="宋体" w:eastAsia="宋体" w:hint="default"/>
          <w:sz w:val="25"/>
          <w:szCs w:val="25"/>
        </w:rPr>
      </w:pPr>
      <w:r>
        <w:rPr/>
        <w:pict>
          <v:group style="position:absolute;margin-left:373.079987pt;margin-top:223.380005pt;width:168.2pt;height:31.2pt;mso-position-horizontal-relative:page;mso-position-vertical-relative:page;z-index:-1362928" coordorigin="7462,4468" coordsize="3364,624">
            <v:group style="position:absolute;left:7462;top:4468;width:3364;height:312" coordorigin="7462,4468" coordsize="3364,312">
              <v:shape style="position:absolute;left:7462;top:4468;width:3364;height:312" coordorigin="7462,4468" coordsize="3364,312" path="m7462,4780l10825,4780,10825,4468,7462,4468,7462,4780xe" filled="true" fillcolor="#ffffff" stroked="false">
                <v:path arrowok="t"/>
                <v:fill type="solid"/>
              </v:shape>
            </v:group>
            <v:group style="position:absolute;left:7462;top:4780;width:3364;height:312" coordorigin="7462,4780" coordsize="3364,312">
              <v:shape style="position:absolute;left:7462;top:4780;width:3364;height:312" coordorigin="7462,4780" coordsize="3364,312" path="m7462,5092l10825,5092,10825,4780,7462,4780,7462,5092xe" filled="true" fillcolor="#ffffff" stroked="false">
                <v:path arrowok="t"/>
                <v:fill type="solid"/>
              </v:shape>
            </v:group>
            <w10:wrap type="none"/>
          </v:group>
        </w:pict>
      </w:r>
      <w:r>
        <w:rPr/>
        <w:pict>
          <v:group style="position:absolute;margin-left:371.940002pt;margin-top:389.700012pt;width:170.55pt;height:89.8pt;mso-position-horizontal-relative:page;mso-position-vertical-relative:page;z-index:-1362904" coordorigin="7439,7794" coordsize="3411,1796">
            <v:group style="position:absolute;left:7439;top:8186;width:3411;height:1404" coordorigin="7439,8186" coordsize="3411,1404">
              <v:shape style="position:absolute;left:7439;top:8186;width:3411;height:1404" coordorigin="7439,8186" coordsize="3411,1404" path="m7439,9590l10849,9590,10849,8186,7439,8186,7439,9590xe" filled="true" fillcolor="#ffffff" stroked="false">
                <v:path arrowok="t"/>
                <v:fill type="solid"/>
              </v:shape>
            </v:group>
            <v:group style="position:absolute;left:7462;top:7794;width:3364;height:392" coordorigin="7462,7794" coordsize="3364,392">
              <v:shape style="position:absolute;left:7462;top:7794;width:3364;height:392" coordorigin="7462,7794" coordsize="3364,392" path="m7462,8185l10825,8185,10825,7794,7462,7794,7462,8185xe" filled="true" fillcolor="#ffffff" stroked="false">
                <v:path arrowok="t"/>
                <v:fill type="solid"/>
              </v:shape>
            </v:group>
            <w10:wrap type="none"/>
          </v:group>
        </w:pict>
      </w:r>
      <w:r>
        <w:rPr/>
        <w:pict>
          <v:group style="position:absolute;margin-left:371.940002pt;margin-top:671.700012pt;width:170.55pt;height:39pt;mso-position-horizontal-relative:page;mso-position-vertical-relative:page;z-index:-1362880" coordorigin="7439,13434" coordsize="3411,780">
            <v:shape style="position:absolute;left:7439;top:13434;width:3411;height:780" coordorigin="7439,13434" coordsize="3411,780" path="m7439,14214l10849,14214,10849,13434,7439,13434,7439,14214xe" filled="true" fillcolor="#ffffff" stroked="false">
              <v:path arrowok="t"/>
              <v:fill type="solid"/>
            </v:shape>
            <w10:wrap type="none"/>
          </v:group>
        </w:pict>
      </w:r>
    </w:p>
    <w:p>
      <w:pPr>
        <w:pStyle w:val="BodyText"/>
        <w:spacing w:line="240" w:lineRule="auto" w:before="44"/>
        <w:ind w:left="153" w:right="0"/>
        <w:jc w:val="left"/>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2"/>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80"/>
        <w:gridCol w:w="1440"/>
        <w:gridCol w:w="3791"/>
        <w:gridCol w:w="3409"/>
      </w:tblGrid>
      <w:tr>
        <w:trPr>
          <w:trHeight w:val="402" w:hRule="exact"/>
        </w:trPr>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84"/>
              <w:jc w:val="right"/>
              <w:rPr>
                <w:rFonts w:ascii="宋体" w:hAnsi="宋体" w:cs="宋体" w:eastAsia="宋体" w:hint="default"/>
                <w:sz w:val="18"/>
                <w:szCs w:val="18"/>
              </w:rPr>
            </w:pPr>
            <w:r>
              <w:rPr>
                <w:rFonts w:ascii="宋体" w:hAnsi="宋体" w:cs="宋体" w:eastAsia="宋体" w:hint="default"/>
                <w:sz w:val="18"/>
                <w:szCs w:val="18"/>
              </w:rPr>
              <w:t>研发资本化金额</w:t>
            </w:r>
          </w:p>
        </w:tc>
        <w:tc>
          <w:tcPr>
            <w:tcW w:w="3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73"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34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实施进度</w:t>
            </w:r>
          </w:p>
        </w:tc>
      </w:tr>
      <w:tr>
        <w:trPr>
          <w:trHeight w:val="362" w:hRule="exact"/>
        </w:trPr>
        <w:tc>
          <w:tcPr>
            <w:tcW w:w="108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3791" w:type="dxa"/>
            <w:tcBorders>
              <w:top w:val="single" w:sz="4" w:space="0" w:color="000000"/>
              <w:left w:val="single" w:sz="4" w:space="0" w:color="000000"/>
              <w:bottom w:val="nil" w:sz="6" w:space="0" w:color="auto"/>
              <w:right w:val="single" w:sz="9" w:space="0" w:color="FFFFFF"/>
            </w:tcBorders>
          </w:tcPr>
          <w:p>
            <w:pPr/>
          </w:p>
        </w:tc>
        <w:tc>
          <w:tcPr>
            <w:tcW w:w="3409" w:type="dxa"/>
            <w:tcBorders>
              <w:top w:val="single" w:sz="4" w:space="0" w:color="000000"/>
              <w:left w:val="single" w:sz="9" w:space="0" w:color="FFFFFF"/>
              <w:bottom w:val="nil" w:sz="6" w:space="0" w:color="auto"/>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响应国家提出的</w:t>
            </w:r>
            <w:r>
              <w:rPr>
                <w:rFonts w:ascii="Times New Roman" w:hAnsi="Times New Roman" w:cs="Times New Roman" w:eastAsia="Times New Roman" w:hint="default"/>
                <w:sz w:val="18"/>
                <w:szCs w:val="18"/>
              </w:rPr>
              <w:t>"</w:t>
            </w:r>
            <w:r>
              <w:rPr>
                <w:rFonts w:ascii="宋体" w:hAnsi="宋体" w:cs="宋体" w:eastAsia="宋体" w:hint="default"/>
                <w:sz w:val="18"/>
                <w:szCs w:val="18"/>
              </w:rPr>
              <w:t>国产自主可控替代计划</w:t>
            </w:r>
            <w:r>
              <w:rPr>
                <w:rFonts w:ascii="Times New Roman" w:hAnsi="Times New Roman" w:cs="Times New Roman" w:eastAsia="Times New Roman" w:hint="default"/>
                <w:sz w:val="18"/>
                <w:szCs w:val="18"/>
              </w:rPr>
              <w:t>"</w:t>
            </w:r>
          </w:p>
        </w:tc>
      </w:tr>
      <w:tr>
        <w:trPr>
          <w:trHeight w:val="3115"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6"/>
              <w:ind w:left="22" w:right="145"/>
              <w:jc w:val="both"/>
              <w:rPr>
                <w:rFonts w:ascii="宋体" w:hAnsi="宋体" w:cs="宋体" w:eastAsia="宋体" w:hint="default"/>
                <w:sz w:val="18"/>
                <w:szCs w:val="18"/>
              </w:rPr>
            </w:pPr>
            <w:r>
              <w:rPr>
                <w:rFonts w:ascii="宋体" w:hAnsi="宋体" w:cs="宋体" w:eastAsia="宋体" w:hint="default"/>
                <w:sz w:val="18"/>
                <w:szCs w:val="18"/>
              </w:rPr>
              <w:t>智慧城市行 业解决方案 建设项目</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277,122.12</w:t>
            </w:r>
          </w:p>
        </w:tc>
        <w:tc>
          <w:tcPr>
            <w:tcW w:w="3791" w:type="dxa"/>
            <w:tcBorders>
              <w:top w:val="nil" w:sz="6" w:space="0" w:color="auto"/>
              <w:left w:val="single" w:sz="4" w:space="0" w:color="000000"/>
              <w:bottom w:val="nil" w:sz="6" w:space="0" w:color="auto"/>
              <w:right w:val="single" w:sz="9" w:space="0" w:color="FFFFFF"/>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22" w:right="25"/>
              <w:jc w:val="left"/>
              <w:rPr>
                <w:rFonts w:ascii="宋体" w:hAnsi="宋体" w:cs="宋体" w:eastAsia="宋体" w:hint="default"/>
                <w:sz w:val="18"/>
                <w:szCs w:val="18"/>
              </w:rPr>
            </w:pPr>
            <w:r>
              <w:rPr>
                <w:rFonts w:ascii="宋体" w:hAnsi="宋体" w:cs="宋体" w:eastAsia="宋体" w:hint="default"/>
                <w:sz w:val="18"/>
                <w:szCs w:val="18"/>
              </w:rPr>
              <w:t>本研发项目基于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SOA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架构，利用的前期研发成 </w:t>
            </w:r>
            <w:r>
              <w:rPr>
                <w:rFonts w:ascii="宋体" w:hAnsi="宋体" w:cs="宋体" w:eastAsia="宋体" w:hint="default"/>
                <w:spacing w:val="-3"/>
                <w:sz w:val="18"/>
                <w:szCs w:val="18"/>
              </w:rPr>
              <w:t>果和解决方案，研发智慧城市行业解决方案，制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定开发、运行、维护和安全规范；开发业务协同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和数据共享核心服务功能；开发或整合以大数据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分析子平台、空间地理信息子平台、市民卡子系</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统、终端管理子系统、城市管理视频云服务平台</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城市运营服务系统等扩展服务，为智慧教育、智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慧政务、智慧医疗和智慧交通等部门主要应用领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域提供支撑。</w:t>
            </w:r>
          </w:p>
        </w:tc>
        <w:tc>
          <w:tcPr>
            <w:tcW w:w="3409" w:type="dxa"/>
            <w:tcBorders>
              <w:top w:val="nil" w:sz="6" w:space="0" w:color="auto"/>
              <w:left w:val="single" w:sz="9" w:space="0" w:color="FFFFFF"/>
              <w:bottom w:val="nil" w:sz="6" w:space="0" w:color="auto"/>
              <w:right w:val="single" w:sz="4" w:space="0" w:color="000000"/>
            </w:tcBorders>
          </w:tcPr>
          <w:p>
            <w:pPr>
              <w:pStyle w:val="TableParagraph"/>
              <w:spacing w:line="309" w:lineRule="auto" w:before="5"/>
              <w:ind w:left="4" w:right="20"/>
              <w:jc w:val="left"/>
              <w:rPr>
                <w:rFonts w:ascii="宋体" w:hAnsi="宋体" w:cs="宋体" w:eastAsia="宋体" w:hint="default"/>
                <w:sz w:val="18"/>
                <w:szCs w:val="18"/>
              </w:rPr>
            </w:pPr>
            <w:r>
              <w:rPr>
                <w:rFonts w:ascii="宋体" w:hAnsi="宋体" w:cs="宋体" w:eastAsia="宋体" w:hint="default"/>
                <w:spacing w:val="-3"/>
                <w:sz w:val="18"/>
                <w:szCs w:val="18"/>
              </w:rPr>
              <w:t>的战略部署，我们对整个研发基础架构进行</w:t>
            </w:r>
            <w:r>
              <w:rPr>
                <w:rFonts w:ascii="宋体" w:hAnsi="宋体" w:cs="宋体" w:eastAsia="宋体" w:hint="default"/>
                <w:sz w:val="18"/>
                <w:szCs w:val="18"/>
              </w:rPr>
              <w:t> </w:t>
            </w:r>
            <w:r>
              <w:rPr>
                <w:rFonts w:ascii="宋体" w:hAnsi="宋体" w:cs="宋体" w:eastAsia="宋体" w:hint="default"/>
                <w:spacing w:val="-3"/>
                <w:sz w:val="18"/>
                <w:szCs w:val="18"/>
              </w:rPr>
              <w:t>调整，采用基于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ARM64 </w:t>
            </w:r>
            <w:r>
              <w:rPr>
                <w:rFonts w:ascii="宋体" w:hAnsi="宋体" w:cs="宋体" w:eastAsia="宋体" w:hint="default"/>
                <w:sz w:val="18"/>
                <w:szCs w:val="18"/>
              </w:rPr>
              <w:t>处理器的泰山服务 </w:t>
            </w:r>
            <w:r>
              <w:rPr>
                <w:rFonts w:ascii="宋体" w:hAnsi="宋体" w:cs="宋体" w:eastAsia="宋体" w:hint="default"/>
                <w:spacing w:val="-3"/>
                <w:sz w:val="18"/>
                <w:szCs w:val="18"/>
              </w:rPr>
              <w:t>器搭建鲲鹏云服务平台，操作系统采用深度</w:t>
            </w:r>
            <w:r>
              <w:rPr>
                <w:rFonts w:ascii="宋体" w:hAnsi="宋体" w:cs="宋体" w:eastAsia="宋体" w:hint="default"/>
                <w:sz w:val="18"/>
                <w:szCs w:val="18"/>
              </w:rPr>
              <w:t> </w:t>
            </w:r>
            <w:r>
              <w:rPr>
                <w:rFonts w:ascii="Times New Roman" w:hAnsi="Times New Roman" w:cs="Times New Roman" w:eastAsia="Times New Roman" w:hint="default"/>
                <w:sz w:val="18"/>
                <w:szCs w:val="18"/>
              </w:rPr>
              <w:t>OS</w:t>
            </w:r>
            <w:r>
              <w:rPr>
                <w:rFonts w:ascii="宋体" w:hAnsi="宋体" w:cs="宋体" w:eastAsia="宋体" w:hint="default"/>
                <w:sz w:val="18"/>
                <w:szCs w:val="18"/>
              </w:rPr>
              <w:t>，数据库采用华为高斯数据库，中间件 采用东方通</w:t>
            </w:r>
            <w:r>
              <w:rPr>
                <w:rFonts w:ascii="宋体" w:hAnsi="宋体" w:cs="宋体" w:eastAsia="宋体" w:hint="default"/>
                <w:spacing w:val="-39"/>
                <w:sz w:val="18"/>
                <w:szCs w:val="18"/>
              </w:rPr>
              <w:t> </w:t>
            </w:r>
            <w:r>
              <w:rPr>
                <w:rFonts w:ascii="Times New Roman" w:hAnsi="Times New Roman" w:cs="Times New Roman" w:eastAsia="Times New Roman" w:hint="default"/>
                <w:spacing w:val="-6"/>
                <w:sz w:val="18"/>
                <w:szCs w:val="18"/>
              </w:rPr>
              <w:t>TengWeb</w:t>
            </w:r>
            <w:r>
              <w:rPr>
                <w:rFonts w:ascii="宋体" w:hAnsi="宋体" w:cs="宋体" w:eastAsia="宋体" w:hint="default"/>
                <w:spacing w:val="-6"/>
                <w:sz w:val="18"/>
                <w:szCs w:val="18"/>
              </w:rPr>
              <w:t>，并将开发完成的统一</w:t>
            </w:r>
          </w:p>
          <w:p>
            <w:pPr>
              <w:pStyle w:val="TableParagraph"/>
              <w:spacing w:line="196" w:lineRule="exact" w:before="5"/>
              <w:ind w:left="4" w:right="0"/>
              <w:jc w:val="left"/>
              <w:rPr>
                <w:rFonts w:ascii="宋体" w:hAnsi="宋体" w:cs="宋体" w:eastAsia="宋体" w:hint="default"/>
                <w:sz w:val="18"/>
                <w:szCs w:val="18"/>
              </w:rPr>
            </w:pPr>
            <w:r>
              <w:rPr>
                <w:rFonts w:ascii="宋体" w:hAnsi="宋体" w:cs="宋体" w:eastAsia="宋体" w:hint="default"/>
                <w:sz w:val="18"/>
                <w:szCs w:val="18"/>
              </w:rPr>
              <w:t>服务平台、政务大数据平台等资源整合产</w:t>
            </w:r>
          </w:p>
          <w:p>
            <w:pPr>
              <w:pStyle w:val="TableParagraph"/>
              <w:spacing w:line="156"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4" w:right="0"/>
              <w:jc w:val="left"/>
              <w:rPr>
                <w:rFonts w:ascii="宋体" w:hAnsi="宋体" w:cs="宋体" w:eastAsia="宋体" w:hint="default"/>
                <w:sz w:val="18"/>
                <w:szCs w:val="18"/>
              </w:rPr>
            </w:pPr>
            <w:r>
              <w:rPr>
                <w:rFonts w:ascii="宋体" w:hAnsi="宋体" w:cs="宋体" w:eastAsia="宋体" w:hint="default"/>
                <w:spacing w:val="-3"/>
                <w:sz w:val="18"/>
                <w:szCs w:val="18"/>
              </w:rPr>
              <w:t>品，全面迁移到信息技术应用架构上，就是</w:t>
            </w:r>
          </w:p>
          <w:p>
            <w:pPr>
              <w:pStyle w:val="TableParagraph"/>
              <w:spacing w:line="316" w:lineRule="auto" w:before="76"/>
              <w:ind w:left="4" w:right="20"/>
              <w:jc w:val="left"/>
              <w:rPr>
                <w:rFonts w:ascii="宋体" w:hAnsi="宋体" w:cs="宋体" w:eastAsia="宋体" w:hint="default"/>
                <w:sz w:val="18"/>
                <w:szCs w:val="18"/>
              </w:rPr>
            </w:pPr>
            <w:r>
              <w:rPr>
                <w:rFonts w:ascii="宋体" w:hAnsi="宋体" w:cs="宋体" w:eastAsia="宋体" w:hint="default"/>
                <w:spacing w:val="-3"/>
                <w:sz w:val="18"/>
                <w:szCs w:val="18"/>
              </w:rPr>
              <w:t>从从底层的芯片到中间件、数据库到上层的</w:t>
            </w:r>
            <w:r>
              <w:rPr>
                <w:rFonts w:ascii="宋体" w:hAnsi="宋体" w:cs="宋体" w:eastAsia="宋体" w:hint="default"/>
                <w:sz w:val="18"/>
                <w:szCs w:val="18"/>
              </w:rPr>
              <w:t> 业务应用，全面采用信息技术应用创新架 </w:t>
            </w:r>
            <w:r>
              <w:rPr>
                <w:rFonts w:ascii="宋体" w:hAnsi="宋体" w:cs="宋体" w:eastAsia="宋体" w:hint="default"/>
                <w:spacing w:val="-3"/>
                <w:sz w:val="18"/>
                <w:szCs w:val="18"/>
              </w:rPr>
              <w:t>构。目前系统迁移工作完毕，提交华为做鲲</w:t>
            </w:r>
          </w:p>
        </w:tc>
      </w:tr>
      <w:tr>
        <w:trPr>
          <w:trHeight w:val="357" w:hRule="exact"/>
        </w:trPr>
        <w:tc>
          <w:tcPr>
            <w:tcW w:w="108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3791" w:type="dxa"/>
            <w:tcBorders>
              <w:top w:val="nil" w:sz="6" w:space="0" w:color="auto"/>
              <w:left w:val="single" w:sz="4" w:space="0" w:color="000000"/>
              <w:bottom w:val="single" w:sz="4" w:space="0" w:color="000000"/>
              <w:right w:val="single" w:sz="9" w:space="0" w:color="FFFFFF"/>
            </w:tcBorders>
          </w:tcPr>
          <w:p>
            <w:pPr/>
          </w:p>
        </w:tc>
        <w:tc>
          <w:tcPr>
            <w:tcW w:w="3409" w:type="dxa"/>
            <w:tcBorders>
              <w:top w:val="nil" w:sz="6" w:space="0" w:color="auto"/>
              <w:left w:val="single" w:sz="9" w:space="0" w:color="FFFFFF"/>
              <w:bottom w:val="single" w:sz="4" w:space="0" w:color="000000"/>
              <w:right w:val="single" w:sz="4"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鹏适配测试，获得产品认证证书。</w:t>
            </w:r>
          </w:p>
        </w:tc>
      </w:tr>
      <w:tr>
        <w:trPr>
          <w:trHeight w:val="357" w:hRule="exact"/>
        </w:trPr>
        <w:tc>
          <w:tcPr>
            <w:tcW w:w="108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37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本项目采集互联网文献资源和科技项目申报、评</w:t>
            </w:r>
          </w:p>
        </w:tc>
        <w:tc>
          <w:tcPr>
            <w:tcW w:w="3409"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估数据，构建基于语义的结构化分布式科研资源</w:t>
            </w:r>
          </w:p>
        </w:tc>
        <w:tc>
          <w:tcPr>
            <w:tcW w:w="3409" w:type="dxa"/>
            <w:tcBorders>
              <w:top w:val="nil" w:sz="6" w:space="0" w:color="auto"/>
              <w:left w:val="single" w:sz="4" w:space="0" w:color="000000"/>
              <w:bottom w:val="nil" w:sz="6" w:space="0" w:color="auto"/>
              <w:right w:val="single" w:sz="4" w:space="0" w:color="000000"/>
            </w:tcBorders>
          </w:tcPr>
          <w:p>
            <w:pPr/>
          </w:p>
        </w:tc>
      </w:tr>
      <w:tr>
        <w:trPr>
          <w:trHeight w:val="1872"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145"/>
              <w:jc w:val="both"/>
              <w:rPr>
                <w:rFonts w:ascii="宋体" w:hAnsi="宋体" w:cs="宋体" w:eastAsia="宋体" w:hint="default"/>
                <w:sz w:val="18"/>
                <w:szCs w:val="18"/>
              </w:rPr>
            </w:pPr>
            <w:r>
              <w:rPr>
                <w:rFonts w:ascii="宋体" w:hAnsi="宋体" w:cs="宋体" w:eastAsia="宋体" w:hint="default"/>
                <w:sz w:val="18"/>
                <w:szCs w:val="18"/>
              </w:rPr>
              <w:t>面向科技创 新服务的大 数据技术研 发及示范应 用</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49,837.08</w:t>
            </w:r>
          </w:p>
        </w:tc>
        <w:tc>
          <w:tcPr>
            <w:tcW w:w="379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32"/>
              <w:jc w:val="left"/>
              <w:rPr>
                <w:rFonts w:ascii="宋体" w:hAnsi="宋体" w:cs="宋体" w:eastAsia="宋体" w:hint="default"/>
                <w:sz w:val="18"/>
                <w:szCs w:val="18"/>
              </w:rPr>
            </w:pPr>
            <w:r>
              <w:rPr>
                <w:rFonts w:ascii="宋体" w:hAnsi="宋体" w:cs="宋体" w:eastAsia="宋体" w:hint="default"/>
                <w:spacing w:val="-3"/>
                <w:sz w:val="18"/>
                <w:szCs w:val="18"/>
              </w:rPr>
              <w:t>大数据中心；针对于科技管理领域的业务应用需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求，基于大数据的分布式计算、语义分析和文本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挖掘技术，建立基于机器学习的智能科技资源专</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8"/>
                <w:sz w:val="18"/>
                <w:szCs w:val="18"/>
              </w:rPr>
              <w:t>家系统；协助科技项目的评审、项目执行的评价</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成果绩效评估、科技金融评估等工作，为科技管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理部门、科技企业等用户提供客观、准确、量化</w:t>
            </w:r>
          </w:p>
        </w:tc>
        <w:tc>
          <w:tcPr>
            <w:tcW w:w="34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195" w:lineRule="exact"/>
              <w:ind w:left="11" w:right="0"/>
              <w:jc w:val="left"/>
              <w:rPr>
                <w:rFonts w:ascii="宋体" w:hAnsi="宋体" w:cs="宋体" w:eastAsia="宋体" w:hint="default"/>
                <w:sz w:val="18"/>
                <w:szCs w:val="18"/>
              </w:rPr>
            </w:pPr>
            <w:r>
              <w:rPr>
                <w:rFonts w:ascii="宋体" w:hAnsi="宋体" w:cs="宋体" w:eastAsia="宋体" w:hint="default"/>
                <w:sz w:val="18"/>
                <w:szCs w:val="18"/>
              </w:rPr>
              <w:t>已完成</w:t>
            </w:r>
          </w:p>
          <w:p>
            <w:pPr>
              <w:pStyle w:val="TableParagraph"/>
              <w:spacing w:line="195" w:lineRule="exact"/>
              <w:ind w:left="-136"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13"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9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的创新服务</w:t>
            </w:r>
            <w:r>
              <w:rPr>
                <w:rFonts w:ascii="宋体" w:hAnsi="宋体" w:cs="宋体" w:eastAsia="宋体" w:hint="default"/>
                <w:spacing w:val="-74"/>
                <w:sz w:val="18"/>
                <w:szCs w:val="18"/>
              </w:rPr>
              <w:t>，</w:t>
            </w:r>
            <w:r>
              <w:rPr>
                <w:rFonts w:ascii="宋体" w:hAnsi="宋体" w:cs="宋体" w:eastAsia="宋体" w:hint="default"/>
                <w:sz w:val="18"/>
                <w:szCs w:val="18"/>
              </w:rPr>
              <w:t>并搭建数据开放平台</w:t>
            </w:r>
            <w:r>
              <w:rPr>
                <w:rFonts w:ascii="宋体" w:hAnsi="宋体" w:cs="宋体" w:eastAsia="宋体" w:hint="default"/>
                <w:spacing w:val="-74"/>
                <w:sz w:val="18"/>
                <w:szCs w:val="18"/>
              </w:rPr>
              <w:t>，</w:t>
            </w:r>
            <w:r>
              <w:rPr>
                <w:rFonts w:ascii="宋体" w:hAnsi="宋体" w:cs="宋体" w:eastAsia="宋体" w:hint="default"/>
                <w:sz w:val="18"/>
                <w:szCs w:val="18"/>
              </w:rPr>
              <w:t>提供开放式</w:t>
            </w:r>
          </w:p>
        </w:tc>
        <w:tc>
          <w:tcPr>
            <w:tcW w:w="34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57" w:hRule="exact"/>
        </w:trPr>
        <w:tc>
          <w:tcPr>
            <w:tcW w:w="108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37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交互式的科技信息服务。</w:t>
            </w:r>
          </w:p>
        </w:tc>
        <w:tc>
          <w:tcPr>
            <w:tcW w:w="3409"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8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3791" w:type="dxa"/>
            <w:tcBorders>
              <w:top w:val="single" w:sz="4" w:space="0" w:color="000000"/>
              <w:left w:val="single" w:sz="4" w:space="0" w:color="000000"/>
              <w:bottom w:val="nil" w:sz="6" w:space="0" w:color="auto"/>
              <w:right w:val="single" w:sz="9" w:space="0" w:color="FFFFFF"/>
            </w:tcBorders>
          </w:tcPr>
          <w:p>
            <w:pPr/>
          </w:p>
        </w:tc>
        <w:tc>
          <w:tcPr>
            <w:tcW w:w="3409" w:type="dxa"/>
            <w:tcBorders>
              <w:top w:val="single" w:sz="4" w:space="0" w:color="000000"/>
              <w:left w:val="single" w:sz="9" w:space="0" w:color="FFFFFF"/>
              <w:bottom w:val="nil" w:sz="6" w:space="0" w:color="auto"/>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响应国家提出的</w:t>
            </w:r>
            <w:r>
              <w:rPr>
                <w:rFonts w:ascii="Times New Roman" w:hAnsi="Times New Roman" w:cs="Times New Roman" w:eastAsia="Times New Roman" w:hint="default"/>
                <w:sz w:val="18"/>
                <w:szCs w:val="18"/>
              </w:rPr>
              <w:t>“</w:t>
            </w:r>
            <w:r>
              <w:rPr>
                <w:rFonts w:ascii="宋体" w:hAnsi="宋体" w:cs="宋体" w:eastAsia="宋体" w:hint="default"/>
                <w:sz w:val="18"/>
                <w:szCs w:val="18"/>
              </w:rPr>
              <w:t>国产自主可控替代计划</w:t>
            </w:r>
            <w:r>
              <w:rPr>
                <w:rFonts w:ascii="Times New Roman" w:hAnsi="Times New Roman" w:cs="Times New Roman" w:eastAsia="Times New Roman" w:hint="default"/>
                <w:sz w:val="18"/>
                <w:szCs w:val="18"/>
              </w:rPr>
              <w:t>”</w:t>
            </w:r>
          </w:p>
        </w:tc>
      </w:tr>
      <w:tr>
        <w:trPr>
          <w:trHeight w:val="306"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91" w:type="dxa"/>
            <w:tcBorders>
              <w:top w:val="nil" w:sz="6" w:space="0" w:color="auto"/>
              <w:left w:val="single" w:sz="4" w:space="0" w:color="000000"/>
              <w:bottom w:val="nil" w:sz="6" w:space="0" w:color="auto"/>
              <w:right w:val="single" w:sz="9" w:space="0" w:color="FFFFFF"/>
            </w:tcBorders>
          </w:tcPr>
          <w:p>
            <w:pPr/>
          </w:p>
        </w:tc>
        <w:tc>
          <w:tcPr>
            <w:tcW w:w="3409" w:type="dxa"/>
            <w:tcBorders>
              <w:top w:val="nil" w:sz="6" w:space="0" w:color="auto"/>
              <w:left w:val="single" w:sz="9" w:space="0" w:color="FFFFFF"/>
              <w:bottom w:val="nil" w:sz="6" w:space="0" w:color="auto"/>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pacing w:val="-3"/>
                <w:sz w:val="18"/>
                <w:szCs w:val="18"/>
              </w:rPr>
              <w:t>的战略部署，我们对整个研发基础架构进行</w:t>
            </w:r>
          </w:p>
        </w:tc>
      </w:tr>
      <w:tr>
        <w:trPr>
          <w:trHeight w:val="317"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91" w:type="dxa"/>
            <w:tcBorders>
              <w:top w:val="nil" w:sz="6" w:space="0" w:color="auto"/>
              <w:left w:val="single" w:sz="4" w:space="0" w:color="000000"/>
              <w:bottom w:val="nil" w:sz="6" w:space="0" w:color="auto"/>
              <w:right w:val="single" w:sz="9" w:space="0" w:color="FFFFFF"/>
            </w:tcBorders>
          </w:tcPr>
          <w:p>
            <w:pPr/>
          </w:p>
        </w:tc>
        <w:tc>
          <w:tcPr>
            <w:tcW w:w="3409" w:type="dxa"/>
            <w:tcBorders>
              <w:top w:val="nil" w:sz="6" w:space="0" w:color="auto"/>
              <w:left w:val="single" w:sz="9" w:space="0" w:color="FFFFFF"/>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3"/>
                <w:sz w:val="18"/>
                <w:szCs w:val="18"/>
              </w:rPr>
              <w:t>调整，采用基于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ARM64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处理器的泰山服务</w:t>
            </w:r>
          </w:p>
        </w:tc>
      </w:tr>
      <w:tr>
        <w:trPr>
          <w:trHeight w:val="313"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91" w:type="dxa"/>
            <w:tcBorders>
              <w:top w:val="nil" w:sz="6" w:space="0" w:color="auto"/>
              <w:left w:val="single" w:sz="4" w:space="0" w:color="000000"/>
              <w:bottom w:val="nil" w:sz="6" w:space="0" w:color="auto"/>
              <w:right w:val="single" w:sz="9" w:space="0" w:color="FFFFFF"/>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本项目主要研发工作和建设任务：</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建立政务</w:t>
            </w:r>
          </w:p>
        </w:tc>
        <w:tc>
          <w:tcPr>
            <w:tcW w:w="3409" w:type="dxa"/>
            <w:tcBorders>
              <w:top w:val="nil" w:sz="6" w:space="0" w:color="auto"/>
              <w:left w:val="single" w:sz="9" w:space="0" w:color="FFFFFF"/>
              <w:bottom w:val="nil" w:sz="6" w:space="0" w:color="auto"/>
              <w:right w:val="single" w:sz="4" w:space="0" w:color="000000"/>
            </w:tcBorders>
          </w:tcPr>
          <w:p>
            <w:pPr>
              <w:pStyle w:val="TableParagraph"/>
              <w:spacing w:line="240" w:lineRule="auto" w:before="5"/>
              <w:ind w:left="4" w:right="0"/>
              <w:jc w:val="left"/>
              <w:rPr>
                <w:rFonts w:ascii="宋体" w:hAnsi="宋体" w:cs="宋体" w:eastAsia="宋体" w:hint="default"/>
                <w:sz w:val="18"/>
                <w:szCs w:val="18"/>
              </w:rPr>
            </w:pPr>
            <w:r>
              <w:rPr>
                <w:rFonts w:ascii="宋体" w:hAnsi="宋体" w:cs="宋体" w:eastAsia="宋体" w:hint="default"/>
                <w:spacing w:val="-3"/>
                <w:sz w:val="18"/>
                <w:szCs w:val="18"/>
              </w:rPr>
              <w:t>器搭建鲲鹏云服务平台，操作系统采用深度</w:t>
            </w:r>
          </w:p>
        </w:tc>
      </w:tr>
      <w:tr>
        <w:trPr>
          <w:trHeight w:val="1242"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316" w:lineRule="auto"/>
              <w:ind w:left="22" w:right="145"/>
              <w:jc w:val="both"/>
              <w:rPr>
                <w:rFonts w:ascii="宋体" w:hAnsi="宋体" w:cs="宋体" w:eastAsia="宋体" w:hint="default"/>
                <w:sz w:val="18"/>
                <w:szCs w:val="18"/>
              </w:rPr>
            </w:pPr>
            <w:r>
              <w:rPr>
                <w:rFonts w:ascii="宋体" w:hAnsi="宋体" w:cs="宋体" w:eastAsia="宋体" w:hint="default"/>
                <w:sz w:val="18"/>
                <w:szCs w:val="18"/>
              </w:rPr>
              <w:t>玉溪政务大 数据平台研 发项目</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213,067.98</w:t>
            </w:r>
          </w:p>
        </w:tc>
        <w:tc>
          <w:tcPr>
            <w:tcW w:w="3791" w:type="dxa"/>
            <w:tcBorders>
              <w:top w:val="nil" w:sz="6" w:space="0" w:color="auto"/>
              <w:left w:val="single" w:sz="4" w:space="0" w:color="000000"/>
              <w:bottom w:val="nil" w:sz="6" w:space="0" w:color="auto"/>
              <w:right w:val="single" w:sz="9" w:space="0" w:color="FFFFFF"/>
            </w:tcBorders>
          </w:tcPr>
          <w:p>
            <w:pPr>
              <w:pStyle w:val="TableParagraph"/>
              <w:spacing w:line="307" w:lineRule="auto" w:before="5"/>
              <w:ind w:left="22" w:right="-28"/>
              <w:jc w:val="both"/>
              <w:rPr>
                <w:rFonts w:ascii="宋体" w:hAnsi="宋体" w:cs="宋体" w:eastAsia="宋体" w:hint="default"/>
                <w:sz w:val="18"/>
                <w:szCs w:val="18"/>
              </w:rPr>
            </w:pPr>
            <w:r>
              <w:rPr>
                <w:rFonts w:ascii="宋体" w:hAnsi="宋体" w:cs="宋体" w:eastAsia="宋体" w:hint="default"/>
                <w:sz w:val="18"/>
                <w:szCs w:val="18"/>
              </w:rPr>
              <w:t>大数据的整合平台，实现大数据的采集、存储、 </w:t>
            </w:r>
            <w:r>
              <w:rPr>
                <w:rFonts w:ascii="宋体" w:hAnsi="宋体" w:cs="宋体" w:eastAsia="宋体" w:hint="default"/>
                <w:spacing w:val="-3"/>
                <w:sz w:val="18"/>
                <w:szCs w:val="18"/>
              </w:rPr>
              <w:t>处理、利用等功能</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解决来自主要政府机构的业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务数据、传感器、</w:t>
            </w:r>
            <w:r>
              <w:rPr>
                <w:rFonts w:ascii="Times New Roman" w:hAnsi="Times New Roman" w:cs="Times New Roman" w:eastAsia="Times New Roman" w:hint="default"/>
                <w:spacing w:val="-4"/>
                <w:sz w:val="18"/>
                <w:szCs w:val="18"/>
              </w:rPr>
              <w:t>Web2.0</w:t>
            </w:r>
            <w:r>
              <w:rPr>
                <w:rFonts w:ascii="宋体" w:hAnsi="宋体" w:cs="宋体" w:eastAsia="宋体" w:hint="default"/>
                <w:spacing w:val="-4"/>
                <w:sz w:val="18"/>
                <w:szCs w:val="18"/>
              </w:rPr>
              <w:t>、社交网络等的多源异</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构数据的采集、存储、处理和定向发布，重点是</w:t>
            </w:r>
          </w:p>
        </w:tc>
        <w:tc>
          <w:tcPr>
            <w:tcW w:w="3409" w:type="dxa"/>
            <w:tcBorders>
              <w:top w:val="nil" w:sz="6" w:space="0" w:color="auto"/>
              <w:left w:val="single" w:sz="9" w:space="0" w:color="FFFFFF"/>
              <w:bottom w:val="nil" w:sz="6" w:space="0" w:color="auto"/>
              <w:right w:val="single" w:sz="4" w:space="0" w:color="000000"/>
            </w:tcBorders>
          </w:tcPr>
          <w:p>
            <w:pPr>
              <w:pStyle w:val="TableParagraph"/>
              <w:spacing w:line="307" w:lineRule="auto" w:before="5"/>
              <w:ind w:left="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OS</w:t>
            </w:r>
            <w:r>
              <w:rPr>
                <w:rFonts w:ascii="宋体" w:hAnsi="宋体" w:cs="宋体" w:eastAsia="宋体" w:hint="default"/>
                <w:sz w:val="18"/>
                <w:szCs w:val="18"/>
              </w:rPr>
              <w:t>，数据库采用华为高斯数据库，中间件 采用东方通</w:t>
            </w:r>
            <w:r>
              <w:rPr>
                <w:rFonts w:ascii="宋体" w:hAnsi="宋体" w:cs="宋体" w:eastAsia="宋体" w:hint="default"/>
                <w:spacing w:val="-42"/>
                <w:sz w:val="18"/>
                <w:szCs w:val="18"/>
              </w:rPr>
              <w:t> </w:t>
            </w:r>
            <w:r>
              <w:rPr>
                <w:rFonts w:ascii="Times New Roman" w:hAnsi="Times New Roman" w:cs="Times New Roman" w:eastAsia="Times New Roman" w:hint="default"/>
                <w:spacing w:val="-6"/>
                <w:sz w:val="18"/>
                <w:szCs w:val="18"/>
              </w:rPr>
              <w:t>TengWeb</w:t>
            </w:r>
            <w:r>
              <w:rPr>
                <w:rFonts w:ascii="宋体" w:hAnsi="宋体" w:cs="宋体" w:eastAsia="宋体" w:hint="default"/>
                <w:spacing w:val="-6"/>
                <w:sz w:val="18"/>
                <w:szCs w:val="18"/>
              </w:rPr>
              <w:t>，并将开发完成的统一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服务平台、政务大数据平台等资源整合产 </w:t>
            </w:r>
            <w:r>
              <w:rPr>
                <w:rFonts w:ascii="宋体" w:hAnsi="宋体" w:cs="宋体" w:eastAsia="宋体" w:hint="default"/>
                <w:spacing w:val="-3"/>
                <w:sz w:val="18"/>
                <w:szCs w:val="18"/>
              </w:rPr>
              <w:t>品，全面迁移到信息技术应用架构上，就是</w:t>
            </w:r>
          </w:p>
        </w:tc>
      </w:tr>
      <w:tr>
        <w:trPr>
          <w:trHeight w:val="313"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91" w:type="dxa"/>
            <w:tcBorders>
              <w:top w:val="nil" w:sz="6" w:space="0" w:color="auto"/>
              <w:left w:val="single" w:sz="4" w:space="0" w:color="000000"/>
              <w:bottom w:val="nil" w:sz="6" w:space="0" w:color="auto"/>
              <w:right w:val="single" w:sz="9" w:space="0" w:color="FFFFFF"/>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解决海量数据的处理性能问题。</w:t>
            </w:r>
          </w:p>
        </w:tc>
        <w:tc>
          <w:tcPr>
            <w:tcW w:w="3409" w:type="dxa"/>
            <w:tcBorders>
              <w:top w:val="nil" w:sz="6" w:space="0" w:color="auto"/>
              <w:left w:val="single" w:sz="9" w:space="0" w:color="FFFFFF"/>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3"/>
                <w:sz w:val="18"/>
                <w:szCs w:val="18"/>
              </w:rPr>
              <w:t>从底层的芯片到中间件、数据库到上层的业</w:t>
            </w:r>
          </w:p>
        </w:tc>
      </w:tr>
      <w:tr>
        <w:trPr>
          <w:trHeight w:val="311"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91" w:type="dxa"/>
            <w:tcBorders>
              <w:top w:val="nil" w:sz="6" w:space="0" w:color="auto"/>
              <w:left w:val="single" w:sz="4" w:space="0" w:color="000000"/>
              <w:bottom w:val="nil" w:sz="6" w:space="0" w:color="auto"/>
              <w:right w:val="single" w:sz="9" w:space="0" w:color="FFFFFF"/>
            </w:tcBorders>
          </w:tcPr>
          <w:p>
            <w:pPr/>
          </w:p>
        </w:tc>
        <w:tc>
          <w:tcPr>
            <w:tcW w:w="3409" w:type="dxa"/>
            <w:tcBorders>
              <w:top w:val="nil" w:sz="6" w:space="0" w:color="auto"/>
              <w:left w:val="single" w:sz="9" w:space="0" w:color="FFFFFF"/>
              <w:bottom w:val="nil" w:sz="6" w:space="0" w:color="auto"/>
              <w:right w:val="single" w:sz="4" w:space="0" w:color="000000"/>
            </w:tcBorders>
          </w:tcPr>
          <w:p>
            <w:pPr>
              <w:pStyle w:val="TableParagraph"/>
              <w:spacing w:line="240" w:lineRule="auto" w:before="10"/>
              <w:ind w:left="4" w:right="-33"/>
              <w:jc w:val="left"/>
              <w:rPr>
                <w:rFonts w:ascii="宋体" w:hAnsi="宋体" w:cs="宋体" w:eastAsia="宋体" w:hint="default"/>
                <w:sz w:val="18"/>
                <w:szCs w:val="18"/>
              </w:rPr>
            </w:pPr>
            <w:r>
              <w:rPr>
                <w:rFonts w:ascii="宋体" w:hAnsi="宋体" w:cs="宋体" w:eastAsia="宋体" w:hint="default"/>
                <w:sz w:val="18"/>
                <w:szCs w:val="18"/>
              </w:rPr>
              <w:t>务应用，全面采用信息技术应用创新架构。</w:t>
            </w:r>
          </w:p>
        </w:tc>
      </w:tr>
      <w:tr>
        <w:trPr>
          <w:trHeight w:val="313"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91" w:type="dxa"/>
            <w:tcBorders>
              <w:top w:val="nil" w:sz="6" w:space="0" w:color="auto"/>
              <w:left w:val="single" w:sz="4" w:space="0" w:color="000000"/>
              <w:bottom w:val="nil" w:sz="6" w:space="0" w:color="auto"/>
              <w:right w:val="single" w:sz="9" w:space="0" w:color="FFFFFF"/>
            </w:tcBorders>
          </w:tcPr>
          <w:p>
            <w:pPr/>
          </w:p>
        </w:tc>
        <w:tc>
          <w:tcPr>
            <w:tcW w:w="3409" w:type="dxa"/>
            <w:tcBorders>
              <w:top w:val="nil" w:sz="6" w:space="0" w:color="auto"/>
              <w:left w:val="single" w:sz="9" w:space="0" w:color="FFFFFF"/>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pacing w:val="-3"/>
                <w:sz w:val="18"/>
                <w:szCs w:val="18"/>
              </w:rPr>
              <w:t>目前系统迁移工作完毕，提交华为做鲲鹏适</w:t>
            </w:r>
          </w:p>
        </w:tc>
      </w:tr>
      <w:tr>
        <w:trPr>
          <w:trHeight w:val="357" w:hRule="exact"/>
        </w:trPr>
        <w:tc>
          <w:tcPr>
            <w:tcW w:w="108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3791" w:type="dxa"/>
            <w:tcBorders>
              <w:top w:val="nil" w:sz="6" w:space="0" w:color="auto"/>
              <w:left w:val="single" w:sz="4" w:space="0" w:color="000000"/>
              <w:bottom w:val="single" w:sz="4" w:space="0" w:color="000000"/>
              <w:right w:val="single" w:sz="9" w:space="0" w:color="FFFFFF"/>
            </w:tcBorders>
          </w:tcPr>
          <w:p>
            <w:pPr/>
          </w:p>
        </w:tc>
        <w:tc>
          <w:tcPr>
            <w:tcW w:w="3409" w:type="dxa"/>
            <w:tcBorders>
              <w:top w:val="nil" w:sz="6" w:space="0" w:color="auto"/>
              <w:left w:val="single" w:sz="9" w:space="0" w:color="FFFFFF"/>
              <w:bottom w:val="single" w:sz="4" w:space="0" w:color="000000"/>
              <w:right w:val="single" w:sz="4"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配测试，获得产品认证证书。</w:t>
            </w:r>
          </w:p>
        </w:tc>
      </w:tr>
      <w:tr>
        <w:trPr>
          <w:trHeight w:val="372" w:hRule="exact"/>
        </w:trPr>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基于云计算</w:t>
            </w:r>
          </w:p>
        </w:tc>
        <w:tc>
          <w:tcPr>
            <w:tcW w:w="1440" w:type="dxa"/>
            <w:tcBorders>
              <w:top w:val="single" w:sz="4" w:space="0" w:color="000000"/>
              <w:left w:val="single" w:sz="4" w:space="0" w:color="000000"/>
              <w:bottom w:val="nil" w:sz="6" w:space="0" w:color="auto"/>
              <w:right w:val="single" w:sz="4" w:space="0" w:color="000000"/>
            </w:tcBorders>
          </w:tcPr>
          <w:p>
            <w:pPr/>
          </w:p>
        </w:tc>
        <w:tc>
          <w:tcPr>
            <w:tcW w:w="37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基于云计算的</w:t>
            </w:r>
            <w:r>
              <w:rPr>
                <w:rFonts w:ascii="Times New Roman" w:hAnsi="Times New Roman" w:cs="Times New Roman" w:eastAsia="Times New Roman" w:hint="default"/>
                <w:sz w:val="18"/>
                <w:szCs w:val="18"/>
              </w:rPr>
              <w:t>"</w:t>
            </w:r>
            <w:r>
              <w:rPr>
                <w:rFonts w:ascii="宋体" w:hAnsi="宋体" w:cs="宋体" w:eastAsia="宋体" w:hint="default"/>
                <w:sz w:val="18"/>
                <w:szCs w:val="18"/>
              </w:rPr>
              <w:t>智慧政务</w:t>
            </w:r>
            <w:r>
              <w:rPr>
                <w:rFonts w:ascii="Times New Roman" w:hAnsi="Times New Roman" w:cs="Times New Roman" w:eastAsia="Times New Roman" w:hint="default"/>
                <w:sz w:val="18"/>
                <w:szCs w:val="18"/>
              </w:rPr>
              <w:t>"</w:t>
            </w:r>
            <w:r>
              <w:rPr>
                <w:rFonts w:ascii="宋体" w:hAnsi="宋体" w:cs="宋体" w:eastAsia="宋体" w:hint="default"/>
                <w:sz w:val="18"/>
                <w:szCs w:val="18"/>
              </w:rPr>
              <w:t>协同服务及应用项目</w:t>
            </w:r>
          </w:p>
        </w:tc>
        <w:tc>
          <w:tcPr>
            <w:tcW w:w="3409"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22" w:right="0"/>
              <w:jc w:val="left"/>
              <w:rPr>
                <w:rFonts w:ascii="宋体" w:hAnsi="宋体" w:cs="宋体" w:eastAsia="宋体" w:hint="default"/>
                <w:sz w:val="18"/>
                <w:szCs w:val="18"/>
              </w:rPr>
            </w:pPr>
            <w:r>
              <w:rPr>
                <w:rFonts w:ascii="宋体" w:hAnsi="宋体" w:cs="宋体" w:eastAsia="宋体" w:hint="default"/>
                <w:sz w:val="18"/>
                <w:szCs w:val="18"/>
              </w:rPr>
              <w:t>的智慧政务</w:t>
            </w:r>
          </w:p>
        </w:tc>
        <w:tc>
          <w:tcPr>
            <w:tcW w:w="1440" w:type="dxa"/>
            <w:tcBorders>
              <w:top w:val="nil" w:sz="6" w:space="0" w:color="auto"/>
              <w:left w:val="single" w:sz="4" w:space="0" w:color="000000"/>
              <w:bottom w:val="nil" w:sz="6" w:space="0" w:color="auto"/>
              <w:right w:val="single" w:sz="4" w:space="0" w:color="000000"/>
            </w:tcBorders>
          </w:tcPr>
          <w:p>
            <w:pPr/>
          </w:p>
        </w:tc>
        <w:tc>
          <w:tcPr>
            <w:tcW w:w="3791"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pacing w:val="-3"/>
                <w:sz w:val="18"/>
                <w:szCs w:val="18"/>
              </w:rPr>
              <w:t>根据国家的云计算发展战略和发展趋势，针对我</w:t>
            </w:r>
          </w:p>
        </w:tc>
        <w:tc>
          <w:tcPr>
            <w:tcW w:w="3409"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协同及应用</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智慧城市行</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735,455.48</w:t>
            </w:r>
          </w:p>
        </w:tc>
        <w:tc>
          <w:tcPr>
            <w:tcW w:w="3791" w:type="dxa"/>
            <w:tcBorders>
              <w:top w:val="nil" w:sz="6" w:space="0" w:color="auto"/>
              <w:left w:val="single" w:sz="4" w:space="0" w:color="000000"/>
              <w:bottom w:val="nil" w:sz="6" w:space="0" w:color="auto"/>
              <w:right w:val="single" w:sz="9" w:space="0" w:color="FFFFFF"/>
            </w:tcBorders>
          </w:tcPr>
          <w:p>
            <w:pPr>
              <w:pStyle w:val="TableParagraph"/>
              <w:spacing w:line="316" w:lineRule="auto" w:before="20"/>
              <w:ind w:left="22" w:right="-28"/>
              <w:jc w:val="left"/>
              <w:rPr>
                <w:rFonts w:ascii="宋体" w:hAnsi="宋体" w:cs="宋体" w:eastAsia="宋体" w:hint="default"/>
                <w:sz w:val="18"/>
                <w:szCs w:val="18"/>
              </w:rPr>
            </w:pPr>
            <w:r>
              <w:rPr>
                <w:rFonts w:ascii="宋体" w:hAnsi="宋体" w:cs="宋体" w:eastAsia="宋体" w:hint="default"/>
                <w:sz w:val="18"/>
                <w:szCs w:val="18"/>
              </w:rPr>
              <w:t>国电子政务的业务特点、应用需求和发展方向， 运行在云计算的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IaaS</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层基础上，在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PaaS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层提供</w:t>
            </w:r>
          </w:p>
        </w:tc>
        <w:tc>
          <w:tcPr>
            <w:tcW w:w="3409" w:type="dxa"/>
            <w:tcBorders>
              <w:top w:val="nil" w:sz="6" w:space="0" w:color="auto"/>
              <w:left w:val="single" w:sz="9" w:space="0" w:color="FFFFFF"/>
              <w:bottom w:val="nil" w:sz="6" w:space="0" w:color="auto"/>
              <w:right w:val="single" w:sz="4" w:space="0" w:color="000000"/>
            </w:tcBorders>
          </w:tcPr>
          <w:p>
            <w:pPr>
              <w:pStyle w:val="TableParagraph"/>
              <w:spacing w:line="240" w:lineRule="auto" w:before="157"/>
              <w:ind w:left="4"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313"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231" w:lineRule="exact"/>
              <w:ind w:left="22" w:right="0"/>
              <w:jc w:val="left"/>
              <w:rPr>
                <w:rFonts w:ascii="宋体" w:hAnsi="宋体" w:cs="宋体" w:eastAsia="宋体" w:hint="default"/>
                <w:sz w:val="18"/>
                <w:szCs w:val="18"/>
              </w:rPr>
            </w:pPr>
            <w:r>
              <w:rPr>
                <w:rFonts w:ascii="宋体" w:hAnsi="宋体" w:cs="宋体" w:eastAsia="宋体" w:hint="default"/>
                <w:sz w:val="18"/>
                <w:szCs w:val="18"/>
              </w:rPr>
              <w:t>业解决方案</w:t>
            </w:r>
          </w:p>
        </w:tc>
        <w:tc>
          <w:tcPr>
            <w:tcW w:w="1440" w:type="dxa"/>
            <w:tcBorders>
              <w:top w:val="nil" w:sz="6" w:space="0" w:color="auto"/>
              <w:left w:val="single" w:sz="4" w:space="0" w:color="000000"/>
              <w:bottom w:val="nil" w:sz="6" w:space="0" w:color="auto"/>
              <w:right w:val="single" w:sz="4" w:space="0" w:color="000000"/>
            </w:tcBorders>
          </w:tcPr>
          <w:p>
            <w:pPr/>
          </w:p>
        </w:tc>
        <w:tc>
          <w:tcPr>
            <w:tcW w:w="3791" w:type="dxa"/>
            <w:tcBorders>
              <w:top w:val="nil" w:sz="6" w:space="0" w:color="auto"/>
              <w:left w:val="single" w:sz="4" w:space="0" w:color="000000"/>
              <w:bottom w:val="nil" w:sz="6" w:space="0" w:color="auto"/>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统一的信息资源管理服务、在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DaaS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层提供数据</w:t>
            </w:r>
          </w:p>
        </w:tc>
        <w:tc>
          <w:tcPr>
            <w:tcW w:w="3409" w:type="dxa"/>
            <w:tcBorders>
              <w:top w:val="nil" w:sz="6" w:space="0" w:color="auto"/>
              <w:left w:val="single" w:sz="4" w:space="0" w:color="000000"/>
              <w:bottom w:val="nil" w:sz="6" w:space="0" w:color="auto"/>
              <w:right w:val="single" w:sz="4" w:space="0" w:color="000000"/>
            </w:tcBorders>
          </w:tcPr>
          <w:p>
            <w:pPr/>
          </w:p>
        </w:tc>
      </w:tr>
      <w:tr>
        <w:trPr>
          <w:trHeight w:val="342" w:hRule="exact"/>
        </w:trPr>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5"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系列项目</w:t>
            </w:r>
            <w:r>
              <w:rPr>
                <w:rFonts w:ascii="Times New Roman" w:hAnsi="Times New Roman" w:cs="Times New Roman" w:eastAsia="Times New Roman" w:hint="default"/>
                <w:sz w:val="18"/>
                <w:szCs w:val="18"/>
              </w:rPr>
              <w:t>)</w:t>
            </w:r>
          </w:p>
        </w:tc>
        <w:tc>
          <w:tcPr>
            <w:tcW w:w="1440" w:type="dxa"/>
            <w:tcBorders>
              <w:top w:val="nil" w:sz="6" w:space="0" w:color="auto"/>
              <w:left w:val="single" w:sz="4" w:space="0" w:color="000000"/>
              <w:bottom w:val="single" w:sz="4" w:space="0" w:color="000000"/>
              <w:right w:val="single" w:sz="4" w:space="0" w:color="000000"/>
            </w:tcBorders>
          </w:tcPr>
          <w:p>
            <w:pPr/>
          </w:p>
        </w:tc>
        <w:tc>
          <w:tcPr>
            <w:tcW w:w="37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处理和分析服务，在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SaaS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层提供整合的应用服</w:t>
            </w:r>
          </w:p>
        </w:tc>
        <w:tc>
          <w:tcPr>
            <w:tcW w:w="340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71.940002pt;margin-top:297.399994pt;width:170.55pt;height:109.2pt;mso-position-horizontal-relative:page;mso-position-vertical-relative:page;z-index:-1362832" coordorigin="7439,5948" coordsize="3411,2184">
            <v:shape style="position:absolute;left:7439;top:5948;width:3411;height:2184" coordorigin="7439,5948" coordsize="3411,2184" path="m7439,8132l10849,8132,10849,5948,7439,5948,7439,8132xe" filled="true" fillcolor="#ffffff" stroked="false">
              <v:path arrowok="t"/>
              <v:fill type="solid"/>
            </v:shape>
            <w10:wrap type="none"/>
          </v:group>
        </w:pict>
      </w:r>
      <w:r>
        <w:rPr/>
        <w:pict>
          <v:group style="position:absolute;margin-left:371.940002pt;margin-top:731pt;width:170.55pt;height:30.3pt;mso-position-horizontal-relative:page;mso-position-vertical-relative:page;z-index:-1362808" coordorigin="7439,14620" coordsize="3411,606">
            <v:shape style="position:absolute;left:7439;top:14620;width:3411;height:606" coordorigin="7439,14620" coordsize="3411,606" path="m7439,15226l10849,15226,10849,14620,7439,14620,7439,15226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80"/>
        <w:gridCol w:w="1440"/>
        <w:gridCol w:w="3780"/>
        <w:gridCol w:w="3420"/>
      </w:tblGrid>
      <w:tr>
        <w:trPr>
          <w:trHeight w:val="322" w:hRule="exact"/>
        </w:trPr>
        <w:tc>
          <w:tcPr>
            <w:tcW w:w="1080" w:type="dxa"/>
            <w:vMerge w:val="restart"/>
            <w:tcBorders>
              <w:top w:val="single" w:sz="4" w:space="0" w:color="000000"/>
              <w:left w:val="single" w:sz="4" w:space="0" w:color="000000"/>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3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务，通过对政务信息资源进行统一管理</w:t>
            </w:r>
            <w:r>
              <w:rPr>
                <w:rFonts w:ascii="Times New Roman" w:hAnsi="Times New Roman" w:cs="Times New Roman" w:eastAsia="Times New Roman" w:hint="default"/>
                <w:sz w:val="18"/>
                <w:szCs w:val="18"/>
              </w:rPr>
              <w:t>,</w:t>
            </w:r>
            <w:r>
              <w:rPr>
                <w:rFonts w:ascii="宋体" w:hAnsi="宋体" w:cs="宋体" w:eastAsia="宋体" w:hint="default"/>
                <w:sz w:val="18"/>
                <w:szCs w:val="18"/>
              </w:rPr>
              <w:t>为电子</w:t>
            </w:r>
          </w:p>
        </w:tc>
        <w:tc>
          <w:tcPr>
            <w:tcW w:w="3420" w:type="dxa"/>
            <w:vMerge w:val="restart"/>
            <w:tcBorders>
              <w:top w:val="single" w:sz="4" w:space="0" w:color="000000"/>
              <w:left w:val="single" w:sz="4" w:space="0" w:color="000000"/>
              <w:right w:val="single" w:sz="4" w:space="0" w:color="000000"/>
            </w:tcBorders>
          </w:tcPr>
          <w:p>
            <w:pPr>
              <w:pStyle w:val="TableParagraph"/>
              <w:spacing w:line="191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7"/>
                <w:sz w:val="20"/>
                <w:szCs w:val="20"/>
              </w:rPr>
              <w:pict>
                <v:group style="width:170.55pt;height:95.65pt;mso-position-horizontal-relative:char;mso-position-vertical-relative:line" coordorigin="0,0" coordsize="3411,1913">
                  <v:group style="position:absolute;left:0;top:0;width:3411;height:1913" coordorigin="0,0" coordsize="3411,1913">
                    <v:shape style="position:absolute;left:0;top:0;width:3411;height:1913" coordorigin="0,0" coordsize="3411,1913" path="m0,1913l3410,1913,3410,0,0,0,0,1913xe" filled="true" fillcolor="#ffffff" stroked="false">
                      <v:path arrowok="t"/>
                      <v:fill type="solid"/>
                    </v:shape>
                  </v:group>
                </v:group>
              </w:pict>
            </w:r>
            <w:r>
              <w:rPr>
                <w:rFonts w:ascii="Times New Roman" w:hAnsi="Times New Roman" w:cs="Times New Roman" w:eastAsia="Times New Roman" w:hint="default"/>
                <w:position w:val="-37"/>
                <w:sz w:val="20"/>
                <w:szCs w:val="20"/>
              </w:rPr>
            </w:r>
          </w:p>
        </w:tc>
      </w:tr>
      <w:tr>
        <w:trPr>
          <w:trHeight w:val="307" w:hRule="exact"/>
        </w:trPr>
        <w:tc>
          <w:tcPr>
            <w:tcW w:w="108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政务的集中建设和整合应用提供统一的应用环</w:t>
            </w:r>
          </w:p>
        </w:tc>
        <w:tc>
          <w:tcPr>
            <w:tcW w:w="3420" w:type="dxa"/>
            <w:vMerge/>
            <w:tcBorders>
              <w:left w:val="single" w:sz="4" w:space="0" w:color="000000"/>
              <w:right w:val="single" w:sz="4" w:space="0" w:color="000000"/>
            </w:tcBorders>
          </w:tcPr>
          <w:p>
            <w:pPr/>
          </w:p>
        </w:tc>
      </w:tr>
      <w:tr>
        <w:trPr>
          <w:trHeight w:val="312" w:hRule="exact"/>
        </w:trPr>
        <w:tc>
          <w:tcPr>
            <w:tcW w:w="108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33"/>
              <w:jc w:val="left"/>
              <w:rPr>
                <w:rFonts w:ascii="宋体" w:hAnsi="宋体" w:cs="宋体" w:eastAsia="宋体" w:hint="default"/>
                <w:sz w:val="18"/>
                <w:szCs w:val="18"/>
              </w:rPr>
            </w:pPr>
            <w:r>
              <w:rPr>
                <w:rFonts w:ascii="宋体" w:hAnsi="宋体" w:cs="宋体" w:eastAsia="宋体" w:hint="default"/>
                <w:sz w:val="18"/>
                <w:szCs w:val="18"/>
              </w:rPr>
              <w:t>境，实现跨部门、跨领域数据交换、信息共享、</w:t>
            </w:r>
          </w:p>
        </w:tc>
        <w:tc>
          <w:tcPr>
            <w:tcW w:w="3420" w:type="dxa"/>
            <w:vMerge/>
            <w:tcBorders>
              <w:left w:val="single" w:sz="4" w:space="0" w:color="000000"/>
              <w:right w:val="single" w:sz="4" w:space="0" w:color="000000"/>
            </w:tcBorders>
          </w:tcPr>
          <w:p>
            <w:pPr/>
          </w:p>
        </w:tc>
      </w:tr>
      <w:tr>
        <w:trPr>
          <w:trHeight w:val="312" w:hRule="exact"/>
        </w:trPr>
        <w:tc>
          <w:tcPr>
            <w:tcW w:w="108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业务协同和对外服务，提高政府机关的信息资源</w:t>
            </w:r>
          </w:p>
        </w:tc>
        <w:tc>
          <w:tcPr>
            <w:tcW w:w="3420" w:type="dxa"/>
            <w:vMerge/>
            <w:tcBorders>
              <w:left w:val="single" w:sz="4" w:space="0" w:color="000000"/>
              <w:right w:val="single" w:sz="4" w:space="0" w:color="000000"/>
            </w:tcBorders>
          </w:tcPr>
          <w:p>
            <w:pPr/>
          </w:p>
        </w:tc>
      </w:tr>
      <w:tr>
        <w:trPr>
          <w:trHeight w:val="313" w:hRule="exact"/>
        </w:trPr>
        <w:tc>
          <w:tcPr>
            <w:tcW w:w="108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整体管理和服务水平，进而推动服务型政府的建</w:t>
            </w:r>
          </w:p>
        </w:tc>
        <w:tc>
          <w:tcPr>
            <w:tcW w:w="3420" w:type="dxa"/>
            <w:vMerge/>
            <w:tcBorders>
              <w:left w:val="single" w:sz="4" w:space="0" w:color="000000"/>
              <w:right w:val="single" w:sz="4" w:space="0" w:color="000000"/>
            </w:tcBorders>
          </w:tcPr>
          <w:p>
            <w:pPr/>
          </w:p>
        </w:tc>
      </w:tr>
      <w:tr>
        <w:trPr>
          <w:trHeight w:val="357" w:hRule="exact"/>
        </w:trPr>
        <w:tc>
          <w:tcPr>
            <w:tcW w:w="108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3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设。</w:t>
            </w:r>
          </w:p>
        </w:tc>
        <w:tc>
          <w:tcPr>
            <w:tcW w:w="3420" w:type="dxa"/>
            <w:vMerge/>
            <w:tcBorders>
              <w:left w:val="single" w:sz="4" w:space="0" w:color="000000"/>
              <w:bottom w:val="single" w:sz="4" w:space="0" w:color="000000"/>
              <w:right w:val="single" w:sz="4" w:space="0" w:color="000000"/>
            </w:tcBorders>
          </w:tcPr>
          <w:p>
            <w:pPr/>
          </w:p>
        </w:tc>
      </w:tr>
      <w:tr>
        <w:trPr>
          <w:trHeight w:val="357" w:hRule="exact"/>
        </w:trPr>
        <w:tc>
          <w:tcPr>
            <w:tcW w:w="108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3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本项目针对跨领域、跨部门协作的城市管理业</w:t>
            </w:r>
          </w:p>
        </w:tc>
        <w:tc>
          <w:tcPr>
            <w:tcW w:w="342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务，汇集电子政务共享数据中心的基础数据、城</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市的物联网信息资源、互联网社交网络信息，通</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过对数据的加工处理和融合应用，为城市管理的</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业务联动提供大数据应用环境，并引入社会资源</w:t>
            </w:r>
          </w:p>
        </w:tc>
        <w:tc>
          <w:tcPr>
            <w:tcW w:w="3420"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45"/>
              <w:jc w:val="both"/>
              <w:rPr>
                <w:rFonts w:ascii="宋体" w:hAnsi="宋体" w:cs="宋体" w:eastAsia="宋体" w:hint="default"/>
                <w:sz w:val="18"/>
                <w:szCs w:val="18"/>
              </w:rPr>
            </w:pPr>
            <w:r>
              <w:rPr>
                <w:rFonts w:ascii="宋体" w:hAnsi="宋体" w:cs="宋体" w:eastAsia="宋体" w:hint="default"/>
                <w:sz w:val="18"/>
                <w:szCs w:val="18"/>
              </w:rPr>
              <w:t>智慧城管大 数据服务平 台和示范应 用</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200,242.88</w:t>
            </w: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pacing w:val="-3"/>
                <w:sz w:val="18"/>
                <w:szCs w:val="18"/>
              </w:rPr>
              <w:t>参与城市管理的运行过程，为政府与社会信息资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源的融合创新、政府与市民之间双向互动提供技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术支撑，促进城市管理业务模式的转型升级，达</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到协同化、交互化、精细化、智能化的运行效果</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为保障数据访问和业务应用的方便性，大数据平</w:t>
            </w: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已完成，正在提请验收</w:t>
            </w:r>
          </w:p>
          <w:p>
            <w:pPr>
              <w:pStyle w:val="TableParagraph"/>
              <w:spacing w:line="240" w:lineRule="auto" w:before="75"/>
              <w:ind w:left="-124"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台会部署在社会运营的云服务平台上，与政务外</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网、互联网、视频专网、物联网等通过安全边界</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接入平台，进行广泛的数据交换，在汇集各个领</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域的数据基础上，为跨领域、跨部门的城市管理</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8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3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业务应用提供技术支持。</w:t>
            </w:r>
          </w:p>
        </w:tc>
        <w:tc>
          <w:tcPr>
            <w:tcW w:w="3420"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8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3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北明城市智脑研发项目针对新型智慧城市建设</w:t>
            </w:r>
          </w:p>
        </w:tc>
        <w:tc>
          <w:tcPr>
            <w:tcW w:w="342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的需求，制定组件开发规范、服务接口规范和系</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统集成规范。本期项目重点在于研发人工智能平</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台，开发典型政务业务应用演示系统；为实现人</w:t>
            </w:r>
          </w:p>
        </w:tc>
        <w:tc>
          <w:tcPr>
            <w:tcW w:w="3420"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北明城市智 脑研发项目</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spacing w:val="-1"/>
                <w:sz w:val="18"/>
              </w:rPr>
              <w:t>4,571,045.18</w:t>
            </w: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both"/>
              <w:rPr>
                <w:rFonts w:ascii="宋体" w:hAnsi="宋体" w:cs="宋体" w:eastAsia="宋体" w:hint="default"/>
                <w:sz w:val="18"/>
                <w:szCs w:val="18"/>
              </w:rPr>
            </w:pPr>
            <w:r>
              <w:rPr>
                <w:rFonts w:ascii="宋体" w:hAnsi="宋体" w:cs="宋体" w:eastAsia="宋体" w:hint="default"/>
                <w:spacing w:val="-3"/>
                <w:sz w:val="18"/>
                <w:szCs w:val="18"/>
              </w:rPr>
              <w:t>工智能平台的应用，对统一服务平台和大数据平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台进行功能升级改造，最终实现智慧城市的业务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应用，包括政务、教育、医疗等重要领域的业务</w:t>
            </w: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进度实施，已完成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w:t>
            </w: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协同和人机智能一体化，实现业务、数据和技术</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融合，为智慧政务、智慧教育、智慧旅游、智慧</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民政、智慧交通、公共信用、智慧医疗、智慧税</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8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3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务、城市一卡通等主要应用领域提供支撑。</w:t>
            </w:r>
          </w:p>
        </w:tc>
        <w:tc>
          <w:tcPr>
            <w:tcW w:w="3420" w:type="dxa"/>
            <w:tcBorders>
              <w:top w:val="nil" w:sz="6" w:space="0" w:color="auto"/>
              <w:left w:val="single" w:sz="4" w:space="0" w:color="000000"/>
              <w:bottom w:val="single" w:sz="4" w:space="0" w:color="000000"/>
              <w:right w:val="single" w:sz="4" w:space="0" w:color="000000"/>
            </w:tcBorders>
          </w:tcPr>
          <w:p>
            <w:pPr/>
          </w:p>
        </w:tc>
      </w:tr>
      <w:tr>
        <w:trPr>
          <w:trHeight w:val="196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45"/>
              <w:jc w:val="both"/>
              <w:rPr>
                <w:rFonts w:ascii="宋体" w:hAnsi="宋体" w:cs="宋体" w:eastAsia="宋体" w:hint="default"/>
                <w:sz w:val="18"/>
                <w:szCs w:val="18"/>
              </w:rPr>
            </w:pPr>
            <w:r>
              <w:rPr>
                <w:rFonts w:ascii="宋体" w:hAnsi="宋体" w:cs="宋体" w:eastAsia="宋体" w:hint="default"/>
                <w:sz w:val="18"/>
                <w:szCs w:val="18"/>
              </w:rPr>
              <w:t>基于神经网 络的海量文 档相似性分 析技术及示 范应用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450,226.56</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3"/>
                <w:sz w:val="18"/>
                <w:szCs w:val="18"/>
              </w:rPr>
              <w:t>本项目针对目前文档分析应用的需求，利用机器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学习方法改进海量文档相似性分析的处理效率 和准确性，形成的研发成果可以应用在政府部 </w:t>
            </w:r>
            <w:r>
              <w:rPr>
                <w:rFonts w:ascii="宋体" w:hAnsi="宋体" w:cs="宋体" w:eastAsia="宋体" w:hint="default"/>
                <w:spacing w:val="-3"/>
                <w:sz w:val="18"/>
                <w:szCs w:val="18"/>
              </w:rPr>
              <w:t>门、法院、检察院、公安、科研管理、高校等行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业领域，实现从文档中自动提取文档信息、快速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进行文档匹配、精准推荐相似文档等功能。</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进度实施，已完成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w:t>
            </w:r>
          </w:p>
        </w:tc>
      </w:tr>
      <w:tr>
        <w:trPr>
          <w:trHeight w:val="1048" w:hRule="exact"/>
        </w:trPr>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城市管理中 的智能视频</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分析技术和</w:t>
            </w:r>
          </w:p>
        </w:tc>
        <w:tc>
          <w:tcPr>
            <w:tcW w:w="144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797,149.65</w:t>
            </w:r>
          </w:p>
        </w:tc>
        <w:tc>
          <w:tcPr>
            <w:tcW w:w="3780" w:type="dxa"/>
            <w:tcBorders>
              <w:top w:val="single" w:sz="4" w:space="0" w:color="000000"/>
              <w:left w:val="single" w:sz="4" w:space="0" w:color="000000"/>
              <w:bottom w:val="nil" w:sz="6" w:space="0" w:color="auto"/>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本课题设计并建立部署统一的智能视频分析云 </w:t>
            </w:r>
            <w:r>
              <w:rPr>
                <w:rFonts w:ascii="宋体" w:hAnsi="宋体" w:cs="宋体" w:eastAsia="宋体" w:hint="default"/>
                <w:spacing w:val="-3"/>
                <w:sz w:val="18"/>
                <w:szCs w:val="18"/>
              </w:rPr>
              <w:t>服务与城市管理业务综合系统，形成算法与系统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的集成与迭代优化能力。项目面向城市管理的典</w:t>
            </w:r>
          </w:p>
        </w:tc>
        <w:tc>
          <w:tcPr>
            <w:tcW w:w="342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按进度实施，已完成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p>
        </w:tc>
      </w:tr>
      <w:tr>
        <w:trPr>
          <w:trHeight w:val="562" w:hRule="exact"/>
        </w:trPr>
        <w:tc>
          <w:tcPr>
            <w:tcW w:w="10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9"/>
              <w:ind w:left="22" w:right="0"/>
              <w:jc w:val="left"/>
              <w:rPr>
                <w:rFonts w:ascii="宋体" w:hAnsi="宋体" w:cs="宋体" w:eastAsia="宋体" w:hint="default"/>
                <w:sz w:val="18"/>
                <w:szCs w:val="18"/>
              </w:rPr>
            </w:pPr>
            <w:r>
              <w:rPr>
                <w:rFonts w:ascii="宋体" w:hAnsi="宋体" w:cs="宋体" w:eastAsia="宋体" w:hint="default"/>
                <w:sz w:val="18"/>
                <w:szCs w:val="18"/>
              </w:rPr>
              <w:t>示范应用</w:t>
            </w:r>
          </w:p>
        </w:tc>
        <w:tc>
          <w:tcPr>
            <w:tcW w:w="1440" w:type="dxa"/>
            <w:tcBorders>
              <w:top w:val="nil" w:sz="6" w:space="0" w:color="auto"/>
              <w:left w:val="single" w:sz="4" w:space="0" w:color="000000"/>
              <w:bottom w:val="single" w:sz="4" w:space="0" w:color="000000"/>
              <w:right w:val="single" w:sz="4" w:space="0" w:color="000000"/>
            </w:tcBorders>
          </w:tcPr>
          <w:p>
            <w:pPr/>
          </w:p>
        </w:tc>
        <w:tc>
          <w:tcPr>
            <w:tcW w:w="3780" w:type="dxa"/>
            <w:tcBorders>
              <w:top w:val="nil" w:sz="6" w:space="0" w:color="auto"/>
              <w:left w:val="single" w:sz="4" w:space="0" w:color="000000"/>
              <w:bottom w:val="single" w:sz="4" w:space="0" w:color="000000"/>
              <w:right w:val="single" w:sz="4" w:space="0" w:color="000000"/>
            </w:tcBorders>
          </w:tcPr>
          <w:p>
            <w:pPr>
              <w:pStyle w:val="TableParagraph"/>
              <w:spacing w:line="178" w:lineRule="exact"/>
              <w:ind w:left="22" w:right="-33"/>
              <w:jc w:val="left"/>
              <w:rPr>
                <w:rFonts w:ascii="宋体" w:hAnsi="宋体" w:cs="宋体" w:eastAsia="宋体" w:hint="default"/>
                <w:sz w:val="18"/>
                <w:szCs w:val="18"/>
              </w:rPr>
            </w:pPr>
            <w:r>
              <w:rPr>
                <w:rFonts w:ascii="宋体" w:hAnsi="宋体" w:cs="宋体" w:eastAsia="宋体" w:hint="default"/>
                <w:sz w:val="18"/>
                <w:szCs w:val="18"/>
              </w:rPr>
              <w:t>型业务，开展图像视频内容分析关键技术研究，</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pacing w:val="-3"/>
                <w:sz w:val="18"/>
                <w:szCs w:val="18"/>
              </w:rPr>
              <w:t>完成针对性的算法设计及优化，提高准确率以使</w:t>
            </w:r>
          </w:p>
        </w:tc>
        <w:tc>
          <w:tcPr>
            <w:tcW w:w="342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71.940002pt;margin-top:258.399994pt;width:170.55pt;height:148.2pt;mso-position-horizontal-relative:page;mso-position-vertical-relative:page;z-index:-1362784" coordorigin="7439,5168" coordsize="3411,2964">
            <v:shape style="position:absolute;left:7439;top:5168;width:3411;height:2964" coordorigin="7439,5168" coordsize="3411,2964" path="m7439,8132l10849,8132,10849,5168,7439,5168,7439,8132xe" filled="true" fillcolor="#ffffff" stroked="false">
              <v:path arrowok="t"/>
              <v:fill type="solid"/>
            </v:shape>
            <w10:wrap type="none"/>
          </v:group>
        </w:pict>
      </w:r>
      <w:r>
        <w:rPr/>
        <w:pict>
          <v:group style="position:absolute;margin-left:371.940002pt;margin-top:90.599998pt;width:170.55pt;height:148.2pt;mso-position-horizontal-relative:page;mso-position-vertical-relative:page;z-index:-1362760" coordorigin="7439,1812" coordsize="3411,2964">
            <v:shape style="position:absolute;left:7439;top:1812;width:3411;height:2964" coordorigin="7439,1812" coordsize="3411,2964" path="m7439,4776l10849,4776,10849,1812,7439,1812,7439,4776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80"/>
        <w:gridCol w:w="1440"/>
        <w:gridCol w:w="3780"/>
        <w:gridCol w:w="3420"/>
      </w:tblGrid>
      <w:tr>
        <w:trPr>
          <w:trHeight w:val="362" w:hRule="exact"/>
        </w:trPr>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系统能达到城市管理的实战性要求。</w:t>
            </w:r>
          </w:p>
        </w:tc>
        <w:tc>
          <w:tcPr>
            <w:tcW w:w="342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08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3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矛盾纠纷多元化解一体化网络平台（以下简称</w:t>
            </w:r>
            <w:r>
              <w:rPr>
                <w:rFonts w:ascii="Times New Roman" w:hAnsi="Times New Roman" w:cs="Times New Roman" w:eastAsia="Times New Roman" w:hint="default"/>
                <w:sz w:val="18"/>
                <w:szCs w:val="18"/>
              </w:rPr>
              <w:t>"</w:t>
            </w:r>
          </w:p>
        </w:tc>
        <w:tc>
          <w:tcPr>
            <w:tcW w:w="342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平台</w:t>
            </w:r>
            <w:r>
              <w:rPr>
                <w:rFonts w:ascii="Times New Roman" w:hAnsi="Times New Roman" w:cs="Times New Roman" w:eastAsia="Times New Roman" w:hint="default"/>
                <w:sz w:val="18"/>
                <w:szCs w:val="18"/>
              </w:rPr>
              <w:t>"</w:t>
            </w:r>
            <w:r>
              <w:rPr>
                <w:rFonts w:ascii="宋体" w:hAnsi="宋体" w:cs="宋体" w:eastAsia="宋体" w:hint="default"/>
                <w:sz w:val="18"/>
                <w:szCs w:val="18"/>
              </w:rPr>
              <w:t>）以让人民群众能感受到公平正义为宗旨</w:t>
            </w: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24"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07"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以低成本、高效率化解纠纷为主导，以预防控制</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纠纷为目标</w:t>
            </w:r>
            <w:r>
              <w:rPr>
                <w:rFonts w:ascii="宋体" w:hAnsi="宋体" w:cs="宋体" w:eastAsia="宋体" w:hint="default"/>
                <w:spacing w:val="-74"/>
                <w:sz w:val="18"/>
                <w:szCs w:val="18"/>
              </w:rPr>
              <w:t>；</w:t>
            </w:r>
            <w:r>
              <w:rPr>
                <w:rFonts w:ascii="宋体" w:hAnsi="宋体" w:cs="宋体" w:eastAsia="宋体" w:hint="default"/>
                <w:sz w:val="18"/>
                <w:szCs w:val="18"/>
              </w:rPr>
              <w:t>运用信息化手段</w:t>
            </w:r>
            <w:r>
              <w:rPr>
                <w:rFonts w:ascii="宋体" w:hAnsi="宋体" w:cs="宋体" w:eastAsia="宋体" w:hint="default"/>
                <w:spacing w:val="-74"/>
                <w:sz w:val="18"/>
                <w:szCs w:val="18"/>
              </w:rPr>
              <w:t>，</w:t>
            </w:r>
            <w:r>
              <w:rPr>
                <w:rFonts w:ascii="宋体" w:hAnsi="宋体" w:cs="宋体" w:eastAsia="宋体" w:hint="default"/>
                <w:sz w:val="18"/>
                <w:szCs w:val="18"/>
              </w:rPr>
              <w:t>整合社会化资源</w:t>
            </w: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基于大数据平台实现各种结构化和非结构化数</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据的对接、存储、管理和分析；基于云计算技术</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实现平台的可扩展性。通过系统化设计，构建能</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够实现对平台业务数据和外部数据的整合，满足</w:t>
            </w:r>
          </w:p>
        </w:tc>
        <w:tc>
          <w:tcPr>
            <w:tcW w:w="3420"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45"/>
              <w:jc w:val="both"/>
              <w:rPr>
                <w:rFonts w:ascii="宋体" w:hAnsi="宋体" w:cs="宋体" w:eastAsia="宋体" w:hint="default"/>
                <w:sz w:val="18"/>
                <w:szCs w:val="18"/>
              </w:rPr>
            </w:pPr>
            <w:r>
              <w:rPr>
                <w:rFonts w:ascii="宋体" w:hAnsi="宋体" w:cs="宋体" w:eastAsia="宋体" w:hint="default"/>
                <w:sz w:val="18"/>
                <w:szCs w:val="18"/>
              </w:rPr>
              <w:t>矛盾纠纷多 元化解一体 化网络平台</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34,462,092.23</w:t>
            </w: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both"/>
              <w:rPr>
                <w:rFonts w:ascii="宋体" w:hAnsi="宋体" w:cs="宋体" w:eastAsia="宋体" w:hint="default"/>
                <w:sz w:val="18"/>
                <w:szCs w:val="18"/>
              </w:rPr>
            </w:pPr>
            <w:r>
              <w:rPr>
                <w:rFonts w:ascii="宋体" w:hAnsi="宋体" w:cs="宋体" w:eastAsia="宋体" w:hint="default"/>
                <w:spacing w:val="-3"/>
                <w:sz w:val="18"/>
                <w:szCs w:val="18"/>
              </w:rPr>
              <w:t>在线法律咨询、在线预判评估、在线协商、在线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调解、在线仲裁、网上诉讼、网上矛盾纠纷化解</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资源管理、网上矛盾纠纷数据统计分析、各种用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户的行为分析、平台功能进化等各个业务需要的</w:t>
            </w: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矛盾纠纷多元化解一体化网络平台。实现在线咨</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7"/>
                <w:sz w:val="18"/>
                <w:szCs w:val="18"/>
              </w:rPr>
              <w:t>询、预判评估、在线协商、在线调解、在线仲裁</w:t>
            </w: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17"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2"/>
                <w:sz w:val="18"/>
                <w:szCs w:val="18"/>
              </w:rPr>
              <w:t>网上法庭六大子系统的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一站式</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服务，促进各类</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纠纷解决机制的跨界融合。平台基于漏斗模型设</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计，从法律咨询开始到网上诉讼层层解决用户法</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律问题，使诉讼纠纷通过在线漏斗不断被过滤和</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分流，最终真正走诉讼程序的案件只是一小部</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8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3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分。</w:t>
            </w:r>
          </w:p>
        </w:tc>
        <w:tc>
          <w:tcPr>
            <w:tcW w:w="3420" w:type="dxa"/>
            <w:tcBorders>
              <w:top w:val="nil" w:sz="6" w:space="0" w:color="auto"/>
              <w:left w:val="single" w:sz="4" w:space="0" w:color="000000"/>
              <w:bottom w:val="single" w:sz="4" w:space="0" w:color="000000"/>
              <w:right w:val="single" w:sz="4" w:space="0" w:color="000000"/>
            </w:tcBorders>
          </w:tcPr>
          <w:p>
            <w:pPr/>
          </w:p>
        </w:tc>
      </w:tr>
      <w:tr>
        <w:trPr>
          <w:trHeight w:val="196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年天河 区配套大数 据生命周期 管理技术及 其在智慧城 市中的应用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120,000.00</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3"/>
                <w:sz w:val="18"/>
                <w:szCs w:val="18"/>
              </w:rPr>
              <w:t>本项目研究开发大数据生命周期管理技术，应用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于各部门与城市运行状况相关的数据的整个生 </w:t>
            </w:r>
            <w:r>
              <w:rPr>
                <w:rFonts w:ascii="宋体" w:hAnsi="宋体" w:cs="宋体" w:eastAsia="宋体" w:hint="default"/>
                <w:spacing w:val="-3"/>
                <w:sz w:val="18"/>
                <w:szCs w:val="18"/>
              </w:rPr>
              <w:t>命周期，包括：产生、处理、应用、归档等，实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现对智慧城市状况的量化形态即各类数据的科 学管理。</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已验收</w:t>
            </w:r>
          </w:p>
        </w:tc>
      </w:tr>
      <w:tr>
        <w:trPr>
          <w:trHeight w:val="357" w:hRule="exact"/>
        </w:trPr>
        <w:tc>
          <w:tcPr>
            <w:tcW w:w="108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3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当前诉讼财产保全风险评估主要通过人工调查</w:t>
            </w:r>
          </w:p>
        </w:tc>
        <w:tc>
          <w:tcPr>
            <w:tcW w:w="342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和专家评估的方式，存在费时费力、信息获取不</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全面、风险评估不准确、预警不及时等问题，因</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而无法为当事人、担保人以及法院提供高质量的</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诉讼财产保全风险评估和预警服务。 本课题旨</w:t>
            </w:r>
          </w:p>
        </w:tc>
        <w:tc>
          <w:tcPr>
            <w:tcW w:w="3420" w:type="dxa"/>
            <w:tcBorders>
              <w:top w:val="nil" w:sz="6" w:space="0" w:color="auto"/>
              <w:left w:val="single" w:sz="4" w:space="0" w:color="000000"/>
              <w:bottom w:val="nil" w:sz="6" w:space="0" w:color="auto"/>
              <w:right w:val="single" w:sz="4" w:space="0" w:color="000000"/>
            </w:tcBorders>
          </w:tcPr>
          <w:p>
            <w:pPr/>
          </w:p>
        </w:tc>
      </w:tr>
      <w:tr>
        <w:trPr>
          <w:trHeight w:val="692"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310" w:lineRule="atLeast" w:before="72"/>
              <w:ind w:left="22" w:right="145"/>
              <w:jc w:val="left"/>
              <w:rPr>
                <w:rFonts w:ascii="宋体" w:hAnsi="宋体" w:cs="宋体" w:eastAsia="宋体" w:hint="default"/>
                <w:sz w:val="18"/>
                <w:szCs w:val="18"/>
              </w:rPr>
            </w:pPr>
            <w:r>
              <w:rPr>
                <w:rFonts w:ascii="宋体" w:hAnsi="宋体" w:cs="宋体" w:eastAsia="宋体" w:hint="default"/>
                <w:sz w:val="18"/>
                <w:szCs w:val="18"/>
              </w:rPr>
              <w:t>面向诉讼全 流程的一体</w:t>
            </w: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pacing w:val="-3"/>
                <w:sz w:val="18"/>
                <w:szCs w:val="18"/>
              </w:rPr>
              <w:t>在自动构建当事人社交关系网络和资产画像，并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基于此建立诉讼财产保全风险智能评估和自动</w:t>
            </w:r>
          </w:p>
        </w:tc>
        <w:tc>
          <w:tcPr>
            <w:tcW w:w="3420"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310" w:lineRule="atLeast" w:before="4"/>
              <w:ind w:left="22" w:right="145"/>
              <w:jc w:val="left"/>
              <w:rPr>
                <w:rFonts w:ascii="宋体" w:hAnsi="宋体" w:cs="宋体" w:eastAsia="宋体" w:hint="default"/>
                <w:sz w:val="18"/>
                <w:szCs w:val="18"/>
              </w:rPr>
            </w:pPr>
            <w:r>
              <w:rPr>
                <w:rFonts w:ascii="宋体" w:hAnsi="宋体" w:cs="宋体" w:eastAsia="宋体" w:hint="default"/>
                <w:sz w:val="18"/>
                <w:szCs w:val="18"/>
              </w:rPr>
              <w:t>化便民服务 技术及装备</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119"/>
              <w:ind w:right="21"/>
              <w:jc w:val="right"/>
              <w:rPr>
                <w:rFonts w:ascii="Times New Roman" w:hAnsi="Times New Roman" w:cs="Times New Roman" w:eastAsia="Times New Roman" w:hint="default"/>
                <w:sz w:val="18"/>
                <w:szCs w:val="18"/>
              </w:rPr>
            </w:pPr>
            <w:r>
              <w:rPr>
                <w:rFonts w:ascii="Times New Roman"/>
                <w:sz w:val="18"/>
              </w:rPr>
              <w:t>497,992.90</w:t>
            </w: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178" w:lineRule="exact"/>
              <w:ind w:left="22" w:right="0"/>
              <w:jc w:val="left"/>
              <w:rPr>
                <w:rFonts w:ascii="宋体" w:hAnsi="宋体" w:cs="宋体" w:eastAsia="宋体" w:hint="default"/>
                <w:sz w:val="18"/>
                <w:szCs w:val="18"/>
              </w:rPr>
            </w:pPr>
            <w:r>
              <w:rPr>
                <w:rFonts w:ascii="宋体" w:hAnsi="宋体" w:cs="宋体" w:eastAsia="宋体" w:hint="default"/>
                <w:spacing w:val="-3"/>
                <w:sz w:val="18"/>
                <w:szCs w:val="18"/>
              </w:rPr>
              <w:t>预警模型，支持对债务人转移变卖财产的资产风</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险、 担保风险和错误保全的法律风险进行评估</w:t>
            </w: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按进度实施，已完成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w:t>
            </w:r>
          </w:p>
        </w:tc>
      </w:tr>
      <w:tr>
        <w:trPr>
          <w:trHeight w:val="556"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left="22" w:right="0"/>
              <w:jc w:val="left"/>
              <w:rPr>
                <w:rFonts w:ascii="宋体" w:hAnsi="宋体" w:cs="宋体" w:eastAsia="宋体" w:hint="default"/>
                <w:sz w:val="18"/>
                <w:szCs w:val="18"/>
              </w:rPr>
            </w:pPr>
            <w:r>
              <w:rPr>
                <w:rFonts w:ascii="宋体" w:hAnsi="宋体" w:cs="宋体" w:eastAsia="宋体" w:hint="default"/>
                <w:sz w:val="18"/>
                <w:szCs w:val="18"/>
              </w:rPr>
              <w:t>研究</w:t>
            </w: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178" w:lineRule="exact"/>
              <w:ind w:left="22" w:right="0"/>
              <w:jc w:val="left"/>
              <w:rPr>
                <w:rFonts w:ascii="宋体" w:hAnsi="宋体" w:cs="宋体" w:eastAsia="宋体" w:hint="default"/>
                <w:sz w:val="18"/>
                <w:szCs w:val="18"/>
              </w:rPr>
            </w:pPr>
            <w:r>
              <w:rPr>
                <w:rFonts w:ascii="宋体" w:hAnsi="宋体" w:cs="宋体" w:eastAsia="宋体" w:hint="default"/>
                <w:spacing w:val="-3"/>
                <w:sz w:val="18"/>
                <w:szCs w:val="18"/>
              </w:rPr>
              <w:t>和预警；最终会利用多层次网络表示学习、关联</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pacing w:val="-3"/>
                <w:sz w:val="18"/>
                <w:szCs w:val="18"/>
              </w:rPr>
              <w:t>事件抽取、深度特征学习等技术，开发一套基于</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金融和司法大数据的诉讼财产保全风险智能评</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估及自动预警系统。课题拟从如下四个方面着手</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进行研究：</w:t>
            </w:r>
            <w:r>
              <w:rPr>
                <w:rFonts w:ascii="Times New Roman" w:hAnsi="Times New Roman" w:cs="Times New Roman" w:eastAsia="Times New Roman" w:hint="default"/>
                <w:sz w:val="18"/>
                <w:szCs w:val="18"/>
              </w:rPr>
              <w:t>1</w:t>
            </w:r>
            <w:r>
              <w:rPr>
                <w:rFonts w:ascii="宋体" w:hAnsi="宋体" w:cs="宋体" w:eastAsia="宋体" w:hint="default"/>
                <w:sz w:val="18"/>
                <w:szCs w:val="18"/>
              </w:rPr>
              <w:t>）基于多层次网络表示学习的当事</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人社交关系网络自动构建技术；</w:t>
            </w:r>
            <w:r>
              <w:rPr>
                <w:rFonts w:ascii="宋体" w:hAnsi="宋体" w:cs="宋体" w:eastAsia="宋体" w:hint="default"/>
                <w:spacing w:val="-23"/>
                <w:sz w:val="18"/>
                <w:szCs w:val="18"/>
              </w:rPr>
              <w:t> </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）基于关联事</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8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3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件取的当事人资产精准画像技术；</w:t>
            </w:r>
            <w:r>
              <w:rPr>
                <w:rFonts w:ascii="宋体" w:hAnsi="宋体" w:cs="宋体" w:eastAsia="宋体" w:hint="default"/>
                <w:spacing w:val="-28"/>
                <w:sz w:val="18"/>
                <w:szCs w:val="18"/>
              </w:rPr>
              <w:t> </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）结合深度</w:t>
            </w:r>
          </w:p>
        </w:tc>
        <w:tc>
          <w:tcPr>
            <w:tcW w:w="342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71.940002pt;margin-top:251.100006pt;width:170.55pt;height:93.6pt;mso-position-horizontal-relative:page;mso-position-vertical-relative:page;z-index:-1362736" coordorigin="7439,5022" coordsize="3411,1872">
            <v:shape style="position:absolute;left:7439;top:5022;width:3411;height:1872" coordorigin="7439,5022" coordsize="3411,1872" path="m7439,6894l10849,6894,10849,5022,7439,5022,7439,6894xe" filled="true" fillcolor="#ffffff" stroked="false">
              <v:path arrowok="t"/>
              <v:fill type="solid"/>
            </v:shape>
            <w10:wrap type="none"/>
          </v:group>
        </w:pict>
      </w:r>
      <w:r>
        <w:rPr/>
        <w:pict>
          <v:group style="position:absolute;margin-left:371.940002pt;margin-top:458.399994pt;width:170.55pt;height:93.6pt;mso-position-horizontal-relative:page;mso-position-vertical-relative:page;z-index:-1362712" coordorigin="7439,9168" coordsize="3411,1872">
            <v:shape style="position:absolute;left:7439;top:9168;width:3411;height:1872" coordorigin="7439,9168" coordsize="3411,1872" path="m7439,11040l10849,11040,10849,9168,7439,9168,7439,11040xe" filled="true" fillcolor="#ffffff" stroked="false">
              <v:path arrowok="t"/>
              <v:fill type="solid"/>
            </v:shape>
            <w10:wrap type="none"/>
          </v:group>
        </w:pict>
      </w:r>
      <w:r>
        <w:rPr/>
        <w:pict>
          <v:group style="position:absolute;margin-left:371.940002pt;margin-top:723.200012pt;width:170.55pt;height:38.1pt;mso-position-horizontal-relative:page;mso-position-vertical-relative:page;z-index:-1362688" coordorigin="7439,14464" coordsize="3411,762">
            <v:shape style="position:absolute;left:7439;top:14464;width:3411;height:762" coordorigin="7439,14464" coordsize="3411,762" path="m7439,15226l10849,15226,10849,14464,7439,14464,7439,15226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80"/>
        <w:gridCol w:w="1440"/>
        <w:gridCol w:w="3780"/>
        <w:gridCol w:w="3420"/>
      </w:tblGrid>
      <w:tr>
        <w:trPr>
          <w:trHeight w:val="986" w:hRule="exact"/>
        </w:trPr>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特征学习和专家经验规则的诉讼财产保全风险 智能评估和动态预警技术；</w:t>
            </w:r>
            <w:r>
              <w:rPr>
                <w:rFonts w:ascii="宋体" w:hAnsi="宋体" w:cs="宋体" w:eastAsia="宋体" w:hint="default"/>
                <w:spacing w:val="-22"/>
                <w:sz w:val="18"/>
                <w:szCs w:val="18"/>
              </w:rPr>
              <w:t> </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）诉讼财产保全智</w:t>
            </w:r>
            <w:r>
              <w:rPr>
                <w:rFonts w:ascii="宋体" w:hAnsi="宋体" w:cs="宋体" w:eastAsia="宋体" w:hint="default"/>
                <w:sz w:val="18"/>
                <w:szCs w:val="18"/>
              </w:rPr>
              <w:t> 能评估及预警平台。</w:t>
            </w:r>
          </w:p>
        </w:tc>
        <w:tc>
          <w:tcPr>
            <w:tcW w:w="3420"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08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3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法律风险智能评估系统可基于公众的矛盾纠纷</w:t>
            </w:r>
          </w:p>
        </w:tc>
        <w:tc>
          <w:tcPr>
            <w:tcW w:w="342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事件具体内容，通过问题引导和信息项填报等方</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式，获取公众的纠纷事件内容；通过人工智能技</w:t>
            </w:r>
          </w:p>
        </w:tc>
        <w:tc>
          <w:tcPr>
            <w:tcW w:w="3420"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45"/>
              <w:jc w:val="left"/>
              <w:rPr>
                <w:rFonts w:ascii="宋体" w:hAnsi="宋体" w:cs="宋体" w:eastAsia="宋体" w:hint="default"/>
                <w:sz w:val="18"/>
                <w:szCs w:val="18"/>
              </w:rPr>
            </w:pPr>
            <w:r>
              <w:rPr>
                <w:rFonts w:ascii="宋体" w:hAnsi="宋体" w:cs="宋体" w:eastAsia="宋体" w:hint="default"/>
                <w:sz w:val="18"/>
                <w:szCs w:val="18"/>
              </w:rPr>
              <w:t>法律风险智 能评估系统</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45,367,695.58</w:t>
            </w: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pacing w:val="-3"/>
                <w:sz w:val="18"/>
                <w:szCs w:val="18"/>
              </w:rPr>
              <w:t>术，提取关键要素并解析，最终出具专业的评估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报告，为公众提供法律评估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一站式</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服务，使纠</w:t>
            </w: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307"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纷当事人对案件的诉讼结果产生合理预期，并基</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于法律经济学的诉讼成本分析进而引导分流，降</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8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3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低最终真正走诉讼程序的案件数量。</w:t>
            </w:r>
          </w:p>
        </w:tc>
        <w:tc>
          <w:tcPr>
            <w:tcW w:w="3420"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8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3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诉讼保全平台将为法院和当事人提供一站式、多</w:t>
            </w:r>
          </w:p>
        </w:tc>
        <w:tc>
          <w:tcPr>
            <w:tcW w:w="342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终端智能化的财产保全办理渠道，帮助法院提高</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财产保全案件的整体办理效率，帮助当事人更加</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便利、快速办理财产保全申请；实现担保申请业</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务的全过程网上办理，当事人可以通过微信小程</w:t>
            </w:r>
          </w:p>
        </w:tc>
        <w:tc>
          <w:tcPr>
            <w:tcW w:w="3420"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诉讼保全平 台</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spacing w:val="-1"/>
                <w:sz w:val="18"/>
              </w:rPr>
              <w:t>25,456,271.12</w:t>
            </w: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2" w:right="23"/>
              <w:jc w:val="left"/>
              <w:rPr>
                <w:rFonts w:ascii="宋体" w:hAnsi="宋体" w:cs="宋体" w:eastAsia="宋体" w:hint="default"/>
                <w:sz w:val="18"/>
                <w:szCs w:val="18"/>
              </w:rPr>
            </w:pPr>
            <w:r>
              <w:rPr>
                <w:rFonts w:ascii="宋体" w:hAnsi="宋体" w:cs="宋体" w:eastAsia="宋体" w:hint="default"/>
                <w:spacing w:val="-7"/>
                <w:sz w:val="18"/>
                <w:szCs w:val="18"/>
              </w:rPr>
              <w:t>序、</w:t>
            </w:r>
            <w:r>
              <w:rPr>
                <w:rFonts w:ascii="Times New Roman" w:hAnsi="Times New Roman" w:cs="Times New Roman" w:eastAsia="Times New Roman" w:hint="default"/>
                <w:spacing w:val="-7"/>
                <w:sz w:val="18"/>
                <w:szCs w:val="18"/>
              </w:rPr>
              <w:t>PC</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端办理保全担保，最大化提高办理效率 </w:t>
            </w:r>
            <w:r>
              <w:rPr>
                <w:rFonts w:ascii="宋体" w:hAnsi="宋体" w:cs="宋体" w:eastAsia="宋体" w:hint="default"/>
                <w:spacing w:val="-3"/>
                <w:sz w:val="18"/>
                <w:szCs w:val="18"/>
              </w:rPr>
              <w:t>借助互联网平台，让当事人通过平台可实现从咨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询、担保、保函获取、申请保全、进度查询线上</w:t>
            </w: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3"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7"/>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按进度实施，已完成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办理，让用户一次到法院确认即可办理保全案</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件，极大提高办事效率。法院可通过保全平台对</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于用户的保全申请进行审批受理，并将审批结果</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反馈给用户，并可以同步后续的裁定书、执行结</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8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3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果。</w:t>
            </w:r>
          </w:p>
        </w:tc>
        <w:tc>
          <w:tcPr>
            <w:tcW w:w="3420"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8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3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类案推荐系统可对从各种渠道汇聚的原始类案</w:t>
            </w:r>
          </w:p>
        </w:tc>
        <w:tc>
          <w:tcPr>
            <w:tcW w:w="342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33"/>
              <w:jc w:val="left"/>
              <w:rPr>
                <w:rFonts w:ascii="宋体" w:hAnsi="宋体" w:cs="宋体" w:eastAsia="宋体" w:hint="default"/>
                <w:sz w:val="18"/>
                <w:szCs w:val="18"/>
              </w:rPr>
            </w:pPr>
            <w:r>
              <w:rPr>
                <w:rFonts w:ascii="宋体" w:hAnsi="宋体" w:cs="宋体" w:eastAsia="宋体" w:hint="default"/>
                <w:sz w:val="18"/>
                <w:szCs w:val="18"/>
              </w:rPr>
              <w:t>数据进行数据清洗、结构转换、打标签等操作，</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把原始数据转换成质量较高的数据集；并通过数</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据智能分析引擎、专家系统等人工智能技术，提</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取关键要素并解析</w:t>
            </w:r>
            <w:r>
              <w:rPr>
                <w:rFonts w:ascii="宋体" w:hAnsi="宋体" w:cs="宋体" w:eastAsia="宋体" w:hint="default"/>
                <w:spacing w:val="-74"/>
                <w:sz w:val="18"/>
                <w:szCs w:val="18"/>
              </w:rPr>
              <w:t>，</w:t>
            </w:r>
            <w:r>
              <w:rPr>
                <w:rFonts w:ascii="宋体" w:hAnsi="宋体" w:cs="宋体" w:eastAsia="宋体" w:hint="default"/>
                <w:sz w:val="18"/>
                <w:szCs w:val="18"/>
              </w:rPr>
              <w:t>进行多维度智能</w:t>
            </w:r>
            <w:r>
              <w:rPr>
                <w:rFonts w:ascii="宋体" w:hAnsi="宋体" w:cs="宋体" w:eastAsia="宋体" w:hint="default"/>
                <w:spacing w:val="-74"/>
                <w:sz w:val="18"/>
                <w:szCs w:val="18"/>
              </w:rPr>
              <w:t>、</w:t>
            </w:r>
            <w:r>
              <w:rPr>
                <w:rFonts w:ascii="宋体" w:hAnsi="宋体" w:cs="宋体" w:eastAsia="宋体" w:hint="default"/>
                <w:sz w:val="18"/>
                <w:szCs w:val="18"/>
              </w:rPr>
              <w:t>精准分类</w:t>
            </w: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936"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类案推荐系 统</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spacing w:val="-1"/>
                <w:sz w:val="18"/>
              </w:rPr>
              <w:t>4,860,279.17</w:t>
            </w: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2" w:right="20"/>
              <w:jc w:val="both"/>
              <w:rPr>
                <w:rFonts w:ascii="宋体" w:hAnsi="宋体" w:cs="宋体" w:eastAsia="宋体" w:hint="default"/>
                <w:sz w:val="18"/>
                <w:szCs w:val="18"/>
              </w:rPr>
            </w:pPr>
            <w:r>
              <w:rPr>
                <w:rFonts w:ascii="宋体" w:hAnsi="宋体" w:cs="宋体" w:eastAsia="宋体" w:hint="default"/>
                <w:spacing w:val="-3"/>
                <w:sz w:val="18"/>
                <w:szCs w:val="18"/>
              </w:rPr>
              <w:t>为各类应用场景提供集类案分析、类案推送、类</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案展现为一体的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一站式</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服务。类案推荐系统可</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最大化挖掘类案数据的深层价值，一方面使公众</w:t>
            </w: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掌握同类案件的判罚情况，使纠纷当事人对案件</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的诉讼结果产生合理预期；另一方面可辅助办案</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人员智能、高效办理案件，方便其掌握类似案件</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的历史判罚情况，并为其案件判罚提供数据支</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8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3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撑。</w:t>
            </w:r>
          </w:p>
        </w:tc>
        <w:tc>
          <w:tcPr>
            <w:tcW w:w="3420"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8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3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流程机器人（</w:t>
            </w:r>
            <w:r>
              <w:rPr>
                <w:rFonts w:ascii="Times New Roman" w:hAnsi="Times New Roman" w:cs="Times New Roman" w:eastAsia="Times New Roman" w:hint="default"/>
                <w:spacing w:val="-3"/>
                <w:sz w:val="18"/>
                <w:szCs w:val="18"/>
              </w:rPr>
              <w:t>RPA</w:t>
            </w:r>
            <w:r>
              <w:rPr>
                <w:rFonts w:ascii="宋体" w:hAnsi="宋体" w:cs="宋体" w:eastAsia="宋体" w:hint="default"/>
                <w:spacing w:val="-3"/>
                <w:sz w:val="18"/>
                <w:szCs w:val="18"/>
              </w:rPr>
              <w:t>）项目旨在开发一套可以模拟</w:t>
            </w:r>
          </w:p>
        </w:tc>
        <w:tc>
          <w:tcPr>
            <w:tcW w:w="3420" w:type="dxa"/>
            <w:tcBorders>
              <w:top w:val="single" w:sz="4" w:space="0" w:color="000000"/>
              <w:left w:val="single" w:sz="4" w:space="0" w:color="000000"/>
              <w:bottom w:val="nil" w:sz="6" w:space="0" w:color="auto"/>
              <w:right w:val="single" w:sz="4" w:space="0" w:color="000000"/>
            </w:tcBorders>
          </w:tcPr>
          <w:p>
            <w:pPr/>
          </w:p>
        </w:tc>
      </w:tr>
      <w:tr>
        <w:trPr>
          <w:trHeight w:val="297"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人操作一系列特定工作流的软件程序，实现工作</w:t>
            </w:r>
          </w:p>
        </w:tc>
        <w:tc>
          <w:tcPr>
            <w:tcW w:w="3420" w:type="dxa"/>
            <w:tcBorders>
              <w:top w:val="nil" w:sz="6" w:space="0" w:color="auto"/>
              <w:left w:val="single" w:sz="4" w:space="0" w:color="000000"/>
              <w:bottom w:val="nil" w:sz="6" w:space="0" w:color="auto"/>
              <w:right w:val="single" w:sz="4" w:space="0" w:color="000000"/>
            </w:tcBorders>
          </w:tcPr>
          <w:p>
            <w:pPr/>
          </w:p>
        </w:tc>
      </w:tr>
      <w:tr>
        <w:trPr>
          <w:trHeight w:val="639"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流程机器人</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RPA</w:t>
            </w:r>
            <w:r>
              <w:rPr>
                <w:rFonts w:ascii="宋体" w:hAnsi="宋体" w:cs="宋体" w:eastAsia="宋体" w:hint="default"/>
                <w:spacing w:val="-4"/>
                <w:sz w:val="18"/>
                <w:szCs w:val="18"/>
              </w:rPr>
              <w:t>）</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1,508,097.25</w:t>
            </w: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300" w:lineRule="auto" w:before="20"/>
              <w:ind w:left="22" w:right="19"/>
              <w:jc w:val="left"/>
              <w:rPr>
                <w:rFonts w:ascii="宋体" w:hAnsi="宋体" w:cs="宋体" w:eastAsia="宋体" w:hint="default"/>
                <w:sz w:val="18"/>
                <w:szCs w:val="18"/>
              </w:rPr>
            </w:pPr>
            <w:r>
              <w:rPr>
                <w:rFonts w:ascii="宋体" w:hAnsi="宋体" w:cs="宋体" w:eastAsia="宋体" w:hint="default"/>
                <w:spacing w:val="-10"/>
                <w:sz w:val="18"/>
                <w:szCs w:val="18"/>
              </w:rPr>
              <w:t>流程中的自动化。具体说明如下：</w:t>
            </w:r>
            <w:r>
              <w:rPr>
                <w:rFonts w:ascii="Times New Roman" w:hAnsi="Times New Roman" w:cs="Times New Roman" w:eastAsia="Times New Roman" w:hint="default"/>
                <w:spacing w:val="-10"/>
                <w:sz w:val="18"/>
                <w:szCs w:val="18"/>
              </w:rPr>
              <w:t>RPA</w:t>
            </w:r>
            <w:r>
              <w:rPr>
                <w:rFonts w:ascii="Times New Roman" w:hAnsi="Times New Roman" w:cs="Times New Roman" w:eastAsia="Times New Roman" w:hint="default"/>
                <w:sz w:val="18"/>
                <w:szCs w:val="18"/>
              </w:rPr>
              <w:t> </w:t>
            </w:r>
            <w:r>
              <w:rPr>
                <w:rFonts w:ascii="宋体" w:hAnsi="宋体" w:cs="宋体" w:eastAsia="宋体" w:hint="default"/>
                <w:sz w:val="18"/>
                <w:szCs w:val="18"/>
              </w:rPr>
              <w:t>是</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Robotic Process Automation</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的英文缩写，中文翻译为流</w:t>
            </w: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按进度实施，已完成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p>
        </w:tc>
      </w:tr>
      <w:tr>
        <w:trPr>
          <w:trHeight w:val="307"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33"/>
              <w:jc w:val="left"/>
              <w:rPr>
                <w:rFonts w:ascii="宋体" w:hAnsi="宋体" w:cs="宋体" w:eastAsia="宋体" w:hint="default"/>
                <w:sz w:val="18"/>
                <w:szCs w:val="18"/>
              </w:rPr>
            </w:pPr>
            <w:r>
              <w:rPr>
                <w:rFonts w:ascii="宋体" w:hAnsi="宋体" w:cs="宋体" w:eastAsia="宋体" w:hint="default"/>
                <w:sz w:val="18"/>
                <w:szCs w:val="18"/>
              </w:rPr>
              <w:t>程机器人，或机器人流程自动化，或虚拟员工。</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08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3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它是可以记录人在计算机上的操作，并重复运行</w:t>
            </w:r>
          </w:p>
        </w:tc>
        <w:tc>
          <w:tcPr>
            <w:tcW w:w="342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71.940002pt;margin-top:492.399994pt;width:170.55pt;height:163.8pt;mso-position-horizontal-relative:page;mso-position-vertical-relative:page;z-index:-1362664" coordorigin="7439,9848" coordsize="3411,3276">
            <v:shape style="position:absolute;left:7439;top:9848;width:3411;height:3276" coordorigin="7439,9848" coordsize="3411,3276" path="m7439,13124l10849,13124,10849,9848,7439,9848,7439,13124xe" filled="true" fillcolor="#ffffff" stroked="false">
              <v:path arrowok="t"/>
              <v:fill type="solid"/>
            </v:shape>
            <w10:wrap type="none"/>
          </v:group>
        </w:pict>
      </w:r>
      <w:r>
        <w:rPr/>
        <w:pict>
          <v:group style="position:absolute;margin-left:371.940002pt;margin-top:722pt;width:170.55pt;height:45.9pt;mso-position-horizontal-relative:page;mso-position-vertical-relative:page;z-index:-1362640" coordorigin="7439,14440" coordsize="3411,918">
            <v:shape style="position:absolute;left:7439;top:14440;width:3411;height:918" coordorigin="7439,14440" coordsize="3411,918" path="m7439,15358l10849,15358,10849,14440,7439,14440,7439,15358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80"/>
        <w:gridCol w:w="1440"/>
        <w:gridCol w:w="3780"/>
        <w:gridCol w:w="3420"/>
      </w:tblGrid>
      <w:tr>
        <w:trPr>
          <w:trHeight w:val="317" w:hRule="exact"/>
        </w:trPr>
        <w:tc>
          <w:tcPr>
            <w:tcW w:w="1080" w:type="dxa"/>
            <w:vMerge w:val="restart"/>
            <w:tcBorders>
              <w:top w:val="single" w:sz="4" w:space="0" w:color="000000"/>
              <w:left w:val="single" w:sz="4" w:space="0" w:color="000000"/>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3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的软件。因其可以将办公室工作自动化，提高生</w:t>
            </w:r>
          </w:p>
        </w:tc>
        <w:tc>
          <w:tcPr>
            <w:tcW w:w="3420" w:type="dxa"/>
            <w:vMerge w:val="restart"/>
            <w:tcBorders>
              <w:top w:val="single" w:sz="4" w:space="0" w:color="000000"/>
              <w:left w:val="single" w:sz="4" w:space="0" w:color="000000"/>
              <w:right w:val="single" w:sz="4" w:space="0" w:color="000000"/>
            </w:tcBorders>
          </w:tcPr>
          <w:p>
            <w:pPr/>
          </w:p>
        </w:tc>
      </w:tr>
      <w:tr>
        <w:trPr>
          <w:trHeight w:val="312" w:hRule="exact"/>
        </w:trPr>
        <w:tc>
          <w:tcPr>
            <w:tcW w:w="108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产效率，彻底消除人为错误而受到了很多发达国</w:t>
            </w:r>
          </w:p>
        </w:tc>
        <w:tc>
          <w:tcPr>
            <w:tcW w:w="3420" w:type="dxa"/>
            <w:vMerge/>
            <w:tcBorders>
              <w:left w:val="single" w:sz="4" w:space="0" w:color="000000"/>
              <w:right w:val="single" w:sz="4" w:space="0" w:color="000000"/>
            </w:tcBorders>
          </w:tcPr>
          <w:p>
            <w:pPr/>
          </w:p>
        </w:tc>
      </w:tr>
      <w:tr>
        <w:trPr>
          <w:trHeight w:val="312" w:hRule="exact"/>
        </w:trPr>
        <w:tc>
          <w:tcPr>
            <w:tcW w:w="108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家企业的青睐。流程机器人是一种使业务流程自</w:t>
            </w:r>
          </w:p>
        </w:tc>
        <w:tc>
          <w:tcPr>
            <w:tcW w:w="3420" w:type="dxa"/>
            <w:vMerge/>
            <w:tcBorders>
              <w:left w:val="single" w:sz="4" w:space="0" w:color="000000"/>
              <w:right w:val="single" w:sz="4" w:space="0" w:color="000000"/>
            </w:tcBorders>
          </w:tcPr>
          <w:p>
            <w:pPr/>
          </w:p>
        </w:tc>
      </w:tr>
      <w:tr>
        <w:trPr>
          <w:trHeight w:val="317" w:hRule="exact"/>
        </w:trPr>
        <w:tc>
          <w:tcPr>
            <w:tcW w:w="108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动化的技术应用。根据</w:t>
            </w:r>
            <w:r>
              <w:rPr>
                <w:rFonts w:ascii="Times New Roman" w:hAnsi="Times New Roman" w:cs="Times New Roman" w:eastAsia="Times New Roman" w:hint="default"/>
                <w:sz w:val="18"/>
                <w:szCs w:val="18"/>
              </w:rPr>
              <w:t>"</w:t>
            </w:r>
            <w:r>
              <w:rPr>
                <w:rFonts w:ascii="宋体" w:hAnsi="宋体" w:cs="宋体" w:eastAsia="宋体" w:hint="default"/>
                <w:sz w:val="18"/>
                <w:szCs w:val="18"/>
              </w:rPr>
              <w:t>机器人流程自动化和人</w:t>
            </w:r>
          </w:p>
        </w:tc>
        <w:tc>
          <w:tcPr>
            <w:tcW w:w="3420" w:type="dxa"/>
            <w:vMerge/>
            <w:tcBorders>
              <w:left w:val="single" w:sz="4" w:space="0" w:color="000000"/>
              <w:right w:val="single" w:sz="4" w:space="0" w:color="000000"/>
            </w:tcBorders>
          </w:tcPr>
          <w:p>
            <w:pPr/>
          </w:p>
        </w:tc>
      </w:tr>
      <w:tr>
        <w:trPr>
          <w:trHeight w:val="312" w:hRule="exact"/>
        </w:trPr>
        <w:tc>
          <w:tcPr>
            <w:tcW w:w="108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工智能研究所</w:t>
            </w:r>
            <w:r>
              <w:rPr>
                <w:rFonts w:ascii="Times New Roman" w:hAnsi="Times New Roman" w:cs="Times New Roman" w:eastAsia="Times New Roman" w:hint="default"/>
                <w:sz w:val="18"/>
                <w:szCs w:val="18"/>
              </w:rPr>
              <w:t>"</w:t>
            </w:r>
            <w:r>
              <w:rPr>
                <w:rFonts w:ascii="宋体" w:hAnsi="宋体" w:cs="宋体" w:eastAsia="宋体" w:hint="default"/>
                <w:sz w:val="18"/>
                <w:szCs w:val="18"/>
              </w:rPr>
              <w:t>的研究，通过使用流程机器人，</w:t>
            </w:r>
          </w:p>
        </w:tc>
        <w:tc>
          <w:tcPr>
            <w:tcW w:w="3420" w:type="dxa"/>
            <w:vMerge/>
            <w:tcBorders>
              <w:left w:val="single" w:sz="4" w:space="0" w:color="000000"/>
              <w:right w:val="single" w:sz="4" w:space="0" w:color="000000"/>
            </w:tcBorders>
          </w:tcPr>
          <w:p>
            <w:pPr/>
          </w:p>
        </w:tc>
      </w:tr>
      <w:tr>
        <w:trPr>
          <w:trHeight w:val="312" w:hRule="exact"/>
        </w:trPr>
        <w:tc>
          <w:tcPr>
            <w:tcW w:w="108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单位可以配置软件或</w:t>
            </w:r>
            <w:r>
              <w:rPr>
                <w:rFonts w:ascii="Times New Roman" w:hAnsi="Times New Roman" w:cs="Times New Roman" w:eastAsia="Times New Roman" w:hint="default"/>
                <w:sz w:val="18"/>
                <w:szCs w:val="18"/>
              </w:rPr>
              <w:t>"</w:t>
            </w:r>
            <w:r>
              <w:rPr>
                <w:rFonts w:ascii="宋体" w:hAnsi="宋体" w:cs="宋体" w:eastAsia="宋体" w:hint="default"/>
                <w:sz w:val="18"/>
                <w:szCs w:val="18"/>
              </w:rPr>
              <w:t>机器人</w:t>
            </w:r>
            <w:r>
              <w:rPr>
                <w:rFonts w:ascii="Times New Roman" w:hAnsi="Times New Roman" w:cs="Times New Roman" w:eastAsia="Times New Roman" w:hint="default"/>
                <w:sz w:val="18"/>
                <w:szCs w:val="18"/>
              </w:rPr>
              <w:t>"</w:t>
            </w:r>
            <w:r>
              <w:rPr>
                <w:rFonts w:ascii="宋体" w:hAnsi="宋体" w:cs="宋体" w:eastAsia="宋体" w:hint="default"/>
                <w:sz w:val="18"/>
                <w:szCs w:val="18"/>
              </w:rPr>
              <w:t>来采集和解读用</w:t>
            </w:r>
          </w:p>
        </w:tc>
        <w:tc>
          <w:tcPr>
            <w:tcW w:w="3420" w:type="dxa"/>
            <w:vMerge/>
            <w:tcBorders>
              <w:left w:val="single" w:sz="4" w:space="0" w:color="000000"/>
              <w:right w:val="single" w:sz="4" w:space="0" w:color="000000"/>
            </w:tcBorders>
          </w:tcPr>
          <w:p>
            <w:pPr/>
          </w:p>
        </w:tc>
      </w:tr>
      <w:tr>
        <w:trPr>
          <w:trHeight w:val="307" w:hRule="exact"/>
        </w:trPr>
        <w:tc>
          <w:tcPr>
            <w:tcW w:w="108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于处理事务、操作数据、触发响应和与其他信息</w:t>
            </w:r>
          </w:p>
        </w:tc>
        <w:tc>
          <w:tcPr>
            <w:tcW w:w="3420" w:type="dxa"/>
            <w:vMerge/>
            <w:tcBorders>
              <w:left w:val="single" w:sz="4" w:space="0" w:color="000000"/>
              <w:right w:val="single" w:sz="4" w:space="0" w:color="000000"/>
            </w:tcBorders>
          </w:tcPr>
          <w:p>
            <w:pPr/>
          </w:p>
        </w:tc>
      </w:tr>
      <w:tr>
        <w:trPr>
          <w:trHeight w:val="312" w:hRule="exact"/>
        </w:trPr>
        <w:tc>
          <w:tcPr>
            <w:tcW w:w="108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系统进行通信的应用程序。流程机器人应用范围</w:t>
            </w:r>
          </w:p>
        </w:tc>
        <w:tc>
          <w:tcPr>
            <w:tcW w:w="3420" w:type="dxa"/>
            <w:vMerge/>
            <w:tcBorders>
              <w:left w:val="single" w:sz="4" w:space="0" w:color="000000"/>
              <w:right w:val="single" w:sz="4" w:space="0" w:color="000000"/>
            </w:tcBorders>
          </w:tcPr>
          <w:p>
            <w:pPr/>
          </w:p>
        </w:tc>
      </w:tr>
      <w:tr>
        <w:trPr>
          <w:trHeight w:val="312" w:hRule="exact"/>
        </w:trPr>
        <w:tc>
          <w:tcPr>
            <w:tcW w:w="108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很广泛，包括从简单的电子邮件自动回复，到部</w:t>
            </w:r>
          </w:p>
        </w:tc>
        <w:tc>
          <w:tcPr>
            <w:tcW w:w="3420" w:type="dxa"/>
            <w:vMerge/>
            <w:tcBorders>
              <w:left w:val="single" w:sz="4" w:space="0" w:color="000000"/>
              <w:right w:val="single" w:sz="4" w:space="0" w:color="000000"/>
            </w:tcBorders>
          </w:tcPr>
          <w:p>
            <w:pPr/>
          </w:p>
        </w:tc>
      </w:tr>
      <w:tr>
        <w:trPr>
          <w:trHeight w:val="317" w:hRule="exact"/>
        </w:trPr>
        <w:tc>
          <w:tcPr>
            <w:tcW w:w="108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署成千上万的机器人</w:t>
            </w:r>
            <w:r>
              <w:rPr>
                <w:rFonts w:ascii="Times New Roman" w:hAnsi="Times New Roman" w:cs="Times New Roman" w:eastAsia="Times New Roman" w:hint="default"/>
                <w:sz w:val="18"/>
                <w:szCs w:val="18"/>
              </w:rPr>
              <w:t>(</w:t>
            </w:r>
            <w:r>
              <w:rPr>
                <w:rFonts w:ascii="宋体" w:hAnsi="宋体" w:cs="宋体" w:eastAsia="宋体" w:hint="default"/>
                <w:sz w:val="18"/>
                <w:szCs w:val="18"/>
              </w:rPr>
              <w:t>每个机器人都被编程去完</w:t>
            </w:r>
          </w:p>
        </w:tc>
        <w:tc>
          <w:tcPr>
            <w:tcW w:w="3420" w:type="dxa"/>
            <w:vMerge/>
            <w:tcBorders>
              <w:left w:val="single" w:sz="4" w:space="0" w:color="000000"/>
              <w:right w:val="single" w:sz="4" w:space="0" w:color="000000"/>
            </w:tcBorders>
          </w:tcPr>
          <w:p>
            <w:pPr/>
          </w:p>
        </w:tc>
      </w:tr>
      <w:tr>
        <w:trPr>
          <w:trHeight w:val="312" w:hRule="exact"/>
        </w:trPr>
        <w:tc>
          <w:tcPr>
            <w:tcW w:w="108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成特定任务</w:t>
            </w:r>
            <w:r>
              <w:rPr>
                <w:rFonts w:ascii="Times New Roman" w:hAnsi="Times New Roman" w:cs="Times New Roman" w:eastAsia="Times New Roman" w:hint="default"/>
                <w:sz w:val="18"/>
                <w:szCs w:val="18"/>
              </w:rPr>
              <w:t>)</w:t>
            </w:r>
            <w:r>
              <w:rPr>
                <w:rFonts w:ascii="宋体" w:hAnsi="宋体" w:cs="宋体" w:eastAsia="宋体" w:hint="default"/>
                <w:sz w:val="18"/>
                <w:szCs w:val="18"/>
              </w:rPr>
              <w:t>，到在业务系统中自动完成作业。</w:t>
            </w:r>
          </w:p>
        </w:tc>
        <w:tc>
          <w:tcPr>
            <w:tcW w:w="3420" w:type="dxa"/>
            <w:vMerge/>
            <w:tcBorders>
              <w:left w:val="single" w:sz="4" w:space="0" w:color="000000"/>
              <w:right w:val="single" w:sz="4" w:space="0" w:color="000000"/>
            </w:tcBorders>
          </w:tcPr>
          <w:p>
            <w:pPr/>
          </w:p>
        </w:tc>
      </w:tr>
      <w:tr>
        <w:trPr>
          <w:trHeight w:val="307" w:hRule="exact"/>
        </w:trPr>
        <w:tc>
          <w:tcPr>
            <w:tcW w:w="108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例如：保险公司使用流程机器人将政策管理数据</w:t>
            </w:r>
          </w:p>
        </w:tc>
        <w:tc>
          <w:tcPr>
            <w:tcW w:w="3420" w:type="dxa"/>
            <w:vMerge/>
            <w:tcBorders>
              <w:left w:val="single" w:sz="4" w:space="0" w:color="000000"/>
              <w:right w:val="single" w:sz="4" w:space="0" w:color="000000"/>
            </w:tcBorders>
          </w:tcPr>
          <w:p>
            <w:pPr/>
          </w:p>
        </w:tc>
      </w:tr>
      <w:tr>
        <w:trPr>
          <w:trHeight w:val="313" w:hRule="exact"/>
        </w:trPr>
        <w:tc>
          <w:tcPr>
            <w:tcW w:w="108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输入到索赔处理程序中，而不是让员工从计算机</w:t>
            </w:r>
          </w:p>
        </w:tc>
        <w:tc>
          <w:tcPr>
            <w:tcW w:w="3420" w:type="dxa"/>
            <w:vMerge/>
            <w:tcBorders>
              <w:left w:val="single" w:sz="4" w:space="0" w:color="000000"/>
              <w:right w:val="single" w:sz="4" w:space="0" w:color="000000"/>
            </w:tcBorders>
          </w:tcPr>
          <w:p>
            <w:pPr/>
          </w:p>
        </w:tc>
      </w:tr>
      <w:tr>
        <w:trPr>
          <w:trHeight w:val="357" w:hRule="exact"/>
        </w:trPr>
        <w:tc>
          <w:tcPr>
            <w:tcW w:w="108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3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上输入。</w:t>
            </w:r>
          </w:p>
        </w:tc>
        <w:tc>
          <w:tcPr>
            <w:tcW w:w="3420" w:type="dxa"/>
            <w:vMerge/>
            <w:tcBorders>
              <w:left w:val="single" w:sz="4" w:space="0" w:color="000000"/>
              <w:bottom w:val="single" w:sz="4" w:space="0" w:color="000000"/>
              <w:right w:val="single" w:sz="4" w:space="0" w:color="000000"/>
            </w:tcBorders>
          </w:tcPr>
          <w:p>
            <w:pPr/>
          </w:p>
        </w:tc>
      </w:tr>
      <w:tr>
        <w:trPr>
          <w:trHeight w:val="357" w:hRule="exact"/>
        </w:trPr>
        <w:tc>
          <w:tcPr>
            <w:tcW w:w="108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3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政法协同办公平台，依托政法信息网络资源和云</w:t>
            </w:r>
          </w:p>
        </w:tc>
        <w:tc>
          <w:tcPr>
            <w:tcW w:w="342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平台资源，在不改动各部门原有办公系统的原则</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下，建设政法协同办公平台，通过该平台连通政</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法委、公检法司等不同部门，实现各部门之间办</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公数据和业务信息的存储、转换和交换，并以主</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动或被动方式分发至相关部门办公或业务系统</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中，将各部门间文件、文书、案卷资料移交工作</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由传统人工方式转变为平台自动转换和转发，实</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现政法领域内部各类办公信息流转更加顺畅、协</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同更加紧密、工作更加高效、管理更加规范、监</w:t>
            </w:r>
          </w:p>
        </w:tc>
        <w:tc>
          <w:tcPr>
            <w:tcW w:w="3420"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政法协同平 台</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spacing w:val="-1"/>
                <w:sz w:val="18"/>
              </w:rPr>
              <w:t>3,222,751.10</w:t>
            </w:r>
          </w:p>
        </w:tc>
        <w:tc>
          <w:tcPr>
            <w:tcW w:w="3780" w:type="dxa"/>
            <w:tcBorders>
              <w:top w:val="nil" w:sz="6" w:space="0" w:color="auto"/>
              <w:left w:val="single" w:sz="4" w:space="0" w:color="000000"/>
              <w:bottom w:val="nil" w:sz="6" w:space="0" w:color="auto"/>
              <w:right w:val="single" w:sz="9" w:space="0" w:color="FFFFFF"/>
            </w:tcBorders>
          </w:tcPr>
          <w:p>
            <w:pPr>
              <w:pStyle w:val="TableParagraph"/>
              <w:spacing w:line="316" w:lineRule="auto" w:before="10"/>
              <w:ind w:left="22" w:right="-40"/>
              <w:jc w:val="both"/>
              <w:rPr>
                <w:rFonts w:ascii="宋体" w:hAnsi="宋体" w:cs="宋体" w:eastAsia="宋体" w:hint="default"/>
                <w:sz w:val="18"/>
                <w:szCs w:val="18"/>
              </w:rPr>
            </w:pPr>
            <w:r>
              <w:rPr>
                <w:rFonts w:ascii="宋体" w:hAnsi="宋体" w:cs="宋体" w:eastAsia="宋体" w:hint="default"/>
                <w:spacing w:val="-3"/>
                <w:sz w:val="18"/>
                <w:szCs w:val="18"/>
              </w:rPr>
              <w:t>督更加有力和统计更加全面的建设目标，初步建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立起政法系统内部统一的文件办理和传输机制、 </w:t>
            </w:r>
            <w:r>
              <w:rPr>
                <w:rFonts w:ascii="宋体" w:hAnsi="宋体" w:cs="宋体" w:eastAsia="宋体" w:hint="default"/>
                <w:spacing w:val="-3"/>
                <w:sz w:val="18"/>
                <w:szCs w:val="18"/>
              </w:rPr>
              <w:t>工作协作机制和信息共享机制。依托政法信息网</w:t>
            </w:r>
          </w:p>
        </w:tc>
        <w:tc>
          <w:tcPr>
            <w:tcW w:w="3420" w:type="dxa"/>
            <w:tcBorders>
              <w:top w:val="nil" w:sz="6" w:space="0" w:color="auto"/>
              <w:left w:val="single" w:sz="9" w:space="0" w:color="FFFFFF"/>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案由类型实施交付约定为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 </w:t>
            </w:r>
            <w:r>
              <w:rPr>
                <w:rFonts w:ascii="宋体" w:hAnsi="宋体" w:cs="宋体" w:eastAsia="宋体" w:hint="default"/>
                <w:sz w:val="18"/>
                <w:szCs w:val="18"/>
              </w:rPr>
              <w:t>个案由，按进</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度实施，已完成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络资源和云平台资源，实施政法协同办案平台建</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设（包括刑事案件协同办案系统和涉案财物管理</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区块链系统</w:t>
            </w:r>
            <w:r>
              <w:rPr>
                <w:rFonts w:ascii="宋体" w:hAnsi="宋体" w:cs="宋体" w:eastAsia="宋体" w:hint="default"/>
                <w:spacing w:val="-90"/>
                <w:sz w:val="18"/>
                <w:szCs w:val="18"/>
              </w:rPr>
              <w:t>）</w:t>
            </w:r>
            <w:r>
              <w:rPr>
                <w:rFonts w:ascii="宋体" w:hAnsi="宋体" w:cs="宋体" w:eastAsia="宋体" w:hint="default"/>
                <w:sz w:val="18"/>
                <w:szCs w:val="18"/>
              </w:rPr>
              <w:t>，利用人工智能和大数据技术，构</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建刑事案件大数据资源库，结合刑事审判中的故</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意伤害罪、盗窃罪、抢劫罪，诈骗罪、非法吸收</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公众存款罪</w:t>
            </w:r>
            <w:r>
              <w:rPr>
                <w:rFonts w:ascii="宋体" w:hAnsi="宋体" w:cs="宋体" w:eastAsia="宋体" w:hint="default"/>
                <w:spacing w:val="-74"/>
                <w:sz w:val="18"/>
                <w:szCs w:val="18"/>
              </w:rPr>
              <w:t>、</w:t>
            </w:r>
            <w:r>
              <w:rPr>
                <w:rFonts w:ascii="宋体" w:hAnsi="宋体" w:cs="宋体" w:eastAsia="宋体" w:hint="default"/>
                <w:sz w:val="18"/>
                <w:szCs w:val="18"/>
              </w:rPr>
              <w:t>集资诈骗罪</w:t>
            </w:r>
            <w:r>
              <w:rPr>
                <w:rFonts w:ascii="宋体" w:hAnsi="宋体" w:cs="宋体" w:eastAsia="宋体" w:hint="default"/>
                <w:spacing w:val="-74"/>
                <w:sz w:val="18"/>
                <w:szCs w:val="18"/>
              </w:rPr>
              <w:t>、</w:t>
            </w:r>
            <w:r>
              <w:rPr>
                <w:rFonts w:ascii="宋体" w:hAnsi="宋体" w:cs="宋体" w:eastAsia="宋体" w:hint="default"/>
                <w:sz w:val="18"/>
                <w:szCs w:val="18"/>
              </w:rPr>
              <w:t>故意杀人罪七种罪名</w:t>
            </w: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提供证据标准指引、类案证据指引、证据审查与</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校验、社会危险性审查、证据链与证据印证关系</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33"/>
              <w:jc w:val="left"/>
              <w:rPr>
                <w:rFonts w:ascii="宋体" w:hAnsi="宋体" w:cs="宋体" w:eastAsia="宋体" w:hint="default"/>
                <w:sz w:val="18"/>
                <w:szCs w:val="18"/>
              </w:rPr>
            </w:pPr>
            <w:r>
              <w:rPr>
                <w:rFonts w:ascii="宋体" w:hAnsi="宋体" w:cs="宋体" w:eastAsia="宋体" w:hint="default"/>
                <w:sz w:val="18"/>
                <w:szCs w:val="18"/>
              </w:rPr>
              <w:t>判断、知识索引与类案推送、文书生成等功能，</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8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3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辅助刑事案件办理，规范办案人员行为。</w:t>
            </w:r>
          </w:p>
        </w:tc>
        <w:tc>
          <w:tcPr>
            <w:tcW w:w="3420" w:type="dxa"/>
            <w:tcBorders>
              <w:top w:val="nil" w:sz="6" w:space="0" w:color="auto"/>
              <w:left w:val="single" w:sz="4" w:space="0" w:color="000000"/>
              <w:bottom w:val="single" w:sz="4" w:space="0" w:color="000000"/>
              <w:right w:val="single" w:sz="4" w:space="0" w:color="000000"/>
            </w:tcBorders>
          </w:tcPr>
          <w:p>
            <w:pPr/>
          </w:p>
        </w:tc>
      </w:tr>
      <w:tr>
        <w:trPr>
          <w:trHeight w:val="223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检察办案质 </w:t>
            </w:r>
            <w:r>
              <w:rPr>
                <w:rFonts w:ascii="宋体" w:hAnsi="宋体" w:cs="宋体" w:eastAsia="宋体" w:hint="default"/>
                <w:spacing w:val="-10"/>
                <w:sz w:val="18"/>
                <w:szCs w:val="18"/>
              </w:rPr>
              <w:t>量保障、办案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监督风险评 </w:t>
            </w:r>
            <w:r>
              <w:rPr>
                <w:rFonts w:ascii="宋体" w:hAnsi="宋体" w:cs="宋体" w:eastAsia="宋体" w:hint="default"/>
                <w:spacing w:val="-10"/>
                <w:sz w:val="18"/>
                <w:szCs w:val="18"/>
              </w:rPr>
              <w:t>估、办案过程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控制模型与 辅助决策技</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4,453.17</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3"/>
                <w:sz w:val="18"/>
                <w:szCs w:val="18"/>
              </w:rPr>
              <w:t>本课题研究办案质量保障、办案监督风险评估及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办案过程控制办案质量大数据的深度融合和实 </w:t>
            </w:r>
            <w:r>
              <w:rPr>
                <w:rFonts w:ascii="宋体" w:hAnsi="宋体" w:cs="宋体" w:eastAsia="宋体" w:hint="default"/>
                <w:spacing w:val="-3"/>
                <w:sz w:val="18"/>
                <w:szCs w:val="18"/>
              </w:rPr>
              <w:t>时计算模型和算法，解决办案过程实时监督的时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间瓶颈问题，完成相应的验证系统。包括两个方</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1"/>
                <w:sz w:val="18"/>
                <w:szCs w:val="18"/>
              </w:rPr>
              <w:t>面：（</w:t>
            </w: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）通过开发支持业务有效开展的技术平台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提高检察机关业务信息的收集、处理、传输、存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储共享等水平，形成科学合理的办案质量保障体</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按进度实施，已完成</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p>
          <w:p>
            <w:pPr>
              <w:pStyle w:val="TableParagraph"/>
              <w:spacing w:line="240" w:lineRule="auto" w:before="82"/>
              <w:ind w:left="-124"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71.940002pt;margin-top:650.099976pt;width:170.55pt;height:40pt;mso-position-horizontal-relative:page;mso-position-vertical-relative:page;z-index:-1362616" coordorigin="7439,13002" coordsize="3411,800">
            <v:group style="position:absolute;left:7439;top:13002;width:3411;height:448" coordorigin="7439,13002" coordsize="3411,448">
              <v:shape style="position:absolute;left:7439;top:13002;width:3411;height:448" coordorigin="7439,13002" coordsize="3411,448" path="m7439,13450l10849,13450,10849,13002,7439,13002,7439,13450xe" filled="true" fillcolor="#ffffff" stroked="false">
                <v:path arrowok="t"/>
                <v:fill type="solid"/>
              </v:shape>
            </v:group>
            <v:group style="position:absolute;left:7462;top:13450;width:3364;height:352" coordorigin="7462,13450" coordsize="3364,352">
              <v:shape style="position:absolute;left:7462;top:13450;width:3364;height:352" coordorigin="7462,13450" coordsize="3364,352" path="m7462,13801l10825,13801,10825,13450,7462,13450,7462,1380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80"/>
        <w:gridCol w:w="1440"/>
        <w:gridCol w:w="3780"/>
        <w:gridCol w:w="3420"/>
      </w:tblGrid>
      <w:tr>
        <w:trPr>
          <w:trHeight w:val="318" w:hRule="exact"/>
        </w:trPr>
        <w:tc>
          <w:tcPr>
            <w:tcW w:w="10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术研究</w:t>
            </w:r>
          </w:p>
        </w:tc>
        <w:tc>
          <w:tcPr>
            <w:tcW w:w="1440" w:type="dxa"/>
            <w:vMerge w:val="restart"/>
            <w:tcBorders>
              <w:top w:val="single" w:sz="4" w:space="0" w:color="000000"/>
              <w:left w:val="single" w:sz="4" w:space="0" w:color="000000"/>
              <w:right w:val="single" w:sz="4" w:space="0" w:color="000000"/>
            </w:tcBorders>
          </w:tcPr>
          <w:p>
            <w:pPr/>
          </w:p>
        </w:tc>
        <w:tc>
          <w:tcPr>
            <w:tcW w:w="3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系，提升风险评估研判和预警能力，探索建立司</w:t>
            </w:r>
          </w:p>
        </w:tc>
        <w:tc>
          <w:tcPr>
            <w:tcW w:w="3420" w:type="dxa"/>
            <w:vMerge w:val="restart"/>
            <w:tcBorders>
              <w:top w:val="single" w:sz="4" w:space="0" w:color="000000"/>
              <w:left w:val="single" w:sz="4" w:space="0" w:color="000000"/>
              <w:right w:val="single" w:sz="4" w:space="0" w:color="000000"/>
            </w:tcBorders>
          </w:tcPr>
          <w:p>
            <w:pPr/>
          </w:p>
        </w:tc>
      </w:tr>
      <w:tr>
        <w:trPr>
          <w:trHeight w:val="316"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vMerge/>
            <w:tcBorders>
              <w:left w:val="single" w:sz="4" w:space="0" w:color="000000"/>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法办案风险评估长效机制</w:t>
            </w:r>
            <w:r>
              <w:rPr>
                <w:rFonts w:ascii="宋体" w:hAnsi="宋体" w:cs="宋体" w:eastAsia="宋体" w:hint="default"/>
                <w:spacing w:val="-118"/>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pacing w:val="-28"/>
                <w:sz w:val="18"/>
                <w:szCs w:val="18"/>
              </w:rPr>
              <w:t>）</w:t>
            </w:r>
            <w:r>
              <w:rPr>
                <w:rFonts w:ascii="宋体" w:hAnsi="宋体" w:cs="宋体" w:eastAsia="宋体" w:hint="default"/>
                <w:sz w:val="18"/>
                <w:szCs w:val="18"/>
              </w:rPr>
              <w:t>研究检察办案全</w:t>
            </w:r>
          </w:p>
        </w:tc>
        <w:tc>
          <w:tcPr>
            <w:tcW w:w="3420" w:type="dxa"/>
            <w:vMerge/>
            <w:tcBorders>
              <w:left w:val="single" w:sz="4" w:space="0" w:color="000000"/>
              <w:right w:val="single" w:sz="4" w:space="0" w:color="000000"/>
            </w:tcBorders>
          </w:tcPr>
          <w:p>
            <w:pPr/>
          </w:p>
        </w:tc>
      </w:tr>
      <w:tr>
        <w:trPr>
          <w:trHeight w:val="307"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vMerge/>
            <w:tcBorders>
              <w:left w:val="single" w:sz="4" w:space="0" w:color="000000"/>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过程实时管控与辅助决策技术，进行深度分析形</w:t>
            </w:r>
          </w:p>
        </w:tc>
        <w:tc>
          <w:tcPr>
            <w:tcW w:w="3420" w:type="dxa"/>
            <w:vMerge/>
            <w:tcBorders>
              <w:left w:val="single" w:sz="4" w:space="0" w:color="000000"/>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vMerge/>
            <w:tcBorders>
              <w:left w:val="single" w:sz="4" w:space="0" w:color="000000"/>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成因果关系分析图，构建案件前馈控制、过程控</w:t>
            </w:r>
          </w:p>
        </w:tc>
        <w:tc>
          <w:tcPr>
            <w:tcW w:w="3420" w:type="dxa"/>
            <w:vMerge/>
            <w:tcBorders>
              <w:left w:val="single" w:sz="4" w:space="0" w:color="000000"/>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vMerge/>
            <w:tcBorders>
              <w:left w:val="single" w:sz="4" w:space="0" w:color="000000"/>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制和反馈控制等案件管控机制，实现检察办案辅</w:t>
            </w:r>
          </w:p>
        </w:tc>
        <w:tc>
          <w:tcPr>
            <w:tcW w:w="3420" w:type="dxa"/>
            <w:vMerge/>
            <w:tcBorders>
              <w:left w:val="single" w:sz="4" w:space="0" w:color="000000"/>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vMerge/>
            <w:tcBorders>
              <w:left w:val="single" w:sz="4" w:space="0" w:color="000000"/>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助决策。本课题拟解决的关键科学问题是办案过</w:t>
            </w:r>
          </w:p>
        </w:tc>
        <w:tc>
          <w:tcPr>
            <w:tcW w:w="3420" w:type="dxa"/>
            <w:vMerge/>
            <w:tcBorders>
              <w:left w:val="single" w:sz="4" w:space="0" w:color="000000"/>
              <w:right w:val="single" w:sz="4" w:space="0" w:color="000000"/>
            </w:tcBorders>
          </w:tcPr>
          <w:p>
            <w:pPr/>
          </w:p>
        </w:tc>
      </w:tr>
      <w:tr>
        <w:trPr>
          <w:trHeight w:val="317"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vMerge/>
            <w:tcBorders>
              <w:left w:val="single" w:sz="4" w:space="0" w:color="000000"/>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程中的</w:t>
            </w:r>
            <w:r>
              <w:rPr>
                <w:rFonts w:ascii="Times New Roman" w:hAnsi="Times New Roman" w:cs="Times New Roman" w:eastAsia="Times New Roman" w:hint="default"/>
                <w:sz w:val="18"/>
                <w:szCs w:val="18"/>
              </w:rPr>
              <w:t>"</w:t>
            </w:r>
            <w:r>
              <w:rPr>
                <w:rFonts w:ascii="宋体" w:hAnsi="宋体" w:cs="宋体" w:eastAsia="宋体" w:hint="default"/>
                <w:sz w:val="18"/>
                <w:szCs w:val="18"/>
              </w:rPr>
              <w:t>办案质量大数据的深度融合</w:t>
            </w:r>
            <w:r>
              <w:rPr>
                <w:rFonts w:ascii="宋体" w:hAnsi="宋体" w:cs="宋体" w:eastAsia="宋体" w:hint="default"/>
                <w:spacing w:val="-9"/>
                <w:sz w:val="18"/>
                <w:szCs w:val="18"/>
              </w:rPr>
              <w:t> </w:t>
            </w:r>
            <w:r>
              <w:rPr>
                <w:rFonts w:ascii="宋体" w:hAnsi="宋体" w:cs="宋体" w:eastAsia="宋体" w:hint="default"/>
                <w:sz w:val="18"/>
                <w:szCs w:val="18"/>
              </w:rPr>
              <w:t>问题</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办</w:t>
            </w:r>
          </w:p>
        </w:tc>
        <w:tc>
          <w:tcPr>
            <w:tcW w:w="3420" w:type="dxa"/>
            <w:vMerge/>
            <w:tcBorders>
              <w:left w:val="single" w:sz="4" w:space="0" w:color="000000"/>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vMerge/>
            <w:tcBorders>
              <w:left w:val="single" w:sz="4" w:space="0" w:color="000000"/>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案质量大数据的实时计算问题</w:t>
            </w:r>
            <w:r>
              <w:rPr>
                <w:rFonts w:ascii="Times New Roman" w:hAnsi="Times New Roman" w:cs="Times New Roman" w:eastAsia="Times New Roman" w:hint="default"/>
                <w:sz w:val="18"/>
                <w:szCs w:val="18"/>
              </w:rPr>
              <w:t>"</w:t>
            </w:r>
            <w:r>
              <w:rPr>
                <w:rFonts w:ascii="宋体" w:hAnsi="宋体" w:cs="宋体" w:eastAsia="宋体" w:hint="default"/>
                <w:sz w:val="18"/>
                <w:szCs w:val="18"/>
              </w:rPr>
              <w:t>，具体关键技术</w:t>
            </w:r>
          </w:p>
        </w:tc>
        <w:tc>
          <w:tcPr>
            <w:tcW w:w="3420" w:type="dxa"/>
            <w:vMerge/>
            <w:tcBorders>
              <w:left w:val="single" w:sz="4" w:space="0" w:color="000000"/>
              <w:right w:val="single" w:sz="4" w:space="0" w:color="000000"/>
            </w:tcBorders>
          </w:tcPr>
          <w:p>
            <w:pPr/>
          </w:p>
        </w:tc>
      </w:tr>
      <w:tr>
        <w:trPr>
          <w:trHeight w:val="307"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vMerge/>
            <w:tcBorders>
              <w:left w:val="single" w:sz="4" w:space="0" w:color="000000"/>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包括办案质量大数 据关联表示模型及其增量维</w:t>
            </w:r>
          </w:p>
        </w:tc>
        <w:tc>
          <w:tcPr>
            <w:tcW w:w="3420" w:type="dxa"/>
            <w:vMerge/>
            <w:tcBorders>
              <w:left w:val="single" w:sz="4" w:space="0" w:color="000000"/>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vMerge/>
            <w:tcBorders>
              <w:left w:val="single" w:sz="4" w:space="0" w:color="000000"/>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护机制和办案质量大数据实时计算。最终构建检</w:t>
            </w:r>
          </w:p>
        </w:tc>
        <w:tc>
          <w:tcPr>
            <w:tcW w:w="3420" w:type="dxa"/>
            <w:vMerge/>
            <w:tcBorders>
              <w:left w:val="single" w:sz="4" w:space="0" w:color="000000"/>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vMerge/>
            <w:tcBorders>
              <w:left w:val="single" w:sz="4" w:space="0" w:color="000000"/>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察办案质量保障、办案监督风险评估、办案控制</w:t>
            </w:r>
          </w:p>
        </w:tc>
        <w:tc>
          <w:tcPr>
            <w:tcW w:w="3420" w:type="dxa"/>
            <w:vMerge/>
            <w:tcBorders>
              <w:left w:val="single" w:sz="4" w:space="0" w:color="000000"/>
              <w:right w:val="single" w:sz="4" w:space="0" w:color="000000"/>
            </w:tcBorders>
          </w:tcPr>
          <w:p>
            <w:pPr/>
          </w:p>
        </w:tc>
      </w:tr>
      <w:tr>
        <w:trPr>
          <w:trHeight w:val="317"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vMerge/>
            <w:tcBorders>
              <w:left w:val="single" w:sz="4" w:space="0" w:color="000000"/>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 </w:t>
            </w:r>
            <w:r>
              <w:rPr>
                <w:rFonts w:ascii="Times New Roman" w:hAnsi="Times New Roman" w:cs="Times New Roman" w:eastAsia="Times New Roman" w:hint="default"/>
                <w:sz w:val="18"/>
                <w:szCs w:val="18"/>
              </w:rPr>
              <w:t>3  </w:t>
            </w:r>
            <w:r>
              <w:rPr>
                <w:rFonts w:ascii="宋体" w:hAnsi="宋体" w:cs="宋体" w:eastAsia="宋体" w:hint="default"/>
                <w:sz w:val="18"/>
                <w:szCs w:val="18"/>
              </w:rPr>
              <w:t>类模型不少于 </w:t>
            </w:r>
            <w:r>
              <w:rPr>
                <w:rFonts w:ascii="Times New Roman" w:hAnsi="Times New Roman" w:cs="Times New Roman" w:eastAsia="Times New Roman" w:hint="default"/>
                <w:sz w:val="18"/>
                <w:szCs w:val="18"/>
              </w:rPr>
              <w:t>15  </w:t>
            </w:r>
            <w:r>
              <w:rPr>
                <w:rFonts w:ascii="宋体" w:hAnsi="宋体" w:cs="宋体" w:eastAsia="宋体" w:hint="default"/>
                <w:spacing w:val="-9"/>
                <w:sz w:val="18"/>
                <w:szCs w:val="18"/>
              </w:rPr>
              <w:t>个；研发办案质</w:t>
            </w:r>
            <w:r>
              <w:rPr>
                <w:rFonts w:ascii="宋体" w:hAnsi="宋体" w:cs="宋体" w:eastAsia="宋体" w:hint="default"/>
                <w:spacing w:val="6"/>
                <w:sz w:val="18"/>
                <w:szCs w:val="18"/>
              </w:rPr>
              <w:t> </w:t>
            </w:r>
            <w:r>
              <w:rPr>
                <w:rFonts w:ascii="宋体" w:hAnsi="宋体" w:cs="宋体" w:eastAsia="宋体" w:hint="default"/>
                <w:sz w:val="18"/>
                <w:szCs w:val="18"/>
              </w:rPr>
              <w:t>量保证</w:t>
            </w:r>
          </w:p>
        </w:tc>
        <w:tc>
          <w:tcPr>
            <w:tcW w:w="3420" w:type="dxa"/>
            <w:vMerge/>
            <w:tcBorders>
              <w:left w:val="single" w:sz="4" w:space="0" w:color="000000"/>
              <w:right w:val="single" w:sz="4" w:space="0" w:color="000000"/>
            </w:tcBorders>
          </w:tcPr>
          <w:p>
            <w:pPr/>
          </w:p>
        </w:tc>
      </w:tr>
      <w:tr>
        <w:trPr>
          <w:trHeight w:val="307"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vMerge/>
            <w:tcBorders>
              <w:left w:val="single" w:sz="4" w:space="0" w:color="000000"/>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和监督原型系统，并开展示范应用；完成不少于</w:t>
            </w:r>
          </w:p>
        </w:tc>
        <w:tc>
          <w:tcPr>
            <w:tcW w:w="3420" w:type="dxa"/>
            <w:vMerge/>
            <w:tcBorders>
              <w:left w:val="single" w:sz="4" w:space="0" w:color="000000"/>
              <w:right w:val="single" w:sz="4" w:space="0" w:color="000000"/>
            </w:tcBorders>
          </w:tcPr>
          <w:p>
            <w:pPr/>
          </w:p>
        </w:tc>
      </w:tr>
      <w:tr>
        <w:trPr>
          <w:trHeight w:val="317"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vMerge/>
            <w:tcBorders>
              <w:left w:val="single" w:sz="4" w:space="0" w:color="000000"/>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个示范单位，含省、市、 基层三级检察院的</w:t>
            </w:r>
          </w:p>
        </w:tc>
        <w:tc>
          <w:tcPr>
            <w:tcW w:w="3420" w:type="dxa"/>
            <w:vMerge/>
            <w:tcBorders>
              <w:left w:val="single" w:sz="4" w:space="0" w:color="000000"/>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vMerge/>
            <w:tcBorders>
              <w:left w:val="single" w:sz="4" w:space="0" w:color="000000"/>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示范应用；发表学术论文 </w:t>
            </w:r>
            <w:r>
              <w:rPr>
                <w:rFonts w:ascii="Times New Roman" w:hAnsi="Times New Roman" w:cs="Times New Roman" w:eastAsia="Times New Roman" w:hint="default"/>
                <w:sz w:val="18"/>
                <w:szCs w:val="18"/>
              </w:rPr>
              <w:t>2  </w:t>
            </w:r>
            <w:r>
              <w:rPr>
                <w:rFonts w:ascii="宋体" w:hAnsi="宋体" w:cs="宋体" w:eastAsia="宋体" w:hint="default"/>
                <w:spacing w:val="-7"/>
                <w:sz w:val="18"/>
                <w:szCs w:val="18"/>
              </w:rPr>
              <w:t>篇，申请 </w:t>
            </w:r>
            <w:r>
              <w:rPr>
                <w:rFonts w:ascii="Times New Roman" w:hAnsi="Times New Roman" w:cs="Times New Roman" w:eastAsia="Times New Roman" w:hint="default"/>
                <w:sz w:val="18"/>
                <w:szCs w:val="18"/>
              </w:rPr>
              <w:t>2 </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项软件</w:t>
            </w:r>
          </w:p>
        </w:tc>
        <w:tc>
          <w:tcPr>
            <w:tcW w:w="3420" w:type="dxa"/>
            <w:vMerge/>
            <w:tcBorders>
              <w:left w:val="single" w:sz="4" w:space="0" w:color="000000"/>
              <w:right w:val="single" w:sz="4" w:space="0" w:color="000000"/>
            </w:tcBorders>
          </w:tcPr>
          <w:p>
            <w:pPr/>
          </w:p>
        </w:tc>
      </w:tr>
      <w:tr>
        <w:trPr>
          <w:trHeight w:val="308"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vMerge/>
            <w:tcBorders>
              <w:left w:val="single" w:sz="4" w:space="0" w:color="000000"/>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著作权。原型系统将来可逐步在检察机关推广应</w:t>
            </w:r>
          </w:p>
        </w:tc>
        <w:tc>
          <w:tcPr>
            <w:tcW w:w="3420" w:type="dxa"/>
            <w:vMerge/>
            <w:tcBorders>
              <w:left w:val="single" w:sz="4" w:space="0" w:color="000000"/>
              <w:right w:val="single" w:sz="4" w:space="0" w:color="000000"/>
            </w:tcBorders>
          </w:tcPr>
          <w:p>
            <w:pPr/>
          </w:p>
        </w:tc>
      </w:tr>
      <w:tr>
        <w:trPr>
          <w:trHeight w:val="357" w:hRule="exact"/>
        </w:trPr>
        <w:tc>
          <w:tcPr>
            <w:tcW w:w="1080" w:type="dxa"/>
            <w:tcBorders>
              <w:top w:val="nil" w:sz="6" w:space="0" w:color="auto"/>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3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用。</w:t>
            </w:r>
          </w:p>
        </w:tc>
        <w:tc>
          <w:tcPr>
            <w:tcW w:w="3420" w:type="dxa"/>
            <w:vMerge/>
            <w:tcBorders>
              <w:left w:val="single" w:sz="4" w:space="0" w:color="000000"/>
              <w:bottom w:val="single" w:sz="4" w:space="0" w:color="000000"/>
              <w:right w:val="single" w:sz="4" w:space="0" w:color="000000"/>
            </w:tcBorders>
          </w:tcPr>
          <w:p>
            <w:pPr/>
          </w:p>
        </w:tc>
      </w:tr>
      <w:tr>
        <w:trPr>
          <w:trHeight w:val="196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SK</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数字中台 研发项目</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654,755.95</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SK</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数字中台不仅是一种高技术能力平台，还是 </w:t>
            </w:r>
            <w:r>
              <w:rPr>
                <w:rFonts w:ascii="宋体" w:hAnsi="宋体" w:cs="宋体" w:eastAsia="宋体" w:hint="default"/>
                <w:spacing w:val="-3"/>
                <w:sz w:val="18"/>
                <w:szCs w:val="18"/>
              </w:rPr>
              <w:t>企业进行数字化转型的整体参考架构，将企业核</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心业务、数据抽象和沉淀形成服务能力，对前台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提供调用，基于前后端分离的模式，为企业打造</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一个连接一切、集成一切的共享能力平台。</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、数据中台：完成产品详细设计；数据汇 </w:t>
            </w:r>
            <w:r>
              <w:rPr>
                <w:rFonts w:ascii="宋体" w:hAnsi="宋体" w:cs="宋体" w:eastAsia="宋体" w:hint="default"/>
                <w:spacing w:val="-3"/>
                <w:sz w:val="18"/>
                <w:szCs w:val="18"/>
              </w:rPr>
              <w:t>聚、调度平台和资产管控平台子系统发布内</w:t>
            </w:r>
            <w:r>
              <w:rPr>
                <w:rFonts w:ascii="宋体" w:hAnsi="宋体" w:cs="宋体" w:eastAsia="宋体" w:hint="default"/>
                <w:sz w:val="18"/>
                <w:szCs w:val="18"/>
              </w:rPr>
              <w:t> 测版本。</w:t>
            </w:r>
            <w:r>
              <w:rPr>
                <w:rFonts w:ascii="Times New Roman" w:hAnsi="Times New Roman" w:cs="Times New Roman" w:eastAsia="Times New Roman" w:hint="default"/>
                <w:sz w:val="18"/>
                <w:szCs w:val="18"/>
              </w:rPr>
              <w:t>2</w:t>
            </w:r>
            <w:r>
              <w:rPr>
                <w:rFonts w:ascii="宋体" w:hAnsi="宋体" w:cs="宋体" w:eastAsia="宋体" w:hint="default"/>
                <w:sz w:val="18"/>
                <w:szCs w:val="18"/>
              </w:rPr>
              <w:t>、业务中台：完成基础服务开发 及接入。</w:t>
            </w:r>
            <w:r>
              <w:rPr>
                <w:rFonts w:ascii="Times New Roman" w:hAnsi="Times New Roman" w:cs="Times New Roman" w:eastAsia="Times New Roman" w:hint="default"/>
                <w:sz w:val="18"/>
                <w:szCs w:val="18"/>
              </w:rPr>
              <w:t>3</w:t>
            </w:r>
            <w:r>
              <w:rPr>
                <w:rFonts w:ascii="宋体" w:hAnsi="宋体" w:cs="宋体" w:eastAsia="宋体" w:hint="default"/>
                <w:sz w:val="18"/>
                <w:szCs w:val="18"/>
              </w:rPr>
              <w:t>、移动中台：完成数据管理 </w:t>
            </w:r>
            <w:r>
              <w:rPr>
                <w:rFonts w:ascii="Times New Roman" w:hAnsi="Times New Roman" w:cs="Times New Roman" w:eastAsia="Times New Roman" w:hint="default"/>
                <w:sz w:val="18"/>
                <w:szCs w:val="18"/>
              </w:rPr>
              <w:t>BDataConfig</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开发；完成运营中心</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用户运营</w:t>
            </w:r>
            <w:r>
              <w:rPr>
                <w:rFonts w:ascii="宋体" w:hAnsi="宋体" w:cs="宋体" w:eastAsia="宋体" w:hint="default"/>
                <w:spacing w:val="-87"/>
                <w:sz w:val="18"/>
                <w:szCs w:val="18"/>
              </w:rPr>
              <w:t> </w:t>
            </w:r>
            <w:r>
              <w:rPr>
                <w:rFonts w:ascii="宋体" w:hAnsi="宋体" w:cs="宋体" w:eastAsia="宋体" w:hint="default"/>
                <w:sz w:val="18"/>
                <w:szCs w:val="18"/>
              </w:rPr>
              <w:t>开发；</w:t>
            </w:r>
            <w:r>
              <w:rPr>
                <w:rFonts w:ascii="Times New Roman" w:hAnsi="Times New Roman" w:cs="Times New Roman" w:eastAsia="Times New Roman" w:hint="default"/>
                <w:sz w:val="18"/>
                <w:szCs w:val="18"/>
              </w:rPr>
              <w:t>Aries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支撑平台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IAM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模块开发。</w:t>
            </w:r>
          </w:p>
        </w:tc>
      </w:tr>
      <w:tr>
        <w:trPr>
          <w:trHeight w:val="362" w:hRule="exact"/>
        </w:trPr>
        <w:tc>
          <w:tcPr>
            <w:tcW w:w="108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3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海事大数据分析挖掘及展示平台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V1.0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对船员、</w:t>
            </w:r>
          </w:p>
        </w:tc>
        <w:tc>
          <w:tcPr>
            <w:tcW w:w="3420"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海事大数据</w:t>
            </w: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船舶及船企数据进行全方位、多维度、立体化的</w:t>
            </w: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本项目已经完成了信息检索以及船员、船</w:t>
            </w:r>
          </w:p>
        </w:tc>
      </w:tr>
      <w:tr>
        <w:trPr>
          <w:trHeight w:val="623"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45"/>
              <w:jc w:val="left"/>
              <w:rPr>
                <w:rFonts w:ascii="宋体" w:hAnsi="宋体" w:cs="宋体" w:eastAsia="宋体" w:hint="default"/>
                <w:sz w:val="18"/>
                <w:szCs w:val="18"/>
              </w:rPr>
            </w:pPr>
            <w:r>
              <w:rPr>
                <w:rFonts w:ascii="宋体" w:hAnsi="宋体" w:cs="宋体" w:eastAsia="宋体" w:hint="default"/>
                <w:sz w:val="18"/>
                <w:szCs w:val="18"/>
              </w:rPr>
              <w:t>分析挖掘及 展示平台</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2,266,048.18</w:t>
            </w: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2" w:right="20"/>
              <w:jc w:val="left"/>
              <w:rPr>
                <w:rFonts w:ascii="宋体" w:hAnsi="宋体" w:cs="宋体" w:eastAsia="宋体" w:hint="default"/>
                <w:sz w:val="18"/>
                <w:szCs w:val="18"/>
              </w:rPr>
            </w:pPr>
            <w:r>
              <w:rPr>
                <w:rFonts w:ascii="宋体" w:hAnsi="宋体" w:cs="宋体" w:eastAsia="宋体" w:hint="default"/>
                <w:spacing w:val="-2"/>
                <w:sz w:val="18"/>
                <w:szCs w:val="18"/>
              </w:rPr>
              <w:t>关联分析，打造</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一站式</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数据服务窗口，帮助客</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户掌握数据全貌，进一步提升决策水平。平台主</w:t>
            </w: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pacing w:val="-4"/>
                <w:sz w:val="18"/>
                <w:szCs w:val="18"/>
              </w:rPr>
              <w:t>企、船舶、危险品属性等搜索列表功能的开</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发，并在江苏海事局、连云港海事局、山东</w:t>
            </w:r>
          </w:p>
        </w:tc>
      </w:tr>
      <w:tr>
        <w:trPr>
          <w:trHeight w:val="317"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V1.0</w:t>
            </w: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要提供静态、动态的船员、船舶及船企全量信息</w:t>
            </w: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海事局等客户处进行了部署。</w:t>
            </w:r>
          </w:p>
        </w:tc>
      </w:tr>
      <w:tr>
        <w:trPr>
          <w:trHeight w:val="353" w:hRule="exact"/>
        </w:trPr>
        <w:tc>
          <w:tcPr>
            <w:tcW w:w="108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3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的搜索平台功能。</w:t>
            </w:r>
          </w:p>
        </w:tc>
        <w:tc>
          <w:tcPr>
            <w:tcW w:w="3420"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8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3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社会组织法人信息资源库充分利用内部业务数</w:t>
            </w:r>
          </w:p>
        </w:tc>
        <w:tc>
          <w:tcPr>
            <w:tcW w:w="34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本项目已经完成了社会组织法人信息资源</w:t>
            </w:r>
          </w:p>
        </w:tc>
      </w:tr>
      <w:tr>
        <w:trPr>
          <w:trHeight w:val="311"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据、外部相关数据，进行数据的汇聚、清洗、分</w:t>
            </w: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库相关功能的设计与研发工作，并在民政</w:t>
            </w:r>
          </w:p>
        </w:tc>
      </w:tr>
      <w:tr>
        <w:trPr>
          <w:trHeight w:val="313"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社会组织法</w:t>
            </w: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析挖掘，进而为社会组织相关管理部门的管理与</w:t>
            </w: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部、内蒙古民政厅、山东省民政厅等多个客</w:t>
            </w:r>
          </w:p>
        </w:tc>
      </w:tr>
      <w:tr>
        <w:trPr>
          <w:trHeight w:val="316"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人信息资源</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661,140.37</w:t>
            </w: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决策过程提供数据支撑。本项目可提升社会组织</w:t>
            </w: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户进行系统部署，进一步推动社会组织登记</w:t>
            </w:r>
          </w:p>
        </w:tc>
      </w:tr>
      <w:tr>
        <w:trPr>
          <w:trHeight w:val="313"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库</w:t>
            </w: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pacing w:val="-3"/>
                <w:sz w:val="18"/>
                <w:szCs w:val="18"/>
              </w:rPr>
              <w:t>的人工智能化监管和治理能力，帮助相关部门掌</w:t>
            </w: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管理</w:t>
            </w:r>
            <w:r>
              <w:rPr>
                <w:rFonts w:ascii="Times New Roman" w:hAnsi="Times New Roman" w:cs="Times New Roman" w:eastAsia="Times New Roman" w:hint="default"/>
                <w:sz w:val="18"/>
                <w:szCs w:val="18"/>
              </w:rPr>
              <w:t>"</w:t>
            </w:r>
            <w:r>
              <w:rPr>
                <w:rFonts w:ascii="宋体" w:hAnsi="宋体" w:cs="宋体" w:eastAsia="宋体" w:hint="default"/>
                <w:sz w:val="18"/>
                <w:szCs w:val="18"/>
              </w:rPr>
              <w:t>放管服</w:t>
            </w:r>
            <w:r>
              <w:rPr>
                <w:rFonts w:ascii="Times New Roman" w:hAnsi="Times New Roman" w:cs="Times New Roman" w:eastAsia="Times New Roman" w:hint="default"/>
                <w:sz w:val="18"/>
                <w:szCs w:val="18"/>
              </w:rPr>
              <w:t>"</w:t>
            </w:r>
            <w:r>
              <w:rPr>
                <w:rFonts w:ascii="宋体" w:hAnsi="宋体" w:cs="宋体" w:eastAsia="宋体" w:hint="default"/>
                <w:sz w:val="18"/>
                <w:szCs w:val="18"/>
              </w:rPr>
              <w:t>服务，有效解决了群众办事</w:t>
            </w:r>
          </w:p>
        </w:tc>
      </w:tr>
      <w:tr>
        <w:trPr>
          <w:trHeight w:val="308"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握全局数据，提高社会组织各业务流程信息化水</w:t>
            </w: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难、办事慢、办事繁的问题，得到了客户的</w:t>
            </w:r>
          </w:p>
        </w:tc>
      </w:tr>
      <w:tr>
        <w:trPr>
          <w:trHeight w:val="357" w:hRule="exact"/>
        </w:trPr>
        <w:tc>
          <w:tcPr>
            <w:tcW w:w="108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3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平。</w:t>
            </w:r>
          </w:p>
        </w:tc>
        <w:tc>
          <w:tcPr>
            <w:tcW w:w="34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认可与好评。</w:t>
            </w:r>
          </w:p>
        </w:tc>
      </w:tr>
      <w:tr>
        <w:trPr>
          <w:trHeight w:val="362" w:hRule="exact"/>
        </w:trPr>
        <w:tc>
          <w:tcPr>
            <w:tcW w:w="108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3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核心技术：</w:t>
            </w:r>
            <w:r>
              <w:rPr>
                <w:rFonts w:ascii="Times New Roman" w:hAnsi="Times New Roman" w:cs="Times New Roman" w:eastAsia="Times New Roman" w:hint="default"/>
                <w:sz w:val="18"/>
                <w:szCs w:val="18"/>
              </w:rPr>
              <w:t>1</w:t>
            </w:r>
            <w:r>
              <w:rPr>
                <w:rFonts w:ascii="宋体" w:hAnsi="宋体" w:cs="宋体" w:eastAsia="宋体" w:hint="default"/>
                <w:sz w:val="18"/>
                <w:szCs w:val="18"/>
              </w:rPr>
              <w:t>）采用实时库技术提升整个系统性</w:t>
            </w:r>
          </w:p>
        </w:tc>
        <w:tc>
          <w:tcPr>
            <w:tcW w:w="3420" w:type="dxa"/>
            <w:tcBorders>
              <w:top w:val="single" w:sz="4" w:space="0" w:color="000000"/>
              <w:left w:val="single" w:sz="4" w:space="0" w:color="000000"/>
              <w:bottom w:val="nil" w:sz="6" w:space="0" w:color="auto"/>
              <w:right w:val="single" w:sz="4" w:space="0" w:color="000000"/>
            </w:tcBorders>
          </w:tcPr>
          <w:p>
            <w:pPr/>
          </w:p>
        </w:tc>
      </w:tr>
      <w:tr>
        <w:trPr>
          <w:trHeight w:val="1559"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00" w:lineRule="auto"/>
              <w:ind w:left="22" w:right="9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xlink</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热网监 控系统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V6.0</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3,791,802.44</w:t>
            </w:r>
          </w:p>
        </w:tc>
        <w:tc>
          <w:tcPr>
            <w:tcW w:w="3780" w:type="dxa"/>
            <w:tcBorders>
              <w:top w:val="nil" w:sz="6" w:space="0" w:color="auto"/>
              <w:left w:val="single" w:sz="4" w:space="0" w:color="000000"/>
              <w:bottom w:val="nil" w:sz="6" w:space="0" w:color="auto"/>
              <w:right w:val="single" w:sz="9" w:space="0" w:color="FFFFFF"/>
            </w:tcBorders>
          </w:tcPr>
          <w:p>
            <w:pPr>
              <w:pStyle w:val="TableParagraph"/>
              <w:spacing w:line="309" w:lineRule="auto" w:before="5"/>
              <w:ind w:left="22" w:right="15"/>
              <w:jc w:val="left"/>
              <w:rPr>
                <w:rFonts w:ascii="宋体" w:hAnsi="宋体" w:cs="宋体" w:eastAsia="宋体" w:hint="default"/>
                <w:sz w:val="18"/>
                <w:szCs w:val="18"/>
              </w:rPr>
            </w:pPr>
            <w:r>
              <w:rPr>
                <w:rFonts w:ascii="宋体" w:hAnsi="宋体" w:cs="宋体" w:eastAsia="宋体" w:hint="default"/>
                <w:sz w:val="18"/>
                <w:szCs w:val="18"/>
              </w:rPr>
              <w:t>能，达到国内领先的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SCADA</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软件性能水平；</w:t>
            </w:r>
            <w:r>
              <w:rPr>
                <w:rFonts w:ascii="Times New Roman" w:hAnsi="Times New Roman" w:cs="Times New Roman" w:eastAsia="Times New Roman" w:hint="default"/>
                <w:spacing w:val="-3"/>
                <w:sz w:val="18"/>
                <w:szCs w:val="18"/>
              </w:rPr>
              <w:t>2</w:t>
            </w:r>
            <w:r>
              <w:rPr>
                <w:rFonts w:ascii="Times New Roman" w:hAnsi="Times New Roman" w:cs="Times New Roman" w:eastAsia="Times New Roman" w:hint="default"/>
                <w:sz w:val="18"/>
                <w:szCs w:val="18"/>
              </w:rPr>
              <w:t> </w:t>
            </w:r>
            <w:r>
              <w:rPr>
                <w:rFonts w:ascii="宋体" w:hAnsi="宋体" w:cs="宋体" w:eastAsia="宋体" w:hint="default"/>
                <w:sz w:val="18"/>
                <w:szCs w:val="18"/>
              </w:rPr>
              <w:t>采用非关系型数据库解决多年大量历史数据的 </w:t>
            </w:r>
            <w:r>
              <w:rPr>
                <w:rFonts w:ascii="宋体" w:hAnsi="宋体" w:cs="宋体" w:eastAsia="宋体" w:hint="default"/>
                <w:spacing w:val="-7"/>
                <w:sz w:val="18"/>
                <w:szCs w:val="18"/>
              </w:rPr>
              <w:t>使用效率问题，达到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PB </w:t>
            </w:r>
            <w:r>
              <w:rPr>
                <w:rFonts w:ascii="宋体" w:hAnsi="宋体" w:cs="宋体" w:eastAsia="宋体" w:hint="default"/>
                <w:spacing w:val="-10"/>
                <w:sz w:val="18"/>
                <w:szCs w:val="18"/>
              </w:rPr>
              <w:t>级性能；</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）采用</w:t>
            </w:r>
            <w:r>
              <w:rPr>
                <w:rFonts w:ascii="Times New Roman" w:hAnsi="Times New Roman" w:cs="Times New Roman" w:eastAsia="Times New Roman" w:hint="default"/>
                <w:spacing w:val="-10"/>
                <w:sz w:val="18"/>
                <w:szCs w:val="18"/>
              </w:rPr>
              <w:t>.net</w:t>
            </w:r>
            <w:r>
              <w:rPr>
                <w:rFonts w:ascii="Times New Roman" w:hAnsi="Times New Roman" w:cs="Times New Roman" w:eastAsia="Times New Roman" w:hint="default"/>
                <w:sz w:val="18"/>
                <w:szCs w:val="18"/>
              </w:rPr>
              <w:t> core</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技术栈实现软件系统跨平台的特性，本版本目标</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系统限于</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Windows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Linux </w:t>
            </w:r>
            <w:r>
              <w:rPr>
                <w:rFonts w:ascii="宋体" w:hAnsi="宋体" w:cs="宋体" w:eastAsia="宋体" w:hint="default"/>
                <w:spacing w:val="-10"/>
                <w:sz w:val="18"/>
                <w:szCs w:val="18"/>
              </w:rPr>
              <w:t>两种操作系统。创新</w:t>
            </w:r>
          </w:p>
        </w:tc>
        <w:tc>
          <w:tcPr>
            <w:tcW w:w="3420" w:type="dxa"/>
            <w:tcBorders>
              <w:top w:val="nil" w:sz="6" w:space="0" w:color="auto"/>
              <w:left w:val="single" w:sz="9" w:space="0" w:color="FFFFFF"/>
              <w:bottom w:val="nil" w:sz="6" w:space="0" w:color="auto"/>
              <w:right w:val="single" w:sz="4" w:space="0" w:color="000000"/>
            </w:tcBorders>
          </w:tcPr>
          <w:p>
            <w:pPr>
              <w:pStyle w:val="TableParagraph"/>
              <w:spacing w:line="186" w:lineRule="exact" w:before="5"/>
              <w:ind w:left="-12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6" w:lineRule="exact"/>
              <w:ind w:left="16" w:right="0"/>
              <w:jc w:val="both"/>
              <w:rPr>
                <w:rFonts w:ascii="宋体" w:hAnsi="宋体" w:cs="宋体" w:eastAsia="宋体" w:hint="default"/>
                <w:sz w:val="18"/>
                <w:szCs w:val="18"/>
              </w:rPr>
            </w:pPr>
            <w:r>
              <w:rPr>
                <w:rFonts w:ascii="宋体" w:hAnsi="宋体" w:cs="宋体" w:eastAsia="宋体" w:hint="default"/>
                <w:spacing w:val="-3"/>
                <w:sz w:val="18"/>
                <w:szCs w:val="18"/>
              </w:rPr>
              <w:t>本系统已经研发完成。向国家知识产权局提</w:t>
            </w:r>
          </w:p>
          <w:p>
            <w:pPr>
              <w:pStyle w:val="TableParagraph"/>
              <w:spacing w:line="319" w:lineRule="auto" w:before="75"/>
              <w:ind w:left="16" w:right="23"/>
              <w:jc w:val="both"/>
              <w:rPr>
                <w:rFonts w:ascii="宋体" w:hAnsi="宋体" w:cs="宋体" w:eastAsia="宋体" w:hint="default"/>
                <w:sz w:val="18"/>
                <w:szCs w:val="18"/>
              </w:rPr>
            </w:pPr>
            <w:r>
              <w:rPr>
                <w:rFonts w:ascii="宋体" w:hAnsi="宋体" w:cs="宋体" w:eastAsia="宋体" w:hint="default"/>
                <w:spacing w:val="-3"/>
                <w:sz w:val="18"/>
                <w:szCs w:val="18"/>
              </w:rPr>
              <w:t>交发明专利申请并通过。同时本系统已经在</w:t>
            </w:r>
            <w:r>
              <w:rPr>
                <w:rFonts w:ascii="宋体" w:hAnsi="宋体" w:cs="宋体" w:eastAsia="宋体" w:hint="default"/>
                <w:sz w:val="18"/>
                <w:szCs w:val="18"/>
              </w:rPr>
              <w:t> </w:t>
            </w:r>
            <w:r>
              <w:rPr>
                <w:rFonts w:ascii="宋体" w:hAnsi="宋体" w:cs="宋体" w:eastAsia="宋体" w:hint="default"/>
                <w:spacing w:val="-3"/>
                <w:sz w:val="18"/>
                <w:szCs w:val="18"/>
              </w:rPr>
              <w:t>滨州鑫谊热力等企业部署上线使用，产生了</w:t>
            </w:r>
            <w:r>
              <w:rPr>
                <w:rFonts w:ascii="宋体" w:hAnsi="宋体" w:cs="宋体" w:eastAsia="宋体" w:hint="default"/>
                <w:sz w:val="18"/>
                <w:szCs w:val="18"/>
              </w:rPr>
              <w:t> 巨大的经济效益。</w:t>
            </w:r>
          </w:p>
        </w:tc>
      </w:tr>
      <w:tr>
        <w:trPr>
          <w:trHeight w:val="313" w:hRule="exact"/>
        </w:trPr>
        <w:tc>
          <w:tcPr>
            <w:tcW w:w="108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3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点：系统更加流畅、更加方便于用户的使用。</w:t>
            </w:r>
          </w:p>
        </w:tc>
        <w:tc>
          <w:tcPr>
            <w:tcW w:w="342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71.940002pt;margin-top:121.800003pt;width:170.55pt;height:54.6pt;mso-position-horizontal-relative:page;mso-position-vertical-relative:page;z-index:-1362592" coordorigin="7439,2436" coordsize="3411,1092">
            <v:shape style="position:absolute;left:7439;top:2436;width:3411;height:1092" coordorigin="7439,2436" coordsize="3411,1092" path="m7439,3528l10849,3528,10849,2436,7439,2436,7439,3528xe" filled="true" fillcolor="#ffffff" stroked="false">
              <v:path arrowok="t"/>
              <v:fill type="solid"/>
            </v:shape>
            <w10:wrap type="none"/>
          </v:group>
        </w:pict>
      </w:r>
      <w:r>
        <w:rPr/>
        <w:pict>
          <v:group style="position:absolute;margin-left:371.940002pt;margin-top:426.700012pt;width:170.55pt;height:96.1pt;mso-position-horizontal-relative:page;mso-position-vertical-relative:page;z-index:-1362568" coordorigin="7439,8534" coordsize="3411,1922">
            <v:group style="position:absolute;left:7439;top:8534;width:3411;height:1560" coordorigin="7439,8534" coordsize="3411,1560">
              <v:shape style="position:absolute;left:7439;top:8534;width:3411;height:1560" coordorigin="7439,8534" coordsize="3411,1560" path="m7439,10094l10849,10094,10849,8534,7439,8534,7439,10094xe" filled="true" fillcolor="#ffffff" stroked="false">
                <v:path arrowok="t"/>
                <v:fill type="solid"/>
              </v:shape>
            </v:group>
            <v:group style="position:absolute;left:7462;top:10104;width:3364;height:352" coordorigin="7462,10104" coordsize="3364,352">
              <v:shape style="position:absolute;left:7462;top:10104;width:3364;height:352" coordorigin="7462,10104" coordsize="3364,352" path="m7462,10456l10825,10456,10825,10104,7462,10104,7462,10456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80"/>
        <w:gridCol w:w="1440"/>
        <w:gridCol w:w="3780"/>
        <w:gridCol w:w="3420"/>
      </w:tblGrid>
      <w:tr>
        <w:trPr>
          <w:trHeight w:val="986" w:hRule="exact"/>
        </w:trPr>
        <w:tc>
          <w:tcPr>
            <w:tcW w:w="108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UI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页面升级使得系统运行流畅度能够在 </w:t>
            </w:r>
            <w:r>
              <w:rPr>
                <w:rFonts w:ascii="Times New Roman" w:hAnsi="Times New Roman" w:cs="Times New Roman" w:eastAsia="Times New Roman" w:hint="default"/>
                <w:sz w:val="18"/>
                <w:szCs w:val="18"/>
              </w:rPr>
              <w:t>Windows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Linux</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系统上。本系统部署上线后适</w:t>
            </w:r>
            <w:r>
              <w:rPr>
                <w:rFonts w:ascii="宋体" w:hAnsi="宋体" w:cs="宋体" w:eastAsia="宋体" w:hint="default"/>
                <w:sz w:val="18"/>
                <w:szCs w:val="18"/>
              </w:rPr>
              <w:t> 用于整个热力行业。</w:t>
            </w:r>
          </w:p>
        </w:tc>
        <w:tc>
          <w:tcPr>
            <w:tcW w:w="3420"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08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3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3"/>
                <w:sz w:val="18"/>
                <w:szCs w:val="18"/>
              </w:rPr>
              <w:t>二网纵览、实时监控、室温监控、控制调节、平</w:t>
            </w:r>
          </w:p>
        </w:tc>
        <w:tc>
          <w:tcPr>
            <w:tcW w:w="342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33"/>
              <w:jc w:val="left"/>
              <w:rPr>
                <w:rFonts w:ascii="宋体" w:hAnsi="宋体" w:cs="宋体" w:eastAsia="宋体" w:hint="default"/>
                <w:sz w:val="18"/>
                <w:szCs w:val="18"/>
              </w:rPr>
            </w:pPr>
            <w:r>
              <w:rPr>
                <w:rFonts w:ascii="宋体" w:hAnsi="宋体" w:cs="宋体" w:eastAsia="宋体" w:hint="default"/>
                <w:sz w:val="18"/>
                <w:szCs w:val="18"/>
              </w:rPr>
              <w:t>衡参数整定、历史数据、运行分析、运行报警、</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后台管理几大功能模块</w:t>
            </w:r>
            <w:r>
              <w:rPr>
                <w:rFonts w:ascii="Times New Roman" w:hAnsi="Times New Roman" w:cs="Times New Roman" w:eastAsia="Times New Roman" w:hint="default"/>
                <w:sz w:val="18"/>
                <w:szCs w:val="18"/>
              </w:rPr>
              <w:t>;  </w:t>
            </w:r>
            <w:r>
              <w:rPr>
                <w:rFonts w:ascii="宋体" w:hAnsi="宋体" w:cs="宋体" w:eastAsia="宋体" w:hint="default"/>
                <w:sz w:val="18"/>
                <w:szCs w:val="18"/>
              </w:rPr>
              <w:t>二次网平衡系统作为</w:t>
            </w:r>
            <w:r>
              <w:rPr>
                <w:rFonts w:ascii="Times New Roman" w:hAnsi="Times New Roman" w:cs="Times New Roman" w:eastAsia="Times New Roman" w:hint="default"/>
                <w:sz w:val="18"/>
                <w:szCs w:val="18"/>
              </w:rPr>
              <w:t>"</w:t>
            </w:r>
          </w:p>
        </w:tc>
        <w:tc>
          <w:tcPr>
            <w:tcW w:w="3420"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145"/>
              <w:jc w:val="both"/>
              <w:rPr>
                <w:rFonts w:ascii="Times New Roman" w:hAnsi="Times New Roman" w:cs="Times New Roman" w:eastAsia="Times New Roman" w:hint="default"/>
                <w:sz w:val="18"/>
                <w:szCs w:val="18"/>
              </w:rPr>
            </w:pPr>
            <w:r>
              <w:rPr>
                <w:rFonts w:ascii="宋体" w:hAnsi="宋体" w:cs="宋体" w:eastAsia="宋体" w:hint="default"/>
                <w:sz w:val="18"/>
                <w:szCs w:val="18"/>
              </w:rPr>
              <w:t>供热二次管 网智能平衡 自动控制系 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V2.0</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1,493,881.78</w:t>
            </w: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312" w:lineRule="auto" w:before="5"/>
              <w:ind w:left="22" w:right="23"/>
              <w:jc w:val="left"/>
              <w:rPr>
                <w:rFonts w:ascii="宋体" w:hAnsi="宋体" w:cs="宋体" w:eastAsia="宋体" w:hint="default"/>
                <w:sz w:val="18"/>
                <w:szCs w:val="18"/>
              </w:rPr>
            </w:pPr>
            <w:r>
              <w:rPr>
                <w:rFonts w:ascii="宋体" w:hAnsi="宋体" w:cs="宋体" w:eastAsia="宋体" w:hint="default"/>
                <w:sz w:val="18"/>
                <w:szCs w:val="18"/>
              </w:rPr>
              <w:t>源网站户</w:t>
            </w:r>
            <w:r>
              <w:rPr>
                <w:rFonts w:ascii="Times New Roman" w:hAnsi="Times New Roman" w:cs="Times New Roman" w:eastAsia="Times New Roman" w:hint="default"/>
                <w:sz w:val="18"/>
                <w:szCs w:val="18"/>
              </w:rPr>
              <w:t>"</w:t>
            </w:r>
            <w:r>
              <w:rPr>
                <w:rFonts w:ascii="宋体" w:hAnsi="宋体" w:cs="宋体" w:eastAsia="宋体" w:hint="default"/>
                <w:sz w:val="18"/>
                <w:szCs w:val="18"/>
              </w:rPr>
              <w:t>的末端环节，其软件功能主要为解决 二次网及用户末端的平衡与差异化控制指标问 </w:t>
            </w:r>
            <w:r>
              <w:rPr>
                <w:rFonts w:ascii="宋体" w:hAnsi="宋体" w:cs="宋体" w:eastAsia="宋体" w:hint="default"/>
                <w:spacing w:val="-3"/>
                <w:sz w:val="18"/>
                <w:szCs w:val="18"/>
              </w:rPr>
              <w:t>题。二次网平衡系统主要的仪表测点及控制点包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括：用户室内温度（通常为用户总数的</w:t>
            </w:r>
          </w:p>
          <w:p>
            <w:pPr>
              <w:pStyle w:val="TableParagraph"/>
              <w:spacing w:line="240" w:lineRule="auto" w:before="2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10%-15%</w:t>
            </w:r>
            <w:r>
              <w:rPr>
                <w:rFonts w:ascii="宋体" w:hAnsi="宋体" w:cs="宋体" w:eastAsia="宋体" w:hint="default"/>
                <w:spacing w:val="-90"/>
                <w:sz w:val="18"/>
                <w:szCs w:val="18"/>
              </w:rPr>
              <w:t>）</w:t>
            </w:r>
            <w:r>
              <w:rPr>
                <w:rFonts w:ascii="宋体" w:hAnsi="宋体" w:cs="宋体" w:eastAsia="宋体" w:hint="default"/>
                <w:spacing w:val="-5"/>
                <w:sz w:val="18"/>
                <w:szCs w:val="18"/>
              </w:rPr>
              <w:t>、</w:t>
            </w:r>
            <w:r>
              <w:rPr>
                <w:rFonts w:ascii="宋体" w:hAnsi="宋体" w:cs="宋体" w:eastAsia="宋体" w:hint="default"/>
                <w:spacing w:val="-2"/>
                <w:sz w:val="18"/>
                <w:szCs w:val="18"/>
              </w:rPr>
              <w:t>户</w:t>
            </w:r>
            <w:r>
              <w:rPr>
                <w:rFonts w:ascii="宋体" w:hAnsi="宋体" w:cs="宋体" w:eastAsia="宋体" w:hint="default"/>
                <w:sz w:val="18"/>
                <w:szCs w:val="18"/>
              </w:rPr>
              <w:t>用控制</w:t>
            </w:r>
            <w:r>
              <w:rPr>
                <w:rFonts w:ascii="宋体" w:hAnsi="宋体" w:cs="宋体" w:eastAsia="宋体" w:hint="default"/>
                <w:spacing w:val="-5"/>
                <w:sz w:val="18"/>
                <w:szCs w:val="18"/>
              </w:rPr>
              <w:t>阀</w:t>
            </w:r>
            <w:r>
              <w:rPr>
                <w:rFonts w:ascii="宋体" w:hAnsi="宋体" w:cs="宋体" w:eastAsia="宋体" w:hint="default"/>
                <w:sz w:val="18"/>
                <w:szCs w:val="18"/>
              </w:rPr>
              <w:t>（开关阀</w:t>
            </w:r>
            <w:r>
              <w:rPr>
                <w:rFonts w:ascii="Times New Roman" w:hAnsi="Times New Roman" w:cs="Times New Roman" w:eastAsia="Times New Roman" w:hint="default"/>
                <w:sz w:val="18"/>
                <w:szCs w:val="18"/>
              </w:rPr>
              <w:t>/</w:t>
            </w:r>
            <w:r>
              <w:rPr>
                <w:rFonts w:ascii="宋体" w:hAnsi="宋体" w:cs="宋体" w:eastAsia="宋体" w:hint="default"/>
                <w:sz w:val="18"/>
                <w:szCs w:val="18"/>
              </w:rPr>
              <w:t>调节阀</w:t>
            </w:r>
            <w:r>
              <w:rPr>
                <w:rFonts w:ascii="宋体" w:hAnsi="宋体" w:cs="宋体" w:eastAsia="宋体" w:hint="default"/>
                <w:spacing w:val="-6"/>
                <w:sz w:val="18"/>
                <w:szCs w:val="18"/>
              </w:rPr>
              <w:t>，</w:t>
            </w:r>
            <w:r>
              <w:rPr>
                <w:rFonts w:ascii="宋体" w:hAnsi="宋体" w:cs="宋体" w:eastAsia="宋体" w:hint="default"/>
                <w:sz w:val="18"/>
                <w:szCs w:val="18"/>
              </w:rPr>
              <w:t>包含</w:t>
            </w: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23"/>
              <w:jc w:val="both"/>
              <w:rPr>
                <w:rFonts w:ascii="宋体" w:hAnsi="宋体" w:cs="宋体" w:eastAsia="宋体" w:hint="default"/>
                <w:sz w:val="18"/>
                <w:szCs w:val="18"/>
              </w:rPr>
            </w:pPr>
            <w:r>
              <w:rPr>
                <w:rFonts w:ascii="宋体" w:hAnsi="宋体" w:cs="宋体" w:eastAsia="宋体" w:hint="default"/>
                <w:spacing w:val="-3"/>
                <w:sz w:val="18"/>
                <w:szCs w:val="18"/>
              </w:rPr>
              <w:t>本系统已经研发完成。向国家知识产权局提</w:t>
            </w:r>
            <w:r>
              <w:rPr>
                <w:rFonts w:ascii="宋体" w:hAnsi="宋体" w:cs="宋体" w:eastAsia="宋体" w:hint="default"/>
                <w:sz w:val="18"/>
                <w:szCs w:val="18"/>
              </w:rPr>
              <w:t> </w:t>
            </w:r>
            <w:r>
              <w:rPr>
                <w:rFonts w:ascii="宋体" w:hAnsi="宋体" w:cs="宋体" w:eastAsia="宋体" w:hint="default"/>
                <w:spacing w:val="-3"/>
                <w:sz w:val="18"/>
                <w:szCs w:val="18"/>
              </w:rPr>
              <w:t>交发明专利申请并通过。同时本系统已经在</w:t>
            </w:r>
            <w:r>
              <w:rPr>
                <w:rFonts w:ascii="宋体" w:hAnsi="宋体" w:cs="宋体" w:eastAsia="宋体" w:hint="default"/>
                <w:sz w:val="18"/>
                <w:szCs w:val="18"/>
              </w:rPr>
              <w:t> </w:t>
            </w:r>
            <w:r>
              <w:rPr>
                <w:rFonts w:ascii="宋体" w:hAnsi="宋体" w:cs="宋体" w:eastAsia="宋体" w:hint="default"/>
                <w:spacing w:val="-3"/>
                <w:sz w:val="18"/>
                <w:szCs w:val="18"/>
              </w:rPr>
              <w:t>太原热力等企业部署上线使用，产生了巨大</w:t>
            </w:r>
            <w:r>
              <w:rPr>
                <w:rFonts w:ascii="宋体" w:hAnsi="宋体" w:cs="宋体" w:eastAsia="宋体" w:hint="default"/>
                <w:sz w:val="18"/>
                <w:szCs w:val="18"/>
              </w:rPr>
              <w:t> 的经济效益。</w:t>
            </w:r>
          </w:p>
        </w:tc>
      </w:tr>
      <w:tr>
        <w:trPr>
          <w:trHeight w:val="307"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供</w:t>
            </w:r>
            <w:r>
              <w:rPr>
                <w:rFonts w:ascii="宋体" w:hAnsi="宋体" w:cs="宋体" w:eastAsia="宋体" w:hint="default"/>
                <w:spacing w:val="-36"/>
                <w:sz w:val="18"/>
                <w:szCs w:val="18"/>
              </w:rPr>
              <w:t>、</w:t>
            </w:r>
            <w:r>
              <w:rPr>
                <w:rFonts w:ascii="宋体" w:hAnsi="宋体" w:cs="宋体" w:eastAsia="宋体" w:hint="default"/>
                <w:sz w:val="18"/>
                <w:szCs w:val="18"/>
              </w:rPr>
              <w:t>回水温度测点</w:t>
            </w:r>
            <w:r>
              <w:rPr>
                <w:rFonts w:ascii="宋体" w:hAnsi="宋体" w:cs="宋体" w:eastAsia="宋体" w:hint="default"/>
                <w:spacing w:val="-90"/>
                <w:sz w:val="18"/>
                <w:szCs w:val="18"/>
              </w:rPr>
              <w:t>）</w:t>
            </w:r>
            <w:r>
              <w:rPr>
                <w:rFonts w:ascii="宋体" w:hAnsi="宋体" w:cs="宋体" w:eastAsia="宋体" w:hint="default"/>
                <w:spacing w:val="-36"/>
                <w:sz w:val="18"/>
                <w:szCs w:val="18"/>
              </w:rPr>
              <w:t>、</w:t>
            </w:r>
            <w:r>
              <w:rPr>
                <w:rFonts w:ascii="宋体" w:hAnsi="宋体" w:cs="宋体" w:eastAsia="宋体" w:hint="default"/>
                <w:sz w:val="18"/>
                <w:szCs w:val="18"/>
              </w:rPr>
              <w:t>户用热表</w:t>
            </w:r>
            <w:r>
              <w:rPr>
                <w:rFonts w:ascii="宋体" w:hAnsi="宋体" w:cs="宋体" w:eastAsia="宋体" w:hint="default"/>
                <w:spacing w:val="-36"/>
                <w:sz w:val="18"/>
                <w:szCs w:val="18"/>
              </w:rPr>
              <w:t>、</w:t>
            </w:r>
            <w:r>
              <w:rPr>
                <w:rFonts w:ascii="宋体" w:hAnsi="宋体" w:cs="宋体" w:eastAsia="宋体" w:hint="default"/>
                <w:sz w:val="18"/>
                <w:szCs w:val="18"/>
              </w:rPr>
              <w:t>单元调节</w:t>
            </w:r>
            <w:r>
              <w:rPr>
                <w:rFonts w:ascii="宋体" w:hAnsi="宋体" w:cs="宋体" w:eastAsia="宋体" w:hint="default"/>
                <w:spacing w:val="-36"/>
                <w:sz w:val="18"/>
                <w:szCs w:val="18"/>
              </w:rPr>
              <w:t>阀</w:t>
            </w:r>
            <w:r>
              <w:rPr>
                <w:rFonts w:ascii="宋体" w:hAnsi="宋体" w:cs="宋体" w:eastAsia="宋体" w:hint="default"/>
                <w:spacing w:val="-2"/>
                <w:sz w:val="18"/>
                <w:szCs w:val="18"/>
              </w:rPr>
              <w:t>（</w:t>
            </w:r>
            <w:r>
              <w:rPr>
                <w:rFonts w:ascii="宋体" w:hAnsi="宋体" w:cs="宋体" w:eastAsia="宋体" w:hint="default"/>
                <w:sz w:val="18"/>
                <w:szCs w:val="18"/>
              </w:rPr>
              <w:t>包</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含供、回水温度测点</w:t>
            </w:r>
            <w:r>
              <w:rPr>
                <w:rFonts w:ascii="宋体" w:hAnsi="宋体" w:cs="宋体" w:eastAsia="宋体" w:hint="default"/>
                <w:spacing w:val="-90"/>
                <w:sz w:val="18"/>
                <w:szCs w:val="18"/>
              </w:rPr>
              <w:t>）</w:t>
            </w:r>
            <w:r>
              <w:rPr>
                <w:rFonts w:ascii="宋体" w:hAnsi="宋体" w:cs="宋体" w:eastAsia="宋体" w:hint="default"/>
                <w:sz w:val="18"/>
                <w:szCs w:val="18"/>
              </w:rPr>
              <w:t>、单元热表等测量及调控</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8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3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设备。</w:t>
            </w:r>
          </w:p>
        </w:tc>
        <w:tc>
          <w:tcPr>
            <w:tcW w:w="3420"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8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3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采用标准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墙插式面板，安装在用户家中，只</w:t>
            </w:r>
          </w:p>
        </w:tc>
        <w:tc>
          <w:tcPr>
            <w:tcW w:w="3420"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需替代原有墙上的面板插座即可。测温范围为</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—70</w:t>
            </w:r>
            <w:r>
              <w:rPr>
                <w:rFonts w:ascii="宋体" w:hAnsi="宋体" w:cs="宋体" w:eastAsia="宋体" w:hint="default"/>
                <w:sz w:val="18"/>
                <w:szCs w:val="18"/>
              </w:rPr>
              <w:t>℃，温度显示精度为</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℃，传输精度</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5"/>
                <w:sz w:val="18"/>
                <w:szCs w:val="18"/>
              </w:rPr>
              <w:t> </w:t>
            </w:r>
            <w:r>
              <w:rPr>
                <w:rFonts w:ascii="Times New Roman" w:hAnsi="Times New Roman" w:cs="Times New Roman" w:eastAsia="Times New Roman" w:hint="default"/>
                <w:spacing w:val="-5"/>
                <w:sz w:val="18"/>
                <w:szCs w:val="18"/>
              </w:rPr>
              <w:t>0.5</w:t>
            </w:r>
            <w:r>
              <w:rPr>
                <w:rFonts w:ascii="宋体" w:hAnsi="宋体" w:cs="宋体" w:eastAsia="宋体" w:hint="default"/>
                <w:spacing w:val="-5"/>
                <w:sz w:val="18"/>
                <w:szCs w:val="18"/>
              </w:rPr>
              <w:t>℃。传感器采用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DALLAS </w:t>
            </w:r>
            <w:r>
              <w:rPr>
                <w:rFonts w:ascii="宋体" w:hAnsi="宋体" w:cs="宋体" w:eastAsia="宋体" w:hint="default"/>
                <w:sz w:val="18"/>
                <w:szCs w:val="18"/>
              </w:rPr>
              <w:t>单总线数字温度</w:t>
            </w:r>
          </w:p>
        </w:tc>
        <w:tc>
          <w:tcPr>
            <w:tcW w:w="3420"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145"/>
              <w:jc w:val="both"/>
              <w:rPr>
                <w:rFonts w:ascii="Times New Roman" w:hAnsi="Times New Roman" w:cs="Times New Roman" w:eastAsia="Times New Roman" w:hint="default"/>
                <w:sz w:val="18"/>
                <w:szCs w:val="18"/>
              </w:rPr>
            </w:pPr>
            <w:r>
              <w:rPr>
                <w:rFonts w:ascii="宋体" w:hAnsi="宋体" w:cs="宋体" w:eastAsia="宋体" w:hint="default"/>
                <w:sz w:val="18"/>
                <w:szCs w:val="18"/>
              </w:rPr>
              <w:t>物联网远程 室温监测和 控制预测系 统</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V2.0</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2,452,804.77</w:t>
            </w: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309" w:lineRule="auto" w:before="5"/>
              <w:ind w:left="22" w:right="20"/>
              <w:jc w:val="left"/>
              <w:rPr>
                <w:rFonts w:ascii="宋体" w:hAnsi="宋体" w:cs="宋体" w:eastAsia="宋体" w:hint="default"/>
                <w:sz w:val="18"/>
                <w:szCs w:val="18"/>
              </w:rPr>
            </w:pPr>
            <w:r>
              <w:rPr>
                <w:rFonts w:ascii="宋体" w:hAnsi="宋体" w:cs="宋体" w:eastAsia="宋体" w:hint="default"/>
                <w:sz w:val="18"/>
                <w:szCs w:val="18"/>
              </w:rPr>
              <w:t>传感器，结构简单，抗干扰能力强。</w:t>
            </w:r>
            <w:r>
              <w:rPr>
                <w:rFonts w:ascii="Times New Roman" w:hAnsi="Times New Roman" w:cs="Times New Roman" w:eastAsia="Times New Roman" w:hint="default"/>
                <w:sz w:val="18"/>
                <w:szCs w:val="18"/>
              </w:rPr>
              <w:t>CPU</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采用 </w:t>
            </w:r>
            <w:r>
              <w:rPr>
                <w:rFonts w:ascii="Times New Roman" w:hAnsi="Times New Roman" w:cs="Times New Roman" w:eastAsia="Times New Roman" w:hint="default"/>
                <w:sz w:val="18"/>
                <w:szCs w:val="18"/>
              </w:rPr>
              <w:t>STM </w:t>
            </w:r>
            <w:r>
              <w:rPr>
                <w:rFonts w:ascii="宋体" w:hAnsi="宋体" w:cs="宋体" w:eastAsia="宋体" w:hint="default"/>
                <w:sz w:val="18"/>
                <w:szCs w:val="18"/>
              </w:rPr>
              <w:t>系列</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ARM</w:t>
            </w:r>
            <w:r>
              <w:rPr>
                <w:rFonts w:ascii="宋体" w:hAnsi="宋体" w:cs="宋体" w:eastAsia="宋体" w:hint="default"/>
                <w:sz w:val="18"/>
                <w:szCs w:val="18"/>
              </w:rPr>
              <w:t>，体积小功能全，价格低廉。内 置的物联网模块可将温度信号传送至采集通讯 </w:t>
            </w:r>
            <w:r>
              <w:rPr>
                <w:rFonts w:ascii="宋体" w:hAnsi="宋体" w:cs="宋体" w:eastAsia="宋体" w:hint="default"/>
                <w:spacing w:val="-3"/>
                <w:sz w:val="18"/>
                <w:szCs w:val="18"/>
              </w:rPr>
              <w:t>主站，将对用户的室内温度进行采集并存储，通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CPU</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进行处理，利用物联网技术将温度定时</w:t>
            </w: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20"/>
              <w:jc w:val="both"/>
              <w:rPr>
                <w:rFonts w:ascii="宋体" w:hAnsi="宋体" w:cs="宋体" w:eastAsia="宋体" w:hint="default"/>
                <w:sz w:val="18"/>
                <w:szCs w:val="18"/>
              </w:rPr>
            </w:pPr>
            <w:r>
              <w:rPr>
                <w:rFonts w:ascii="宋体" w:hAnsi="宋体" w:cs="宋体" w:eastAsia="宋体" w:hint="default"/>
                <w:spacing w:val="-3"/>
                <w:sz w:val="18"/>
                <w:szCs w:val="18"/>
              </w:rPr>
              <w:t>本系统已研发完成，已经在济南热电、牡丹</w:t>
            </w:r>
            <w:r>
              <w:rPr>
                <w:rFonts w:ascii="宋体" w:hAnsi="宋体" w:cs="宋体" w:eastAsia="宋体" w:hint="default"/>
                <w:sz w:val="18"/>
                <w:szCs w:val="18"/>
              </w:rPr>
              <w:t> </w:t>
            </w:r>
            <w:r>
              <w:rPr>
                <w:rFonts w:ascii="宋体" w:hAnsi="宋体" w:cs="宋体" w:eastAsia="宋体" w:hint="default"/>
                <w:spacing w:val="-3"/>
                <w:sz w:val="18"/>
                <w:szCs w:val="18"/>
              </w:rPr>
              <w:t>江热电、哈尔滨太平热力等项目部署上线使</w:t>
            </w:r>
            <w:r>
              <w:rPr>
                <w:rFonts w:ascii="宋体" w:hAnsi="宋体" w:cs="宋体" w:eastAsia="宋体" w:hint="default"/>
                <w:sz w:val="18"/>
                <w:szCs w:val="18"/>
              </w:rPr>
              <w:t> 用，产生了一定的经济效益。</w:t>
            </w:r>
          </w:p>
        </w:tc>
      </w:tr>
      <w:tr>
        <w:trPr>
          <w:trHeight w:val="307"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33"/>
              <w:jc w:val="left"/>
              <w:rPr>
                <w:rFonts w:ascii="宋体" w:hAnsi="宋体" w:cs="宋体" w:eastAsia="宋体" w:hint="default"/>
                <w:sz w:val="18"/>
                <w:szCs w:val="18"/>
              </w:rPr>
            </w:pPr>
            <w:r>
              <w:rPr>
                <w:rFonts w:ascii="宋体" w:hAnsi="宋体" w:cs="宋体" w:eastAsia="宋体" w:hint="default"/>
                <w:sz w:val="18"/>
                <w:szCs w:val="18"/>
              </w:rPr>
              <w:t>传送至热力中心服务器，服务器根据实时温度，</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33"/>
              <w:jc w:val="left"/>
              <w:rPr>
                <w:rFonts w:ascii="宋体" w:hAnsi="宋体" w:cs="宋体" w:eastAsia="宋体" w:hint="default"/>
                <w:sz w:val="18"/>
                <w:szCs w:val="18"/>
              </w:rPr>
            </w:pPr>
            <w:r>
              <w:rPr>
                <w:rFonts w:ascii="宋体" w:hAnsi="宋体" w:cs="宋体" w:eastAsia="宋体" w:hint="default"/>
                <w:sz w:val="18"/>
                <w:szCs w:val="18"/>
              </w:rPr>
              <w:t>并结合天气预报，对热源厂和热力站进行调控，</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33"/>
              <w:jc w:val="left"/>
              <w:rPr>
                <w:rFonts w:ascii="宋体" w:hAnsi="宋体" w:cs="宋体" w:eastAsia="宋体" w:hint="default"/>
                <w:sz w:val="18"/>
                <w:szCs w:val="18"/>
              </w:rPr>
            </w:pPr>
            <w:r>
              <w:rPr>
                <w:rFonts w:ascii="宋体" w:hAnsi="宋体" w:cs="宋体" w:eastAsia="宋体" w:hint="default"/>
                <w:sz w:val="18"/>
                <w:szCs w:val="18"/>
              </w:rPr>
              <w:t>指导热源厂和热力站对用户供热情况进行预测，</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8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3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以达到节能环保的能力。</w:t>
            </w:r>
          </w:p>
        </w:tc>
        <w:tc>
          <w:tcPr>
            <w:tcW w:w="3420"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智能管道巡 检机器人</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326,004.42</w:t>
            </w:r>
          </w:p>
        </w:tc>
        <w:tc>
          <w:tcPr>
            <w:tcW w:w="3780"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39"/>
              <w:jc w:val="left"/>
              <w:rPr>
                <w:rFonts w:ascii="宋体" w:hAnsi="宋体" w:cs="宋体" w:eastAsia="宋体" w:hint="default"/>
                <w:sz w:val="18"/>
                <w:szCs w:val="18"/>
              </w:rPr>
            </w:pPr>
            <w:r>
              <w:rPr>
                <w:rFonts w:ascii="宋体" w:hAnsi="宋体" w:cs="宋体" w:eastAsia="宋体" w:hint="default"/>
                <w:spacing w:val="-9"/>
                <w:sz w:val="18"/>
                <w:szCs w:val="18"/>
              </w:rPr>
              <w:t>总体结构、履带、仓体设计完成，设计图纸一套；</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超声波传感器、光电尾缆样品测试完成。</w:t>
            </w:r>
          </w:p>
        </w:tc>
        <w:tc>
          <w:tcPr>
            <w:tcW w:w="3420" w:type="dxa"/>
            <w:tcBorders>
              <w:top w:val="single" w:sz="4" w:space="0" w:color="000000"/>
              <w:left w:val="single" w:sz="9" w:space="0" w:color="FFFFFF"/>
              <w:bottom w:val="single" w:sz="4" w:space="0" w:color="000000"/>
              <w:right w:val="single" w:sz="4" w:space="0" w:color="000000"/>
            </w:tcBorders>
          </w:tcPr>
          <w:p>
            <w:pPr>
              <w:pStyle w:val="TableParagraph"/>
              <w:spacing w:line="316" w:lineRule="auto" w:before="51"/>
              <w:ind w:left="16" w:right="23"/>
              <w:jc w:val="left"/>
              <w:rPr>
                <w:rFonts w:ascii="宋体" w:hAnsi="宋体" w:cs="宋体" w:eastAsia="宋体" w:hint="default"/>
                <w:sz w:val="18"/>
                <w:szCs w:val="18"/>
              </w:rPr>
            </w:pPr>
            <w:r>
              <w:rPr>
                <w:rFonts w:ascii="宋体" w:hAnsi="宋体" w:cs="宋体" w:eastAsia="宋体" w:hint="default"/>
                <w:spacing w:val="-3"/>
                <w:sz w:val="18"/>
                <w:szCs w:val="18"/>
              </w:rPr>
              <w:t>本系统正在开发阶段，下一步需要进行打样</w:t>
            </w:r>
            <w:r>
              <w:rPr>
                <w:rFonts w:ascii="宋体" w:hAnsi="宋体" w:cs="宋体" w:eastAsia="宋体" w:hint="default"/>
                <w:sz w:val="18"/>
                <w:szCs w:val="18"/>
              </w:rPr>
              <w:t> 生产样机。</w:t>
            </w:r>
          </w:p>
        </w:tc>
      </w:tr>
      <w:tr>
        <w:trPr>
          <w:trHeight w:val="362" w:hRule="exact"/>
        </w:trPr>
        <w:tc>
          <w:tcPr>
            <w:tcW w:w="108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3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IFRS9</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新</w:t>
            </w:r>
            <w:r>
              <w:rPr>
                <w:rFonts w:ascii="宋体" w:hAnsi="宋体" w:cs="宋体" w:eastAsia="宋体" w:hint="default"/>
                <w:sz w:val="18"/>
                <w:szCs w:val="18"/>
              </w:rPr>
              <w:t>会计准则要求</w:t>
            </w:r>
            <w:r>
              <w:rPr>
                <w:rFonts w:ascii="宋体" w:hAnsi="宋体" w:cs="宋体" w:eastAsia="宋体" w:hint="default"/>
                <w:spacing w:val="-77"/>
                <w:sz w:val="18"/>
                <w:szCs w:val="18"/>
              </w:rPr>
              <w:t>，</w:t>
            </w:r>
            <w:r>
              <w:rPr>
                <w:rFonts w:ascii="宋体" w:hAnsi="宋体" w:cs="宋体" w:eastAsia="宋体" w:hint="default"/>
                <w:sz w:val="18"/>
                <w:szCs w:val="18"/>
              </w:rPr>
              <w:t>将金融工具类别由</w:t>
            </w:r>
          </w:p>
        </w:tc>
        <w:tc>
          <w:tcPr>
            <w:tcW w:w="3420" w:type="dxa"/>
            <w:tcBorders>
              <w:top w:val="single" w:sz="4" w:space="0" w:color="000000"/>
              <w:left w:val="single" w:sz="4" w:space="0" w:color="000000"/>
              <w:bottom w:val="nil" w:sz="6" w:space="0" w:color="auto"/>
              <w:right w:val="single" w:sz="4" w:space="0" w:color="000000"/>
            </w:tcBorders>
          </w:tcPr>
          <w:p>
            <w:pPr/>
          </w:p>
        </w:tc>
      </w:tr>
      <w:tr>
        <w:trPr>
          <w:trHeight w:val="1243"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2" w:right="145"/>
              <w:jc w:val="both"/>
              <w:rPr>
                <w:rFonts w:ascii="宋体" w:hAnsi="宋体" w:cs="宋体" w:eastAsia="宋体" w:hint="default"/>
                <w:sz w:val="18"/>
                <w:szCs w:val="18"/>
              </w:rPr>
            </w:pPr>
            <w:r>
              <w:rPr>
                <w:rFonts w:ascii="宋体" w:hAnsi="宋体" w:cs="宋体" w:eastAsia="宋体" w:hint="default"/>
                <w:sz w:val="18"/>
                <w:szCs w:val="18"/>
              </w:rPr>
              <w:t>新金融工具 准则会计核 算</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1,468,059.52</w:t>
            </w: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312" w:lineRule="auto" w:before="5"/>
              <w:ind w:left="22" w:right="20"/>
              <w:jc w:val="both"/>
              <w:rPr>
                <w:rFonts w:ascii="宋体" w:hAnsi="宋体" w:cs="宋体" w:eastAsia="宋体" w:hint="default"/>
                <w:sz w:val="18"/>
                <w:szCs w:val="18"/>
              </w:rPr>
            </w:pPr>
            <w:r>
              <w:rPr>
                <w:rFonts w:ascii="宋体" w:hAnsi="宋体" w:cs="宋体" w:eastAsia="宋体" w:hint="default"/>
                <w:spacing w:val="-3"/>
                <w:sz w:val="18"/>
                <w:szCs w:val="18"/>
              </w:rPr>
              <w:t>原先的四分类转换为三分类。为实现该目标，需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对财务系统进行改造，实现通过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SPPI</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测试对金 </w:t>
            </w:r>
            <w:r>
              <w:rPr>
                <w:rFonts w:ascii="宋体" w:hAnsi="宋体" w:cs="宋体" w:eastAsia="宋体" w:hint="default"/>
                <w:spacing w:val="-3"/>
                <w:sz w:val="18"/>
                <w:szCs w:val="18"/>
              </w:rPr>
              <w:t>融工具分类的功能，并在系统中设立新准则下的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核算科目，完成相应金融工具的核算处理与会计</w:t>
            </w: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完工，转化为无形资产使用</w:t>
            </w:r>
          </w:p>
        </w:tc>
      </w:tr>
      <w:tr>
        <w:trPr>
          <w:trHeight w:val="357" w:hRule="exact"/>
        </w:trPr>
        <w:tc>
          <w:tcPr>
            <w:tcW w:w="108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3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科目调整，实现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IFRS9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会计核算及报表要求。</w:t>
            </w:r>
          </w:p>
        </w:tc>
        <w:tc>
          <w:tcPr>
            <w:tcW w:w="3420"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8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3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成本分摊系统为解决金融机构精细化管理而设</w:t>
            </w:r>
          </w:p>
        </w:tc>
        <w:tc>
          <w:tcPr>
            <w:tcW w:w="342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计，基于最小核算粒度（单个账户和单笔交易层</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级</w:t>
            </w:r>
            <w:r>
              <w:rPr>
                <w:rFonts w:ascii="宋体" w:hAnsi="宋体" w:cs="宋体" w:eastAsia="宋体" w:hint="default"/>
                <w:spacing w:val="-90"/>
                <w:sz w:val="18"/>
                <w:szCs w:val="18"/>
              </w:rPr>
              <w:t>）</w:t>
            </w:r>
            <w:r>
              <w:rPr>
                <w:rFonts w:ascii="宋体" w:hAnsi="宋体" w:cs="宋体" w:eastAsia="宋体" w:hint="default"/>
                <w:sz w:val="18"/>
                <w:szCs w:val="18"/>
              </w:rPr>
              <w:t>。结合行业发展提供最优解决方案，对成本</w:t>
            </w:r>
          </w:p>
        </w:tc>
        <w:tc>
          <w:tcPr>
            <w:tcW w:w="3420" w:type="dxa"/>
            <w:tcBorders>
              <w:top w:val="nil" w:sz="6" w:space="0" w:color="auto"/>
              <w:left w:val="single" w:sz="4" w:space="0" w:color="000000"/>
              <w:bottom w:val="nil" w:sz="6" w:space="0" w:color="auto"/>
              <w:right w:val="single" w:sz="4" w:space="0" w:color="000000"/>
            </w:tcBorders>
          </w:tcPr>
          <w:p>
            <w:pPr/>
          </w:p>
        </w:tc>
      </w:tr>
      <w:tr>
        <w:trPr>
          <w:trHeight w:val="634"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106"/>
              <w:jc w:val="left"/>
              <w:rPr>
                <w:rFonts w:ascii="Times New Roman" w:hAnsi="Times New Roman" w:cs="Times New Roman" w:eastAsia="Times New Roman" w:hint="default"/>
                <w:sz w:val="18"/>
                <w:szCs w:val="18"/>
              </w:rPr>
            </w:pPr>
            <w:r>
              <w:rPr>
                <w:rFonts w:ascii="宋体" w:hAnsi="宋体" w:cs="宋体" w:eastAsia="宋体" w:hint="default"/>
                <w:sz w:val="18"/>
                <w:szCs w:val="18"/>
              </w:rPr>
              <w:t>成本分摊系 统软件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V2.0</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1,624,162.58</w:t>
            </w: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20"/>
              <w:jc w:val="left"/>
              <w:rPr>
                <w:rFonts w:ascii="宋体" w:hAnsi="宋体" w:cs="宋体" w:eastAsia="宋体" w:hint="default"/>
                <w:sz w:val="18"/>
                <w:szCs w:val="18"/>
              </w:rPr>
            </w:pPr>
            <w:r>
              <w:rPr>
                <w:rFonts w:ascii="宋体" w:hAnsi="宋体" w:cs="宋体" w:eastAsia="宋体" w:hint="default"/>
                <w:spacing w:val="-3"/>
                <w:sz w:val="18"/>
                <w:szCs w:val="18"/>
              </w:rPr>
              <w:t>分摊系统进行升级，系统平台具备扩展性和灵活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性，支持的功能可以随业务发展而进行扩充。系</w:t>
            </w: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完工，转化为无形资产使用</w:t>
            </w: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统包含相应的维度设置，分摊规则设置，智能分</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析，调度管理等。新增多分摊模型（支持单位成</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08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3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本分摊，支持作业成本分摊</w:t>
            </w:r>
            <w:r>
              <w:rPr>
                <w:rFonts w:ascii="宋体" w:hAnsi="宋体" w:cs="宋体" w:eastAsia="宋体" w:hint="default"/>
                <w:spacing w:val="-90"/>
                <w:sz w:val="18"/>
                <w:szCs w:val="18"/>
              </w:rPr>
              <w:t>）</w:t>
            </w:r>
            <w:r>
              <w:rPr>
                <w:rFonts w:ascii="宋体" w:hAnsi="宋体" w:cs="宋体" w:eastAsia="宋体" w:hint="default"/>
                <w:sz w:val="18"/>
                <w:szCs w:val="18"/>
              </w:rPr>
              <w:t>，新增多分摊方案</w:t>
            </w:r>
          </w:p>
        </w:tc>
        <w:tc>
          <w:tcPr>
            <w:tcW w:w="342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80"/>
        <w:gridCol w:w="1440"/>
        <w:gridCol w:w="3780"/>
        <w:gridCol w:w="3420"/>
      </w:tblGrid>
      <w:tr>
        <w:trPr>
          <w:trHeight w:val="317" w:hRule="exact"/>
        </w:trPr>
        <w:tc>
          <w:tcPr>
            <w:tcW w:w="1080" w:type="dxa"/>
            <w:vMerge w:val="restart"/>
            <w:tcBorders>
              <w:top w:val="single" w:sz="4" w:space="0" w:color="000000"/>
              <w:left w:val="single" w:sz="4" w:space="0" w:color="000000"/>
              <w:right w:val="single" w:sz="4" w:space="0" w:color="000000"/>
            </w:tcBorders>
          </w:tcPr>
          <w:p>
            <w:pPr/>
          </w:p>
        </w:tc>
        <w:tc>
          <w:tcPr>
            <w:tcW w:w="1440" w:type="dxa"/>
            <w:vMerge w:val="restart"/>
            <w:tcBorders>
              <w:top w:val="single" w:sz="4" w:space="0" w:color="000000"/>
              <w:left w:val="single" w:sz="4" w:space="0" w:color="000000"/>
              <w:right w:val="single" w:sz="4" w:space="0" w:color="000000"/>
            </w:tcBorders>
          </w:tcPr>
          <w:p>
            <w:pPr/>
          </w:p>
        </w:tc>
        <w:tc>
          <w:tcPr>
            <w:tcW w:w="3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承接（支持平级分摊，支持瀑布分摊</w:t>
            </w:r>
            <w:r>
              <w:rPr>
                <w:rFonts w:ascii="宋体" w:hAnsi="宋体" w:cs="宋体" w:eastAsia="宋体" w:hint="default"/>
                <w:spacing w:val="-90"/>
                <w:sz w:val="18"/>
                <w:szCs w:val="18"/>
              </w:rPr>
              <w:t>）</w:t>
            </w:r>
            <w:r>
              <w:rPr>
                <w:rFonts w:ascii="宋体" w:hAnsi="宋体" w:cs="宋体" w:eastAsia="宋体" w:hint="default"/>
                <w:sz w:val="18"/>
                <w:szCs w:val="18"/>
              </w:rPr>
              <w:t>，新增支</w:t>
            </w:r>
          </w:p>
        </w:tc>
        <w:tc>
          <w:tcPr>
            <w:tcW w:w="3420" w:type="dxa"/>
            <w:vMerge w:val="restart"/>
            <w:tcBorders>
              <w:top w:val="single" w:sz="4" w:space="0" w:color="000000"/>
              <w:left w:val="single" w:sz="4" w:space="0" w:color="000000"/>
              <w:right w:val="single" w:sz="4" w:space="0" w:color="000000"/>
            </w:tcBorders>
          </w:tcPr>
          <w:p>
            <w:pPr>
              <w:pStyle w:val="TableParagraph"/>
              <w:spacing w:line="160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1"/>
                <w:sz w:val="20"/>
                <w:szCs w:val="20"/>
              </w:rPr>
              <w:pict>
                <v:group style="width:170.55pt;height:80.05pt;mso-position-horizontal-relative:char;mso-position-vertical-relative:line" coordorigin="0,0" coordsize="3411,1601">
                  <v:group style="position:absolute;left:0;top:0;width:3411;height:1601" coordorigin="0,0" coordsize="3411,1601">
                    <v:shape style="position:absolute;left:0;top:0;width:3411;height:1601" coordorigin="0,0" coordsize="3411,1601" path="m0,1601l3410,1601,3410,0,0,0,0,1601xe" filled="true" fillcolor="#ffffff" stroked="false">
                      <v:path arrowok="t"/>
                      <v:fill type="solid"/>
                    </v:shape>
                  </v:group>
                </v:group>
              </w:pict>
            </w:r>
            <w:r>
              <w:rPr>
                <w:rFonts w:ascii="Times New Roman" w:hAnsi="Times New Roman" w:cs="Times New Roman" w:eastAsia="Times New Roman" w:hint="default"/>
                <w:position w:val="-31"/>
                <w:sz w:val="20"/>
                <w:szCs w:val="20"/>
              </w:rPr>
            </w:r>
          </w:p>
        </w:tc>
      </w:tr>
      <w:tr>
        <w:trPr>
          <w:trHeight w:val="312" w:hRule="exact"/>
        </w:trPr>
        <w:tc>
          <w:tcPr>
            <w:tcW w:w="108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持多版本管理及多分摊规则配置，新增支持成本</w:t>
            </w:r>
          </w:p>
        </w:tc>
        <w:tc>
          <w:tcPr>
            <w:tcW w:w="3420" w:type="dxa"/>
            <w:vMerge/>
            <w:tcBorders>
              <w:left w:val="single" w:sz="4" w:space="0" w:color="000000"/>
              <w:right w:val="single" w:sz="4" w:space="0" w:color="000000"/>
            </w:tcBorders>
          </w:tcPr>
          <w:p>
            <w:pPr/>
          </w:p>
        </w:tc>
      </w:tr>
      <w:tr>
        <w:trPr>
          <w:trHeight w:val="312" w:hRule="exact"/>
        </w:trPr>
        <w:tc>
          <w:tcPr>
            <w:tcW w:w="108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33"/>
              <w:jc w:val="left"/>
              <w:rPr>
                <w:rFonts w:ascii="宋体" w:hAnsi="宋体" w:cs="宋体" w:eastAsia="宋体" w:hint="default"/>
                <w:sz w:val="18"/>
                <w:szCs w:val="18"/>
              </w:rPr>
            </w:pPr>
            <w:r>
              <w:rPr>
                <w:rFonts w:ascii="宋体" w:hAnsi="宋体" w:cs="宋体" w:eastAsia="宋体" w:hint="default"/>
                <w:sz w:val="18"/>
                <w:szCs w:val="18"/>
              </w:rPr>
              <w:t>归集，新增支持成本切割，新增支持成本还原，</w:t>
            </w:r>
          </w:p>
        </w:tc>
        <w:tc>
          <w:tcPr>
            <w:tcW w:w="3420" w:type="dxa"/>
            <w:vMerge/>
            <w:tcBorders>
              <w:left w:val="single" w:sz="4" w:space="0" w:color="000000"/>
              <w:right w:val="single" w:sz="4" w:space="0" w:color="000000"/>
            </w:tcBorders>
          </w:tcPr>
          <w:p>
            <w:pPr/>
          </w:p>
        </w:tc>
      </w:tr>
      <w:tr>
        <w:trPr>
          <w:trHeight w:val="313" w:hRule="exact"/>
        </w:trPr>
        <w:tc>
          <w:tcPr>
            <w:tcW w:w="108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新增支补录及调整功能，新增支持多数据库功</w:t>
            </w:r>
          </w:p>
        </w:tc>
        <w:tc>
          <w:tcPr>
            <w:tcW w:w="3420" w:type="dxa"/>
            <w:vMerge/>
            <w:tcBorders>
              <w:left w:val="single" w:sz="4" w:space="0" w:color="000000"/>
              <w:right w:val="single" w:sz="4" w:space="0" w:color="000000"/>
            </w:tcBorders>
          </w:tcPr>
          <w:p>
            <w:pPr/>
          </w:p>
        </w:tc>
      </w:tr>
      <w:tr>
        <w:trPr>
          <w:trHeight w:val="357" w:hRule="exact"/>
        </w:trPr>
        <w:tc>
          <w:tcPr>
            <w:tcW w:w="108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3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能。</w:t>
            </w:r>
          </w:p>
        </w:tc>
        <w:tc>
          <w:tcPr>
            <w:tcW w:w="3420" w:type="dxa"/>
            <w:vMerge/>
            <w:tcBorders>
              <w:left w:val="single" w:sz="4" w:space="0" w:color="000000"/>
              <w:bottom w:val="single" w:sz="4" w:space="0" w:color="000000"/>
              <w:right w:val="single" w:sz="4" w:space="0" w:color="000000"/>
            </w:tcBorders>
          </w:tcPr>
          <w:p>
            <w:pPr/>
          </w:p>
        </w:tc>
      </w:tr>
      <w:tr>
        <w:trPr>
          <w:trHeight w:val="357" w:hRule="exact"/>
        </w:trPr>
        <w:tc>
          <w:tcPr>
            <w:tcW w:w="108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
        </w:tc>
        <w:tc>
          <w:tcPr>
            <w:tcW w:w="37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银行账簿利率风险管理系统通过搭建完整有效</w:t>
            </w:r>
          </w:p>
        </w:tc>
        <w:tc>
          <w:tcPr>
            <w:tcW w:w="342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的银行账簿利率风险管理体系，旨在通过对利率</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风险的量化分析，提高银行风险计量水平，提升</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全行业务规划能力，提高银行账簿利率风险管理</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效率，有助于实现安全性、流动性、盈利性的协</w:t>
            </w:r>
          </w:p>
        </w:tc>
        <w:tc>
          <w:tcPr>
            <w:tcW w:w="3420"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08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45"/>
              <w:jc w:val="both"/>
              <w:rPr>
                <w:rFonts w:ascii="宋体" w:hAnsi="宋体" w:cs="宋体" w:eastAsia="宋体" w:hint="default"/>
                <w:sz w:val="18"/>
                <w:szCs w:val="18"/>
              </w:rPr>
            </w:pPr>
            <w:r>
              <w:rPr>
                <w:rFonts w:ascii="宋体" w:hAnsi="宋体" w:cs="宋体" w:eastAsia="宋体" w:hint="default"/>
                <w:sz w:val="18"/>
                <w:szCs w:val="18"/>
              </w:rPr>
              <w:t>银行账簿利 率风险管理 系统软件</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2,845,534.38</w:t>
            </w: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312" w:lineRule="auto" w:before="10"/>
              <w:ind w:left="22" w:right="-33"/>
              <w:jc w:val="left"/>
              <w:rPr>
                <w:rFonts w:ascii="宋体" w:hAnsi="宋体" w:cs="宋体" w:eastAsia="宋体" w:hint="default"/>
                <w:sz w:val="18"/>
                <w:szCs w:val="18"/>
              </w:rPr>
            </w:pPr>
            <w:r>
              <w:rPr>
                <w:rFonts w:ascii="宋体" w:hAnsi="宋体" w:cs="宋体" w:eastAsia="宋体" w:hint="default"/>
                <w:spacing w:val="-3"/>
                <w:sz w:val="18"/>
                <w:szCs w:val="18"/>
              </w:rPr>
              <w:t>调统一，通过统一的维度建设，可良好的衔接金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融机构未来的多维度盈利分析、全面预算等建 设。产品版本升级主要增加功能包括，</w:t>
            </w:r>
            <w:r>
              <w:rPr>
                <w:rFonts w:ascii="Times New Roman" w:hAnsi="Times New Roman" w:cs="Times New Roman" w:eastAsia="Times New Roman" w:hint="default"/>
                <w:sz w:val="18"/>
                <w:szCs w:val="18"/>
              </w:rPr>
              <w:t>1.</w:t>
            </w:r>
            <w:r>
              <w:rPr>
                <w:rFonts w:ascii="宋体" w:hAnsi="宋体" w:cs="宋体" w:eastAsia="宋体" w:hint="default"/>
                <w:sz w:val="18"/>
                <w:szCs w:val="18"/>
              </w:rPr>
              <w:t>基于关 于银行账簿利率风险管理的最新监管指引要求，</w:t>
            </w:r>
          </w:p>
        </w:tc>
        <w:tc>
          <w:tcPr>
            <w:tcW w:w="34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完工，转化为无形资产使用</w:t>
            </w:r>
          </w:p>
        </w:tc>
      </w:tr>
      <w:tr>
        <w:trPr>
          <w:trHeight w:val="317"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进行计算引擎改造；</w:t>
            </w:r>
            <w:r>
              <w:rPr>
                <w:rFonts w:ascii="Times New Roman" w:hAnsi="Times New Roman" w:cs="Times New Roman" w:eastAsia="Times New Roman" w:hint="default"/>
                <w:sz w:val="18"/>
                <w:szCs w:val="18"/>
              </w:rPr>
              <w:t>2.</w:t>
            </w:r>
            <w:r>
              <w:rPr>
                <w:rFonts w:ascii="宋体" w:hAnsi="宋体" w:cs="宋体" w:eastAsia="宋体" w:hint="default"/>
                <w:sz w:val="18"/>
                <w:szCs w:val="18"/>
              </w:rPr>
              <w:t>支持标准计量框架压力测</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试情景的配置；</w:t>
            </w:r>
            <w:r>
              <w:rPr>
                <w:rFonts w:ascii="Times New Roman" w:hAnsi="Times New Roman" w:cs="Times New Roman" w:eastAsia="Times New Roman" w:hint="default"/>
                <w:sz w:val="18"/>
                <w:szCs w:val="18"/>
              </w:rPr>
              <w:t>3.</w:t>
            </w:r>
            <w:r>
              <w:rPr>
                <w:rFonts w:ascii="宋体" w:hAnsi="宋体" w:cs="宋体" w:eastAsia="宋体" w:hint="default"/>
                <w:sz w:val="18"/>
                <w:szCs w:val="18"/>
              </w:rPr>
              <w:t>支持监管监测指标计算，如经</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济价值变动敏感性指标。方便系统用户更加便利</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8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
        </w:tc>
        <w:tc>
          <w:tcPr>
            <w:tcW w:w="37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的通过系统完成复杂的情景冲击测算，支持监管</w:t>
            </w:r>
          </w:p>
        </w:tc>
        <w:tc>
          <w:tcPr>
            <w:tcW w:w="342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8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
        </w:tc>
        <w:tc>
          <w:tcPr>
            <w:tcW w:w="3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报送数据生成。</w:t>
            </w:r>
          </w:p>
        </w:tc>
        <w:tc>
          <w:tcPr>
            <w:tcW w:w="3420"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pict>
          <v:group style="position:absolute;margin-left:371.940002pt;margin-top:-101.917984pt;width:170.55pt;height:101.4pt;mso-position-horizontal-relative:page;mso-position-vertical-relative:paragraph;z-index:-1362520" coordorigin="7439,-2038" coordsize="3411,2028">
            <v:shape style="position:absolute;left:7439;top:-2038;width:3411;height:2028" coordorigin="7439,-2038" coordsize="3411,2028" path="m7439,-10l10849,-10,10849,-2038,7439,-2038,7439,-10xe" filled="true" fillcolor="#ffffff" stroked="false">
              <v:path arrowok="t"/>
              <v:fill type="solid"/>
            </v:shape>
            <w10:wrap type="none"/>
          </v:group>
        </w:pict>
      </w:r>
      <w:r>
        <w:rPr/>
        <w:t>研发投入资本化率大幅变动的原因及其合理性说明</w:t>
      </w:r>
    </w:p>
    <w:p>
      <w:pPr>
        <w:pStyle w:val="BodyText"/>
        <w:spacing w:line="338" w:lineRule="auto" w:before="117"/>
        <w:ind w:left="514" w:right="1041"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研发投入资本化金额同比增加</w:t>
      </w:r>
      <w:r>
        <w:rPr>
          <w:rFonts w:ascii="Times New Roman" w:hAnsi="Times New Roman" w:cs="Times New Roman" w:eastAsia="Times New Roman" w:hint="default"/>
          <w:spacing w:val="-1"/>
        </w:rPr>
        <w:t>45.12%</w:t>
      </w:r>
      <w:r>
        <w:rPr>
          <w:spacing w:val="-1"/>
        </w:rPr>
        <w:t>，主要系本期公司研发项目较多，且法律风险智能评估系统、诉讼保全平台项目、</w:t>
      </w:r>
    </w:p>
    <w:p>
      <w:pPr>
        <w:pStyle w:val="BodyText"/>
        <w:spacing w:line="218" w:lineRule="exact"/>
        <w:ind w:right="0"/>
        <w:jc w:val="left"/>
      </w:pPr>
      <w:r>
        <w:rPr/>
        <w:t>矛盾纠纷多元化解一体化网络平台等项目研发投入金额较大所致。</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037"/>
        <w:gridCol w:w="2404"/>
        <w:gridCol w:w="2393"/>
        <w:gridCol w:w="1644"/>
      </w:tblGrid>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10,445,463,473.96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11,180,208,815.20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-6.57%</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10,144,844,010.38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10,312,498,480.59</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-1.63%</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40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300,619,463.58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867,710,334.61</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-65.35%</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16,396,821.43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11,391,709.56</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43.94%</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414,051,728.15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495,927,168.56</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-16.51%</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40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-397,654,906.72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-484,535,459.00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17.93%</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3,823,616,460.90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4,327,620,687.06</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-11.65%</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3,957,892,291.13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4,175,681,529.21</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-5.22%</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40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-134,275,830.23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151,939,157.85</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-188.37%</w:t>
            </w:r>
          </w:p>
        </w:tc>
      </w:tr>
      <w:tr>
        <w:trPr>
          <w:trHeight w:val="403"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-231,938,086.56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535,388,818.14</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-143.32%</w:t>
            </w:r>
          </w:p>
        </w:tc>
      </w:tr>
    </w:tbl>
    <w:p>
      <w:pPr>
        <w:pStyle w:val="BodyText"/>
        <w:spacing w:line="240" w:lineRule="auto" w:before="51"/>
        <w:ind w:right="0"/>
        <w:jc w:val="left"/>
      </w:pPr>
      <w:r>
        <w:rPr/>
        <w:t>相关数据同比发生重大变动的主要影响因素说明</w:t>
      </w:r>
    </w:p>
    <w:p>
      <w:pPr>
        <w:pStyle w:val="BodyText"/>
        <w:spacing w:line="240" w:lineRule="auto" w:before="116"/>
        <w:ind w:left="153" w:right="0"/>
        <w:jc w:val="left"/>
      </w:pPr>
      <w:r>
        <w:rPr/>
        <w:t>√ 适用 □ 不适用</w:t>
      </w:r>
    </w:p>
    <w:p>
      <w:pPr>
        <w:spacing w:after="0" w:line="240"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r>
        <w:rPr/>
        <w:pict>
          <v:group style="position:absolute;margin-left:497.940002pt;margin-top:478.299988pt;width:44.55pt;height:54.6pt;mso-position-horizontal-relative:page;mso-position-vertical-relative:page;z-index:-1362496" coordorigin="9959,9566" coordsize="891,1092">
            <v:shape style="position:absolute;left:9959;top:9566;width:891;height:1092" coordorigin="9959,9566" coordsize="891,1092" path="m9959,10658l10849,10658,10849,9566,9959,9566,9959,10658xe" filled="true" fillcolor="#ffffff" stroked="false">
              <v:path arrowok="t"/>
              <v:fill type="solid"/>
            </v:shape>
            <w10:wrap type="none"/>
          </v:group>
        </w:pict>
      </w:r>
    </w:p>
    <w:p>
      <w:pPr>
        <w:pStyle w:val="BodyText"/>
        <w:spacing w:line="300" w:lineRule="auto" w:before="44"/>
        <w:ind w:left="153" w:right="1196" w:firstLine="360"/>
        <w:jc w:val="left"/>
      </w:pPr>
      <w:r>
        <w:rPr/>
        <w:t>经营活动产生的现金流量净额同比减少</w:t>
      </w:r>
      <w:r>
        <w:rPr>
          <w:rFonts w:ascii="Times New Roman" w:hAnsi="Times New Roman" w:cs="Times New Roman" w:eastAsia="Times New Roman" w:hint="default"/>
        </w:rPr>
        <w:t>65.35%</w:t>
      </w:r>
      <w:r>
        <w:rPr/>
        <w:t>，主要系本期营业收入及销售回款减少影响销售商品、提供劳务收到的 现金减少所致。</w:t>
      </w:r>
    </w:p>
    <w:p>
      <w:pPr>
        <w:pStyle w:val="BodyText"/>
        <w:spacing w:line="300" w:lineRule="auto" w:before="31"/>
        <w:ind w:left="513" w:right="0"/>
        <w:jc w:val="left"/>
      </w:pPr>
      <w:r>
        <w:rPr/>
        <w:t>投资活动现金流入小计同比增加</w:t>
      </w:r>
      <w:r>
        <w:rPr>
          <w:rFonts w:ascii="Times New Roman" w:hAnsi="Times New Roman" w:cs="Times New Roman" w:eastAsia="Times New Roman" w:hint="default"/>
        </w:rPr>
        <w:t>43.94%</w:t>
      </w:r>
      <w:r>
        <w:rPr/>
        <w:t>，主要系收到赵纺土地储备中心支付的土地收储款</w:t>
      </w:r>
      <w:r>
        <w:rPr>
          <w:rFonts w:ascii="Times New Roman" w:hAnsi="Times New Roman" w:cs="Times New Roman" w:eastAsia="Times New Roman" w:hint="default"/>
        </w:rPr>
        <w:t>1,000</w:t>
      </w:r>
      <w:r>
        <w:rPr/>
        <w:t>万元所致。 筹资活动产生的现金流量净额同比减少</w:t>
      </w:r>
      <w:r>
        <w:rPr>
          <w:rFonts w:ascii="Times New Roman" w:hAnsi="Times New Roman" w:cs="Times New Roman" w:eastAsia="Times New Roman" w:hint="default"/>
        </w:rPr>
        <w:t>188.37%</w:t>
      </w:r>
      <w:r>
        <w:rPr/>
        <w:t>，主要系本期支付股份回购款</w:t>
      </w:r>
      <w:r>
        <w:rPr>
          <w:rFonts w:ascii="Times New Roman" w:hAnsi="Times New Roman" w:cs="Times New Roman" w:eastAsia="Times New Roman" w:hint="default"/>
        </w:rPr>
        <w:t>2.73</w:t>
      </w:r>
      <w:r>
        <w:rPr/>
        <w:t>亿元所致。 </w:t>
      </w:r>
      <w:r>
        <w:rPr>
          <w:spacing w:val="-1"/>
        </w:rPr>
        <w:t>现金及现金等价物净增加额同比减少</w:t>
      </w:r>
      <w:r>
        <w:rPr>
          <w:rFonts w:ascii="Times New Roman" w:hAnsi="Times New Roman" w:cs="Times New Roman" w:eastAsia="Times New Roman" w:hint="default"/>
          <w:spacing w:val="-1"/>
        </w:rPr>
        <w:t>143.32%</w:t>
      </w:r>
      <w:r>
        <w:rPr>
          <w:spacing w:val="-1"/>
        </w:rPr>
        <w:t>，主要系经营活动产生的现金流量净额、筹资活动产生的现金流量净额同</w:t>
      </w:r>
    </w:p>
    <w:p>
      <w:pPr>
        <w:pStyle w:val="BodyText"/>
        <w:spacing w:line="360" w:lineRule="auto" w:before="13"/>
        <w:ind w:left="153" w:right="4271"/>
        <w:jc w:val="left"/>
      </w:pPr>
      <w:r>
        <w:rPr/>
        <w:t>比减少所致。 报告期内公司经营活动产生的现金净流量与本年度净利润存在重大差异的原因说明</w:t>
      </w:r>
    </w:p>
    <w:p>
      <w:pPr>
        <w:pStyle w:val="BodyText"/>
        <w:spacing w:line="338" w:lineRule="auto" w:before="27"/>
        <w:ind w:left="444" w:right="1117" w:hanging="2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报告期内公司经营活动产生的现金流量净额为</w:t>
      </w:r>
      <w:r>
        <w:rPr>
          <w:rFonts w:ascii="Times New Roman" w:hAnsi="Times New Roman" w:cs="Times New Roman" w:eastAsia="Times New Roman" w:hint="default"/>
          <w:spacing w:val="-1"/>
        </w:rPr>
        <w:t>30,062</w:t>
      </w:r>
      <w:r>
        <w:rPr>
          <w:spacing w:val="-1"/>
        </w:rPr>
        <w:t>万元，与本年度净利润</w:t>
      </w:r>
      <w:r>
        <w:rPr>
          <w:rFonts w:ascii="Times New Roman" w:hAnsi="Times New Roman" w:cs="Times New Roman" w:eastAsia="Times New Roman" w:hint="default"/>
          <w:spacing w:val="-1"/>
        </w:rPr>
        <w:t>9,521</w:t>
      </w:r>
      <w:r>
        <w:rPr>
          <w:spacing w:val="-1"/>
        </w:rPr>
        <w:t>万元相差</w:t>
      </w:r>
      <w:r>
        <w:rPr>
          <w:rFonts w:ascii="Times New Roman" w:hAnsi="Times New Roman" w:cs="Times New Roman" w:eastAsia="Times New Roman" w:hint="default"/>
          <w:spacing w:val="-1"/>
        </w:rPr>
        <w:t>20,541</w:t>
      </w:r>
      <w:r>
        <w:rPr>
          <w:spacing w:val="-1"/>
        </w:rPr>
        <w:t>万元，差异原因主要为</w:t>
      </w:r>
    </w:p>
    <w:p>
      <w:pPr>
        <w:pStyle w:val="BodyText"/>
        <w:spacing w:line="230" w:lineRule="exact"/>
        <w:ind w:left="153" w:right="0"/>
        <w:jc w:val="left"/>
      </w:pPr>
      <w:r>
        <w:rPr/>
        <w:t>本年度收到</w:t>
      </w:r>
      <w:r>
        <w:rPr>
          <w:rFonts w:ascii="Times New Roman" w:hAnsi="Times New Roman" w:cs="Times New Roman" w:eastAsia="Times New Roman" w:hint="default"/>
        </w:rPr>
        <w:t>3.7</w:t>
      </w:r>
      <w:r>
        <w:rPr/>
        <w:t>亿元政府搬迁补助款</w:t>
      </w:r>
      <w:r>
        <w:rPr>
          <w:rFonts w:ascii="Times New Roman" w:hAnsi="Times New Roman" w:cs="Times New Roman" w:eastAsia="Times New Roman" w:hint="default"/>
        </w:rPr>
        <w:t>,</w:t>
      </w:r>
      <w:r>
        <w:rPr/>
        <w:t>以及计提折旧所致。</w:t>
      </w:r>
    </w:p>
    <w:p>
      <w:pPr>
        <w:spacing w:line="240" w:lineRule="auto" w:before="2"/>
        <w:rPr>
          <w:rFonts w:ascii="宋体" w:hAnsi="宋体" w:cs="宋体" w:eastAsia="宋体" w:hint="default"/>
          <w:sz w:val="24"/>
          <w:szCs w:val="24"/>
        </w:rPr>
      </w:pPr>
    </w:p>
    <w:p>
      <w:pPr>
        <w:pStyle w:val="Heading2"/>
        <w:spacing w:line="240" w:lineRule="auto"/>
        <w:ind w:right="0"/>
        <w:jc w:val="left"/>
        <w:rPr>
          <w:b w:val="0"/>
          <w:bCs w:val="0"/>
        </w:rPr>
      </w:pPr>
      <w:r>
        <w:rPr/>
        <w:t>三、非主营业务分析</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80"/>
        <w:gridCol w:w="1260"/>
        <w:gridCol w:w="900"/>
        <w:gridCol w:w="5580"/>
        <w:gridCol w:w="900"/>
      </w:tblGrid>
      <w:tr>
        <w:trPr>
          <w:trHeight w:val="161" w:hRule="exact"/>
        </w:trPr>
        <w:tc>
          <w:tcPr>
            <w:tcW w:w="1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1260" w:type="dxa"/>
            <w:tcBorders>
              <w:top w:val="single" w:sz="4" w:space="0" w:color="000000"/>
              <w:left w:val="single" w:sz="4" w:space="0" w:color="000000"/>
              <w:bottom w:val="nil" w:sz="6" w:space="0" w:color="auto"/>
              <w:right w:val="single" w:sz="4" w:space="0" w:color="000000"/>
            </w:tcBorders>
            <w:shd w:val="clear" w:color="auto" w:fill="D3D3D3"/>
          </w:tcPr>
          <w:p>
            <w:pPr/>
          </w:p>
        </w:tc>
        <w:tc>
          <w:tcPr>
            <w:tcW w:w="90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73" w:right="84" w:hanging="90"/>
              <w:jc w:val="left"/>
              <w:rPr>
                <w:rFonts w:ascii="宋体" w:hAnsi="宋体" w:cs="宋体" w:eastAsia="宋体" w:hint="default"/>
                <w:sz w:val="18"/>
                <w:szCs w:val="18"/>
              </w:rPr>
            </w:pPr>
            <w:r>
              <w:rPr>
                <w:rFonts w:ascii="宋体" w:hAnsi="宋体" w:cs="宋体" w:eastAsia="宋体" w:hint="default"/>
                <w:sz w:val="18"/>
                <w:szCs w:val="18"/>
              </w:rPr>
              <w:t>占利润总 额比例</w:t>
            </w:r>
          </w:p>
        </w:tc>
        <w:tc>
          <w:tcPr>
            <w:tcW w:w="5580" w:type="dxa"/>
            <w:tcBorders>
              <w:top w:val="single" w:sz="4" w:space="0" w:color="000000"/>
              <w:left w:val="single" w:sz="4" w:space="0" w:color="000000"/>
              <w:bottom w:val="nil" w:sz="6" w:space="0" w:color="auto"/>
              <w:right w:val="single" w:sz="4" w:space="0" w:color="000000"/>
            </w:tcBorders>
            <w:shd w:val="clear" w:color="auto" w:fill="D3D3D3"/>
          </w:tcPr>
          <w:p>
            <w:pPr/>
          </w:p>
        </w:tc>
        <w:tc>
          <w:tcPr>
            <w:tcW w:w="90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84" w:right="84"/>
              <w:jc w:val="left"/>
              <w:rPr>
                <w:rFonts w:ascii="宋体" w:hAnsi="宋体" w:cs="宋体" w:eastAsia="宋体" w:hint="default"/>
                <w:sz w:val="18"/>
                <w:szCs w:val="18"/>
              </w:rPr>
            </w:pPr>
            <w:r>
              <w:rPr>
                <w:rFonts w:ascii="宋体" w:hAnsi="宋体" w:cs="宋体" w:eastAsia="宋体" w:hint="default"/>
                <w:sz w:val="18"/>
                <w:szCs w:val="18"/>
              </w:rPr>
              <w:t>是否具有 可持续性</w:t>
            </w:r>
          </w:p>
        </w:tc>
      </w:tr>
      <w:tr>
        <w:trPr>
          <w:trHeight w:val="390" w:hRule="exact"/>
        </w:trPr>
        <w:tc>
          <w:tcPr>
            <w:tcW w:w="1080" w:type="dxa"/>
            <w:tcBorders>
              <w:top w:val="nil" w:sz="6" w:space="0" w:color="auto"/>
              <w:left w:val="single" w:sz="4" w:space="0" w:color="000000"/>
              <w:bottom w:val="nil" w:sz="6" w:space="0" w:color="auto"/>
              <w:right w:val="single" w:sz="4" w:space="0" w:color="000000"/>
            </w:tcBorders>
            <w:shd w:val="clear" w:color="auto" w:fill="D3D3D3"/>
          </w:tcPr>
          <w:p>
            <w:pPr/>
          </w:p>
        </w:tc>
        <w:tc>
          <w:tcPr>
            <w:tcW w:w="12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vMerge/>
            <w:tcBorders>
              <w:left w:val="single" w:sz="4" w:space="0" w:color="000000"/>
              <w:right w:val="single" w:sz="4" w:space="0" w:color="000000"/>
            </w:tcBorders>
            <w:shd w:val="clear" w:color="auto" w:fill="D3D3D3"/>
          </w:tcPr>
          <w:p>
            <w:pPr/>
          </w:p>
        </w:tc>
        <w:tc>
          <w:tcPr>
            <w:tcW w:w="55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900" w:type="dxa"/>
            <w:vMerge/>
            <w:tcBorders>
              <w:left w:val="single" w:sz="4" w:space="0" w:color="000000"/>
              <w:right w:val="single" w:sz="4" w:space="0" w:color="000000"/>
            </w:tcBorders>
            <w:shd w:val="clear" w:color="auto" w:fill="D3D3D3"/>
          </w:tcPr>
          <w:p>
            <w:pPr/>
          </w:p>
        </w:tc>
      </w:tr>
      <w:tr>
        <w:trPr>
          <w:trHeight w:val="162" w:hRule="exact"/>
        </w:trPr>
        <w:tc>
          <w:tcPr>
            <w:tcW w:w="1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1260" w:type="dxa"/>
            <w:tcBorders>
              <w:top w:val="nil" w:sz="6" w:space="0" w:color="auto"/>
              <w:left w:val="single" w:sz="4" w:space="0" w:color="000000"/>
              <w:bottom w:val="single" w:sz="4" w:space="0" w:color="000000"/>
              <w:right w:val="single" w:sz="4" w:space="0" w:color="000000"/>
            </w:tcBorders>
            <w:shd w:val="clear" w:color="auto" w:fill="D3D3D3"/>
          </w:tcPr>
          <w:p>
            <w:pPr/>
          </w:p>
        </w:tc>
        <w:tc>
          <w:tcPr>
            <w:tcW w:w="900" w:type="dxa"/>
            <w:vMerge/>
            <w:tcBorders>
              <w:left w:val="single" w:sz="4" w:space="0" w:color="000000"/>
              <w:bottom w:val="single" w:sz="4" w:space="0" w:color="000000"/>
              <w:right w:val="single" w:sz="4" w:space="0" w:color="000000"/>
            </w:tcBorders>
            <w:shd w:val="clear" w:color="auto" w:fill="D3D3D3"/>
          </w:tcPr>
          <w:p>
            <w:pPr/>
          </w:p>
        </w:tc>
        <w:tc>
          <w:tcPr>
            <w:tcW w:w="5580" w:type="dxa"/>
            <w:tcBorders>
              <w:top w:val="nil" w:sz="6" w:space="0" w:color="auto"/>
              <w:left w:val="single" w:sz="4" w:space="0" w:color="000000"/>
              <w:bottom w:val="single" w:sz="4" w:space="0" w:color="000000"/>
              <w:right w:val="single" w:sz="4" w:space="0" w:color="000000"/>
            </w:tcBorders>
            <w:shd w:val="clear" w:color="auto" w:fill="D3D3D3"/>
          </w:tcPr>
          <w:p>
            <w:pPr/>
          </w:p>
        </w:tc>
        <w:tc>
          <w:tcPr>
            <w:tcW w:w="900" w:type="dxa"/>
            <w:vMerge/>
            <w:tcBorders>
              <w:left w:val="single" w:sz="4" w:space="0" w:color="000000"/>
              <w:bottom w:val="single" w:sz="4" w:space="0" w:color="000000"/>
              <w:right w:val="single" w:sz="4" w:space="0" w:color="000000"/>
            </w:tcBorders>
            <w:shd w:val="clear" w:color="auto" w:fill="D3D3D3"/>
          </w:tcPr>
          <w:p>
            <w:pPr/>
          </w:p>
        </w:tc>
      </w:tr>
      <w:tr>
        <w:trPr>
          <w:trHeight w:val="161" w:hRule="exact"/>
        </w:trPr>
        <w:tc>
          <w:tcPr>
            <w:tcW w:w="1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1260"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-1,032,820.91</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-0.83%</w:t>
            </w:r>
          </w:p>
        </w:tc>
        <w:tc>
          <w:tcPr>
            <w:tcW w:w="558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按权益法核算的长期股权投资收益</w:t>
            </w:r>
            <w:r>
              <w:rPr>
                <w:rFonts w:ascii="Times New Roman" w:hAnsi="Times New Roman" w:cs="Times New Roman" w:eastAsia="Times New Roman" w:hint="default"/>
                <w:sz w:val="18"/>
                <w:szCs w:val="18"/>
              </w:rPr>
              <w:t>-5,102,958.51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元，河北银行分红</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4,070,137.60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1" w:hRule="exact"/>
        </w:trPr>
        <w:tc>
          <w:tcPr>
            <w:tcW w:w="10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260" w:type="dxa"/>
            <w:vMerge/>
            <w:tcBorders>
              <w:left w:val="single" w:sz="10" w:space="0" w:color="D3D3D3"/>
              <w:right w:val="single" w:sz="4" w:space="0" w:color="000000"/>
            </w:tcBorders>
          </w:tcPr>
          <w:p>
            <w:pPr/>
          </w:p>
        </w:tc>
        <w:tc>
          <w:tcPr>
            <w:tcW w:w="900" w:type="dxa"/>
            <w:vMerge/>
            <w:tcBorders>
              <w:left w:val="single" w:sz="4" w:space="0" w:color="000000"/>
              <w:right w:val="single" w:sz="4" w:space="0" w:color="000000"/>
            </w:tcBorders>
          </w:tcPr>
          <w:p>
            <w:pPr/>
          </w:p>
        </w:tc>
        <w:tc>
          <w:tcPr>
            <w:tcW w:w="55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162" w:hRule="exact"/>
        </w:trPr>
        <w:tc>
          <w:tcPr>
            <w:tcW w:w="1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1260" w:type="dxa"/>
            <w:vMerge/>
            <w:tcBorders>
              <w:left w:val="single" w:sz="10" w:space="0" w:color="D3D3D3"/>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558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r>
      <w:tr>
        <w:trPr>
          <w:trHeight w:val="161" w:hRule="exact"/>
        </w:trPr>
        <w:tc>
          <w:tcPr>
            <w:tcW w:w="1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1260"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-38,360,592.32</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0" w:right="0"/>
              <w:jc w:val="left"/>
              <w:rPr>
                <w:rFonts w:ascii="Times New Roman" w:hAnsi="Times New Roman" w:cs="Times New Roman" w:eastAsia="Times New Roman" w:hint="default"/>
                <w:sz w:val="18"/>
                <w:szCs w:val="18"/>
              </w:rPr>
            </w:pPr>
            <w:r>
              <w:rPr>
                <w:rFonts w:ascii="Times New Roman"/>
                <w:sz w:val="18"/>
              </w:rPr>
              <w:t>-30.96%</w:t>
            </w:r>
          </w:p>
        </w:tc>
        <w:tc>
          <w:tcPr>
            <w:tcW w:w="5580"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存货跌价损失</w:t>
            </w:r>
            <w:r>
              <w:rPr>
                <w:rFonts w:ascii="Times New Roman" w:hAnsi="Times New Roman" w:cs="Times New Roman" w:eastAsia="Times New Roman" w:hint="default"/>
                <w:sz w:val="18"/>
                <w:szCs w:val="18"/>
              </w:rPr>
              <w:t>-17,461,423.41 </w:t>
            </w:r>
            <w:r>
              <w:rPr>
                <w:rFonts w:ascii="宋体" w:hAnsi="宋体" w:cs="宋体" w:eastAsia="宋体" w:hint="default"/>
                <w:sz w:val="18"/>
                <w:szCs w:val="18"/>
              </w:rPr>
              <w:t>元；无形资产减值损失</w:t>
            </w:r>
            <w:r>
              <w:rPr>
                <w:rFonts w:ascii="Times New Roman" w:hAnsi="Times New Roman" w:cs="Times New Roman" w:eastAsia="Times New Roman" w:hint="default"/>
                <w:sz w:val="18"/>
                <w:szCs w:val="18"/>
              </w:rPr>
              <w:t>-406,642.82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元；固 定资产减值损失</w:t>
            </w:r>
            <w:r>
              <w:rPr>
                <w:rFonts w:ascii="Times New Roman" w:hAnsi="Times New Roman" w:cs="Times New Roman" w:eastAsia="Times New Roman" w:hint="default"/>
                <w:sz w:val="18"/>
                <w:szCs w:val="18"/>
              </w:rPr>
              <w:t>-8,644.52 </w:t>
            </w:r>
            <w:r>
              <w:rPr>
                <w:rFonts w:ascii="宋体" w:hAnsi="宋体" w:cs="宋体" w:eastAsia="宋体" w:hint="default"/>
                <w:sz w:val="18"/>
                <w:szCs w:val="18"/>
              </w:rPr>
              <w:t>元；商誉减值损失</w:t>
            </w:r>
            <w:r>
              <w:rPr>
                <w:rFonts w:ascii="Times New Roman" w:hAnsi="Times New Roman" w:cs="Times New Roman" w:eastAsia="Times New Roman" w:hint="default"/>
                <w:sz w:val="18"/>
                <w:szCs w:val="18"/>
              </w:rPr>
              <w:t>-20,483,881.57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元</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1" w:hRule="exact"/>
        </w:trPr>
        <w:tc>
          <w:tcPr>
            <w:tcW w:w="10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260" w:type="dxa"/>
            <w:vMerge/>
            <w:tcBorders>
              <w:left w:val="single" w:sz="10" w:space="0" w:color="D3D3D3"/>
              <w:right w:val="single" w:sz="4" w:space="0" w:color="000000"/>
            </w:tcBorders>
          </w:tcPr>
          <w:p>
            <w:pPr/>
          </w:p>
        </w:tc>
        <w:tc>
          <w:tcPr>
            <w:tcW w:w="900" w:type="dxa"/>
            <w:vMerge/>
            <w:tcBorders>
              <w:left w:val="single" w:sz="4" w:space="0" w:color="000000"/>
              <w:right w:val="single" w:sz="4" w:space="0" w:color="000000"/>
            </w:tcBorders>
          </w:tcPr>
          <w:p>
            <w:pPr/>
          </w:p>
        </w:tc>
        <w:tc>
          <w:tcPr>
            <w:tcW w:w="55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162" w:hRule="exact"/>
        </w:trPr>
        <w:tc>
          <w:tcPr>
            <w:tcW w:w="1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1260" w:type="dxa"/>
            <w:vMerge/>
            <w:tcBorders>
              <w:left w:val="single" w:sz="10" w:space="0" w:color="D3D3D3"/>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558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2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41,047,753.88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33.13%</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其中不必向金实盈信原股东支付的股权转让款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35,918,100.00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1260"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 w:right="0"/>
              <w:jc w:val="left"/>
              <w:rPr>
                <w:rFonts w:ascii="Times New Roman" w:hAnsi="Times New Roman" w:cs="Times New Roman" w:eastAsia="Times New Roman" w:hint="default"/>
                <w:sz w:val="18"/>
                <w:szCs w:val="18"/>
              </w:rPr>
            </w:pPr>
            <w:r>
              <w:rPr>
                <w:rFonts w:ascii="Times New Roman"/>
                <w:sz w:val="18"/>
              </w:rPr>
              <w:t>16,294,661.84</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0" w:right="0"/>
              <w:jc w:val="left"/>
              <w:rPr>
                <w:rFonts w:ascii="Times New Roman" w:hAnsi="Times New Roman" w:cs="Times New Roman" w:eastAsia="Times New Roman" w:hint="default"/>
                <w:sz w:val="18"/>
                <w:szCs w:val="18"/>
              </w:rPr>
            </w:pPr>
            <w:r>
              <w:rPr>
                <w:rFonts w:ascii="Times New Roman"/>
                <w:sz w:val="18"/>
              </w:rPr>
              <w:t>13.15%</w:t>
            </w:r>
          </w:p>
        </w:tc>
        <w:tc>
          <w:tcPr>
            <w:tcW w:w="558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其中常山恒宏纺织服装综合建设项目一期工程损失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5,665,462.44</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元；代</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替赔偿义务人向商户垫付的棉五火灾损失赔偿款 </w:t>
            </w:r>
            <w:r>
              <w:rPr>
                <w:rFonts w:ascii="Times New Roman" w:hAnsi="Times New Roman" w:cs="Times New Roman" w:eastAsia="Times New Roman" w:hint="default"/>
                <w:sz w:val="18"/>
                <w:szCs w:val="18"/>
              </w:rPr>
              <w:t>9,139,800.00</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元</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08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260" w:type="dxa"/>
            <w:vMerge/>
            <w:tcBorders>
              <w:left w:val="single" w:sz="10" w:space="0" w:color="D3D3D3"/>
              <w:right w:val="single" w:sz="4" w:space="0" w:color="000000"/>
            </w:tcBorders>
          </w:tcPr>
          <w:p>
            <w:pPr/>
          </w:p>
        </w:tc>
        <w:tc>
          <w:tcPr>
            <w:tcW w:w="900" w:type="dxa"/>
            <w:vMerge/>
            <w:tcBorders>
              <w:left w:val="single" w:sz="4" w:space="0" w:color="000000"/>
              <w:right w:val="single" w:sz="4" w:space="0" w:color="000000"/>
            </w:tcBorders>
          </w:tcPr>
          <w:p>
            <w:pPr/>
          </w:p>
        </w:tc>
        <w:tc>
          <w:tcPr>
            <w:tcW w:w="5580" w:type="dxa"/>
            <w:vMerge/>
            <w:tcBorders>
              <w:left w:val="single" w:sz="4" w:space="0" w:color="000000"/>
              <w:right w:val="single" w:sz="4" w:space="0" w:color="000000"/>
            </w:tcBorders>
          </w:tcPr>
          <w:p>
            <w:pPr/>
          </w:p>
        </w:tc>
        <w:tc>
          <w:tcPr>
            <w:tcW w:w="900" w:type="dxa"/>
            <w:vMerge/>
            <w:tcBorders>
              <w:left w:val="single" w:sz="4" w:space="0" w:color="000000"/>
              <w:right w:val="single" w:sz="4" w:space="0" w:color="000000"/>
            </w:tcBorders>
          </w:tcPr>
          <w:p>
            <w:pPr/>
          </w:p>
        </w:tc>
      </w:tr>
      <w:tr>
        <w:trPr>
          <w:trHeight w:val="162" w:hRule="exact"/>
        </w:trPr>
        <w:tc>
          <w:tcPr>
            <w:tcW w:w="1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1260" w:type="dxa"/>
            <w:vMerge/>
            <w:tcBorders>
              <w:left w:val="single" w:sz="10" w:space="0" w:color="D3D3D3"/>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5580" w:type="dxa"/>
            <w:vMerge/>
            <w:tcBorders>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r>
      <w:tr>
        <w:trPr>
          <w:trHeight w:val="2586"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302,607,077.34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244.23%</w:t>
            </w:r>
          </w:p>
        </w:tc>
        <w:tc>
          <w:tcPr>
            <w:tcW w:w="558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其中政府搬迁补助 </w:t>
            </w:r>
            <w:r>
              <w:rPr>
                <w:rFonts w:ascii="Times New Roman" w:hAnsi="Times New Roman" w:cs="Times New Roman" w:eastAsia="Times New Roman" w:hint="default"/>
                <w:sz w:val="18"/>
                <w:szCs w:val="18"/>
              </w:rPr>
              <w:t>282,493,853.48</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元，根据石家庄市人民政府常务会议</w:t>
            </w:r>
            <w:r>
              <w:rPr>
                <w:rFonts w:ascii="宋体" w:hAnsi="宋体" w:cs="宋体" w:eastAsia="宋体" w:hint="default"/>
                <w:sz w:val="18"/>
                <w:szCs w:val="18"/>
              </w:rPr>
              <w:t> 纪要（</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常山股份公司原土地及地上附着物拍卖所得 减除各项税费及应缴部分和基准地价上浮</w:t>
            </w:r>
            <w:r>
              <w:rPr>
                <w:rFonts w:ascii="宋体" w:hAnsi="宋体" w:cs="宋体" w:eastAsia="宋体" w:hint="default"/>
                <w:spacing w:val="-36"/>
                <w:sz w:val="18"/>
                <w:szCs w:val="18"/>
              </w:rPr>
              <w:t> </w:t>
            </w:r>
            <w:r>
              <w:rPr>
                <w:rFonts w:ascii="Times New Roman" w:hAnsi="Times New Roman" w:cs="Times New Roman" w:eastAsia="Times New Roman" w:hint="default"/>
                <w:spacing w:val="-6"/>
                <w:sz w:val="18"/>
                <w:szCs w:val="18"/>
              </w:rPr>
              <w:t>20%</w:t>
            </w:r>
            <w:r>
              <w:rPr>
                <w:rFonts w:ascii="宋体" w:hAnsi="宋体" w:cs="宋体" w:eastAsia="宋体" w:hint="default"/>
                <w:spacing w:val="-6"/>
                <w:sz w:val="18"/>
                <w:szCs w:val="18"/>
              </w:rPr>
              <w:t>补偿部分的剩余，作为土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地净收益，</w:t>
            </w:r>
            <w:r>
              <w:rPr>
                <w:rFonts w:ascii="Times New Roman" w:hAnsi="Times New Roman" w:cs="Times New Roman" w:eastAsia="Times New Roman" w:hint="default"/>
                <w:sz w:val="18"/>
                <w:szCs w:val="18"/>
              </w:rPr>
              <w:t>90%</w:t>
            </w:r>
            <w:r>
              <w:rPr>
                <w:rFonts w:ascii="宋体" w:hAnsi="宋体" w:cs="宋体" w:eastAsia="宋体" w:hint="default"/>
                <w:sz w:val="18"/>
                <w:szCs w:val="18"/>
              </w:rPr>
              <w:t>返还企业用于企业项目建设</w:t>
            </w:r>
            <w:r>
              <w:rPr>
                <w:rFonts w:ascii="Times New Roman" w:hAnsi="Times New Roman" w:cs="Times New Roman" w:eastAsia="Times New Roman" w:hint="default"/>
                <w:sz w:val="18"/>
                <w:szCs w:val="18"/>
              </w:rPr>
              <w:t>"</w:t>
            </w:r>
            <w:r>
              <w:rPr>
                <w:rFonts w:ascii="宋体" w:hAnsi="宋体" w:cs="宋体" w:eastAsia="宋体" w:hint="default"/>
                <w:sz w:val="18"/>
                <w:szCs w:val="18"/>
              </w:rPr>
              <w:t>的规定，石家庄市人民政 府按土地预期净收益的</w:t>
            </w:r>
            <w:r>
              <w:rPr>
                <w:rFonts w:ascii="宋体" w:hAnsi="宋体" w:cs="宋体" w:eastAsia="宋体" w:hint="default"/>
                <w:spacing w:val="-33"/>
                <w:sz w:val="18"/>
                <w:szCs w:val="18"/>
              </w:rPr>
              <w:t> </w:t>
            </w:r>
            <w:r>
              <w:rPr>
                <w:rFonts w:ascii="Times New Roman" w:hAnsi="Times New Roman" w:cs="Times New Roman" w:eastAsia="Times New Roman" w:hint="default"/>
                <w:spacing w:val="-4"/>
                <w:sz w:val="18"/>
                <w:szCs w:val="18"/>
              </w:rPr>
              <w:t>90%</w:t>
            </w:r>
            <w:r>
              <w:rPr>
                <w:rFonts w:ascii="宋体" w:hAnsi="宋体" w:cs="宋体" w:eastAsia="宋体" w:hint="default"/>
                <w:spacing w:val="-4"/>
                <w:sz w:val="18"/>
                <w:szCs w:val="18"/>
              </w:rPr>
              <w:t>给予企业政策资金支持，用于搬迁项目建设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及弥补搬迁过程的各项损失。报告期公司收到由石家庄市财政局拨付的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部分搬迁支持资金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亿元，公司共确认政府搬迁补助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亿元全部计 入了其他收益。</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p>
      <w:pPr>
        <w:pStyle w:val="Heading2"/>
        <w:spacing w:line="240" w:lineRule="auto" w:before="26"/>
        <w:ind w:right="0"/>
        <w:jc w:val="left"/>
        <w:rPr>
          <w:b w:val="0"/>
          <w:bCs w:val="0"/>
        </w:rPr>
      </w:pP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年起首次执行新金融工具准则、新收入准则或新租赁准则且调整执行当年年初财务报表相关项目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37"/>
        <w:gridCol w:w="1344"/>
        <w:gridCol w:w="1260"/>
        <w:gridCol w:w="1440"/>
        <w:gridCol w:w="1188"/>
        <w:gridCol w:w="798"/>
        <w:gridCol w:w="2370"/>
      </w:tblGrid>
      <w:tr>
        <w:trPr>
          <w:trHeight w:val="200" w:hRule="exact"/>
        </w:trPr>
        <w:tc>
          <w:tcPr>
            <w:tcW w:w="1237" w:type="dxa"/>
            <w:tcBorders>
              <w:top w:val="single" w:sz="4" w:space="0" w:color="000000"/>
              <w:left w:val="single" w:sz="4" w:space="0" w:color="000000"/>
              <w:bottom w:val="nil" w:sz="6" w:space="0" w:color="auto"/>
              <w:right w:val="single" w:sz="4" w:space="0" w:color="000000"/>
            </w:tcBorders>
            <w:shd w:val="clear" w:color="auto" w:fill="D3D3D3"/>
          </w:tcPr>
          <w:p>
            <w:pPr/>
          </w:p>
        </w:tc>
        <w:tc>
          <w:tcPr>
            <w:tcW w:w="260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62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年初</w:t>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237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2" w:hRule="exact"/>
        </w:trPr>
        <w:tc>
          <w:tcPr>
            <w:tcW w:w="1237" w:type="dxa"/>
            <w:vMerge w:val="restart"/>
            <w:tcBorders>
              <w:top w:val="nil" w:sz="6" w:space="0" w:color="auto"/>
              <w:left w:val="single" w:sz="4" w:space="0" w:color="000000"/>
              <w:right w:val="single" w:sz="4" w:space="0" w:color="000000"/>
            </w:tcBorders>
            <w:shd w:val="clear" w:color="auto" w:fill="D3D3D3"/>
          </w:tcPr>
          <w:p>
            <w:pPr/>
          </w:p>
        </w:tc>
        <w:tc>
          <w:tcPr>
            <w:tcW w:w="2604" w:type="dxa"/>
            <w:gridSpan w:val="2"/>
            <w:vMerge/>
            <w:tcBorders>
              <w:left w:val="single" w:sz="4" w:space="0" w:color="000000"/>
              <w:bottom w:val="single" w:sz="4" w:space="0" w:color="000000"/>
              <w:right w:val="single" w:sz="4" w:space="0" w:color="000000"/>
            </w:tcBorders>
            <w:shd w:val="clear" w:color="auto" w:fill="D3D3D3"/>
          </w:tcPr>
          <w:p>
            <w:pPr/>
          </w:p>
        </w:tc>
        <w:tc>
          <w:tcPr>
            <w:tcW w:w="2628" w:type="dxa"/>
            <w:gridSpan w:val="2"/>
            <w:vMerge/>
            <w:tcBorders>
              <w:left w:val="single" w:sz="4" w:space="0" w:color="000000"/>
              <w:bottom w:val="single" w:sz="4" w:space="0" w:color="000000"/>
              <w:right w:val="single" w:sz="4" w:space="0" w:color="000000"/>
            </w:tcBorders>
            <w:shd w:val="clear" w:color="auto" w:fill="D3D3D3"/>
          </w:tcPr>
          <w:p>
            <w:pPr/>
          </w:p>
        </w:tc>
        <w:tc>
          <w:tcPr>
            <w:tcW w:w="7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37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39"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237" w:type="dxa"/>
            <w:vMerge/>
            <w:tcBorders>
              <w:left w:val="single" w:sz="4" w:space="0" w:color="000000"/>
              <w:bottom w:val="nil" w:sz="6" w:space="0" w:color="auto"/>
              <w:right w:val="single" w:sz="4" w:space="0" w:color="000000"/>
            </w:tcBorders>
            <w:shd w:val="clear" w:color="auto" w:fill="D3D3D3"/>
          </w:tcPr>
          <w:p>
            <w:pPr/>
          </w:p>
        </w:tc>
        <w:tc>
          <w:tcPr>
            <w:tcW w:w="134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44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7"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798" w:type="dxa"/>
            <w:vMerge/>
            <w:tcBorders>
              <w:left w:val="single" w:sz="4" w:space="0" w:color="000000"/>
              <w:bottom w:val="nil" w:sz="6" w:space="0" w:color="auto"/>
              <w:right w:val="single" w:sz="4" w:space="0" w:color="000000"/>
            </w:tcBorders>
            <w:shd w:val="clear" w:color="auto" w:fill="D3D3D3"/>
          </w:tcPr>
          <w:p>
            <w:pPr/>
          </w:p>
        </w:tc>
        <w:tc>
          <w:tcPr>
            <w:tcW w:w="2370" w:type="dxa"/>
            <w:vMerge/>
            <w:tcBorders>
              <w:left w:val="single" w:sz="4" w:space="0" w:color="000000"/>
              <w:bottom w:val="nil" w:sz="6" w:space="0" w:color="auto"/>
              <w:right w:val="single" w:sz="4" w:space="0" w:color="000000"/>
            </w:tcBorders>
            <w:shd w:val="clear" w:color="auto" w:fill="D3D3D3"/>
          </w:tcPr>
          <w:p>
            <w:pPr/>
          </w:p>
        </w:tc>
      </w:tr>
      <w:tr>
        <w:trPr>
          <w:trHeight w:val="211" w:hRule="exact"/>
        </w:trPr>
        <w:tc>
          <w:tcPr>
            <w:tcW w:w="123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44" w:type="dxa"/>
            <w:vMerge/>
            <w:tcBorders>
              <w:left w:val="single" w:sz="4" w:space="0" w:color="000000"/>
              <w:bottom w:val="single" w:sz="4" w:space="0" w:color="000000"/>
              <w:right w:val="single" w:sz="4" w:space="0" w:color="000000"/>
            </w:tcBorders>
            <w:shd w:val="clear" w:color="auto" w:fill="D3D3D3"/>
          </w:tcPr>
          <w:p>
            <w:pPr/>
          </w:p>
        </w:tc>
        <w:tc>
          <w:tcPr>
            <w:tcW w:w="1260" w:type="dxa"/>
            <w:vMerge/>
            <w:tcBorders>
              <w:left w:val="single" w:sz="4" w:space="0" w:color="000000"/>
              <w:bottom w:val="single" w:sz="4" w:space="0" w:color="000000"/>
              <w:right w:val="single" w:sz="4" w:space="0" w:color="000000"/>
            </w:tcBorders>
            <w:shd w:val="clear" w:color="auto" w:fill="D3D3D3"/>
          </w:tcPr>
          <w:p>
            <w:pPr/>
          </w:p>
        </w:tc>
        <w:tc>
          <w:tcPr>
            <w:tcW w:w="1440" w:type="dxa"/>
            <w:vMerge/>
            <w:tcBorders>
              <w:left w:val="single" w:sz="4" w:space="0" w:color="000000"/>
              <w:bottom w:val="single" w:sz="4" w:space="0" w:color="000000"/>
              <w:right w:val="single" w:sz="4" w:space="0" w:color="000000"/>
            </w:tcBorders>
            <w:shd w:val="clear" w:color="auto" w:fill="D3D3D3"/>
          </w:tcPr>
          <w:p>
            <w:pPr/>
          </w:p>
        </w:tc>
        <w:tc>
          <w:tcPr>
            <w:tcW w:w="1188" w:type="dxa"/>
            <w:vMerge/>
            <w:tcBorders>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2370"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2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4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1,807,150,344.91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12.77%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2,017,099,006.92</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14.26%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-1.49%</w:t>
            </w:r>
          </w:p>
        </w:tc>
        <w:tc>
          <w:tcPr>
            <w:tcW w:w="2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4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2,544,000,353.79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17.97%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2,519,619,666.19</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17.82%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0.15%</w:t>
            </w:r>
          </w:p>
        </w:tc>
        <w:tc>
          <w:tcPr>
            <w:tcW w:w="2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4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2,186,041,012.28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15.44%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2,204,253,459.52</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15.59%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-0.15%</w:t>
            </w:r>
          </w:p>
        </w:tc>
        <w:tc>
          <w:tcPr>
            <w:tcW w:w="2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4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152,143,555.53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157,014,698.61</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-0.04%</w:t>
            </w:r>
          </w:p>
        </w:tc>
        <w:tc>
          <w:tcPr>
            <w:tcW w:w="2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4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14,190,753.73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0.10%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26,501,436.31</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0.19%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-0.09%</w:t>
            </w:r>
          </w:p>
        </w:tc>
        <w:tc>
          <w:tcPr>
            <w:tcW w:w="2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4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2,439,199,321.18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17.23%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2,227,945,503.31</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15.75%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1.48%</w:t>
            </w:r>
          </w:p>
        </w:tc>
        <w:tc>
          <w:tcPr>
            <w:tcW w:w="2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4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377,435,457.21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2.67%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583,884,575.89</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4.13%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-1.46%</w:t>
            </w:r>
          </w:p>
        </w:tc>
        <w:tc>
          <w:tcPr>
            <w:tcW w:w="23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4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2,860,313,595.07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20.21%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2,861,501,687.06</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20.23%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-0.02%</w:t>
            </w:r>
          </w:p>
        </w:tc>
        <w:tc>
          <w:tcPr>
            <w:tcW w:w="237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3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44"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8" w:right="0"/>
              <w:jc w:val="left"/>
              <w:rPr>
                <w:rFonts w:ascii="Times New Roman" w:hAnsi="Times New Roman" w:cs="Times New Roman" w:eastAsia="Times New Roman" w:hint="default"/>
                <w:sz w:val="18"/>
                <w:szCs w:val="18"/>
              </w:rPr>
            </w:pPr>
            <w:r>
              <w:rPr>
                <w:rFonts w:ascii="Times New Roman"/>
                <w:sz w:val="18"/>
              </w:rPr>
              <w:t>521,733,520.00</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0" w:right="0"/>
              <w:jc w:val="left"/>
              <w:rPr>
                <w:rFonts w:ascii="Times New Roman" w:hAnsi="Times New Roman" w:cs="Times New Roman" w:eastAsia="Times New Roman" w:hint="default"/>
                <w:sz w:val="18"/>
                <w:szCs w:val="18"/>
              </w:rPr>
            </w:pPr>
            <w:r>
              <w:rPr>
                <w:rFonts w:ascii="Times New Roman"/>
                <w:sz w:val="18"/>
              </w:rPr>
              <w:t>3.69%</w:t>
            </w:r>
          </w:p>
        </w:tc>
        <w:tc>
          <w:tcPr>
            <w:tcW w:w="144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1,175,000,000.00</w:t>
            </w:r>
          </w:p>
        </w:tc>
        <w:tc>
          <w:tcPr>
            <w:tcW w:w="118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8.31%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-4.62%</w:t>
            </w:r>
          </w:p>
        </w:tc>
        <w:tc>
          <w:tcPr>
            <w:tcW w:w="2370"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主要系部分长期借款转入一 年内到期的非流动负债所致。</w:t>
            </w:r>
          </w:p>
        </w:tc>
      </w:tr>
      <w:tr>
        <w:trPr>
          <w:trHeight w:val="392" w:hRule="exact"/>
        </w:trPr>
        <w:tc>
          <w:tcPr>
            <w:tcW w:w="12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44" w:type="dxa"/>
            <w:vMerge/>
            <w:tcBorders>
              <w:left w:val="single" w:sz="10" w:space="0" w:color="D3D3D3"/>
              <w:right w:val="single" w:sz="4" w:space="0" w:color="000000"/>
            </w:tcBorders>
          </w:tcPr>
          <w:p>
            <w:pPr/>
          </w:p>
        </w:tc>
        <w:tc>
          <w:tcPr>
            <w:tcW w:w="1260" w:type="dxa"/>
            <w:vMerge/>
            <w:tcBorders>
              <w:left w:val="single" w:sz="4" w:space="0" w:color="000000"/>
              <w:right w:val="single" w:sz="4" w:space="0" w:color="000000"/>
            </w:tcBorders>
          </w:tcPr>
          <w:p>
            <w:pPr/>
          </w:p>
        </w:tc>
        <w:tc>
          <w:tcPr>
            <w:tcW w:w="1440" w:type="dxa"/>
            <w:vMerge/>
            <w:tcBorders>
              <w:left w:val="single" w:sz="4" w:space="0" w:color="000000"/>
              <w:right w:val="single" w:sz="4" w:space="0" w:color="000000"/>
            </w:tcBorders>
          </w:tcPr>
          <w:p>
            <w:pPr/>
          </w:p>
        </w:tc>
        <w:tc>
          <w:tcPr>
            <w:tcW w:w="118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370" w:type="dxa"/>
            <w:vMerge/>
            <w:tcBorders>
              <w:left w:val="single" w:sz="4" w:space="0" w:color="000000"/>
              <w:right w:val="single" w:sz="4" w:space="0" w:color="000000"/>
            </w:tcBorders>
          </w:tcPr>
          <w:p>
            <w:pPr/>
          </w:p>
        </w:tc>
      </w:tr>
      <w:tr>
        <w:trPr>
          <w:trHeight w:val="162" w:hRule="exact"/>
        </w:trPr>
        <w:tc>
          <w:tcPr>
            <w:tcW w:w="123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44" w:type="dxa"/>
            <w:vMerge/>
            <w:tcBorders>
              <w:left w:val="single" w:sz="10" w:space="0" w:color="D3D3D3"/>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18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370"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88"/>
        <w:gridCol w:w="1458"/>
        <w:gridCol w:w="1084"/>
        <w:gridCol w:w="1091"/>
        <w:gridCol w:w="852"/>
        <w:gridCol w:w="765"/>
        <w:gridCol w:w="643"/>
        <w:gridCol w:w="431"/>
        <w:gridCol w:w="1429"/>
      </w:tblGrid>
      <w:tr>
        <w:trPr>
          <w:trHeight w:val="161" w:hRule="exact"/>
        </w:trPr>
        <w:tc>
          <w:tcPr>
            <w:tcW w:w="1788" w:type="dxa"/>
            <w:vMerge w:val="restart"/>
            <w:tcBorders>
              <w:top w:val="single" w:sz="4" w:space="0" w:color="000000"/>
              <w:left w:val="single" w:sz="4" w:space="0" w:color="000000"/>
              <w:right w:val="single" w:sz="4" w:space="0" w:color="000000"/>
            </w:tcBorders>
            <w:shd w:val="clear" w:color="auto" w:fill="D3D3D3"/>
          </w:tcPr>
          <w:p>
            <w:pPr/>
          </w:p>
        </w:tc>
        <w:tc>
          <w:tcPr>
            <w:tcW w:w="1458" w:type="dxa"/>
            <w:vMerge w:val="restart"/>
            <w:tcBorders>
              <w:top w:val="single" w:sz="4" w:space="0" w:color="000000"/>
              <w:left w:val="single" w:sz="4" w:space="0" w:color="000000"/>
              <w:right w:val="single" w:sz="4" w:space="0" w:color="000000"/>
            </w:tcBorders>
            <w:shd w:val="clear" w:color="auto" w:fill="D3D3D3"/>
          </w:tcPr>
          <w:p>
            <w:pPr/>
          </w:p>
        </w:tc>
        <w:tc>
          <w:tcPr>
            <w:tcW w:w="1084" w:type="dxa"/>
            <w:tcBorders>
              <w:top w:val="single" w:sz="4" w:space="0" w:color="000000"/>
              <w:left w:val="single" w:sz="4" w:space="0" w:color="000000"/>
              <w:bottom w:val="nil" w:sz="6" w:space="0" w:color="auto"/>
              <w:right w:val="single" w:sz="4" w:space="0" w:color="000000"/>
            </w:tcBorders>
            <w:shd w:val="clear" w:color="auto" w:fill="D3D3D3"/>
          </w:tcPr>
          <w:p>
            <w:pPr/>
          </w:p>
        </w:tc>
        <w:tc>
          <w:tcPr>
            <w:tcW w:w="1091"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90" w:right="89"/>
              <w:jc w:val="center"/>
              <w:rPr>
                <w:rFonts w:ascii="宋体" w:hAnsi="宋体" w:cs="宋体" w:eastAsia="宋体" w:hint="default"/>
                <w:sz w:val="18"/>
                <w:szCs w:val="18"/>
              </w:rPr>
            </w:pPr>
            <w:r>
              <w:rPr>
                <w:rFonts w:ascii="宋体" w:hAnsi="宋体" w:cs="宋体" w:eastAsia="宋体" w:hint="default"/>
                <w:sz w:val="18"/>
                <w:szCs w:val="18"/>
              </w:rPr>
              <w:t>计入权益的 累计公允价 值变动</w:t>
            </w:r>
          </w:p>
        </w:tc>
        <w:tc>
          <w:tcPr>
            <w:tcW w:w="852" w:type="dxa"/>
            <w:tcBorders>
              <w:top w:val="single" w:sz="4" w:space="0" w:color="000000"/>
              <w:left w:val="single" w:sz="4" w:space="0" w:color="000000"/>
              <w:bottom w:val="nil" w:sz="6" w:space="0" w:color="auto"/>
              <w:right w:val="single" w:sz="4" w:space="0" w:color="000000"/>
            </w:tcBorders>
            <w:shd w:val="clear" w:color="auto" w:fill="D3D3D3"/>
          </w:tcPr>
          <w:p>
            <w:pPr/>
          </w:p>
        </w:tc>
        <w:tc>
          <w:tcPr>
            <w:tcW w:w="765" w:type="dxa"/>
            <w:tcBorders>
              <w:top w:val="single" w:sz="4" w:space="0" w:color="000000"/>
              <w:left w:val="single" w:sz="4" w:space="0" w:color="000000"/>
              <w:bottom w:val="nil" w:sz="6" w:space="0" w:color="auto"/>
              <w:right w:val="single" w:sz="4" w:space="0" w:color="000000"/>
            </w:tcBorders>
            <w:shd w:val="clear" w:color="auto" w:fill="D3D3D3"/>
          </w:tcPr>
          <w:p>
            <w:pPr/>
          </w:p>
        </w:tc>
        <w:tc>
          <w:tcPr>
            <w:tcW w:w="643" w:type="dxa"/>
            <w:tcBorders>
              <w:top w:val="single" w:sz="4" w:space="0" w:color="000000"/>
              <w:left w:val="single" w:sz="4" w:space="0" w:color="000000"/>
              <w:bottom w:val="nil" w:sz="6" w:space="0" w:color="auto"/>
              <w:right w:val="single" w:sz="4" w:space="0" w:color="000000"/>
            </w:tcBorders>
            <w:shd w:val="clear" w:color="auto" w:fill="D3D3D3"/>
          </w:tcPr>
          <w:p>
            <w:pPr/>
          </w:p>
        </w:tc>
        <w:tc>
          <w:tcPr>
            <w:tcW w:w="431" w:type="dxa"/>
            <w:tcBorders>
              <w:top w:val="single" w:sz="4" w:space="0" w:color="000000"/>
              <w:left w:val="single" w:sz="4" w:space="0" w:color="000000"/>
              <w:bottom w:val="nil" w:sz="6" w:space="0" w:color="auto"/>
              <w:right w:val="single" w:sz="4" w:space="0" w:color="000000"/>
            </w:tcBorders>
            <w:shd w:val="clear" w:color="auto" w:fill="D3D3D3"/>
          </w:tcPr>
          <w:p>
            <w:pPr/>
          </w:p>
        </w:tc>
        <w:tc>
          <w:tcPr>
            <w:tcW w:w="1429" w:type="dxa"/>
            <w:vMerge w:val="restart"/>
            <w:tcBorders>
              <w:top w:val="single" w:sz="4" w:space="0" w:color="000000"/>
              <w:left w:val="single" w:sz="4" w:space="0" w:color="000000"/>
              <w:right w:val="single" w:sz="4" w:space="0" w:color="000000"/>
            </w:tcBorders>
            <w:shd w:val="clear" w:color="auto" w:fill="D3D3D3"/>
          </w:tcPr>
          <w:p>
            <w:pPr/>
          </w:p>
        </w:tc>
      </w:tr>
      <w:tr>
        <w:trPr>
          <w:trHeight w:val="156" w:hRule="exact"/>
        </w:trPr>
        <w:tc>
          <w:tcPr>
            <w:tcW w:w="1788" w:type="dxa"/>
            <w:vMerge/>
            <w:tcBorders>
              <w:left w:val="single" w:sz="4" w:space="0" w:color="000000"/>
              <w:bottom w:val="nil" w:sz="6" w:space="0" w:color="auto"/>
              <w:right w:val="single" w:sz="4" w:space="0" w:color="000000"/>
            </w:tcBorders>
            <w:shd w:val="clear" w:color="auto" w:fill="D3D3D3"/>
          </w:tcPr>
          <w:p>
            <w:pPr/>
          </w:p>
        </w:tc>
        <w:tc>
          <w:tcPr>
            <w:tcW w:w="1458" w:type="dxa"/>
            <w:vMerge/>
            <w:tcBorders>
              <w:left w:val="single" w:sz="4" w:space="0" w:color="000000"/>
              <w:bottom w:val="nil" w:sz="6" w:space="0" w:color="auto"/>
              <w:right w:val="single" w:sz="4" w:space="0" w:color="000000"/>
            </w:tcBorders>
            <w:shd w:val="clear" w:color="auto" w:fill="D3D3D3"/>
          </w:tcPr>
          <w:p>
            <w:pPr/>
          </w:p>
        </w:tc>
        <w:tc>
          <w:tcPr>
            <w:tcW w:w="1084"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84" w:right="88"/>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091" w:type="dxa"/>
            <w:vMerge/>
            <w:tcBorders>
              <w:left w:val="single" w:sz="4" w:space="0" w:color="000000"/>
              <w:right w:val="single" w:sz="4" w:space="0" w:color="000000"/>
            </w:tcBorders>
            <w:shd w:val="clear" w:color="auto" w:fill="D3D3D3"/>
          </w:tcPr>
          <w:p>
            <w:pPr/>
          </w:p>
        </w:tc>
        <w:tc>
          <w:tcPr>
            <w:tcW w:w="852"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149" w:right="60" w:hanging="90"/>
              <w:jc w:val="left"/>
              <w:rPr>
                <w:rFonts w:ascii="宋体" w:hAnsi="宋体" w:cs="宋体" w:eastAsia="宋体" w:hint="default"/>
                <w:sz w:val="18"/>
                <w:szCs w:val="18"/>
              </w:rPr>
            </w:pPr>
            <w:r>
              <w:rPr>
                <w:rFonts w:ascii="宋体" w:hAnsi="宋体" w:cs="宋体" w:eastAsia="宋体" w:hint="default"/>
                <w:sz w:val="18"/>
                <w:szCs w:val="18"/>
              </w:rPr>
              <w:t>本期计提 的减值</w:t>
            </w:r>
          </w:p>
        </w:tc>
        <w:tc>
          <w:tcPr>
            <w:tcW w:w="765"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107" w:right="106"/>
              <w:jc w:val="left"/>
              <w:rPr>
                <w:rFonts w:ascii="宋体" w:hAnsi="宋体" w:cs="宋体" w:eastAsia="宋体" w:hint="default"/>
                <w:sz w:val="18"/>
                <w:szCs w:val="18"/>
              </w:rPr>
            </w:pPr>
            <w:r>
              <w:rPr>
                <w:rFonts w:ascii="宋体" w:hAnsi="宋体" w:cs="宋体" w:eastAsia="宋体" w:hint="default"/>
                <w:sz w:val="18"/>
                <w:szCs w:val="18"/>
              </w:rPr>
              <w:t>本期购 买金额</w:t>
            </w:r>
          </w:p>
        </w:tc>
        <w:tc>
          <w:tcPr>
            <w:tcW w:w="643"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46" w:right="44"/>
              <w:jc w:val="left"/>
              <w:rPr>
                <w:rFonts w:ascii="宋体" w:hAnsi="宋体" w:cs="宋体" w:eastAsia="宋体" w:hint="default"/>
                <w:sz w:val="18"/>
                <w:szCs w:val="18"/>
              </w:rPr>
            </w:pPr>
            <w:r>
              <w:rPr>
                <w:rFonts w:ascii="宋体" w:hAnsi="宋体" w:cs="宋体" w:eastAsia="宋体" w:hint="default"/>
                <w:sz w:val="18"/>
                <w:szCs w:val="18"/>
              </w:rPr>
              <w:t>本期出 售金额</w:t>
            </w:r>
          </w:p>
        </w:tc>
        <w:tc>
          <w:tcPr>
            <w:tcW w:w="431"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33" w:right="25"/>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429" w:type="dxa"/>
            <w:vMerge/>
            <w:tcBorders>
              <w:left w:val="single" w:sz="4" w:space="0" w:color="000000"/>
              <w:bottom w:val="nil" w:sz="6" w:space="0" w:color="auto"/>
              <w:right w:val="single" w:sz="4" w:space="0" w:color="000000"/>
            </w:tcBorders>
            <w:shd w:val="clear" w:color="auto" w:fill="D3D3D3"/>
          </w:tcPr>
          <w:p>
            <w:pPr/>
          </w:p>
        </w:tc>
      </w:tr>
      <w:tr>
        <w:trPr>
          <w:trHeight w:val="392" w:hRule="exact"/>
        </w:trPr>
        <w:tc>
          <w:tcPr>
            <w:tcW w:w="178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5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5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084" w:type="dxa"/>
            <w:vMerge/>
            <w:tcBorders>
              <w:left w:val="single" w:sz="4" w:space="0" w:color="000000"/>
              <w:right w:val="single" w:sz="4" w:space="0" w:color="000000"/>
            </w:tcBorders>
            <w:shd w:val="clear" w:color="auto" w:fill="D3D3D3"/>
          </w:tcPr>
          <w:p>
            <w:pPr/>
          </w:p>
        </w:tc>
        <w:tc>
          <w:tcPr>
            <w:tcW w:w="1091" w:type="dxa"/>
            <w:vMerge/>
            <w:tcBorders>
              <w:left w:val="single" w:sz="4" w:space="0" w:color="000000"/>
              <w:right w:val="single" w:sz="4" w:space="0" w:color="000000"/>
            </w:tcBorders>
            <w:shd w:val="clear" w:color="auto" w:fill="D3D3D3"/>
          </w:tcPr>
          <w:p>
            <w:pPr/>
          </w:p>
        </w:tc>
        <w:tc>
          <w:tcPr>
            <w:tcW w:w="852" w:type="dxa"/>
            <w:vMerge/>
            <w:tcBorders>
              <w:left w:val="single" w:sz="4" w:space="0" w:color="000000"/>
              <w:right w:val="single" w:sz="4" w:space="0" w:color="000000"/>
            </w:tcBorders>
            <w:shd w:val="clear" w:color="auto" w:fill="D3D3D3"/>
          </w:tcPr>
          <w:p>
            <w:pPr/>
          </w:p>
        </w:tc>
        <w:tc>
          <w:tcPr>
            <w:tcW w:w="765" w:type="dxa"/>
            <w:vMerge/>
            <w:tcBorders>
              <w:left w:val="single" w:sz="4" w:space="0" w:color="000000"/>
              <w:right w:val="single" w:sz="4" w:space="0" w:color="000000"/>
            </w:tcBorders>
            <w:shd w:val="clear" w:color="auto" w:fill="D3D3D3"/>
          </w:tcPr>
          <w:p>
            <w:pPr/>
          </w:p>
        </w:tc>
        <w:tc>
          <w:tcPr>
            <w:tcW w:w="643" w:type="dxa"/>
            <w:vMerge/>
            <w:tcBorders>
              <w:left w:val="single" w:sz="4" w:space="0" w:color="000000"/>
              <w:right w:val="single" w:sz="4" w:space="0" w:color="000000"/>
            </w:tcBorders>
            <w:shd w:val="clear" w:color="auto" w:fill="D3D3D3"/>
          </w:tcPr>
          <w:p>
            <w:pPr/>
          </w:p>
        </w:tc>
        <w:tc>
          <w:tcPr>
            <w:tcW w:w="431" w:type="dxa"/>
            <w:vMerge/>
            <w:tcBorders>
              <w:left w:val="single" w:sz="4" w:space="0" w:color="000000"/>
              <w:right w:val="single" w:sz="4" w:space="0" w:color="000000"/>
            </w:tcBorders>
            <w:shd w:val="clear" w:color="auto" w:fill="D3D3D3"/>
          </w:tcPr>
          <w:p>
            <w:pPr/>
          </w:p>
        </w:tc>
        <w:tc>
          <w:tcPr>
            <w:tcW w:w="142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4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788" w:type="dxa"/>
            <w:vMerge w:val="restart"/>
            <w:tcBorders>
              <w:top w:val="nil" w:sz="6" w:space="0" w:color="auto"/>
              <w:left w:val="single" w:sz="4" w:space="0" w:color="000000"/>
              <w:right w:val="single" w:sz="4" w:space="0" w:color="000000"/>
            </w:tcBorders>
            <w:shd w:val="clear" w:color="auto" w:fill="D3D3D3"/>
          </w:tcPr>
          <w:p>
            <w:pPr/>
          </w:p>
        </w:tc>
        <w:tc>
          <w:tcPr>
            <w:tcW w:w="1458" w:type="dxa"/>
            <w:vMerge w:val="restart"/>
            <w:tcBorders>
              <w:top w:val="nil" w:sz="6" w:space="0" w:color="auto"/>
              <w:left w:val="single" w:sz="4" w:space="0" w:color="000000"/>
              <w:right w:val="single" w:sz="4" w:space="0" w:color="000000"/>
            </w:tcBorders>
            <w:shd w:val="clear" w:color="auto" w:fill="D3D3D3"/>
          </w:tcPr>
          <w:p>
            <w:pPr/>
          </w:p>
        </w:tc>
        <w:tc>
          <w:tcPr>
            <w:tcW w:w="1084" w:type="dxa"/>
            <w:vMerge/>
            <w:tcBorders>
              <w:left w:val="single" w:sz="4" w:space="0" w:color="000000"/>
              <w:bottom w:val="nil" w:sz="6" w:space="0" w:color="auto"/>
              <w:right w:val="single" w:sz="4" w:space="0" w:color="000000"/>
            </w:tcBorders>
            <w:shd w:val="clear" w:color="auto" w:fill="D3D3D3"/>
          </w:tcPr>
          <w:p>
            <w:pPr/>
          </w:p>
        </w:tc>
        <w:tc>
          <w:tcPr>
            <w:tcW w:w="1091" w:type="dxa"/>
            <w:vMerge/>
            <w:tcBorders>
              <w:left w:val="single" w:sz="4" w:space="0" w:color="000000"/>
              <w:right w:val="single" w:sz="4" w:space="0" w:color="000000"/>
            </w:tcBorders>
            <w:shd w:val="clear" w:color="auto" w:fill="D3D3D3"/>
          </w:tcPr>
          <w:p>
            <w:pPr/>
          </w:p>
        </w:tc>
        <w:tc>
          <w:tcPr>
            <w:tcW w:w="852" w:type="dxa"/>
            <w:vMerge/>
            <w:tcBorders>
              <w:left w:val="single" w:sz="4" w:space="0" w:color="000000"/>
              <w:bottom w:val="nil" w:sz="6" w:space="0" w:color="auto"/>
              <w:right w:val="single" w:sz="4" w:space="0" w:color="000000"/>
            </w:tcBorders>
            <w:shd w:val="clear" w:color="auto" w:fill="D3D3D3"/>
          </w:tcPr>
          <w:p>
            <w:pPr/>
          </w:p>
        </w:tc>
        <w:tc>
          <w:tcPr>
            <w:tcW w:w="765" w:type="dxa"/>
            <w:vMerge/>
            <w:tcBorders>
              <w:left w:val="single" w:sz="4" w:space="0" w:color="000000"/>
              <w:bottom w:val="nil" w:sz="6" w:space="0" w:color="auto"/>
              <w:right w:val="single" w:sz="4" w:space="0" w:color="000000"/>
            </w:tcBorders>
            <w:shd w:val="clear" w:color="auto" w:fill="D3D3D3"/>
          </w:tcPr>
          <w:p>
            <w:pPr/>
          </w:p>
        </w:tc>
        <w:tc>
          <w:tcPr>
            <w:tcW w:w="643" w:type="dxa"/>
            <w:vMerge/>
            <w:tcBorders>
              <w:left w:val="single" w:sz="4" w:space="0" w:color="000000"/>
              <w:bottom w:val="nil" w:sz="6" w:space="0" w:color="auto"/>
              <w:right w:val="single" w:sz="4" w:space="0" w:color="000000"/>
            </w:tcBorders>
            <w:shd w:val="clear" w:color="auto" w:fill="D3D3D3"/>
          </w:tcPr>
          <w:p>
            <w:pPr/>
          </w:p>
        </w:tc>
        <w:tc>
          <w:tcPr>
            <w:tcW w:w="431" w:type="dxa"/>
            <w:vMerge/>
            <w:tcBorders>
              <w:left w:val="single" w:sz="4" w:space="0" w:color="000000"/>
              <w:bottom w:val="nil" w:sz="6" w:space="0" w:color="auto"/>
              <w:right w:val="single" w:sz="4" w:space="0" w:color="000000"/>
            </w:tcBorders>
            <w:shd w:val="clear" w:color="auto" w:fill="D3D3D3"/>
          </w:tcPr>
          <w:p>
            <w:pPr/>
          </w:p>
        </w:tc>
        <w:tc>
          <w:tcPr>
            <w:tcW w:w="1429"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788" w:type="dxa"/>
            <w:vMerge/>
            <w:tcBorders>
              <w:left w:val="single" w:sz="4" w:space="0" w:color="000000"/>
              <w:bottom w:val="single" w:sz="4" w:space="0" w:color="000000"/>
              <w:right w:val="single" w:sz="4" w:space="0" w:color="000000"/>
            </w:tcBorders>
            <w:shd w:val="clear" w:color="auto" w:fill="D3D3D3"/>
          </w:tcPr>
          <w:p>
            <w:pPr/>
          </w:p>
        </w:tc>
        <w:tc>
          <w:tcPr>
            <w:tcW w:w="1458" w:type="dxa"/>
            <w:vMerge/>
            <w:tcBorders>
              <w:left w:val="single" w:sz="4" w:space="0" w:color="000000"/>
              <w:bottom w:val="single" w:sz="4" w:space="0" w:color="000000"/>
              <w:right w:val="single" w:sz="4" w:space="0" w:color="000000"/>
            </w:tcBorders>
            <w:shd w:val="clear" w:color="auto" w:fill="D3D3D3"/>
          </w:tcPr>
          <w:p>
            <w:pPr/>
          </w:p>
        </w:tc>
        <w:tc>
          <w:tcPr>
            <w:tcW w:w="1084" w:type="dxa"/>
            <w:tcBorders>
              <w:top w:val="nil" w:sz="6" w:space="0" w:color="auto"/>
              <w:left w:val="single" w:sz="4" w:space="0" w:color="000000"/>
              <w:bottom w:val="single" w:sz="4" w:space="0" w:color="000000"/>
              <w:right w:val="single" w:sz="4" w:space="0" w:color="000000"/>
            </w:tcBorders>
            <w:shd w:val="clear" w:color="auto" w:fill="D3D3D3"/>
          </w:tcPr>
          <w:p>
            <w:pPr/>
          </w:p>
        </w:tc>
        <w:tc>
          <w:tcPr>
            <w:tcW w:w="1091" w:type="dxa"/>
            <w:vMerge/>
            <w:tcBorders>
              <w:left w:val="single" w:sz="4" w:space="0" w:color="000000"/>
              <w:bottom w:val="single" w:sz="4" w:space="0" w:color="000000"/>
              <w:right w:val="single" w:sz="4" w:space="0" w:color="000000"/>
            </w:tcBorders>
            <w:shd w:val="clear" w:color="auto" w:fill="D3D3D3"/>
          </w:tcPr>
          <w:p>
            <w:pPr/>
          </w:p>
        </w:tc>
        <w:tc>
          <w:tcPr>
            <w:tcW w:w="852" w:type="dxa"/>
            <w:tcBorders>
              <w:top w:val="nil" w:sz="6" w:space="0" w:color="auto"/>
              <w:left w:val="single" w:sz="4" w:space="0" w:color="000000"/>
              <w:bottom w:val="single" w:sz="4" w:space="0" w:color="000000"/>
              <w:right w:val="single" w:sz="4" w:space="0" w:color="000000"/>
            </w:tcBorders>
            <w:shd w:val="clear" w:color="auto" w:fill="D3D3D3"/>
          </w:tcPr>
          <w:p>
            <w:pPr/>
          </w:p>
        </w:tc>
        <w:tc>
          <w:tcPr>
            <w:tcW w:w="765" w:type="dxa"/>
            <w:tcBorders>
              <w:top w:val="nil" w:sz="6" w:space="0" w:color="auto"/>
              <w:left w:val="single" w:sz="4" w:space="0" w:color="000000"/>
              <w:bottom w:val="single" w:sz="4" w:space="0" w:color="000000"/>
              <w:right w:val="single" w:sz="4" w:space="0" w:color="000000"/>
            </w:tcBorders>
            <w:shd w:val="clear" w:color="auto" w:fill="D3D3D3"/>
          </w:tcPr>
          <w:p>
            <w:pPr/>
          </w:p>
        </w:tc>
        <w:tc>
          <w:tcPr>
            <w:tcW w:w="643" w:type="dxa"/>
            <w:tcBorders>
              <w:top w:val="nil" w:sz="6" w:space="0" w:color="auto"/>
              <w:left w:val="single" w:sz="4" w:space="0" w:color="000000"/>
              <w:bottom w:val="single" w:sz="4" w:space="0" w:color="000000"/>
              <w:right w:val="single" w:sz="4" w:space="0" w:color="000000"/>
            </w:tcBorders>
            <w:shd w:val="clear" w:color="auto" w:fill="D3D3D3"/>
          </w:tcPr>
          <w:p>
            <w:pPr/>
          </w:p>
        </w:tc>
        <w:tc>
          <w:tcPr>
            <w:tcW w:w="431" w:type="dxa"/>
            <w:tcBorders>
              <w:top w:val="nil" w:sz="6" w:space="0" w:color="auto"/>
              <w:left w:val="single" w:sz="4" w:space="0" w:color="000000"/>
              <w:bottom w:val="single" w:sz="4" w:space="0" w:color="000000"/>
              <w:right w:val="single" w:sz="4" w:space="0" w:color="000000"/>
            </w:tcBorders>
            <w:shd w:val="clear" w:color="auto" w:fill="D3D3D3"/>
          </w:tcPr>
          <w:p>
            <w:pPr/>
          </w:p>
        </w:tc>
        <w:tc>
          <w:tcPr>
            <w:tcW w:w="1429"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7752" w:type="dxa"/>
            <w:gridSpan w:val="8"/>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1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其他权益工具投资</w:t>
            </w:r>
          </w:p>
        </w:tc>
        <w:tc>
          <w:tcPr>
            <w:tcW w:w="145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1"/>
                <w:sz w:val="18"/>
              </w:rPr>
              <w:t>30,194,928.13</w:t>
            </w: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65"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30,194,928.13</w:t>
            </w:r>
          </w:p>
        </w:tc>
      </w:tr>
      <w:tr>
        <w:trPr>
          <w:trHeight w:val="402" w:hRule="exact"/>
        </w:trPr>
        <w:tc>
          <w:tcPr>
            <w:tcW w:w="1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45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1"/>
                <w:sz w:val="18"/>
              </w:rPr>
              <w:t>30,194,928.13</w:t>
            </w: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65"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30,194,928.13</w:t>
            </w:r>
          </w:p>
        </w:tc>
      </w:tr>
      <w:tr>
        <w:trPr>
          <w:trHeight w:val="402" w:hRule="exact"/>
        </w:trPr>
        <w:tc>
          <w:tcPr>
            <w:tcW w:w="1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45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pacing w:val="-1"/>
                <w:sz w:val="18"/>
              </w:rPr>
              <w:t>30,194,928.13</w:t>
            </w: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65"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30,194,928.13</w:t>
            </w:r>
          </w:p>
        </w:tc>
      </w:tr>
      <w:tr>
        <w:trPr>
          <w:trHeight w:val="403" w:hRule="exact"/>
        </w:trPr>
        <w:tc>
          <w:tcPr>
            <w:tcW w:w="1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45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z w:val="18"/>
              </w:rPr>
              <w:t>0.00</w:t>
            </w:r>
          </w:p>
        </w:tc>
        <w:tc>
          <w:tcPr>
            <w:tcW w:w="1084" w:type="dxa"/>
            <w:tcBorders>
              <w:top w:val="single" w:sz="4" w:space="0" w:color="000000"/>
              <w:left w:val="single" w:sz="4" w:space="0" w:color="000000"/>
              <w:bottom w:val="single" w:sz="4" w:space="0" w:color="000000"/>
              <w:right w:val="single" w:sz="4" w:space="0" w:color="000000"/>
            </w:tcBorders>
          </w:tcPr>
          <w:p>
            <w:pPr/>
          </w:p>
        </w:tc>
        <w:tc>
          <w:tcPr>
            <w:tcW w:w="1091"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765"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其他变动的内容</w:t>
      </w:r>
    </w:p>
    <w:p>
      <w:pPr>
        <w:pStyle w:val="BodyText"/>
        <w:spacing w:line="309" w:lineRule="auto" w:before="115"/>
        <w:ind w:right="1128" w:firstLine="360"/>
        <w:jc w:val="both"/>
      </w:pPr>
      <w:r>
        <w:rPr>
          <w:rFonts w:ascii="Times New Roman" w:hAnsi="Times New Roman" w:cs="Times New Roman" w:eastAsia="Times New Roman" w:hint="default"/>
        </w:rPr>
        <w:t>1</w:t>
      </w:r>
      <w:r>
        <w:rPr/>
        <w:t>、因被投资企业河北国信投资控股集团股份有限公司、河北银行股份有限公司、北京未名雅集文化传播中心、北京北 </w:t>
      </w:r>
      <w:r>
        <w:rPr>
          <w:spacing w:val="-2"/>
        </w:rPr>
        <w:t>明兆业科技有限公司的经营环境和经营情况、财务状况未发生重大变化，所以公司按投资成本作为公允价值的合理估计进行</w:t>
      </w:r>
      <w:r>
        <w:rPr>
          <w:spacing w:val="-64"/>
        </w:rPr>
        <w:t> </w:t>
      </w:r>
      <w:r>
        <w:rPr>
          <w:spacing w:val="-64"/>
        </w:rPr>
      </w:r>
      <w:r>
        <w:rPr/>
        <w:t>计量。</w:t>
      </w:r>
    </w:p>
    <w:p>
      <w:pPr>
        <w:pStyle w:val="BodyText"/>
        <w:spacing w:line="300" w:lineRule="auto" w:before="24"/>
        <w:ind w:right="1128" w:firstLine="360"/>
        <w:jc w:val="both"/>
      </w:pPr>
      <w:r>
        <w:rPr>
          <w:rFonts w:ascii="Times New Roman" w:hAnsi="Times New Roman" w:cs="Times New Roman" w:eastAsia="Times New Roman" w:hint="default"/>
        </w:rPr>
        <w:t>2</w:t>
      </w:r>
      <w:r>
        <w:rPr/>
        <w:t>、因被投资企业紫光创新投资有限公司的经营环境和经营情况、财务状况与上年未发生重大变化，所以公司按年初账 面价值作为公允价值的合理估计进行计量。</w:t>
      </w:r>
    </w:p>
    <w:p>
      <w:pPr>
        <w:pStyle w:val="BodyText"/>
        <w:spacing w:line="240" w:lineRule="auto" w:before="72"/>
        <w:ind w:left="153" w:right="0"/>
        <w:jc w:val="left"/>
      </w:pPr>
      <w:r>
        <w:rPr/>
        <w:t>报告期内公司主要资产计量属性是否发生重大变化</w:t>
      </w:r>
    </w:p>
    <w:p>
      <w:pPr>
        <w:pStyle w:val="BodyText"/>
        <w:spacing w:line="240" w:lineRule="auto" w:before="117"/>
        <w:ind w:left="153" w:right="0"/>
        <w:jc w:val="left"/>
      </w:pPr>
      <w:r>
        <w:rPr/>
        <w:t>□ 是 √ 否</w:t>
      </w:r>
    </w:p>
    <w:p>
      <w:pPr>
        <w:spacing w:after="0" w:line="240" w:lineRule="auto"/>
        <w:jc w:val="left"/>
        <w:sectPr>
          <w:pgSz w:w="11910" w:h="16840"/>
          <w:pgMar w:header="747" w:footer="982" w:top="1060" w:bottom="118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1950"/>
        <w:gridCol w:w="2736"/>
        <w:gridCol w:w="5032"/>
      </w:tblGrid>
      <w:tr>
        <w:trPr>
          <w:trHeight w:val="347" w:hRule="exact"/>
        </w:trPr>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19"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5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27" w:hRule="exact"/>
        </w:trPr>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245,145,084.31</w:t>
            </w:r>
          </w:p>
        </w:tc>
        <w:tc>
          <w:tcPr>
            <w:tcW w:w="5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票据、保函及农民工工资等保证金</w:t>
            </w:r>
          </w:p>
        </w:tc>
      </w:tr>
      <w:tr>
        <w:trPr>
          <w:trHeight w:val="427" w:hRule="exact"/>
        </w:trPr>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193,406,374.08</w:t>
            </w:r>
          </w:p>
        </w:tc>
        <w:tc>
          <w:tcPr>
            <w:tcW w:w="5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项目借款抵押</w:t>
            </w:r>
          </w:p>
        </w:tc>
      </w:tr>
      <w:tr>
        <w:trPr>
          <w:trHeight w:val="427" w:hRule="exact"/>
        </w:trPr>
        <w:tc>
          <w:tcPr>
            <w:tcW w:w="19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438,551,458.39</w:t>
            </w:r>
          </w:p>
        </w:tc>
        <w:tc>
          <w:tcPr>
            <w:tcW w:w="503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五、投资状况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346,135,049.61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438,320,168.56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7"/>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357" w:hRule="exact"/>
        </w:trPr>
        <w:tc>
          <w:tcPr>
            <w:tcW w:w="732"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截至报</w:t>
            </w: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截止报</w:t>
            </w: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91"/>
              <w:jc w:val="right"/>
              <w:rPr>
                <w:rFonts w:ascii="宋体" w:hAnsi="宋体" w:cs="宋体" w:eastAsia="宋体" w:hint="default"/>
                <w:sz w:val="18"/>
                <w:szCs w:val="18"/>
              </w:rPr>
            </w:pPr>
            <w:r>
              <w:rPr>
                <w:rFonts w:ascii="宋体" w:hAnsi="宋体" w:cs="宋体" w:eastAsia="宋体" w:hint="default"/>
                <w:sz w:val="18"/>
                <w:szCs w:val="18"/>
              </w:rPr>
              <w:t>未达到</w:t>
            </w: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937" w:hRule="exact"/>
        </w:trPr>
        <w:tc>
          <w:tcPr>
            <w:tcW w:w="73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69"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93" w:right="91"/>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92" w:right="91"/>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92" w:right="91"/>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93" w:right="91"/>
              <w:jc w:val="both"/>
              <w:rPr>
                <w:rFonts w:ascii="宋体" w:hAnsi="宋体" w:cs="宋体" w:eastAsia="宋体" w:hint="default"/>
                <w:sz w:val="18"/>
                <w:szCs w:val="18"/>
              </w:rPr>
            </w:pPr>
            <w:r>
              <w:rPr>
                <w:rFonts w:ascii="宋体" w:hAnsi="宋体" w:cs="宋体" w:eastAsia="宋体" w:hint="default"/>
                <w:sz w:val="18"/>
                <w:szCs w:val="18"/>
              </w:rPr>
              <w:t>告期末 累计实 际投入</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72" w:right="91"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92" w:right="91"/>
              <w:jc w:val="both"/>
              <w:rPr>
                <w:rFonts w:ascii="宋体" w:hAnsi="宋体" w:cs="宋体" w:eastAsia="宋体" w:hint="default"/>
                <w:sz w:val="18"/>
                <w:szCs w:val="18"/>
              </w:rPr>
            </w:pPr>
            <w:r>
              <w:rPr>
                <w:rFonts w:ascii="宋体" w:hAnsi="宋体" w:cs="宋体" w:eastAsia="宋体" w:hint="default"/>
                <w:sz w:val="18"/>
                <w:szCs w:val="18"/>
              </w:rPr>
              <w:t>告期末 累计实 现的收</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92" w:right="91"/>
              <w:jc w:val="both"/>
              <w:rPr>
                <w:rFonts w:ascii="宋体" w:hAnsi="宋体" w:cs="宋体" w:eastAsia="宋体" w:hint="default"/>
                <w:sz w:val="18"/>
                <w:szCs w:val="18"/>
              </w:rPr>
            </w:pPr>
            <w:r>
              <w:rPr>
                <w:rFonts w:ascii="宋体" w:hAnsi="宋体" w:cs="宋体" w:eastAsia="宋体" w:hint="default"/>
                <w:sz w:val="18"/>
                <w:szCs w:val="18"/>
              </w:rPr>
              <w:t>计划进 度和预 计收益</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93" w:right="9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92" w:right="91"/>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356" w:hRule="exact"/>
        </w:trPr>
        <w:tc>
          <w:tcPr>
            <w:tcW w:w="732"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w:t>
            </w: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91"/>
              <w:jc w:val="right"/>
              <w:rPr>
                <w:rFonts w:ascii="宋体" w:hAnsi="宋体" w:cs="宋体" w:eastAsia="宋体" w:hint="default"/>
                <w:sz w:val="18"/>
                <w:szCs w:val="18"/>
              </w:rPr>
            </w:pPr>
            <w:r>
              <w:rPr>
                <w:rFonts w:ascii="宋体" w:hAnsi="宋体" w:cs="宋体" w:eastAsia="宋体" w:hint="default"/>
                <w:sz w:val="18"/>
                <w:szCs w:val="18"/>
              </w:rPr>
              <w:t>的原因</w:t>
            </w: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57" w:hRule="exact"/>
        </w:trPr>
        <w:tc>
          <w:tcPr>
            <w:tcW w:w="732"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w:t>
            </w:r>
          </w:p>
        </w:tc>
      </w:tr>
      <w:tr>
        <w:trPr>
          <w:trHeight w:val="315" w:hRule="exact"/>
        </w:trPr>
        <w:tc>
          <w:tcPr>
            <w:tcW w:w="732"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讯网</w:t>
            </w:r>
          </w:p>
        </w:tc>
      </w:tr>
      <w:tr>
        <w:trPr>
          <w:trHeight w:val="316" w:hRule="exact"/>
        </w:trPr>
        <w:tc>
          <w:tcPr>
            <w:tcW w:w="732"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hyperlink r:id="rId15">
              <w:r>
                <w:rPr>
                  <w:rFonts w:ascii="Times New Roman"/>
                  <w:sz w:val="18"/>
                </w:rPr>
                <w:t>http://w</w:t>
              </w:r>
            </w:hyperlink>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ww.cninf</w:t>
            </w:r>
          </w:p>
        </w:tc>
      </w:tr>
      <w:tr>
        <w:trPr>
          <w:trHeight w:val="299" w:hRule="exact"/>
        </w:trPr>
        <w:tc>
          <w:tcPr>
            <w:tcW w:w="732"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o.com.cn</w:t>
            </w:r>
          </w:p>
        </w:tc>
      </w:tr>
      <w:tr>
        <w:trPr>
          <w:trHeight w:val="1254"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2" w:right="157"/>
              <w:jc w:val="both"/>
              <w:rPr>
                <w:rFonts w:ascii="宋体" w:hAnsi="宋体" w:cs="宋体" w:eastAsia="宋体" w:hint="default"/>
                <w:sz w:val="18"/>
                <w:szCs w:val="18"/>
              </w:rPr>
            </w:pPr>
            <w:r>
              <w:rPr>
                <w:rFonts w:ascii="宋体" w:hAnsi="宋体" w:cs="宋体" w:eastAsia="宋体" w:hint="default"/>
                <w:sz w:val="18"/>
                <w:szCs w:val="18"/>
              </w:rPr>
              <w:t>常山云 数据中 心一期 工程</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自建</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107,604,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165.49</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676,051,</w:t>
            </w:r>
          </w:p>
          <w:p>
            <w:pPr>
              <w:pStyle w:val="TableParagraph"/>
              <w:spacing w:line="240" w:lineRule="auto" w:before="105"/>
              <w:ind w:left="193" w:right="0"/>
              <w:jc w:val="center"/>
              <w:rPr>
                <w:rFonts w:ascii="Times New Roman" w:hAnsi="Times New Roman" w:cs="Times New Roman" w:eastAsia="Times New Roman" w:hint="default"/>
                <w:sz w:val="18"/>
                <w:szCs w:val="18"/>
              </w:rPr>
            </w:pPr>
            <w:r>
              <w:rPr>
                <w:rFonts w:ascii="Times New Roman"/>
                <w:sz w:val="18"/>
              </w:rPr>
              <w:t>211.08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79.20%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135,580,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387"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6"/>
              <w:ind w:left="22" w:right="161"/>
              <w:jc w:val="both"/>
              <w:rPr>
                <w:rFonts w:ascii="宋体" w:hAnsi="宋体" w:cs="宋体" w:eastAsia="宋体" w:hint="default"/>
                <w:sz w:val="18"/>
                <w:szCs w:val="18"/>
              </w:rPr>
            </w:pPr>
            <w:r>
              <w:rPr>
                <w:rFonts w:ascii="宋体" w:hAnsi="宋体" w:cs="宋体" w:eastAsia="宋体" w:hint="default"/>
                <w:sz w:val="18"/>
                <w:szCs w:val="18"/>
              </w:rPr>
              <w:t>《石家 庄常山 纺织股 份有限</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公司关</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于投资</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云数据</w:t>
            </w:r>
          </w:p>
        </w:tc>
      </w:tr>
      <w:tr>
        <w:trPr>
          <w:trHeight w:val="312" w:hRule="exact"/>
        </w:trPr>
        <w:tc>
          <w:tcPr>
            <w:tcW w:w="732"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中心项</w:t>
            </w:r>
          </w:p>
        </w:tc>
      </w:tr>
      <w:tr>
        <w:trPr>
          <w:trHeight w:val="318" w:hRule="exact"/>
        </w:trPr>
        <w:tc>
          <w:tcPr>
            <w:tcW w:w="732"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目一期</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674" w:hRule="exact"/>
        </w:trPr>
        <w:tc>
          <w:tcPr>
            <w:tcW w:w="732"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1"/>
              <w:jc w:val="left"/>
              <w:rPr>
                <w:rFonts w:ascii="宋体" w:hAnsi="宋体" w:cs="宋体" w:eastAsia="宋体" w:hint="default"/>
                <w:sz w:val="18"/>
                <w:szCs w:val="18"/>
              </w:rPr>
            </w:pPr>
            <w:r>
              <w:rPr>
                <w:rFonts w:ascii="宋体" w:hAnsi="宋体" w:cs="宋体" w:eastAsia="宋体" w:hint="default"/>
                <w:sz w:val="18"/>
                <w:szCs w:val="18"/>
              </w:rPr>
              <w:t>工程的 公告》</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107,604,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165.49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676,051,</w:t>
            </w:r>
          </w:p>
          <w:p>
            <w:pPr>
              <w:pStyle w:val="TableParagraph"/>
              <w:spacing w:line="240" w:lineRule="auto" w:before="105"/>
              <w:ind w:left="193" w:right="0"/>
              <w:jc w:val="center"/>
              <w:rPr>
                <w:rFonts w:ascii="Times New Roman" w:hAnsi="Times New Roman" w:cs="Times New Roman" w:eastAsia="Times New Roman" w:hint="default"/>
                <w:sz w:val="18"/>
                <w:szCs w:val="18"/>
              </w:rPr>
            </w:pPr>
            <w:r>
              <w:rPr>
                <w:rFonts w:ascii="Times New Roman"/>
                <w:sz w:val="18"/>
              </w:rPr>
              <w:t>211.08</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135,580,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7"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、金融资产投资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）证券投资情况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3" w:right="8411"/>
        <w:jc w:val="left"/>
      </w:pPr>
      <w:r>
        <w:rPr/>
        <w:t>□ 适用 √ 不适用 公司报告期不存在证券投资。</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8231"/>
        <w:jc w:val="left"/>
      </w:pPr>
      <w:r>
        <w:rPr/>
        <w:t>□ 适用 √ 不适用 公司报告期不存在衍生品投资。</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6"/>
        <w:ind w:left="0" w:right="1131"/>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6"/>
        <w:gridCol w:w="863"/>
        <w:gridCol w:w="877"/>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714"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54,870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1,396.25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54,870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17,863.63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32.56%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54,870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1,396.25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54,870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17,863.63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32.56%</w:t>
            </w:r>
          </w:p>
        </w:tc>
        <w:tc>
          <w:tcPr>
            <w:tcW w:w="870"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027"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日，公司已将募集资金专户中剩余募集资金全部使用完毕。累计使用募集资金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54,870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万元，其</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中补充运营资金、偿还银行借款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30,029.49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万元，本次交易的相关税费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1,135.26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万元，云中心管理平台建设项目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2,913.05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万元，智慧城市行业解决方案建设项目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2,928.57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常山云数据中心项目一期工程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17,863.63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747" w:footer="982" w:top="1060" w:bottom="1180" w:left="980" w:right="0"/>
        </w:sectPr>
      </w:pPr>
    </w:p>
    <w:p>
      <w:pPr>
        <w:spacing w:line="240" w:lineRule="auto" w:before="13"/>
        <w:rPr>
          <w:rFonts w:ascii="宋体" w:hAnsi="宋体" w:cs="宋体" w:eastAsia="宋体" w:hint="default"/>
          <w:sz w:val="25"/>
          <w:szCs w:val="25"/>
        </w:rPr>
      </w:pPr>
      <w:r>
        <w:rPr/>
        <w:pict>
          <v:shape style="position:absolute;margin-left:56.459999pt;margin-top:89.580017pt;width:479.1pt;height:665.65pt;mso-position-horizontal-relative:page;mso-position-vertical-relative:page;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19" w:right="68"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6"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云中心管理平台建 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13,550.36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2,913.05</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2,913.05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智慧城市行业解决 方案建设项目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9,290.15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2,928.57</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2,928.57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补充运营资金、偿还</w:t>
                        </w:r>
                        <w:r>
                          <w:rPr>
                            <w:rFonts w:ascii="宋体" w:hAnsi="宋体" w:cs="宋体" w:eastAsia="宋体" w:hint="default"/>
                            <w:sz w:val="18"/>
                            <w:szCs w:val="18"/>
                          </w:rPr>
                          <w:t> 银行借款</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30,029.49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30,029.49</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30,029.49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本次交易的相关税 费</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1,135.26</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1,135.26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61"/>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常山云数据中心项 目一期工程</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17,863.63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1,396.25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17,863.63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54,870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54,870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1,396.25</w:t>
                        </w:r>
                      </w:p>
                    </w:tc>
                    <w:tc>
                      <w:tcPr>
                        <w:tcW w:w="780"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54,870</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3" w:space="0" w:color="D3D3D3"/>
                          <w:bottom w:val="single" w:sz="4" w:space="0" w:color="000000"/>
                          <w:right w:val="single" w:sz="10" w:space="0" w:color="D3D3D3"/>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54,870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54,870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1,396.25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54,870</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 w:space="0" w:color="000000"/>
                          <w:left w:val="single" w:sz="10"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7" w:hRule="exact"/>
                    </w:trPr>
                    <w:tc>
                      <w:tcPr>
                        <w:tcW w:w="1770" w:type="dxa"/>
                        <w:tcBorders>
                          <w:top w:val="single" w:sz="4" w:space="0" w:color="000000"/>
                          <w:left w:val="single" w:sz="4" w:space="0" w:color="000000"/>
                          <w:bottom w:val="nil" w:sz="6" w:space="0" w:color="auto"/>
                          <w:right w:val="single" w:sz="4" w:space="0" w:color="000000"/>
                        </w:tcBorders>
                        <w:shd w:val="clear" w:color="auto" w:fill="D3D3D3"/>
                      </w:tcPr>
                      <w:p>
                        <w:pPr/>
                      </w:p>
                    </w:tc>
                    <w:tc>
                      <w:tcPr>
                        <w:tcW w:w="7798" w:type="dxa"/>
                        <w:gridSpan w:val="10"/>
                        <w:vMerge w:val="restart"/>
                        <w:tcBorders>
                          <w:top w:val="single" w:sz="4" w:space="0" w:color="000000"/>
                          <w:left w:val="single" w:sz="10" w:space="0" w:color="D3D3D3"/>
                          <w:right w:val="single" w:sz="4" w:space="0" w:color="000000"/>
                        </w:tcBorders>
                      </w:tcPr>
                      <w:p>
                        <w:pPr>
                          <w:pStyle w:val="TableParagraph"/>
                          <w:spacing w:line="312" w:lineRule="auto" w:before="51"/>
                          <w:ind w:left="15" w:right="23"/>
                          <w:jc w:val="left"/>
                          <w:rPr>
                            <w:rFonts w:ascii="宋体" w:hAnsi="宋体" w:cs="宋体" w:eastAsia="宋体" w:hint="default"/>
                            <w:sz w:val="18"/>
                            <w:szCs w:val="18"/>
                          </w:rPr>
                        </w:pPr>
                        <w:r>
                          <w:rPr>
                            <w:rFonts w:ascii="宋体" w:hAnsi="宋体" w:cs="宋体" w:eastAsia="宋体" w:hint="default"/>
                            <w:sz w:val="18"/>
                            <w:szCs w:val="18"/>
                          </w:rPr>
                          <w:t>由于原募集资金投资项目编制于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月，随着项目研发的推进，影响募投项目的主要因素发 </w:t>
                        </w:r>
                        <w:r>
                          <w:rPr>
                            <w:rFonts w:ascii="宋体" w:hAnsi="宋体" w:cs="宋体" w:eastAsia="宋体" w:hint="default"/>
                            <w:spacing w:val="-3"/>
                            <w:sz w:val="18"/>
                            <w:szCs w:val="18"/>
                          </w:rPr>
                          <w:t>生了较大的变化。募投项目实施期间，云计算服务领域和智慧城市建设领域市场发生了较大的变化</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商业模式不断演变、创新技术不断涌现，需要对原有的经营模式和产品形态进行优化和改善，不断 拓宽和增强营收的渠道，提高产品的市场生命力。</w:t>
                        </w:r>
                      </w:p>
                    </w:tc>
                  </w:tr>
                  <w:tr>
                    <w:trPr>
                      <w:trHeight w:val="704" w:hRule="exact"/>
                    </w:trPr>
                    <w:tc>
                      <w:tcPr>
                        <w:tcW w:w="17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vMerge/>
                        <w:tcBorders>
                          <w:left w:val="single" w:sz="10" w:space="0" w:color="D3D3D3"/>
                          <w:right w:val="single" w:sz="4" w:space="0" w:color="000000"/>
                        </w:tcBorders>
                      </w:tcPr>
                      <w:p>
                        <w:pPr/>
                      </w:p>
                    </w:tc>
                  </w:tr>
                  <w:tr>
                    <w:trPr>
                      <w:trHeight w:val="317" w:hRule="exact"/>
                    </w:trPr>
                    <w:tc>
                      <w:tcPr>
                        <w:tcW w:w="1770" w:type="dxa"/>
                        <w:tcBorders>
                          <w:top w:val="nil" w:sz="6" w:space="0" w:color="auto"/>
                          <w:left w:val="single" w:sz="4" w:space="0" w:color="000000"/>
                          <w:bottom w:val="single" w:sz="4" w:space="0" w:color="000000"/>
                          <w:right w:val="single" w:sz="4" w:space="0" w:color="000000"/>
                        </w:tcBorders>
                        <w:shd w:val="clear" w:color="auto" w:fill="D3D3D3"/>
                      </w:tcPr>
                      <w:p>
                        <w:pPr/>
                      </w:p>
                    </w:tc>
                    <w:tc>
                      <w:tcPr>
                        <w:tcW w:w="7798" w:type="dxa"/>
                        <w:gridSpan w:val="10"/>
                        <w:vMerge/>
                        <w:tcBorders>
                          <w:left w:val="single" w:sz="10" w:space="0" w:color="D3D3D3"/>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1"/>
                          <w:ind w:left="22" w:right="23"/>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2"/>
                            <w:szCs w:val="22"/>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原项目实施主体由北明软件变更为本公司，在石家庄市正定县高新技术产业园常山工业园内实施。</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2"/>
                            <w:szCs w:val="22"/>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1"/>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p>
    <w:p>
      <w:pPr>
        <w:pStyle w:val="BodyText"/>
        <w:spacing w:line="240" w:lineRule="auto" w:before="44"/>
        <w:ind w:left="0" w:right="1130"/>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spacing w:line="240" w:lineRule="auto" w:before="44"/>
        <w:ind w:left="0" w:right="1139"/>
        <w:jc w:val="right"/>
      </w:pPr>
      <w:r>
        <w:rPr/>
        <w:t>，</w:t>
      </w:r>
    </w:p>
    <w:p>
      <w:pPr>
        <w:spacing w:after="0" w:line="240" w:lineRule="auto"/>
        <w:jc w:val="right"/>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8"/>
      </w:tblGrid>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1"/>
              <w:ind w:left="22" w:right="11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70" w:type="dxa"/>
            <w:vMerge/>
            <w:tcBorders>
              <w:left w:val="single" w:sz="4" w:space="0" w:color="000000"/>
              <w:bottom w:val="single" w:sz="4" w:space="0" w:color="FFFFFF"/>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FFFFFF"/>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本报告期公司不存在将部分闲置的募集资金暂时用于补充流动资金的情况。</w:t>
            </w:r>
          </w:p>
        </w:tc>
      </w:tr>
      <w:tr>
        <w:trPr>
          <w:trHeight w:val="402" w:hRule="exact"/>
        </w:trPr>
        <w:tc>
          <w:tcPr>
            <w:tcW w:w="1770" w:type="dxa"/>
            <w:vMerge w:val="restart"/>
            <w:tcBorders>
              <w:top w:val="single" w:sz="4" w:space="0" w:color="FFFFFF"/>
              <w:left w:val="single" w:sz="4" w:space="0" w:color="000000"/>
              <w:right w:val="single" w:sz="4" w:space="0" w:color="000000"/>
            </w:tcBorders>
            <w:shd w:val="clear" w:color="auto" w:fill="D3D3D3"/>
          </w:tcPr>
          <w:p>
            <w:pPr>
              <w:pStyle w:val="TableParagraph"/>
              <w:spacing w:line="316" w:lineRule="auto" w:before="91"/>
              <w:ind w:left="22"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日，募集资金已全部使用完毕，不存在用于非募集资金项目的情况。</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详见五、募集资金使用及披露中存在的问题</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7"/>
        <w:ind w:left="0" w:right="1131"/>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58"/>
        <w:gridCol w:w="958"/>
        <w:gridCol w:w="956"/>
        <w:gridCol w:w="728"/>
        <w:gridCol w:w="958"/>
        <w:gridCol w:w="955"/>
        <w:gridCol w:w="958"/>
        <w:gridCol w:w="730"/>
        <w:gridCol w:w="958"/>
        <w:gridCol w:w="1382"/>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3"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9" w:right="86"/>
              <w:jc w:val="center"/>
              <w:rPr>
                <w:rFonts w:ascii="宋体" w:hAnsi="宋体" w:cs="宋体" w:eastAsia="宋体" w:hint="default"/>
                <w:sz w:val="18"/>
                <w:szCs w:val="18"/>
              </w:rPr>
            </w:pPr>
            <w:r>
              <w:rPr>
                <w:rFonts w:ascii="宋体" w:hAnsi="宋体" w:cs="宋体" w:eastAsia="宋体" w:hint="default"/>
                <w:sz w:val="18"/>
                <w:szCs w:val="18"/>
              </w:rPr>
              <w:t>本报告 期实际 投入金 额</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0"/>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9" w:right="89"/>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1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6" w:right="54"/>
              <w:jc w:val="center"/>
              <w:rPr>
                <w:rFonts w:ascii="宋体" w:hAnsi="宋体" w:cs="宋体" w:eastAsia="宋体" w:hint="default"/>
                <w:sz w:val="18"/>
                <w:szCs w:val="18"/>
              </w:rPr>
            </w:pPr>
            <w:r>
              <w:rPr>
                <w:rFonts w:ascii="宋体" w:hAnsi="宋体" w:cs="宋体" w:eastAsia="宋体" w:hint="default"/>
                <w:sz w:val="18"/>
                <w:szCs w:val="18"/>
              </w:rPr>
              <w:t>变更后的项目可 行性是否发生重 大变化</w:t>
            </w:r>
          </w:p>
        </w:tc>
      </w:tr>
      <w:tr>
        <w:trPr>
          <w:trHeight w:val="258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23"/>
              <w:jc w:val="both"/>
              <w:rPr>
                <w:rFonts w:ascii="宋体" w:hAnsi="宋体" w:cs="宋体" w:eastAsia="宋体" w:hint="default"/>
                <w:sz w:val="18"/>
                <w:szCs w:val="18"/>
              </w:rPr>
            </w:pPr>
            <w:r>
              <w:rPr>
                <w:rFonts w:ascii="宋体" w:hAnsi="宋体" w:cs="宋体" w:eastAsia="宋体" w:hint="default"/>
                <w:sz w:val="18"/>
                <w:szCs w:val="18"/>
              </w:rPr>
              <w:t>常山云数据 中心项目一 期工程</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云中心管理 平台建设项 目、智慧城 市行业解决 方案建设项 目、本次交 易的相关税 费</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17,863.63</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1,396.25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17,863.63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77" w:right="0"/>
              <w:jc w:val="left"/>
              <w:rPr>
                <w:rFonts w:ascii="Times New Roman" w:hAnsi="Times New Roman" w:cs="Times New Roman" w:eastAsia="Times New Roman" w:hint="default"/>
                <w:sz w:val="18"/>
                <w:szCs w:val="18"/>
              </w:rPr>
            </w:pPr>
            <w:r>
              <w:rPr>
                <w:rFonts w:ascii="Times New Roman"/>
                <w:sz w:val="18"/>
              </w:rPr>
              <w:t>100.00%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17,863.63</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1,396.25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17,863.63</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3210"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2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68" w:type="dxa"/>
            <w:gridSpan w:val="7"/>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 w:firstLine="360"/>
              <w:jc w:val="both"/>
              <w:rPr>
                <w:rFonts w:ascii="Times New Roman" w:hAnsi="Times New Roman" w:cs="Times New Roman" w:eastAsia="Times New Roman" w:hint="default"/>
                <w:sz w:val="18"/>
                <w:szCs w:val="18"/>
              </w:rPr>
            </w:pPr>
            <w:r>
              <w:rPr>
                <w:rFonts w:ascii="宋体" w:hAnsi="宋体" w:cs="宋体" w:eastAsia="宋体" w:hint="default"/>
                <w:sz w:val="18"/>
                <w:szCs w:val="18"/>
              </w:rPr>
              <w:t>鉴于本次募集资金的募投项目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云中心管理平台项目和智慧城市行业解决方案建 </w:t>
            </w:r>
            <w:r>
              <w:rPr>
                <w:rFonts w:ascii="宋体" w:hAnsi="宋体" w:cs="宋体" w:eastAsia="宋体" w:hint="default"/>
                <w:spacing w:val="-2"/>
                <w:sz w:val="18"/>
                <w:szCs w:val="18"/>
              </w:rPr>
              <w:t>设项目实施期间，云计算服务领域和智慧城市建设领域市场发生了较大的变化，商业</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模式不断演变、创新技术不断涌现，需要对原有的经营模式和产品形态进行优化和改</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善，不断拓宽和增强营收的渠道，提高产品的市场生命力。结合公司自身发展战略及</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实际经营需要，经公司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日召开的董事会六届十四次会议及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p>
            <w:pPr>
              <w:pStyle w:val="TableParagraph"/>
              <w:spacing w:line="309" w:lineRule="auto" w:before="1"/>
              <w:ind w:left="23" w:right="2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日召开的</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年第一次临时股东大会同意，公司决定变更云中心管理平台建设 </w:t>
            </w:r>
            <w:r>
              <w:rPr>
                <w:rFonts w:ascii="宋体" w:hAnsi="宋体" w:cs="宋体" w:eastAsia="宋体" w:hint="default"/>
                <w:spacing w:val="-2"/>
                <w:sz w:val="18"/>
                <w:szCs w:val="18"/>
              </w:rPr>
              <w:t>项目、智慧城市行业解决方案建设项目、本次交易的相关税费尚未使用部分募集资金</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7"/>
                <w:sz w:val="18"/>
                <w:szCs w:val="18"/>
              </w:rPr>
              <w:t>的用途，将上述剩余资金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17,863.63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万元及产生的存款利息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67.56</w:t>
            </w:r>
            <w:r>
              <w:rPr>
                <w:rFonts w:ascii="Times New Roman" w:hAnsi="Times New Roman" w:cs="Times New Roman" w:eastAsia="Times New Roman" w:hint="default"/>
                <w:spacing w:val="1"/>
                <w:sz w:val="18"/>
                <w:szCs w:val="18"/>
              </w:rPr>
              <w:t> </w:t>
            </w:r>
            <w:r>
              <w:rPr>
                <w:rFonts w:ascii="宋体" w:hAnsi="宋体" w:cs="宋体" w:eastAsia="宋体" w:hint="default"/>
                <w:spacing w:val="-15"/>
                <w:sz w:val="18"/>
                <w:szCs w:val="18"/>
              </w:rPr>
              <w:t>万元，共计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17,931.19 </w:t>
            </w:r>
            <w:r>
              <w:rPr>
                <w:rFonts w:ascii="宋体" w:hAnsi="宋体" w:cs="宋体" w:eastAsia="宋体" w:hint="default"/>
                <w:spacing w:val="-2"/>
                <w:sz w:val="18"/>
                <w:szCs w:val="18"/>
              </w:rPr>
              <w:t>万元全部投入常山云数据中心项目一期工程，原项目实施主体由北明软件变更为本公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司。</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6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68"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35"/>
        <w:gridCol w:w="636"/>
        <w:gridCol w:w="640"/>
        <w:gridCol w:w="636"/>
        <w:gridCol w:w="640"/>
        <w:gridCol w:w="638"/>
        <w:gridCol w:w="637"/>
        <w:gridCol w:w="641"/>
        <w:gridCol w:w="637"/>
        <w:gridCol w:w="641"/>
        <w:gridCol w:w="637"/>
        <w:gridCol w:w="638"/>
        <w:gridCol w:w="640"/>
        <w:gridCol w:w="638"/>
        <w:gridCol w:w="638"/>
      </w:tblGrid>
      <w:tr>
        <w:trPr>
          <w:trHeight w:val="358" w:hRule="exact"/>
        </w:trPr>
        <w:tc>
          <w:tcPr>
            <w:tcW w:w="635" w:type="dxa"/>
            <w:tcBorders>
              <w:top w:val="single" w:sz="4" w:space="0" w:color="000000"/>
              <w:left w:val="single" w:sz="4" w:space="0" w:color="000000"/>
              <w:bottom w:val="nil" w:sz="6" w:space="0" w:color="auto"/>
              <w:right w:val="single" w:sz="4" w:space="0" w:color="000000"/>
            </w:tcBorders>
            <w:shd w:val="clear" w:color="auto" w:fill="D3D3D3"/>
          </w:tcPr>
          <w:p>
            <w:pPr/>
          </w:p>
        </w:tc>
        <w:tc>
          <w:tcPr>
            <w:tcW w:w="636" w:type="dxa"/>
            <w:tcBorders>
              <w:top w:val="single" w:sz="4" w:space="0" w:color="000000"/>
              <w:left w:val="single" w:sz="4" w:space="0" w:color="000000"/>
              <w:bottom w:val="nil" w:sz="6" w:space="0" w:color="auto"/>
              <w:right w:val="single" w:sz="4" w:space="0" w:color="000000"/>
            </w:tcBorders>
            <w:shd w:val="clear" w:color="auto" w:fill="D3D3D3"/>
          </w:tcPr>
          <w:p>
            <w:pPr/>
          </w:p>
        </w:tc>
        <w:tc>
          <w:tcPr>
            <w:tcW w:w="640" w:type="dxa"/>
            <w:tcBorders>
              <w:top w:val="single" w:sz="4" w:space="0" w:color="000000"/>
              <w:left w:val="single" w:sz="4" w:space="0" w:color="000000"/>
              <w:bottom w:val="nil" w:sz="6" w:space="0" w:color="auto"/>
              <w:right w:val="single" w:sz="4" w:space="0" w:color="000000"/>
            </w:tcBorders>
            <w:shd w:val="clear" w:color="auto" w:fill="D3D3D3"/>
          </w:tcPr>
          <w:p>
            <w:pPr/>
          </w:p>
        </w:tc>
        <w:tc>
          <w:tcPr>
            <w:tcW w:w="636" w:type="dxa"/>
            <w:tcBorders>
              <w:top w:val="single" w:sz="4" w:space="0" w:color="000000"/>
              <w:left w:val="single" w:sz="4" w:space="0" w:color="000000"/>
              <w:bottom w:val="nil" w:sz="6" w:space="0" w:color="auto"/>
              <w:right w:val="single" w:sz="4" w:space="0" w:color="000000"/>
            </w:tcBorders>
            <w:shd w:val="clear" w:color="auto" w:fill="D3D3D3"/>
          </w:tcPr>
          <w:p>
            <w:pPr/>
          </w:p>
        </w:tc>
        <w:tc>
          <w:tcPr>
            <w:tcW w:w="640"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37" w:type="dxa"/>
            <w:tcBorders>
              <w:top w:val="single" w:sz="4" w:space="0" w:color="000000"/>
              <w:left w:val="single" w:sz="4" w:space="0" w:color="000000"/>
              <w:bottom w:val="nil" w:sz="6" w:space="0" w:color="auto"/>
              <w:right w:val="single" w:sz="4" w:space="0" w:color="000000"/>
            </w:tcBorders>
            <w:shd w:val="clear" w:color="auto" w:fill="D3D3D3"/>
          </w:tcPr>
          <w:p>
            <w:pPr/>
          </w:p>
        </w:tc>
        <w:tc>
          <w:tcPr>
            <w:tcW w:w="641" w:type="dxa"/>
            <w:tcBorders>
              <w:top w:val="single" w:sz="4" w:space="0" w:color="000000"/>
              <w:left w:val="single" w:sz="4" w:space="0" w:color="000000"/>
              <w:bottom w:val="nil" w:sz="6" w:space="0" w:color="auto"/>
              <w:right w:val="single" w:sz="4" w:space="0" w:color="000000"/>
            </w:tcBorders>
            <w:shd w:val="clear" w:color="auto" w:fill="D3D3D3"/>
          </w:tcPr>
          <w:p>
            <w:pPr/>
          </w:p>
        </w:tc>
        <w:tc>
          <w:tcPr>
            <w:tcW w:w="637" w:type="dxa"/>
            <w:tcBorders>
              <w:top w:val="single" w:sz="4" w:space="0" w:color="000000"/>
              <w:left w:val="single" w:sz="4" w:space="0" w:color="000000"/>
              <w:bottom w:val="nil" w:sz="6" w:space="0" w:color="auto"/>
              <w:right w:val="single" w:sz="4" w:space="0" w:color="000000"/>
            </w:tcBorders>
            <w:shd w:val="clear" w:color="auto" w:fill="D3D3D3"/>
          </w:tcPr>
          <w:p>
            <w:pPr/>
          </w:p>
        </w:tc>
        <w:tc>
          <w:tcPr>
            <w:tcW w:w="641" w:type="dxa"/>
            <w:tcBorders>
              <w:top w:val="single" w:sz="4" w:space="0" w:color="000000"/>
              <w:left w:val="single" w:sz="4" w:space="0" w:color="000000"/>
              <w:bottom w:val="nil" w:sz="6" w:space="0" w:color="auto"/>
              <w:right w:val="single" w:sz="4" w:space="0" w:color="000000"/>
            </w:tcBorders>
            <w:shd w:val="clear" w:color="auto" w:fill="D3D3D3"/>
          </w:tcPr>
          <w:p>
            <w:pPr/>
          </w:p>
        </w:tc>
        <w:tc>
          <w:tcPr>
            <w:tcW w:w="637"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4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是否按</w:t>
            </w: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121" w:hRule="exact"/>
        </w:trPr>
        <w:tc>
          <w:tcPr>
            <w:tcW w:w="6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319" w:lineRule="auto"/>
              <w:ind w:left="221" w:right="41"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319" w:lineRule="auto"/>
              <w:ind w:left="133" w:right="41" w:hanging="90"/>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60"/>
              <w:ind w:left="41" w:right="42"/>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44" w:right="43"/>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 的净利 润（万 元）</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6" w:lineRule="auto"/>
              <w:ind w:left="43" w:right="43"/>
              <w:jc w:val="both"/>
              <w:rPr>
                <w:rFonts w:ascii="宋体" w:hAnsi="宋体" w:cs="宋体" w:eastAsia="宋体" w:hint="default"/>
                <w:sz w:val="18"/>
                <w:szCs w:val="18"/>
              </w:rPr>
            </w:pPr>
            <w:r>
              <w:rPr>
                <w:rFonts w:ascii="宋体" w:hAnsi="宋体" w:cs="宋体" w:eastAsia="宋体" w:hint="default"/>
                <w:sz w:val="18"/>
                <w:szCs w:val="18"/>
              </w:rPr>
              <w:t>出售对 公司的 影响</w:t>
            </w:r>
          </w:p>
          <w:p>
            <w:pPr>
              <w:pStyle w:val="TableParagraph"/>
              <w:spacing w:line="240" w:lineRule="auto" w:before="20"/>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p>
        </w:tc>
        <w:tc>
          <w:tcPr>
            <w:tcW w:w="6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43" w:right="42"/>
              <w:jc w:val="both"/>
              <w:rPr>
                <w:rFonts w:ascii="宋体" w:hAnsi="宋体" w:cs="宋体" w:eastAsia="宋体" w:hint="default"/>
                <w:sz w:val="18"/>
                <w:szCs w:val="18"/>
              </w:rPr>
            </w:pPr>
            <w:r>
              <w:rPr>
                <w:rFonts w:ascii="宋体" w:hAnsi="宋体" w:cs="宋体" w:eastAsia="宋体" w:hint="default"/>
                <w:sz w:val="18"/>
                <w:szCs w:val="18"/>
              </w:rPr>
              <w:t>资产出 售为上 市公司 贡献的 净利润</w:t>
            </w:r>
          </w:p>
          <w:p>
            <w:pPr>
              <w:pStyle w:val="TableParagraph"/>
              <w:spacing w:line="316" w:lineRule="auto" w:before="20"/>
              <w:ind w:left="43" w:right="42" w:hanging="167"/>
              <w:jc w:val="both"/>
              <w:rPr>
                <w:rFonts w:ascii="宋体" w:hAnsi="宋体" w:cs="宋体" w:eastAsia="宋体" w:hint="default"/>
                <w:sz w:val="18"/>
                <w:szCs w:val="18"/>
              </w:rPr>
            </w:pPr>
            <w:r>
              <w:rPr>
                <w:rFonts w:ascii="宋体" w:hAnsi="宋体" w:cs="宋体" w:eastAsia="宋体" w:hint="default"/>
                <w:spacing w:val="-4"/>
                <w:sz w:val="18"/>
                <w:szCs w:val="18"/>
              </w:rPr>
              <w:t>）占净利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润总额 的比例</w:t>
            </w:r>
          </w:p>
        </w:tc>
        <w:tc>
          <w:tcPr>
            <w:tcW w:w="64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60"/>
              <w:ind w:left="45" w:right="43"/>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6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60"/>
              <w:ind w:left="43" w:right="42"/>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4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9" w:lineRule="auto"/>
              <w:ind w:left="45" w:right="43"/>
              <w:jc w:val="both"/>
              <w:rPr>
                <w:rFonts w:ascii="宋体" w:hAnsi="宋体" w:cs="宋体" w:eastAsia="宋体" w:hint="default"/>
                <w:sz w:val="18"/>
                <w:szCs w:val="18"/>
              </w:rPr>
            </w:pPr>
            <w:r>
              <w:rPr>
                <w:rFonts w:ascii="宋体" w:hAnsi="宋体" w:cs="宋体" w:eastAsia="宋体" w:hint="default"/>
                <w:sz w:val="18"/>
                <w:szCs w:val="18"/>
              </w:rPr>
              <w:t>与交易 对方的 关联关 系（适 用关联 交易情 形）</w:t>
            </w:r>
          </w:p>
        </w:tc>
        <w:tc>
          <w:tcPr>
            <w:tcW w:w="6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9" w:lineRule="auto"/>
              <w:ind w:left="43" w:right="42"/>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9" w:lineRule="auto"/>
              <w:ind w:left="44" w:right="42"/>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6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44" w:right="43"/>
              <w:jc w:val="center"/>
              <w:rPr>
                <w:rFonts w:ascii="宋体" w:hAnsi="宋体" w:cs="宋体" w:eastAsia="宋体" w:hint="default"/>
                <w:sz w:val="18"/>
                <w:szCs w:val="18"/>
              </w:rPr>
            </w:pPr>
            <w:r>
              <w:rPr>
                <w:rFonts w:ascii="宋体" w:hAnsi="宋体" w:cs="宋体" w:eastAsia="宋体" w:hint="default"/>
                <w:sz w:val="18"/>
                <w:szCs w:val="18"/>
              </w:rPr>
              <w:t>计划如 期实 施，如 未按计 划实 施，应 当说明 原因及 公司已 采取的</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319" w:lineRule="auto"/>
              <w:ind w:left="224" w:right="42"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4"/>
                <w:szCs w:val="24"/>
              </w:rPr>
            </w:pPr>
          </w:p>
          <w:p>
            <w:pPr>
              <w:pStyle w:val="TableParagraph"/>
              <w:spacing w:line="319" w:lineRule="auto"/>
              <w:ind w:left="223" w:right="43"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56" w:hRule="exact"/>
        </w:trPr>
        <w:tc>
          <w:tcPr>
            <w:tcW w:w="635" w:type="dxa"/>
            <w:tcBorders>
              <w:top w:val="nil" w:sz="6" w:space="0" w:color="auto"/>
              <w:left w:val="single" w:sz="4" w:space="0" w:color="000000"/>
              <w:bottom w:val="single" w:sz="4" w:space="0" w:color="000000"/>
              <w:right w:val="single" w:sz="4" w:space="0" w:color="000000"/>
            </w:tcBorders>
            <w:shd w:val="clear" w:color="auto" w:fill="D3D3D3"/>
          </w:tcPr>
          <w:p>
            <w:pPr/>
          </w:p>
        </w:tc>
        <w:tc>
          <w:tcPr>
            <w:tcW w:w="636" w:type="dxa"/>
            <w:tcBorders>
              <w:top w:val="nil" w:sz="6" w:space="0" w:color="auto"/>
              <w:left w:val="single" w:sz="4" w:space="0" w:color="000000"/>
              <w:bottom w:val="single" w:sz="4" w:space="0" w:color="000000"/>
              <w:right w:val="single" w:sz="4" w:space="0" w:color="000000"/>
            </w:tcBorders>
            <w:shd w:val="clear" w:color="auto" w:fill="D3D3D3"/>
          </w:tcPr>
          <w:p>
            <w:pPr/>
          </w:p>
        </w:tc>
        <w:tc>
          <w:tcPr>
            <w:tcW w:w="640" w:type="dxa"/>
            <w:tcBorders>
              <w:top w:val="nil" w:sz="6" w:space="0" w:color="auto"/>
              <w:left w:val="single" w:sz="4" w:space="0" w:color="000000"/>
              <w:bottom w:val="single" w:sz="4" w:space="0" w:color="000000"/>
              <w:right w:val="single" w:sz="4" w:space="0" w:color="000000"/>
            </w:tcBorders>
            <w:shd w:val="clear" w:color="auto" w:fill="D3D3D3"/>
          </w:tcPr>
          <w:p>
            <w:pPr/>
          </w:p>
        </w:tc>
        <w:tc>
          <w:tcPr>
            <w:tcW w:w="636" w:type="dxa"/>
            <w:tcBorders>
              <w:top w:val="nil" w:sz="6" w:space="0" w:color="auto"/>
              <w:left w:val="single" w:sz="4" w:space="0" w:color="000000"/>
              <w:bottom w:val="single" w:sz="4" w:space="0" w:color="000000"/>
              <w:right w:val="single" w:sz="4" w:space="0" w:color="000000"/>
            </w:tcBorders>
            <w:shd w:val="clear" w:color="auto" w:fill="D3D3D3"/>
          </w:tcPr>
          <w:p>
            <w:pPr/>
          </w:p>
        </w:tc>
        <w:tc>
          <w:tcPr>
            <w:tcW w:w="640"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637" w:type="dxa"/>
            <w:tcBorders>
              <w:top w:val="nil" w:sz="6" w:space="0" w:color="auto"/>
              <w:left w:val="single" w:sz="4" w:space="0" w:color="000000"/>
              <w:bottom w:val="single" w:sz="4" w:space="0" w:color="000000"/>
              <w:right w:val="single" w:sz="4" w:space="0" w:color="000000"/>
            </w:tcBorders>
            <w:shd w:val="clear" w:color="auto" w:fill="D3D3D3"/>
          </w:tcPr>
          <w:p>
            <w:pPr/>
          </w:p>
        </w:tc>
        <w:tc>
          <w:tcPr>
            <w:tcW w:w="641" w:type="dxa"/>
            <w:tcBorders>
              <w:top w:val="nil" w:sz="6" w:space="0" w:color="auto"/>
              <w:left w:val="single" w:sz="4" w:space="0" w:color="000000"/>
              <w:bottom w:val="single" w:sz="4" w:space="0" w:color="000000"/>
              <w:right w:val="single" w:sz="4" w:space="0" w:color="000000"/>
            </w:tcBorders>
            <w:shd w:val="clear" w:color="auto" w:fill="D3D3D3"/>
          </w:tcPr>
          <w:p>
            <w:pPr/>
          </w:p>
        </w:tc>
        <w:tc>
          <w:tcPr>
            <w:tcW w:w="637" w:type="dxa"/>
            <w:tcBorders>
              <w:top w:val="nil" w:sz="6" w:space="0" w:color="auto"/>
              <w:left w:val="single" w:sz="4" w:space="0" w:color="000000"/>
              <w:bottom w:val="single" w:sz="4" w:space="0" w:color="000000"/>
              <w:right w:val="single" w:sz="4" w:space="0" w:color="000000"/>
            </w:tcBorders>
            <w:shd w:val="clear" w:color="auto" w:fill="D3D3D3"/>
          </w:tcPr>
          <w:p>
            <w:pPr/>
          </w:p>
        </w:tc>
        <w:tc>
          <w:tcPr>
            <w:tcW w:w="641" w:type="dxa"/>
            <w:tcBorders>
              <w:top w:val="nil" w:sz="6" w:space="0" w:color="auto"/>
              <w:left w:val="single" w:sz="4" w:space="0" w:color="000000"/>
              <w:bottom w:val="single" w:sz="4" w:space="0" w:color="000000"/>
              <w:right w:val="single" w:sz="4" w:space="0" w:color="000000"/>
            </w:tcBorders>
            <w:shd w:val="clear" w:color="auto" w:fill="D3D3D3"/>
          </w:tcPr>
          <w:p>
            <w:pPr/>
          </w:p>
        </w:tc>
        <w:tc>
          <w:tcPr>
            <w:tcW w:w="637"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64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措施</w:t>
            </w: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65" w:hRule="exact"/>
        </w:trPr>
        <w:tc>
          <w:tcPr>
            <w:tcW w:w="635"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41"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41"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5">
              <w:r>
                <w:rPr>
                  <w:rFonts w:ascii="Times New Roman"/>
                  <w:sz w:val="18"/>
                </w:rPr>
                <w:t>http://w</w:t>
              </w:r>
            </w:hyperlink>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pacing w:val="-3"/>
                <w:sz w:val="18"/>
              </w:rPr>
              <w:t>ww.cni</w:t>
            </w:r>
            <w:r>
              <w:rPr>
                <w:rFonts w:ascii="Times New Roman"/>
                <w:sz w:val="18"/>
              </w:rPr>
            </w: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nfo.co</w:t>
            </w:r>
          </w:p>
        </w:tc>
      </w:tr>
      <w:tr>
        <w:trPr>
          <w:trHeight w:val="308"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m.cn</w:t>
            </w:r>
          </w:p>
        </w:tc>
      </w:tr>
      <w:tr>
        <w:trPr>
          <w:trHeight w:val="308"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《石家</w:t>
            </w: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庄常山</w:t>
            </w: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北明科</w:t>
            </w:r>
          </w:p>
        </w:tc>
      </w:tr>
      <w:tr>
        <w:trPr>
          <w:trHeight w:val="1254" w:hRule="exact"/>
        </w:trPr>
        <w:tc>
          <w:tcPr>
            <w:tcW w:w="63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 w:right="60"/>
              <w:jc w:val="both"/>
              <w:rPr>
                <w:rFonts w:ascii="宋体" w:hAnsi="宋体" w:cs="宋体" w:eastAsia="宋体" w:hint="default"/>
                <w:sz w:val="18"/>
                <w:szCs w:val="18"/>
              </w:rPr>
            </w:pPr>
            <w:r>
              <w:rPr>
                <w:rFonts w:ascii="宋体" w:hAnsi="宋体" w:cs="宋体" w:eastAsia="宋体" w:hint="default"/>
                <w:sz w:val="18"/>
                <w:szCs w:val="18"/>
              </w:rPr>
              <w:t>赵县土 地储备 中心</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9" w:lineRule="auto"/>
              <w:ind w:left="23" w:right="60"/>
              <w:jc w:val="left"/>
              <w:rPr>
                <w:rFonts w:ascii="宋体" w:hAnsi="宋体" w:cs="宋体" w:eastAsia="宋体" w:hint="default"/>
                <w:sz w:val="18"/>
                <w:szCs w:val="18"/>
              </w:rPr>
            </w:pPr>
            <w:r>
              <w:rPr>
                <w:rFonts w:ascii="宋体" w:hAnsi="宋体" w:cs="宋体" w:eastAsia="宋体" w:hint="default"/>
                <w:sz w:val="18"/>
                <w:szCs w:val="18"/>
              </w:rPr>
              <w:t>土地及 房屋</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6,000</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Times New Roman" w:hAnsi="Times New Roman" w:cs="Times New Roman" w:eastAsia="Times New Roman" w:hint="default"/>
                <w:sz w:val="18"/>
                <w:szCs w:val="18"/>
              </w:rPr>
            </w:pPr>
            <w:r>
              <w:rPr>
                <w:rFonts w:ascii="Times New Roman"/>
                <w:spacing w:val="-2"/>
                <w:sz w:val="18"/>
              </w:rPr>
              <w:t>5,115.5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338" w:lineRule="auto" w:before="10"/>
              <w:ind w:left="22" w:right="65"/>
              <w:jc w:val="left"/>
              <w:rPr>
                <w:rFonts w:ascii="Times New Roman" w:hAnsi="Times New Roman" w:cs="Times New Roman" w:eastAsia="Times New Roman" w:hint="default"/>
                <w:sz w:val="18"/>
                <w:szCs w:val="18"/>
              </w:rPr>
            </w:pPr>
            <w:r>
              <w:rPr>
                <w:rFonts w:ascii="宋体" w:hAnsi="宋体" w:cs="宋体" w:eastAsia="宋体" w:hint="default"/>
                <w:sz w:val="18"/>
                <w:szCs w:val="18"/>
              </w:rPr>
              <w:t>增加净 利润 </w:t>
            </w:r>
            <w:r>
              <w:rPr>
                <w:rFonts w:ascii="Times New Roman" w:hAnsi="Times New Roman" w:cs="Times New Roman" w:eastAsia="Times New Roman" w:hint="default"/>
                <w:sz w:val="18"/>
                <w:szCs w:val="18"/>
              </w:rPr>
              <w:t>5,115.5</w:t>
            </w:r>
          </w:p>
          <w:p>
            <w:pPr>
              <w:pStyle w:val="TableParagraph"/>
              <w:spacing w:line="234"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50.60%</w:t>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9" w:lineRule="auto"/>
              <w:ind w:left="23" w:right="65"/>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 w:right="65"/>
              <w:jc w:val="both"/>
              <w:rPr>
                <w:rFonts w:ascii="宋体" w:hAnsi="宋体" w:cs="宋体" w:eastAsia="宋体" w:hint="default"/>
                <w:sz w:val="18"/>
                <w:szCs w:val="18"/>
              </w:rPr>
            </w:pPr>
            <w:r>
              <w:rPr>
                <w:rFonts w:ascii="宋体" w:hAnsi="宋体" w:cs="宋体" w:eastAsia="宋体" w:hint="default"/>
                <w:sz w:val="18"/>
                <w:szCs w:val="18"/>
              </w:rPr>
              <w:t>按计划 如期实 施</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65"/>
              <w:jc w:val="both"/>
              <w:rPr>
                <w:rFonts w:ascii="宋体" w:hAnsi="宋体" w:cs="宋体" w:eastAsia="宋体" w:hint="default"/>
                <w:sz w:val="18"/>
                <w:szCs w:val="18"/>
              </w:rPr>
            </w:pPr>
            <w:r>
              <w:rPr>
                <w:rFonts w:ascii="宋体" w:hAnsi="宋体" w:cs="宋体" w:eastAsia="宋体" w:hint="default"/>
                <w:sz w:val="18"/>
                <w:szCs w:val="18"/>
              </w:rPr>
              <w:t>技股份 有限公 司关于 全资子</w:t>
            </w:r>
          </w:p>
        </w:tc>
      </w:tr>
      <w:tr>
        <w:trPr>
          <w:trHeight w:val="306"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公司常</w:t>
            </w: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山赵纺</w:t>
            </w: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土地及</w:t>
            </w: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房屋收</w:t>
            </w: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购补偿</w:t>
            </w:r>
          </w:p>
        </w:tc>
      </w:tr>
      <w:tr>
        <w:trPr>
          <w:trHeight w:val="313"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的公</w:t>
            </w:r>
          </w:p>
        </w:tc>
      </w:tr>
      <w:tr>
        <w:trPr>
          <w:trHeight w:val="357" w:hRule="exact"/>
        </w:trPr>
        <w:tc>
          <w:tcPr>
            <w:tcW w:w="635"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41"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41"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告 》</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七、主要控股参股公司分析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pStyle w:val="BodyText"/>
        <w:spacing w:line="240" w:lineRule="auto" w:before="116"/>
        <w:ind w:left="153" w:right="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after="0" w:line="240" w:lineRule="auto"/>
        <w:jc w:val="left"/>
        <w:sectPr>
          <w:pgSz w:w="11910" w:h="16840"/>
          <w:pgMar w:header="747" w:footer="982" w:top="1060" w:bottom="118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00"/>
        <w:gridCol w:w="900"/>
        <w:gridCol w:w="1440"/>
        <w:gridCol w:w="1045"/>
        <w:gridCol w:w="1046"/>
        <w:gridCol w:w="1044"/>
        <w:gridCol w:w="1045"/>
        <w:gridCol w:w="1045"/>
        <w:gridCol w:w="1046"/>
      </w:tblGrid>
      <w:tr>
        <w:trPr>
          <w:trHeight w:val="402"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363" w:hRule="exact"/>
        </w:trPr>
        <w:tc>
          <w:tcPr>
            <w:tcW w:w="900" w:type="dxa"/>
            <w:tcBorders>
              <w:top w:val="single" w:sz="4" w:space="0" w:color="000000"/>
              <w:left w:val="single" w:sz="4" w:space="0" w:color="000000"/>
              <w:bottom w:val="nil" w:sz="6" w:space="0" w:color="auto"/>
              <w:right w:val="single" w:sz="4" w:space="0" w:color="000000"/>
            </w:tcBorders>
          </w:tcPr>
          <w:p>
            <w:pPr/>
          </w:p>
        </w:tc>
        <w:tc>
          <w:tcPr>
            <w:tcW w:w="900" w:type="dxa"/>
            <w:tcBorders>
              <w:top w:val="single" w:sz="4" w:space="0" w:color="000000"/>
              <w:left w:val="single" w:sz="4" w:space="0" w:color="000000"/>
              <w:bottom w:val="nil" w:sz="6" w:space="0" w:color="auto"/>
              <w:right w:val="single" w:sz="4" w:space="0" w:color="000000"/>
            </w:tcBorders>
          </w:tcPr>
          <w:p>
            <w:pPr/>
          </w:p>
        </w:tc>
        <w:tc>
          <w:tcPr>
            <w:tcW w:w="14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软件开发</w:t>
            </w:r>
            <w:r>
              <w:rPr>
                <w:rFonts w:ascii="Times New Roman" w:hAnsi="Times New Roman" w:cs="Times New Roman" w:eastAsia="Times New Roman" w:hint="default"/>
                <w:sz w:val="18"/>
                <w:szCs w:val="18"/>
              </w:rPr>
              <w:t>;</w:t>
            </w:r>
            <w:r>
              <w:rPr>
                <w:rFonts w:ascii="宋体" w:hAnsi="宋体" w:cs="宋体" w:eastAsia="宋体" w:hint="default"/>
                <w:sz w:val="18"/>
                <w:szCs w:val="18"/>
              </w:rPr>
              <w:t>办公设</w:t>
            </w: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c>
          <w:tcPr>
            <w:tcW w:w="1044"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备批发</w:t>
            </w:r>
            <w:r>
              <w:rPr>
                <w:rFonts w:ascii="Times New Roman" w:hAnsi="Times New Roman" w:cs="Times New Roman" w:eastAsia="Times New Roman" w:hint="default"/>
                <w:sz w:val="18"/>
                <w:szCs w:val="18"/>
              </w:rPr>
              <w:t>;</w:t>
            </w:r>
            <w:r>
              <w:rPr>
                <w:rFonts w:ascii="宋体" w:hAnsi="宋体" w:cs="宋体" w:eastAsia="宋体" w:hint="default"/>
                <w:sz w:val="18"/>
                <w:szCs w:val="18"/>
              </w:rPr>
              <w:t>电子元器</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623" w:hRule="exact"/>
        </w:trPr>
        <w:tc>
          <w:tcPr>
            <w:tcW w:w="900" w:type="dxa"/>
            <w:tcBorders>
              <w:top w:val="nil" w:sz="6" w:space="0" w:color="auto"/>
              <w:left w:val="single" w:sz="4" w:space="0" w:color="000000"/>
              <w:bottom w:val="nil" w:sz="6" w:space="0" w:color="auto"/>
              <w:right w:val="single" w:sz="4" w:space="0" w:color="000000"/>
            </w:tcBorders>
          </w:tcPr>
          <w:p>
            <w:pPr>
              <w:pStyle w:val="TableParagraph"/>
              <w:spacing w:line="319" w:lineRule="auto" w:before="5"/>
              <w:ind w:left="22" w:right="145"/>
              <w:jc w:val="left"/>
              <w:rPr>
                <w:rFonts w:ascii="宋体" w:hAnsi="宋体" w:cs="宋体" w:eastAsia="宋体" w:hint="default"/>
                <w:sz w:val="18"/>
                <w:szCs w:val="18"/>
              </w:rPr>
            </w:pPr>
            <w:r>
              <w:rPr>
                <w:rFonts w:ascii="宋体" w:hAnsi="宋体" w:cs="宋体" w:eastAsia="宋体" w:hint="default"/>
                <w:sz w:val="18"/>
                <w:szCs w:val="18"/>
              </w:rPr>
              <w:t>北明软件 有限公司</w:t>
            </w:r>
          </w:p>
        </w:tc>
        <w:tc>
          <w:tcPr>
            <w:tcW w:w="900"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2" w:right="45"/>
              <w:jc w:val="left"/>
              <w:rPr>
                <w:rFonts w:ascii="宋体" w:hAnsi="宋体" w:cs="宋体" w:eastAsia="宋体" w:hint="default"/>
                <w:sz w:val="18"/>
                <w:szCs w:val="18"/>
              </w:rPr>
            </w:pPr>
            <w:r>
              <w:rPr>
                <w:rFonts w:ascii="宋体" w:hAnsi="宋体" w:cs="宋体" w:eastAsia="宋体" w:hint="default"/>
                <w:sz w:val="18"/>
                <w:szCs w:val="18"/>
              </w:rPr>
              <w:t>件批发</w:t>
            </w:r>
            <w:r>
              <w:rPr>
                <w:rFonts w:ascii="Times New Roman" w:hAnsi="Times New Roman" w:cs="Times New Roman" w:eastAsia="Times New Roman" w:hint="default"/>
                <w:sz w:val="18"/>
                <w:szCs w:val="18"/>
              </w:rPr>
              <w:t>;</w:t>
            </w:r>
            <w:r>
              <w:rPr>
                <w:rFonts w:ascii="宋体" w:hAnsi="宋体" w:cs="宋体" w:eastAsia="宋体" w:hint="default"/>
                <w:sz w:val="18"/>
                <w:szCs w:val="18"/>
              </w:rPr>
              <w:t>软件服务</w:t>
            </w:r>
            <w:r>
              <w:rPr>
                <w:rFonts w:ascii="Times New Roman" w:hAnsi="Times New Roman" w:cs="Times New Roman" w:eastAsia="Times New Roman" w:hint="default"/>
                <w:sz w:val="18"/>
                <w:szCs w:val="18"/>
              </w:rPr>
              <w:t>; </w:t>
            </w:r>
            <w:r>
              <w:rPr>
                <w:rFonts w:ascii="宋体" w:hAnsi="宋体" w:cs="宋体" w:eastAsia="宋体" w:hint="default"/>
                <w:sz w:val="18"/>
                <w:szCs w:val="18"/>
              </w:rPr>
              <w:t>智能化安装工程</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22" w:right="0"/>
              <w:jc w:val="left"/>
              <w:rPr>
                <w:rFonts w:ascii="Times New Roman" w:hAnsi="Times New Roman" w:cs="Times New Roman" w:eastAsia="Times New Roman" w:hint="default"/>
                <w:sz w:val="18"/>
                <w:szCs w:val="18"/>
              </w:rPr>
            </w:pPr>
            <w:r>
              <w:rPr>
                <w:rFonts w:ascii="Times New Roman"/>
                <w:sz w:val="18"/>
              </w:rPr>
              <w:t>738,700,000.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5,890,684,24</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1.42</w:t>
            </w:r>
          </w:p>
        </w:tc>
        <w:tc>
          <w:tcPr>
            <w:tcW w:w="1044"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2"/>
                <w:sz w:val="18"/>
              </w:rPr>
              <w:t>1,811,878,11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8.79</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19"/>
              <w:jc w:val="right"/>
              <w:rPr>
                <w:rFonts w:ascii="Times New Roman" w:hAnsi="Times New Roman" w:cs="Times New Roman" w:eastAsia="Times New Roman" w:hint="default"/>
                <w:sz w:val="18"/>
                <w:szCs w:val="18"/>
              </w:rPr>
            </w:pPr>
            <w:r>
              <w:rPr>
                <w:rFonts w:ascii="Times New Roman"/>
                <w:spacing w:val="-1"/>
                <w:sz w:val="18"/>
              </w:rPr>
              <w:t>4,750,130,06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2.77</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pacing w:val="-1"/>
                <w:sz w:val="18"/>
              </w:rPr>
              <w:t>125,099,391.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41</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1"/>
              <w:jc w:val="right"/>
              <w:rPr>
                <w:rFonts w:ascii="Times New Roman" w:hAnsi="Times New Roman" w:cs="Times New Roman" w:eastAsia="Times New Roman" w:hint="default"/>
                <w:sz w:val="18"/>
                <w:szCs w:val="18"/>
              </w:rPr>
            </w:pPr>
            <w:r>
              <w:rPr>
                <w:rFonts w:ascii="Times New Roman"/>
                <w:spacing w:val="-1"/>
                <w:sz w:val="18"/>
              </w:rPr>
              <w:t>153,437,451.</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98</w:t>
            </w:r>
          </w:p>
        </w:tc>
      </w:tr>
      <w:tr>
        <w:trPr>
          <w:trHeight w:val="313" w:hRule="exact"/>
        </w:trPr>
        <w:tc>
          <w:tcPr>
            <w:tcW w:w="900" w:type="dxa"/>
            <w:tcBorders>
              <w:top w:val="nil" w:sz="6" w:space="0" w:color="auto"/>
              <w:left w:val="single" w:sz="4" w:space="0" w:color="000000"/>
              <w:bottom w:val="nil" w:sz="6" w:space="0" w:color="auto"/>
              <w:right w:val="single" w:sz="4" w:space="0" w:color="000000"/>
            </w:tcBorders>
          </w:tcPr>
          <w:p>
            <w:pPr/>
          </w:p>
        </w:tc>
        <w:tc>
          <w:tcPr>
            <w:tcW w:w="900" w:type="dxa"/>
            <w:tcBorders>
              <w:top w:val="nil" w:sz="6" w:space="0" w:color="auto"/>
              <w:left w:val="single" w:sz="4" w:space="0" w:color="000000"/>
              <w:bottom w:val="nil" w:sz="6" w:space="0" w:color="auto"/>
              <w:right w:val="single" w:sz="4" w:space="0" w:color="000000"/>
            </w:tcBorders>
          </w:tcPr>
          <w:p>
            <w:pPr/>
          </w:p>
        </w:tc>
        <w:tc>
          <w:tcPr>
            <w:tcW w:w="14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服务</w:t>
            </w:r>
            <w:r>
              <w:rPr>
                <w:rFonts w:ascii="Times New Roman" w:hAnsi="Times New Roman" w:cs="Times New Roman" w:eastAsia="Times New Roman" w:hint="default"/>
                <w:sz w:val="18"/>
                <w:szCs w:val="18"/>
              </w:rPr>
              <w:t>;</w:t>
            </w:r>
            <w:r>
              <w:rPr>
                <w:rFonts w:ascii="宋体" w:hAnsi="宋体" w:cs="宋体" w:eastAsia="宋体" w:hint="default"/>
                <w:sz w:val="18"/>
                <w:szCs w:val="18"/>
              </w:rPr>
              <w:t>技术进出口</w:t>
            </w:r>
            <w:r>
              <w:rPr>
                <w:rFonts w:ascii="Times New Roman" w:hAnsi="Times New Roman" w:cs="Times New Roman" w:eastAsia="Times New Roman" w:hint="default"/>
                <w:sz w:val="18"/>
                <w:szCs w:val="18"/>
              </w:rPr>
              <w:t>;</w:t>
            </w: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c>
          <w:tcPr>
            <w:tcW w:w="1044"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900" w:type="dxa"/>
            <w:tcBorders>
              <w:top w:val="nil" w:sz="6" w:space="0" w:color="auto"/>
              <w:left w:val="single" w:sz="4" w:space="0" w:color="000000"/>
              <w:bottom w:val="single" w:sz="4" w:space="0" w:color="000000"/>
              <w:right w:val="single" w:sz="4" w:space="0" w:color="000000"/>
            </w:tcBorders>
          </w:tcPr>
          <w:p>
            <w:pPr/>
          </w:p>
        </w:tc>
        <w:tc>
          <w:tcPr>
            <w:tcW w:w="900" w:type="dxa"/>
            <w:tcBorders>
              <w:top w:val="nil" w:sz="6" w:space="0" w:color="auto"/>
              <w:left w:val="single" w:sz="4" w:space="0" w:color="000000"/>
              <w:bottom w:val="single" w:sz="4" w:space="0" w:color="000000"/>
              <w:right w:val="single" w:sz="4" w:space="0" w:color="000000"/>
            </w:tcBorders>
          </w:tcPr>
          <w:p>
            <w:pPr/>
          </w:p>
        </w:tc>
        <w:tc>
          <w:tcPr>
            <w:tcW w:w="14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33"/>
              <w:jc w:val="left"/>
              <w:rPr>
                <w:rFonts w:ascii="宋体" w:hAnsi="宋体" w:cs="宋体" w:eastAsia="宋体" w:hint="default"/>
                <w:sz w:val="18"/>
                <w:szCs w:val="18"/>
              </w:rPr>
            </w:pPr>
            <w:r>
              <w:rPr>
                <w:rFonts w:ascii="宋体" w:hAnsi="宋体" w:cs="宋体" w:eastAsia="宋体" w:hint="default"/>
                <w:sz w:val="18"/>
                <w:szCs w:val="18"/>
              </w:rPr>
              <w:t>通信设备零售等。</w:t>
            </w: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c>
          <w:tcPr>
            <w:tcW w:w="1044"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pict>
          <v:group style="position:absolute;margin-left:218.940002pt;margin-top:-31.738001pt;width:51.8pt;height:31.2pt;mso-position-horizontal-relative:page;mso-position-vertical-relative:paragraph;z-index:-1362448" coordorigin="4379,-635" coordsize="1036,624">
            <v:shape style="position:absolute;left:4379;top:-635;width:1036;height:624" coordorigin="4379,-635" coordsize="1036,624" path="m4379,-11l5414,-11,5414,-635,4379,-635,4379,-11xe" filled="true" fillcolor="#ffffff" stroked="false">
              <v:path arrowok="t"/>
              <v:fill type="solid"/>
            </v:shape>
            <w10:wrap type="none"/>
          </v:group>
        </w:pict>
      </w:r>
      <w:r>
        <w:rPr/>
        <w:t>报告期内取得和处置子公司的情况</w:t>
      </w:r>
    </w:p>
    <w:p>
      <w:pPr>
        <w:pStyle w:val="BodyText"/>
        <w:spacing w:line="240" w:lineRule="auto" w:before="116"/>
        <w:ind w:left="153"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河北北明鼎云信息技术有限公司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影响净利润</w:t>
            </w:r>
            <w:r>
              <w:rPr>
                <w:rFonts w:ascii="Times New Roman" w:hAnsi="Times New Roman" w:cs="Times New Roman" w:eastAsia="Times New Roman" w:hint="default"/>
                <w:sz w:val="18"/>
                <w:szCs w:val="18"/>
              </w:rPr>
              <w:t>-36.23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北明天时智能技术（北京）有限公司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尚无影响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湖南北明信息技术有限公司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尚无影响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北明（青岛）信息技术有限公司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尚无影响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成都北明祺舯信息技术有限公司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尚无影响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北京枫调理顺科技发展有限公司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影响净利润</w:t>
            </w:r>
            <w:r>
              <w:rPr>
                <w:rFonts w:ascii="Times New Roman" w:hAnsi="Times New Roman" w:cs="Times New Roman" w:eastAsia="Times New Roman" w:hint="default"/>
                <w:sz w:val="18"/>
                <w:szCs w:val="18"/>
              </w:rPr>
              <w:t>+90.63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全面智能（厦门）科技有限公司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尚无影响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石家庄赛孚纺织有限公司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影响净利润</w:t>
            </w:r>
            <w:r>
              <w:rPr>
                <w:rFonts w:ascii="Times New Roman" w:hAnsi="Times New Roman" w:cs="Times New Roman" w:eastAsia="Times New Roman" w:hint="default"/>
                <w:sz w:val="18"/>
                <w:szCs w:val="18"/>
              </w:rPr>
              <w:t>-199.24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北明云山（武汉）软件开发有限公司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影响净利润</w:t>
            </w:r>
            <w:r>
              <w:rPr>
                <w:rFonts w:ascii="Times New Roman" w:hAnsi="Times New Roman" w:cs="Times New Roman" w:eastAsia="Times New Roman" w:hint="default"/>
                <w:sz w:val="18"/>
                <w:szCs w:val="18"/>
              </w:rPr>
              <w:t>-111.65</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万元</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北京北明云易信息科技有限公司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尚无影响</w:t>
            </w:r>
          </w:p>
        </w:tc>
      </w:tr>
    </w:tbl>
    <w:p>
      <w:pPr>
        <w:pStyle w:val="BodyText"/>
        <w:spacing w:line="240" w:lineRule="auto" w:before="51"/>
        <w:ind w:right="0"/>
        <w:jc w:val="left"/>
      </w:pPr>
      <w:r>
        <w:rPr/>
        <w:t>主要控股参股公司情况说明</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37" w:right="0"/>
        <w:jc w:val="left"/>
      </w:pPr>
      <w:r>
        <w:rPr/>
        <w:t>（一）公司所处的行业格局和形势</w:t>
      </w:r>
    </w:p>
    <w:p>
      <w:pPr>
        <w:pStyle w:val="BodyText"/>
        <w:spacing w:line="240" w:lineRule="auto" w:before="117"/>
        <w:ind w:left="514" w:right="0"/>
        <w:jc w:val="left"/>
      </w:pPr>
      <w:r>
        <w:rPr>
          <w:rFonts w:ascii="Times New Roman" w:hAnsi="Times New Roman" w:cs="Times New Roman" w:eastAsia="Times New Roman" w:hint="default"/>
        </w:rPr>
        <w:t>1</w:t>
      </w:r>
      <w:r>
        <w:rPr/>
        <w:t>、纺织行业</w:t>
      </w:r>
    </w:p>
    <w:p>
      <w:pPr>
        <w:pStyle w:val="BodyText"/>
        <w:spacing w:line="314" w:lineRule="auto" w:before="101"/>
        <w:ind w:right="1129" w:firstLine="360"/>
        <w:jc w:val="both"/>
      </w:pPr>
      <w:r>
        <w:rPr>
          <w:rFonts w:ascii="Times New Roman" w:hAnsi="Times New Roman" w:cs="Times New Roman" w:eastAsia="Times New Roman" w:hint="default"/>
          <w:spacing w:val="-2"/>
        </w:rPr>
        <w:t>2020</w:t>
      </w:r>
      <w:r>
        <w:rPr>
          <w:spacing w:val="-2"/>
        </w:rPr>
        <w:t>年是全面建成小康社会和</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规划的收官之年，我国纺织行业面临的外部形势将更趋复杂严峻，发展前景不确</w:t>
      </w:r>
      <w:r>
        <w:rPr/>
        <w:t> </w:t>
      </w:r>
      <w:r>
        <w:rPr>
          <w:spacing w:val="-2"/>
        </w:rPr>
        <w:t>定性较高。从风险因素来看，全球经济动荡源和风险点增多的复杂局面与国内结构性、周期性问题相互交织，成本上涨、竞</w:t>
      </w:r>
      <w:r>
        <w:rPr>
          <w:spacing w:val="-66"/>
        </w:rPr>
        <w:t> </w:t>
      </w:r>
      <w:r>
        <w:rPr>
          <w:spacing w:val="-66"/>
        </w:rPr>
      </w:r>
      <w:r>
        <w:rPr>
          <w:spacing w:val="-2"/>
        </w:rPr>
        <w:t>争加剧等常态化压力仍存，给纺织行业保持平稳运行施加较大压力。年初突如其来的新冠肺炎疫情不仅给纺织企业造成直接</w:t>
      </w:r>
      <w:r>
        <w:rPr>
          <w:spacing w:val="-64"/>
        </w:rPr>
        <w:t> </w:t>
      </w:r>
      <w:r>
        <w:rPr>
          <w:spacing w:val="-64"/>
        </w:rPr>
      </w:r>
      <w:r>
        <w:rPr>
          <w:spacing w:val="-2"/>
        </w:rPr>
        <w:t>经济损失，也将使企业在疫情结束后一段时间内面临外贸订单流失及国际竞争加剧的情况，进一步增加了发展不确定性。但</w:t>
      </w:r>
      <w:r>
        <w:rPr>
          <w:spacing w:val="-66"/>
        </w:rPr>
        <w:t> </w:t>
      </w:r>
      <w:r>
        <w:rPr>
          <w:spacing w:val="-66"/>
        </w:rPr>
      </w:r>
      <w:r>
        <w:rPr>
          <w:spacing w:val="-2"/>
        </w:rPr>
        <w:t>从积极因素来看，我国宏观经济长期向好的基础不会改变。国内宏观经济政策将更加着重稳增长、防风险。针对新冠肺炎疫</w:t>
      </w:r>
      <w:r>
        <w:rPr>
          <w:spacing w:val="-66"/>
        </w:rPr>
        <w:t> </w:t>
      </w:r>
      <w:r>
        <w:rPr>
          <w:spacing w:val="-66"/>
        </w:rPr>
      </w:r>
      <w:r>
        <w:rPr>
          <w:spacing w:val="-2"/>
        </w:rPr>
        <w:t>情的影响，国家已开始出台各种扶持政策，帮助企业逐步缓解经营压力。中美第一阶段经贸协议达成，有益于改善我国外贸</w:t>
      </w:r>
      <w:r>
        <w:rPr>
          <w:spacing w:val="-66"/>
        </w:rPr>
        <w:t> </w:t>
      </w:r>
      <w:r>
        <w:rPr>
          <w:spacing w:val="-66"/>
        </w:rPr>
      </w:r>
      <w:r>
        <w:rPr/>
        <w:t>环境与市场预期，减轻出口企业压力。</w:t>
      </w:r>
    </w:p>
    <w:p>
      <w:pPr>
        <w:pStyle w:val="BodyText"/>
        <w:spacing w:line="338" w:lineRule="auto" w:before="60"/>
        <w:ind w:left="514" w:right="1117"/>
        <w:jc w:val="left"/>
      </w:pPr>
      <w:r>
        <w:rPr>
          <w:rFonts w:ascii="Times New Roman" w:hAnsi="Times New Roman" w:cs="Times New Roman" w:eastAsia="Times New Roman" w:hint="default"/>
        </w:rPr>
        <w:t>2</w:t>
      </w:r>
      <w:r>
        <w:rPr/>
        <w:t>、软件行业 </w:t>
      </w:r>
      <w:r>
        <w:rPr>
          <w:spacing w:val="-2"/>
        </w:rPr>
        <w:t>当前的行业趋势正在朝向企业数字化转型的方向发展，在这个大的生态链条中，各类合作伙伴开始建立生态圈，生态中</w:t>
      </w:r>
    </w:p>
    <w:p>
      <w:pPr>
        <w:spacing w:after="0" w:line="338"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09" w:lineRule="auto" w:before="44"/>
        <w:ind w:left="153" w:right="1131"/>
        <w:jc w:val="both"/>
      </w:pPr>
      <w:r>
        <w:rPr>
          <w:spacing w:val="-2"/>
        </w:rPr>
        <w:t>建立能够支撑各类伙伴发展，创建吸引力吸引有能力的伙伴加入合作体系。面对数字化转型的趋势，物理世界和数字世界的</w:t>
      </w:r>
      <w:r>
        <w:rPr>
          <w:spacing w:val="-66"/>
        </w:rPr>
        <w:t> </w:t>
      </w:r>
      <w:r>
        <w:rPr>
          <w:spacing w:val="-66"/>
        </w:rPr>
      </w:r>
      <w:r>
        <w:rPr/>
        <w:t>融合、信息集成平台的支撑都将是未来几年的目标。物联网、互联网、融合、</w:t>
      </w:r>
      <w:r>
        <w:rPr>
          <w:rFonts w:ascii="Times New Roman" w:hAnsi="Times New Roman" w:cs="Times New Roman" w:eastAsia="Times New Roman" w:hint="default"/>
        </w:rPr>
        <w:t>AI</w:t>
      </w:r>
      <w:r>
        <w:rPr/>
        <w:t>的智能、大数据的分析都将成为信息化的</w:t>
      </w:r>
      <w:r>
        <w:rPr>
          <w:spacing w:val="-20"/>
        </w:rPr>
        <w:t> </w:t>
      </w:r>
      <w:r>
        <w:rPr>
          <w:spacing w:val="-20"/>
        </w:rPr>
      </w:r>
      <w:r>
        <w:rPr/>
        <w:t>前进路径。新技术、新业态、新的商业模式都将不断翻新。</w:t>
      </w:r>
    </w:p>
    <w:p>
      <w:pPr>
        <w:pStyle w:val="BodyText"/>
        <w:spacing w:line="357" w:lineRule="auto" w:before="64"/>
        <w:ind w:left="527" w:right="0" w:hanging="90"/>
        <w:jc w:val="left"/>
      </w:pPr>
      <w:r>
        <w:rPr/>
        <w:t>（二）公司发展战略 以人才引领为根本，以创新驱动为支撑，以国家深化国企改革、推动京津冀协同发展、启动</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战略、实施</w:t>
      </w:r>
      <w:r>
        <w:rPr>
          <w:rFonts w:ascii="Times New Roman" w:hAnsi="Times New Roman" w:cs="Times New Roman" w:eastAsia="Times New Roman" w:hint="default"/>
        </w:rPr>
        <w:t>“</w:t>
      </w:r>
      <w:r>
        <w:rPr/>
        <w:t>中</w:t>
      </w:r>
    </w:p>
    <w:p>
      <w:pPr>
        <w:pStyle w:val="BodyText"/>
        <w:spacing w:line="214" w:lineRule="exact"/>
        <w:ind w:right="0"/>
        <w:jc w:val="both"/>
      </w:pPr>
      <w:r>
        <w:rPr/>
        <w:t>国制造</w:t>
      </w:r>
      <w:r>
        <w:rPr>
          <w:rFonts w:ascii="Times New Roman" w:hAnsi="Times New Roman" w:cs="Times New Roman" w:eastAsia="Times New Roman" w:hint="default"/>
        </w:rPr>
        <w:t>2025”</w:t>
      </w:r>
      <w:r>
        <w:rPr/>
        <w:t>、推进</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、促进工业化和信息化深度融合、支持企业兼并等为契机，统筹规划、合理布局，集中决策、</w:t>
      </w:r>
    </w:p>
    <w:p>
      <w:pPr>
        <w:pStyle w:val="BodyText"/>
        <w:spacing w:line="319" w:lineRule="auto" w:before="63"/>
        <w:ind w:right="1131"/>
        <w:jc w:val="both"/>
      </w:pPr>
      <w:r>
        <w:rPr>
          <w:spacing w:val="-2"/>
        </w:rPr>
        <w:t>独立运营，发挥优势、抢抓机遇，开拓创新、大胆突破，软件板块加速扩张、实现跨越发展，纺织主业完成提质增效、实现</w:t>
      </w:r>
      <w:r>
        <w:rPr>
          <w:spacing w:val="-67"/>
        </w:rPr>
        <w:t> </w:t>
      </w:r>
      <w:r>
        <w:rPr>
          <w:spacing w:val="-67"/>
        </w:rPr>
      </w:r>
      <w:r>
        <w:rPr/>
        <w:t>做优做精，形成高端信息产业和先进制造业相互支持、协同创新、融合发展的新格局。</w:t>
      </w:r>
    </w:p>
    <w:p>
      <w:pPr>
        <w:pStyle w:val="BodyText"/>
        <w:spacing w:line="240" w:lineRule="auto" w:before="56"/>
        <w:ind w:left="437" w:right="0"/>
        <w:jc w:val="left"/>
      </w:pPr>
      <w:r>
        <w:rPr/>
        <w:t>（三）</w:t>
      </w:r>
      <w:r>
        <w:rPr>
          <w:rFonts w:ascii="Times New Roman" w:hAnsi="Times New Roman" w:cs="Times New Roman" w:eastAsia="Times New Roman" w:hint="default"/>
        </w:rPr>
        <w:t>2020</w:t>
      </w:r>
      <w:r>
        <w:rPr/>
        <w:t>年的经营计划及面对的风险</w:t>
      </w:r>
    </w:p>
    <w:p>
      <w:pPr>
        <w:pStyle w:val="BodyText"/>
        <w:spacing w:line="240" w:lineRule="auto" w:before="102"/>
        <w:ind w:left="582"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2020</w:t>
      </w:r>
      <w:r>
        <w:rPr/>
        <w:t>年经营计划</w:t>
      </w:r>
    </w:p>
    <w:p>
      <w:pPr>
        <w:pStyle w:val="BodyText"/>
        <w:spacing w:line="240" w:lineRule="auto" w:before="103"/>
        <w:ind w:left="514" w:right="0"/>
        <w:jc w:val="left"/>
      </w:pPr>
      <w:r>
        <w:rPr>
          <w:rFonts w:ascii="Times New Roman" w:hAnsi="Times New Roman" w:cs="Times New Roman" w:eastAsia="Times New Roman" w:hint="default"/>
        </w:rPr>
        <w:t>1</w:t>
      </w:r>
      <w:r>
        <w:rPr/>
        <w:t>、纺织行业</w:t>
      </w:r>
    </w:p>
    <w:p>
      <w:pPr>
        <w:pStyle w:val="BodyText"/>
        <w:spacing w:line="314" w:lineRule="auto" w:before="101"/>
        <w:ind w:right="1129" w:firstLine="360"/>
        <w:jc w:val="both"/>
      </w:pPr>
      <w:r>
        <w:rPr>
          <w:rFonts w:ascii="Times New Roman" w:hAnsi="Times New Roman" w:cs="Times New Roman" w:eastAsia="Times New Roman" w:hint="default"/>
          <w:spacing w:val="-2"/>
        </w:rPr>
        <w:t>2020</w:t>
      </w:r>
      <w:r>
        <w:rPr>
          <w:spacing w:val="-2"/>
        </w:rPr>
        <w:t>年是全面建成小康社会和</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规划的收官之年，我国纺织行业面临的外部形势将更趋复杂严峻，发展前景不确</w:t>
      </w:r>
      <w:r>
        <w:rPr/>
        <w:t> </w:t>
      </w:r>
      <w:r>
        <w:rPr>
          <w:spacing w:val="-2"/>
        </w:rPr>
        <w:t>定性较高。从风险因素来看，全球经济动荡源和风险点增多的复杂局面与国内结构性、周期性问题相互交织，成本上涨、竞</w:t>
      </w:r>
      <w:r>
        <w:rPr>
          <w:spacing w:val="-66"/>
        </w:rPr>
        <w:t> </w:t>
      </w:r>
      <w:r>
        <w:rPr>
          <w:spacing w:val="-66"/>
        </w:rPr>
      </w:r>
      <w:r>
        <w:rPr>
          <w:spacing w:val="-2"/>
        </w:rPr>
        <w:t>争加剧等常态化压力仍存，给纺织行业保持平稳运行施加较大压力。年初突如其来的新冠肺炎疫情不仅给纺织企业造成直接</w:t>
      </w:r>
      <w:r>
        <w:rPr>
          <w:spacing w:val="-64"/>
        </w:rPr>
        <w:t> </w:t>
      </w:r>
      <w:r>
        <w:rPr>
          <w:spacing w:val="-64"/>
        </w:rPr>
      </w:r>
      <w:r>
        <w:rPr>
          <w:spacing w:val="-2"/>
        </w:rPr>
        <w:t>经济损失，也将使企业在疫情结束后一段时间内面临外贸订单流失及国际竞争加剧的情况，进一步增加了发展不确定性。但</w:t>
      </w:r>
      <w:r>
        <w:rPr>
          <w:spacing w:val="-66"/>
        </w:rPr>
        <w:t> </w:t>
      </w:r>
      <w:r>
        <w:rPr>
          <w:spacing w:val="-66"/>
        </w:rPr>
      </w:r>
      <w:r>
        <w:rPr>
          <w:spacing w:val="-2"/>
        </w:rPr>
        <w:t>从积极因素来看，我国宏观经济长期向好的基础不会改变。国内宏观经济政策将更加着重稳增长、防风险。针对新冠肺炎疫</w:t>
      </w:r>
      <w:r>
        <w:rPr>
          <w:spacing w:val="-66"/>
        </w:rPr>
        <w:t> </w:t>
      </w:r>
      <w:r>
        <w:rPr>
          <w:spacing w:val="-66"/>
        </w:rPr>
      </w:r>
      <w:r>
        <w:rPr>
          <w:spacing w:val="-2"/>
        </w:rPr>
        <w:t>情的影响，国家已开始出台各种扶持政策，帮助企业逐步缓解经营压力。中美第一阶段经贸协议达成，有益于改善我国外贸</w:t>
      </w:r>
      <w:r>
        <w:rPr>
          <w:spacing w:val="-66"/>
        </w:rPr>
        <w:t> </w:t>
      </w:r>
      <w:r>
        <w:rPr>
          <w:spacing w:val="-66"/>
        </w:rPr>
      </w:r>
      <w:r>
        <w:rPr/>
        <w:t>环境与市场预期，减轻出口企业压力。</w:t>
      </w:r>
    </w:p>
    <w:p>
      <w:pPr>
        <w:pStyle w:val="BodyText"/>
        <w:spacing w:line="338" w:lineRule="auto" w:before="60"/>
        <w:ind w:left="514" w:right="1117"/>
        <w:jc w:val="left"/>
      </w:pPr>
      <w:r>
        <w:rPr>
          <w:rFonts w:ascii="Times New Roman" w:hAnsi="Times New Roman" w:cs="Times New Roman" w:eastAsia="Times New Roman" w:hint="default"/>
        </w:rPr>
        <w:t>2</w:t>
      </w:r>
      <w:r>
        <w:rPr/>
        <w:t>、软件行业 </w:t>
      </w:r>
      <w:r>
        <w:rPr>
          <w:spacing w:val="-2"/>
        </w:rPr>
        <w:t>当前的行业趋势正在朝向企业数字化转型的方向发展，在这个大的生态链条中，各类合作伙伴开始建立生态圈，生态中</w:t>
      </w:r>
    </w:p>
    <w:p>
      <w:pPr>
        <w:pStyle w:val="BodyText"/>
        <w:spacing w:line="309" w:lineRule="auto" w:before="2"/>
        <w:ind w:right="1131"/>
        <w:jc w:val="both"/>
      </w:pPr>
      <w:r>
        <w:rPr>
          <w:spacing w:val="-2"/>
        </w:rPr>
        <w:t>建立能够支撑各类伙伴发展，创建吸引力吸引有能力的伙伴加入合作体系。面对数字化转型的趋势，物理世界和数字世界的</w:t>
      </w:r>
      <w:r>
        <w:rPr>
          <w:spacing w:val="-66"/>
        </w:rPr>
        <w:t> </w:t>
      </w:r>
      <w:r>
        <w:rPr>
          <w:spacing w:val="-66"/>
        </w:rPr>
      </w:r>
      <w:r>
        <w:rPr/>
        <w:t>融合、信息集成平台的支撑都将是未来几年的目标。物联网、互联网、融合、</w:t>
      </w:r>
      <w:r>
        <w:rPr>
          <w:rFonts w:ascii="Times New Roman" w:hAnsi="Times New Roman" w:cs="Times New Roman" w:eastAsia="Times New Roman" w:hint="default"/>
        </w:rPr>
        <w:t>AI</w:t>
      </w:r>
      <w:r>
        <w:rPr/>
        <w:t>的智能、大数据的分析都将成为信息化的</w:t>
      </w:r>
      <w:r>
        <w:rPr>
          <w:spacing w:val="-20"/>
        </w:rPr>
        <w:t> </w:t>
      </w:r>
      <w:r>
        <w:rPr>
          <w:spacing w:val="-20"/>
        </w:rPr>
      </w:r>
      <w:r>
        <w:rPr/>
        <w:t>前进路径。新技术、新业态、新的商业模式都将不断翻新。</w:t>
      </w:r>
    </w:p>
    <w:p>
      <w:pPr>
        <w:pStyle w:val="BodyText"/>
        <w:spacing w:line="357" w:lineRule="auto" w:before="64"/>
        <w:ind w:left="527" w:right="0" w:hanging="90"/>
        <w:jc w:val="left"/>
      </w:pPr>
      <w:r>
        <w:rPr/>
        <w:t>（二）公司发展战略 以人才引领为根本，以创新驱动为支撑，以国家深化国企改革、推动京津冀协同发展、启动</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战略、实施</w:t>
      </w:r>
      <w:r>
        <w:rPr>
          <w:rFonts w:ascii="Times New Roman" w:hAnsi="Times New Roman" w:cs="Times New Roman" w:eastAsia="Times New Roman" w:hint="default"/>
        </w:rPr>
        <w:t>“</w:t>
      </w:r>
      <w:r>
        <w:rPr/>
        <w:t>中</w:t>
      </w:r>
    </w:p>
    <w:p>
      <w:pPr>
        <w:pStyle w:val="BodyText"/>
        <w:spacing w:line="214" w:lineRule="exact"/>
        <w:ind w:right="0"/>
        <w:jc w:val="both"/>
      </w:pPr>
      <w:r>
        <w:rPr/>
        <w:t>国制造</w:t>
      </w:r>
      <w:r>
        <w:rPr>
          <w:rFonts w:ascii="Times New Roman" w:hAnsi="Times New Roman" w:cs="Times New Roman" w:eastAsia="Times New Roman" w:hint="default"/>
        </w:rPr>
        <w:t>2025”</w:t>
      </w:r>
      <w:r>
        <w:rPr/>
        <w:t>、推进</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、促进工业化和信息化深度融合、支持企业兼并等为契机，统筹规划、合理布局，集中决策、</w:t>
      </w:r>
    </w:p>
    <w:p>
      <w:pPr>
        <w:pStyle w:val="BodyText"/>
        <w:spacing w:line="319" w:lineRule="auto" w:before="63"/>
        <w:ind w:right="1131"/>
        <w:jc w:val="both"/>
      </w:pPr>
      <w:r>
        <w:rPr>
          <w:spacing w:val="-2"/>
        </w:rPr>
        <w:t>独立运营，发挥优势、抢抓机遇，开拓创新、大胆突破，软件板块加速扩张、实现跨越发展，纺织主业完成提质增效、实现</w:t>
      </w:r>
      <w:r>
        <w:rPr>
          <w:spacing w:val="-67"/>
        </w:rPr>
        <w:t> </w:t>
      </w:r>
      <w:r>
        <w:rPr>
          <w:spacing w:val="-67"/>
        </w:rPr>
      </w:r>
      <w:r>
        <w:rPr/>
        <w:t>做优做精，形成高端信息产业和先进制造业相互支持、协同创新、融合发展的新格局。</w:t>
      </w:r>
    </w:p>
    <w:p>
      <w:pPr>
        <w:pStyle w:val="BodyText"/>
        <w:spacing w:line="240" w:lineRule="auto" w:before="58"/>
        <w:ind w:left="437" w:right="0"/>
        <w:jc w:val="left"/>
      </w:pPr>
      <w:r>
        <w:rPr/>
        <w:t>（三）</w:t>
      </w:r>
      <w:r>
        <w:rPr>
          <w:rFonts w:ascii="Times New Roman" w:hAnsi="Times New Roman" w:cs="Times New Roman" w:eastAsia="Times New Roman" w:hint="default"/>
        </w:rPr>
        <w:t>2020</w:t>
      </w:r>
      <w:r>
        <w:rPr/>
        <w:t>年的经营计划及面对的风险</w:t>
      </w:r>
    </w:p>
    <w:p>
      <w:pPr>
        <w:pStyle w:val="BodyText"/>
        <w:spacing w:line="240" w:lineRule="auto" w:before="102"/>
        <w:ind w:left="582"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2020</w:t>
      </w:r>
      <w:r>
        <w:rPr/>
        <w:t>年经营计划</w:t>
      </w:r>
    </w:p>
    <w:p>
      <w:pPr>
        <w:pStyle w:val="BodyText"/>
        <w:spacing w:line="338" w:lineRule="auto" w:before="102"/>
        <w:ind w:left="510" w:right="1117" w:hanging="74"/>
        <w:jc w:val="left"/>
      </w:pPr>
      <w:r>
        <w:rPr/>
        <w:t>（</w:t>
      </w:r>
      <w:r>
        <w:rPr>
          <w:rFonts w:ascii="Times New Roman" w:hAnsi="Times New Roman" w:cs="Times New Roman" w:eastAsia="Times New Roman" w:hint="default"/>
        </w:rPr>
        <w:t>1</w:t>
      </w:r>
      <w:r>
        <w:rPr/>
        <w:t>）纺织板块 </w:t>
      </w:r>
      <w:r>
        <w:rPr>
          <w:spacing w:val="-2"/>
        </w:rPr>
        <w:t>把优化产品结构放在突出位置。通过结构调整，淘汰毛利低、市场前景差的品种，增加毛利高、市场前景好的品种，增</w:t>
      </w:r>
    </w:p>
    <w:p>
      <w:pPr>
        <w:pStyle w:val="BodyText"/>
        <w:spacing w:line="319" w:lineRule="auto" w:before="2"/>
        <w:ind w:right="1030"/>
        <w:jc w:val="left"/>
      </w:pPr>
      <w:r>
        <w:rPr/>
        <w:t>强企业抗风险能力和盈利能力。完善客户档案管理系统，强化业务过程管控，提升市场开拓和客户管理能力。把提高单产、 </w:t>
      </w:r>
      <w:r>
        <w:rPr>
          <w:spacing w:val="-2"/>
        </w:rPr>
        <w:t>保证质量、降低消耗等主要生产指标分解落实到位。制定先进合理的原材料和机物料消耗定额，合理控制单位产品的物资消</w:t>
      </w:r>
      <w:r>
        <w:rPr>
          <w:spacing w:val="-66"/>
        </w:rPr>
        <w:t> </w:t>
      </w:r>
      <w:r>
        <w:rPr>
          <w:spacing w:val="-66"/>
        </w:rPr>
      </w:r>
      <w:r>
        <w:rPr>
          <w:spacing w:val="-2"/>
        </w:rPr>
        <w:t>耗。增强质量意识和成本意识，强化工艺检查和落实，抓好技能培训，提高生产效率。继续开展职工职业技能竞赛和质量管</w:t>
      </w:r>
      <w:r>
        <w:rPr>
          <w:spacing w:val="-66"/>
        </w:rPr>
        <w:t> </w:t>
      </w:r>
      <w:r>
        <w:rPr>
          <w:spacing w:val="-66"/>
        </w:rPr>
      </w:r>
      <w:r>
        <w:rPr>
          <w:spacing w:val="-2"/>
        </w:rPr>
        <w:t>理小组、质量管理信得过班组活动。制定公司棉纱期货交割厂库管理办法，配强棉纱期货业务技术力量，开展棉纱期货交割</w:t>
      </w:r>
      <w:r>
        <w:rPr>
          <w:spacing w:val="-66"/>
        </w:rPr>
        <w:t> </w:t>
      </w:r>
      <w:r>
        <w:rPr>
          <w:spacing w:val="-66"/>
        </w:rPr>
      </w:r>
      <w:r>
        <w:rPr/>
        <w:t>厂库业务，助力公司纺织主业提质增效。</w:t>
      </w:r>
    </w:p>
    <w:p>
      <w:pPr>
        <w:pStyle w:val="BodyText"/>
        <w:spacing w:line="338" w:lineRule="auto" w:before="56"/>
        <w:ind w:left="514" w:right="1117" w:hanging="70"/>
        <w:jc w:val="left"/>
      </w:pPr>
      <w:r>
        <w:rPr/>
        <w:t>（</w:t>
      </w:r>
      <w:r>
        <w:rPr>
          <w:rFonts w:ascii="Times New Roman" w:hAnsi="Times New Roman" w:cs="Times New Roman" w:eastAsia="Times New Roman" w:hint="default"/>
        </w:rPr>
        <w:t>2</w:t>
      </w:r>
      <w:r>
        <w:rPr/>
        <w:t>）软件板块 </w:t>
      </w:r>
      <w:r>
        <w:rPr>
          <w:spacing w:val="-2"/>
        </w:rPr>
        <w:t>软件主业要继续保持多年规划、建设和运行维护数据中心的经验和良好能力，探索企业数据中心的发展之路，帮助用户</w:t>
      </w:r>
    </w:p>
    <w:p>
      <w:pPr>
        <w:pStyle w:val="BodyText"/>
        <w:spacing w:line="316" w:lineRule="auto" w:before="2"/>
        <w:ind w:left="153" w:right="1031"/>
        <w:jc w:val="left"/>
      </w:pPr>
      <w:r>
        <w:rPr>
          <w:spacing w:val="-2"/>
        </w:rPr>
        <w:t>做好信息化建设的助手，把控信息化建设的风险，维护专家队伍，做好信息系统建设专家；把大数据、人工智能战略形成企</w:t>
      </w:r>
      <w:r>
        <w:rPr>
          <w:spacing w:val="-66"/>
        </w:rPr>
        <w:t> </w:t>
      </w:r>
      <w:r>
        <w:rPr>
          <w:spacing w:val="-66"/>
        </w:rPr>
      </w:r>
      <w:r>
        <w:rPr>
          <w:spacing w:val="-4"/>
        </w:rPr>
        <w:t>业业务建设的推进剂和增强剂，关注大数据分析技术和人工智能技术在各个行业的应用实践，做好大数据技术的领航；同时，</w:t>
      </w:r>
      <w:r>
        <w:rPr>
          <w:spacing w:val="-44"/>
        </w:rPr>
        <w:t> </w:t>
      </w:r>
      <w:r>
        <w:rPr>
          <w:spacing w:val="-44"/>
        </w:rPr>
      </w:r>
      <w:r>
        <w:rPr/>
        <w:t>全面迈向云计算服务蓝海，在云计算管理、多云管控、上云迁移、云原生应用、数字平台服务等多个层面，沉淀公司价值。</w:t>
      </w:r>
    </w:p>
    <w:p>
      <w:pPr>
        <w:spacing w:after="0" w:line="316"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02" w:lineRule="auto" w:before="44"/>
        <w:ind w:left="153" w:right="1031"/>
        <w:jc w:val="left"/>
      </w:pPr>
      <w:r>
        <w:rPr>
          <w:rFonts w:ascii="Times New Roman" w:hAnsi="Times New Roman" w:cs="Times New Roman" w:eastAsia="Times New Roman" w:hint="default"/>
        </w:rPr>
        <w:t>ODR</w:t>
      </w:r>
      <w:r>
        <w:rPr/>
        <w:t>在线矛盾纠纷多元化解运用</w:t>
      </w:r>
      <w:r>
        <w:rPr>
          <w:rFonts w:ascii="Times New Roman" w:hAnsi="Times New Roman" w:cs="Times New Roman" w:eastAsia="Times New Roman" w:hint="default"/>
        </w:rPr>
        <w:t>AI</w:t>
      </w:r>
      <w:r>
        <w:rPr/>
        <w:t>和大数据技术、区块链技术的全新社会治理平台、在线司法平台要在全国更为广泛地全</w:t>
      </w:r>
      <w:r>
        <w:rPr>
          <w:spacing w:val="-34"/>
        </w:rPr>
        <w:t> </w:t>
      </w:r>
      <w:r>
        <w:rPr>
          <w:spacing w:val="-34"/>
        </w:rPr>
      </w:r>
      <w:r>
        <w:rPr/>
        <w:t>面铺开，公司要继续加大投入，大力开拓业务蓝海市场；做好优化内部管理体系，实现部门协同，提升团队联合作战能力。</w:t>
      </w:r>
    </w:p>
    <w:p>
      <w:pPr>
        <w:pStyle w:val="BodyText"/>
        <w:spacing w:line="314" w:lineRule="auto" w:before="68"/>
        <w:ind w:left="153" w:right="1031" w:firstLine="360"/>
        <w:jc w:val="left"/>
      </w:pPr>
      <w:r>
        <w:rPr>
          <w:spacing w:val="-2"/>
        </w:rPr>
        <w:t>紧跟行业变革和趋势，紧密加强与业界巨头的</w:t>
      </w:r>
      <w:r>
        <w:rPr>
          <w:rFonts w:ascii="Times New Roman" w:hAnsi="Times New Roman" w:cs="Times New Roman" w:eastAsia="Times New Roman" w:hint="default"/>
          <w:spacing w:val="-2"/>
        </w:rPr>
        <w:t>“</w:t>
      </w:r>
      <w:r>
        <w:rPr>
          <w:spacing w:val="-2"/>
        </w:rPr>
        <w:t>平台</w:t>
      </w:r>
      <w:r>
        <w:rPr>
          <w:rFonts w:ascii="Times New Roman" w:hAnsi="Times New Roman" w:cs="Times New Roman" w:eastAsia="Times New Roman" w:hint="default"/>
          <w:spacing w:val="-2"/>
        </w:rPr>
        <w:t>+</w:t>
      </w:r>
      <w:r>
        <w:rPr>
          <w:spacing w:val="-2"/>
        </w:rPr>
        <w:t>生态</w:t>
      </w:r>
      <w:r>
        <w:rPr>
          <w:rFonts w:ascii="Times New Roman" w:hAnsi="Times New Roman" w:cs="Times New Roman" w:eastAsia="Times New Roman" w:hint="default"/>
          <w:spacing w:val="-2"/>
        </w:rPr>
        <w:t>”</w:t>
      </w:r>
      <w:r>
        <w:rPr>
          <w:spacing w:val="-2"/>
        </w:rPr>
        <w:t>的双轮驱动战略。继续大力推动与华为联手的云上企业计划、</w:t>
      </w:r>
      <w:r>
        <w:rPr/>
        <w:t> 企业数字化转型、企业智能服务体系，紧跟华为的鲲鹏产业智能计算战略、数字政府战略、企业智能战略、数字平台战略， </w:t>
      </w:r>
      <w:r>
        <w:rPr>
          <w:spacing w:val="-2"/>
        </w:rPr>
        <w:t>实现多部门的深度融合和转型，整合公司内部资源，实现紧密生态融合。携手腾讯，针对智慧城市、大数据、税务、公检法</w:t>
      </w:r>
      <w:r>
        <w:rPr>
          <w:spacing w:val="-65"/>
        </w:rPr>
        <w:t> </w:t>
      </w:r>
      <w:r>
        <w:rPr>
          <w:spacing w:val="-65"/>
        </w:rPr>
      </w:r>
      <w:r>
        <w:rPr>
          <w:spacing w:val="-4"/>
        </w:rPr>
        <w:t>等领域进行全方位的产品和方案对接，针对已经实施落地、轻量级、销售市场潜力大产品进行联合解决方案开发或产品融合，</w:t>
      </w:r>
      <w:r>
        <w:rPr>
          <w:spacing w:val="-44"/>
        </w:rPr>
        <w:t> </w:t>
      </w:r>
      <w:r>
        <w:rPr>
          <w:spacing w:val="-44"/>
        </w:rPr>
      </w:r>
      <w:r>
        <w:rPr/>
        <w:t>共同探讨司法领域创新方案孵化。</w:t>
      </w:r>
    </w:p>
    <w:p>
      <w:pPr>
        <w:pStyle w:val="BodyText"/>
        <w:spacing w:line="240" w:lineRule="auto" w:before="61"/>
        <w:ind w:left="0" w:right="8444"/>
        <w:jc w:val="center"/>
      </w:pPr>
      <w:r>
        <w:rPr>
          <w:rFonts w:ascii="Times New Roman" w:hAnsi="Times New Roman" w:cs="Times New Roman" w:eastAsia="Times New Roman" w:hint="default"/>
        </w:rPr>
        <w:t>2</w:t>
      </w:r>
      <w:r>
        <w:rPr/>
        <w:t>、面对的风险</w:t>
      </w:r>
    </w:p>
    <w:p>
      <w:pPr>
        <w:pStyle w:val="BodyText"/>
        <w:spacing w:line="240" w:lineRule="auto" w:before="102"/>
        <w:ind w:left="437" w:right="0"/>
        <w:jc w:val="left"/>
      </w:pPr>
      <w:r>
        <w:rPr/>
        <w:t>（</w:t>
      </w:r>
      <w:r>
        <w:rPr>
          <w:rFonts w:ascii="Times New Roman" w:hAnsi="Times New Roman" w:cs="Times New Roman" w:eastAsia="Times New Roman" w:hint="default"/>
        </w:rPr>
        <w:t>1</w:t>
      </w:r>
      <w:r>
        <w:rPr/>
        <w:t>）商誉减值风险</w:t>
      </w:r>
    </w:p>
    <w:p>
      <w:pPr>
        <w:pStyle w:val="BodyText"/>
        <w:spacing w:line="300" w:lineRule="auto" w:before="101"/>
        <w:ind w:left="153" w:right="1130" w:firstLine="650"/>
        <w:jc w:val="both"/>
      </w:pPr>
      <w:r>
        <w:rPr>
          <w:rFonts w:ascii="Times New Roman" w:hAnsi="Times New Roman" w:cs="Times New Roman" w:eastAsia="Times New Roman" w:hint="default"/>
          <w:spacing w:val="-2"/>
        </w:rPr>
        <w:t>2015</w:t>
      </w:r>
      <w:r>
        <w:rPr>
          <w:spacing w:val="-2"/>
        </w:rPr>
        <w:t>年，公司发行股份购买北明软件</w:t>
      </w:r>
      <w:r>
        <w:rPr>
          <w:rFonts w:ascii="Times New Roman" w:hAnsi="Times New Roman" w:cs="Times New Roman" w:eastAsia="Times New Roman" w:hint="default"/>
          <w:spacing w:val="-2"/>
        </w:rPr>
        <w:t>100%</w:t>
      </w:r>
      <w:r>
        <w:rPr>
          <w:spacing w:val="-2"/>
        </w:rPr>
        <w:t>股权，公司之子公司北明软件收购索科维尔、北明天时、北明成功、明润</w:t>
      </w:r>
      <w:r>
        <w:rPr/>
        <w:t> </w:t>
      </w:r>
      <w:r>
        <w:rPr>
          <w:spacing w:val="-1"/>
        </w:rPr>
        <w:t>华创四家公司</w:t>
      </w:r>
      <w:r>
        <w:rPr>
          <w:rFonts w:ascii="Times New Roman" w:hAnsi="Times New Roman" w:cs="Times New Roman" w:eastAsia="Times New Roman" w:hint="default"/>
          <w:spacing w:val="-1"/>
        </w:rPr>
        <w:t>100%</w:t>
      </w:r>
      <w:r>
        <w:rPr>
          <w:spacing w:val="-1"/>
        </w:rPr>
        <w:t>股权；</w:t>
      </w:r>
      <w:r>
        <w:rPr>
          <w:rFonts w:ascii="Times New Roman" w:hAnsi="Times New Roman" w:cs="Times New Roman" w:eastAsia="Times New Roman" w:hint="default"/>
          <w:spacing w:val="-1"/>
        </w:rPr>
        <w:t>2016</w:t>
      </w:r>
      <w:r>
        <w:rPr>
          <w:spacing w:val="-1"/>
        </w:rPr>
        <w:t>年，北明软件收购金实盈信</w:t>
      </w:r>
      <w:r>
        <w:rPr>
          <w:rFonts w:ascii="Times New Roman" w:hAnsi="Times New Roman" w:cs="Times New Roman" w:eastAsia="Times New Roman" w:hint="default"/>
          <w:spacing w:val="-1"/>
        </w:rPr>
        <w:t>100%</w:t>
      </w:r>
      <w:r>
        <w:rPr>
          <w:spacing w:val="-1"/>
        </w:rPr>
        <w:t>股权，对价与可辨认净资产公允价值之间的差额形成的商誉</w:t>
      </w:r>
      <w:r>
        <w:rPr>
          <w:spacing w:val="-55"/>
        </w:rPr>
        <w:t> </w:t>
      </w:r>
      <w:r>
        <w:rPr>
          <w:spacing w:val="-55"/>
        </w:rPr>
      </w:r>
      <w:r>
        <w:rPr/>
        <w:t>共计</w:t>
      </w:r>
      <w:r>
        <w:rPr>
          <w:rFonts w:ascii="Times New Roman" w:hAnsi="Times New Roman" w:cs="Times New Roman" w:eastAsia="Times New Roman" w:hint="default"/>
        </w:rPr>
        <w:t>21.72</w:t>
      </w:r>
      <w:r>
        <w:rPr/>
        <w:t>亿元，截止</w:t>
      </w:r>
      <w:r>
        <w:rPr>
          <w:rFonts w:ascii="Times New Roman" w:hAnsi="Times New Roman" w:cs="Times New Roman" w:eastAsia="Times New Roman" w:hint="default"/>
        </w:rPr>
        <w:t>2019</w:t>
      </w:r>
      <w:r>
        <w:rPr/>
        <w:t>年末公司商誉账面净值为</w:t>
      </w:r>
      <w:r>
        <w:rPr>
          <w:rFonts w:ascii="Times New Roman" w:hAnsi="Times New Roman" w:cs="Times New Roman" w:eastAsia="Times New Roman" w:hint="default"/>
        </w:rPr>
        <w:t>21.08</w:t>
      </w:r>
      <w:r>
        <w:rPr/>
        <w:t>亿元，占资产总额的</w:t>
      </w:r>
      <w:r>
        <w:rPr>
          <w:rFonts w:ascii="Times New Roman" w:hAnsi="Times New Roman" w:cs="Times New Roman" w:eastAsia="Times New Roman" w:hint="default"/>
        </w:rPr>
        <w:t>14.89%</w:t>
      </w:r>
      <w:r>
        <w:rPr/>
        <w:t>。</w:t>
      </w:r>
    </w:p>
    <w:p>
      <w:pPr>
        <w:pStyle w:val="BodyText"/>
        <w:spacing w:line="319" w:lineRule="auto" w:before="52"/>
        <w:ind w:left="153" w:right="1130" w:firstLine="290"/>
        <w:jc w:val="both"/>
      </w:pPr>
      <w:r>
        <w:rPr>
          <w:spacing w:val="-1"/>
        </w:rPr>
        <w:t>尽管各收购标的公司的管理层将勤勉经营，尽最大努力实现最佳盈利，但是，未来包括但不限于经济环境和产业政策及</w:t>
      </w:r>
      <w:r>
        <w:rPr/>
        <w:t> </w:t>
      </w:r>
      <w:r>
        <w:rPr>
          <w:spacing w:val="-2"/>
        </w:rPr>
        <w:t>意外事件等诸多因素的变化均可能给标的公司的经营管理造成不利影响。如果标的公司经营情况未达预期，可能导致收购所</w:t>
      </w:r>
      <w:r>
        <w:rPr>
          <w:spacing w:val="-64"/>
        </w:rPr>
        <w:t> </w:t>
      </w:r>
      <w:r>
        <w:rPr>
          <w:spacing w:val="-64"/>
        </w:rPr>
      </w:r>
      <w:r>
        <w:rPr/>
        <w:t>形成的商誉出现减值，进而对上市公司的整体经营业绩和盈利水平造成影响。</w:t>
      </w:r>
    </w:p>
    <w:p>
      <w:pPr>
        <w:pStyle w:val="BodyText"/>
        <w:spacing w:line="338" w:lineRule="auto" w:before="56"/>
        <w:ind w:left="510" w:right="0" w:hanging="74"/>
        <w:jc w:val="left"/>
      </w:pPr>
      <w:r>
        <w:rPr/>
        <w:t>（</w:t>
      </w:r>
      <w:r>
        <w:rPr>
          <w:rFonts w:ascii="Times New Roman" w:hAnsi="Times New Roman" w:cs="Times New Roman" w:eastAsia="Times New Roman" w:hint="default"/>
        </w:rPr>
        <w:t>2</w:t>
      </w:r>
      <w:r>
        <w:rPr/>
        <w:t>）专业人才短缺风险 </w:t>
      </w:r>
      <w:r>
        <w:rPr>
          <w:spacing w:val="-2"/>
        </w:rPr>
        <w:t>公司软件业务的不断拓展，应用所涉及的领域也越来越广，细分也进一步深化，特别是</w:t>
      </w:r>
      <w:r>
        <w:rPr>
          <w:rFonts w:ascii="Times New Roman" w:hAnsi="Times New Roman" w:cs="Times New Roman" w:eastAsia="Times New Roman" w:hint="default"/>
          <w:spacing w:val="-2"/>
        </w:rPr>
        <w:t>AI</w:t>
      </w:r>
      <w:r>
        <w:rPr>
          <w:spacing w:val="-2"/>
        </w:rPr>
        <w:t>和大数据分析的产品推进，与</w:t>
      </w:r>
    </w:p>
    <w:p>
      <w:pPr>
        <w:pStyle w:val="BodyText"/>
        <w:spacing w:line="217" w:lineRule="exact"/>
        <w:ind w:left="153" w:right="0"/>
        <w:jc w:val="left"/>
      </w:pPr>
      <w:r>
        <w:rPr/>
        <w:t>人才关联度极高，行业内经验丰富、技术能力强的专业技术人才和管理人才较为缺乏，随着公司软件主业的不断发展，相关</w:t>
      </w:r>
    </w:p>
    <w:p>
      <w:pPr>
        <w:pStyle w:val="BodyText"/>
        <w:spacing w:line="240" w:lineRule="auto" w:before="77"/>
        <w:ind w:left="153" w:right="0"/>
        <w:jc w:val="left"/>
      </w:pPr>
      <w:r>
        <w:rPr/>
        <w:t>产品市场规模稳步扩大增长，专业人才缺乏的问题将会更加突出。</w:t>
      </w:r>
    </w:p>
    <w:p>
      <w:pPr>
        <w:pStyle w:val="BodyText"/>
        <w:spacing w:line="338" w:lineRule="auto" w:before="117"/>
        <w:ind w:left="516" w:right="1117" w:hanging="80"/>
        <w:jc w:val="left"/>
      </w:pPr>
      <w:r>
        <w:rPr/>
        <w:t>（</w:t>
      </w:r>
      <w:r>
        <w:rPr>
          <w:rFonts w:ascii="Times New Roman" w:hAnsi="Times New Roman" w:cs="Times New Roman" w:eastAsia="Times New Roman" w:hint="default"/>
        </w:rPr>
        <w:t>3</w:t>
      </w:r>
      <w:r>
        <w:rPr/>
        <w:t>）市场风险 </w:t>
      </w:r>
      <w:r>
        <w:rPr>
          <w:spacing w:val="-2"/>
        </w:rPr>
        <w:t>因新冠肺炎疫情影响，以出口为主导的纺织服装行业面临海外订单延误取消，库存积压，物流受阻等一系列难题，加之</w:t>
      </w:r>
    </w:p>
    <w:p>
      <w:pPr>
        <w:pStyle w:val="BodyText"/>
        <w:spacing w:line="240" w:lineRule="auto" w:before="4"/>
        <w:ind w:left="153" w:right="0"/>
        <w:jc w:val="left"/>
      </w:pPr>
      <w:r>
        <w:rPr/>
        <w:t>国际国内经济下行压力加大，可能对公司纺织板块经营产生冲击。</w:t>
      </w:r>
    </w:p>
    <w:p>
      <w:pPr>
        <w:pStyle w:val="BodyText"/>
        <w:spacing w:line="338" w:lineRule="auto" w:before="116"/>
        <w:ind w:left="444" w:right="1026" w:hanging="8"/>
        <w:jc w:val="left"/>
      </w:pPr>
      <w:r>
        <w:rPr/>
        <w:t>（</w:t>
      </w:r>
      <w:r>
        <w:rPr>
          <w:rFonts w:ascii="Times New Roman" w:hAnsi="Times New Roman" w:cs="Times New Roman" w:eastAsia="Times New Roman" w:hint="default"/>
        </w:rPr>
        <w:t>4</w:t>
      </w:r>
      <w:r>
        <w:rPr/>
        <w:t>）经营波动风险 </w:t>
      </w:r>
      <w:r>
        <w:rPr>
          <w:spacing w:val="-2"/>
        </w:rPr>
        <w:t>公司软件业务经营存在季节性特征。公司主要是项目采用交付式的经营模式，项目回款和收入确认主要体现在第四季度，</w:t>
      </w:r>
    </w:p>
    <w:p>
      <w:pPr>
        <w:pStyle w:val="BodyText"/>
        <w:spacing w:line="302" w:lineRule="auto" w:before="2"/>
        <w:ind w:left="153" w:right="0"/>
        <w:jc w:val="left"/>
      </w:pPr>
      <w:r>
        <w:rPr>
          <w:rFonts w:ascii="Times New Roman" w:hAnsi="Times New Roman" w:cs="Times New Roman" w:eastAsia="Times New Roman" w:hint="default"/>
        </w:rPr>
        <w:t>2018</w:t>
      </w:r>
      <w:r>
        <w:rPr/>
        <w:t>和</w:t>
      </w:r>
      <w:r>
        <w:rPr>
          <w:rFonts w:ascii="Times New Roman" w:hAnsi="Times New Roman" w:cs="Times New Roman" w:eastAsia="Times New Roman" w:hint="default"/>
        </w:rPr>
        <w:t>2019</w:t>
      </w:r>
      <w:r>
        <w:rPr/>
        <w:t>年第四季度的软件业务营业收入分别占全年软件业务营业收入的</w:t>
      </w:r>
      <w:r>
        <w:rPr>
          <w:rFonts w:ascii="Times New Roman" w:hAnsi="Times New Roman" w:cs="Times New Roman" w:eastAsia="Times New Roman" w:hint="default"/>
        </w:rPr>
        <w:t>47.59%</w:t>
      </w:r>
      <w:r>
        <w:rPr/>
        <w:t>和</w:t>
      </w:r>
      <w:r>
        <w:rPr>
          <w:rFonts w:ascii="Times New Roman" w:hAnsi="Times New Roman" w:cs="Times New Roman" w:eastAsia="Times New Roman" w:hint="default"/>
        </w:rPr>
        <w:t>45.64%</w:t>
      </w:r>
      <w:r>
        <w:rPr/>
        <w:t>，第四季度软件业务的净利润</w:t>
      </w:r>
      <w:r>
        <w:rPr>
          <w:spacing w:val="-37"/>
        </w:rPr>
        <w:t> </w:t>
      </w:r>
      <w:r>
        <w:rPr>
          <w:spacing w:val="-37"/>
        </w:rPr>
      </w:r>
      <w:r>
        <w:rPr/>
        <w:t>分别占全年软件业务净利润的</w:t>
      </w:r>
      <w:r>
        <w:rPr>
          <w:rFonts w:ascii="Times New Roman" w:hAnsi="Times New Roman" w:cs="Times New Roman" w:eastAsia="Times New Roman" w:hint="default"/>
        </w:rPr>
        <w:t>84.32%</w:t>
      </w:r>
      <w:r>
        <w:rPr/>
        <w:t>和</w:t>
      </w:r>
      <w:r>
        <w:rPr>
          <w:rFonts w:ascii="Times New Roman" w:hAnsi="Times New Roman" w:cs="Times New Roman" w:eastAsia="Times New Roman" w:hint="default"/>
        </w:rPr>
        <w:t>72.72%</w:t>
      </w:r>
      <w:r>
        <w:rPr/>
        <w:t>，公司软件业务收入和净利润存在较为明显的波动性。</w:t>
      </w:r>
    </w:p>
    <w:p>
      <w:pPr>
        <w:spacing w:line="240" w:lineRule="auto" w:before="13"/>
        <w:rPr>
          <w:rFonts w:ascii="宋体" w:hAnsi="宋体" w:cs="宋体" w:eastAsia="宋体" w:hint="default"/>
          <w:sz w:val="19"/>
          <w:szCs w:val="19"/>
        </w:rPr>
      </w:pPr>
    </w:p>
    <w:p>
      <w:pPr>
        <w:pStyle w:val="Heading2"/>
        <w:spacing w:line="240" w:lineRule="auto"/>
        <w:ind w:right="0"/>
        <w:jc w:val="left"/>
        <w:rPr>
          <w:b w:val="0"/>
          <w:bCs w:val="0"/>
        </w:rPr>
      </w:pPr>
      <w:r>
        <w:rPr/>
        <w:t>十、接待调研、沟通、采访等活动情况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1510"/>
        <w:gridCol w:w="667"/>
        <w:gridCol w:w="2177"/>
        <w:gridCol w:w="3037"/>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1"/>
              <w:jc w:val="left"/>
              <w:rPr>
                <w:rFonts w:ascii="宋体" w:hAnsi="宋体" w:cs="宋体" w:eastAsia="宋体" w:hint="default"/>
                <w:sz w:val="18"/>
                <w:szCs w:val="18"/>
              </w:rPr>
            </w:pPr>
            <w:r>
              <w:rPr>
                <w:rFonts w:ascii="宋体" w:hAnsi="宋体" w:cs="宋体" w:eastAsia="宋体" w:hint="default"/>
                <w:sz w:val="18"/>
                <w:szCs w:val="18"/>
              </w:rPr>
              <w:t>巨潮资讯网披露的投资者关系活动记 录表（</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日发布）</w:t>
            </w:r>
          </w:p>
        </w:tc>
      </w:tr>
      <w:tr>
        <w:trPr>
          <w:trHeight w:val="402" w:hRule="exact"/>
        </w:trPr>
        <w:tc>
          <w:tcPr>
            <w:tcW w:w="36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5881"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36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5881"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36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5881"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6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5881"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5881"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976"/>
        <w:jc w:val="center"/>
        <w:rPr>
          <w:b w:val="0"/>
          <w:bCs w:val="0"/>
        </w:rPr>
      </w:pPr>
      <w:bookmarkStart w:name="_TOC_250008" w:id="5"/>
      <w:r>
        <w:rPr/>
        <w:t>第五节重要事项</w:t>
      </w:r>
      <w:bookmarkEnd w:id="5"/>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300" w:lineRule="auto" w:before="101"/>
        <w:ind w:left="153" w:right="1119" w:firstLine="362"/>
        <w:jc w:val="left"/>
      </w:pPr>
      <w:r>
        <w:rPr>
          <w:rFonts w:ascii="Times New Roman" w:hAnsi="Times New Roman" w:cs="Times New Roman" w:eastAsia="Times New Roman" w:hint="default"/>
        </w:rPr>
        <w:t>2017</w:t>
      </w:r>
      <w:r>
        <w:rPr/>
        <w:t>年度利润分配方案：以</w:t>
      </w:r>
      <w:r>
        <w:rPr>
          <w:rFonts w:ascii="Times New Roman" w:hAnsi="Times New Roman" w:cs="Times New Roman" w:eastAsia="Times New Roman" w:hint="default"/>
        </w:rPr>
        <w:t>2017</w:t>
      </w:r>
      <w:r>
        <w:rPr/>
        <w:t>年末总股份</w:t>
      </w:r>
      <w:r>
        <w:rPr>
          <w:rFonts w:ascii="Times New Roman" w:hAnsi="Times New Roman" w:cs="Times New Roman" w:eastAsia="Times New Roman" w:hint="default"/>
        </w:rPr>
        <w:t>1,652,874,961</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0.50</w:t>
      </w:r>
      <w:r>
        <w:rPr/>
        <w:t>元（含税）， 共计派发现金</w:t>
      </w:r>
      <w:r>
        <w:rPr>
          <w:rFonts w:ascii="Times New Roman" w:hAnsi="Times New Roman" w:cs="Times New Roman" w:eastAsia="Times New Roman" w:hint="default"/>
        </w:rPr>
        <w:t>82,643,748.05</w:t>
      </w:r>
      <w:r>
        <w:rPr/>
        <w:t>元；不以资本公积转增股本。公司于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日实施了利润分配方案。</w:t>
      </w:r>
    </w:p>
    <w:p>
      <w:pPr>
        <w:pStyle w:val="BodyText"/>
        <w:spacing w:line="240" w:lineRule="auto" w:before="13"/>
        <w:ind w:left="516" w:right="0"/>
        <w:jc w:val="left"/>
      </w:pPr>
      <w:r>
        <w:rPr>
          <w:rFonts w:ascii="Times New Roman" w:hAnsi="Times New Roman" w:cs="Times New Roman" w:eastAsia="Times New Roman" w:hint="default"/>
        </w:rPr>
        <w:t>2018</w:t>
      </w:r>
      <w:r>
        <w:rPr/>
        <w:t>年度利润分配方案：</w:t>
      </w:r>
      <w:r>
        <w:rPr>
          <w:rFonts w:ascii="Times New Roman" w:hAnsi="Times New Roman" w:cs="Times New Roman" w:eastAsia="Times New Roman" w:hint="default"/>
        </w:rPr>
        <w:t>2018</w:t>
      </w:r>
      <w:r>
        <w:rPr/>
        <w:t>年度公司不进行现金分红，也不进行资本公积金转增股本。</w:t>
      </w:r>
    </w:p>
    <w:p>
      <w:pPr>
        <w:pStyle w:val="BodyText"/>
        <w:spacing w:line="340" w:lineRule="auto" w:before="63"/>
        <w:ind w:left="153" w:right="4269" w:firstLine="362"/>
        <w:jc w:val="left"/>
      </w:pPr>
      <w:r>
        <w:rPr>
          <w:rFonts w:ascii="Times New Roman" w:hAnsi="Times New Roman" w:cs="Times New Roman" w:eastAsia="Times New Roman" w:hint="default"/>
        </w:rPr>
        <w:t>2019</w:t>
      </w:r>
      <w:r>
        <w:rPr/>
        <w:t>年度利润分配预案：不派发现金红利，不送红股，不以公积金转增股本。 公司近三年（包括本报告期）普通股现金分红情况表</w:t>
      </w:r>
    </w:p>
    <w:p>
      <w:pPr>
        <w:pStyle w:val="BodyText"/>
        <w:spacing w:line="240" w:lineRule="auto" w:before="41"/>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6"/>
        <w:gridCol w:w="1207"/>
        <w:gridCol w:w="1184"/>
        <w:gridCol w:w="1184"/>
        <w:gridCol w:w="1219"/>
        <w:gridCol w:w="1173"/>
        <w:gridCol w:w="1219"/>
        <w:gridCol w:w="1172"/>
      </w:tblGrid>
      <w:tr>
        <w:trPr>
          <w:trHeight w:val="161" w:hRule="exact"/>
        </w:trPr>
        <w:tc>
          <w:tcPr>
            <w:tcW w:w="1186" w:type="dxa"/>
            <w:vMerge w:val="restart"/>
            <w:tcBorders>
              <w:top w:val="single" w:sz="4" w:space="0" w:color="000000"/>
              <w:left w:val="single" w:sz="4" w:space="0" w:color="000000"/>
              <w:right w:val="single" w:sz="4" w:space="0" w:color="000000"/>
            </w:tcBorders>
            <w:shd w:val="clear" w:color="auto" w:fill="D3D3D3"/>
          </w:tcPr>
          <w:p>
            <w:pPr/>
          </w:p>
        </w:tc>
        <w:tc>
          <w:tcPr>
            <w:tcW w:w="1207" w:type="dxa"/>
            <w:vMerge w:val="restart"/>
            <w:tcBorders>
              <w:top w:val="single" w:sz="4" w:space="0" w:color="000000"/>
              <w:left w:val="single" w:sz="4" w:space="0" w:color="000000"/>
              <w:right w:val="single" w:sz="4" w:space="0" w:color="000000"/>
            </w:tcBorders>
            <w:shd w:val="clear" w:color="auto" w:fill="D3D3D3"/>
          </w:tcPr>
          <w:p>
            <w:pPr/>
          </w:p>
        </w:tc>
        <w:tc>
          <w:tcPr>
            <w:tcW w:w="1184" w:type="dxa"/>
            <w:vMerge w:val="restart"/>
            <w:tcBorders>
              <w:top w:val="single" w:sz="4" w:space="0" w:color="000000"/>
              <w:left w:val="single" w:sz="4" w:space="0" w:color="000000"/>
              <w:right w:val="single" w:sz="4" w:space="0" w:color="000000"/>
            </w:tcBorders>
            <w:shd w:val="clear" w:color="auto" w:fill="D3D3D3"/>
          </w:tcPr>
          <w:p>
            <w:pPr/>
          </w:p>
        </w:tc>
        <w:tc>
          <w:tcPr>
            <w:tcW w:w="1184" w:type="dxa"/>
            <w:tcBorders>
              <w:top w:val="single" w:sz="4" w:space="0" w:color="000000"/>
              <w:left w:val="single" w:sz="4" w:space="0" w:color="000000"/>
              <w:bottom w:val="nil" w:sz="6" w:space="0" w:color="auto"/>
              <w:right w:val="single" w:sz="4" w:space="0" w:color="000000"/>
            </w:tcBorders>
            <w:shd w:val="clear" w:color="auto" w:fill="D3D3D3"/>
          </w:tcPr>
          <w:p>
            <w:pPr/>
          </w:p>
        </w:tc>
        <w:tc>
          <w:tcPr>
            <w:tcW w:w="1219" w:type="dxa"/>
            <w:vMerge w:val="restart"/>
            <w:tcBorders>
              <w:top w:val="single" w:sz="4" w:space="0" w:color="000000"/>
              <w:left w:val="single" w:sz="4" w:space="0" w:color="000000"/>
              <w:right w:val="single" w:sz="4" w:space="0" w:color="000000"/>
            </w:tcBorders>
            <w:shd w:val="clear" w:color="auto" w:fill="D3D3D3"/>
          </w:tcPr>
          <w:p>
            <w:pPr/>
          </w:p>
        </w:tc>
        <w:tc>
          <w:tcPr>
            <w:tcW w:w="1173" w:type="dxa"/>
            <w:tcBorders>
              <w:top w:val="single" w:sz="4" w:space="0" w:color="000000"/>
              <w:left w:val="single" w:sz="4" w:space="0" w:color="000000"/>
              <w:bottom w:val="nil" w:sz="6" w:space="0" w:color="auto"/>
              <w:right w:val="single" w:sz="4" w:space="0" w:color="000000"/>
            </w:tcBorders>
            <w:shd w:val="clear" w:color="auto" w:fill="D3D3D3"/>
          </w:tcPr>
          <w:p>
            <w:pPr/>
          </w:p>
        </w:tc>
        <w:tc>
          <w:tcPr>
            <w:tcW w:w="1219" w:type="dxa"/>
            <w:vMerge w:val="restart"/>
            <w:tcBorders>
              <w:top w:val="single" w:sz="4" w:space="0" w:color="000000"/>
              <w:left w:val="single" w:sz="4" w:space="0" w:color="000000"/>
              <w:right w:val="single" w:sz="4" w:space="0" w:color="000000"/>
            </w:tcBorders>
            <w:shd w:val="clear" w:color="auto" w:fill="D3D3D3"/>
          </w:tcPr>
          <w:p>
            <w:pPr/>
          </w:p>
        </w:tc>
        <w:tc>
          <w:tcPr>
            <w:tcW w:w="11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41" w:right="39"/>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86" w:type="dxa"/>
            <w:vMerge/>
            <w:tcBorders>
              <w:left w:val="single" w:sz="4" w:space="0" w:color="000000"/>
              <w:right w:val="single" w:sz="4" w:space="0" w:color="000000"/>
            </w:tcBorders>
            <w:shd w:val="clear" w:color="auto" w:fill="D3D3D3"/>
          </w:tcPr>
          <w:p>
            <w:pPr/>
          </w:p>
        </w:tc>
        <w:tc>
          <w:tcPr>
            <w:tcW w:w="1207" w:type="dxa"/>
            <w:vMerge/>
            <w:tcBorders>
              <w:left w:val="single" w:sz="4" w:space="0" w:color="000000"/>
              <w:right w:val="single" w:sz="4" w:space="0" w:color="000000"/>
            </w:tcBorders>
            <w:shd w:val="clear" w:color="auto" w:fill="D3D3D3"/>
          </w:tcPr>
          <w:p>
            <w:pPr/>
          </w:p>
        </w:tc>
        <w:tc>
          <w:tcPr>
            <w:tcW w:w="1184" w:type="dxa"/>
            <w:vMerge/>
            <w:tcBorders>
              <w:left w:val="single" w:sz="4" w:space="0" w:color="000000"/>
              <w:bottom w:val="nil" w:sz="6" w:space="0" w:color="auto"/>
              <w:right w:val="single" w:sz="4" w:space="0" w:color="000000"/>
            </w:tcBorders>
            <w:shd w:val="clear" w:color="auto" w:fill="D3D3D3"/>
          </w:tcPr>
          <w:p>
            <w:pPr/>
          </w:p>
        </w:tc>
        <w:tc>
          <w:tcPr>
            <w:tcW w:w="1184"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52" w:right="41"/>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219" w:type="dxa"/>
            <w:vMerge/>
            <w:tcBorders>
              <w:left w:val="single" w:sz="4" w:space="0" w:color="000000"/>
              <w:right w:val="single" w:sz="4" w:space="0" w:color="000000"/>
            </w:tcBorders>
            <w:shd w:val="clear" w:color="auto" w:fill="D3D3D3"/>
          </w:tcPr>
          <w:p>
            <w:pPr/>
          </w:p>
        </w:tc>
        <w:tc>
          <w:tcPr>
            <w:tcW w:w="1173"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41" w:right="39"/>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19" w:type="dxa"/>
            <w:vMerge/>
            <w:tcBorders>
              <w:left w:val="single" w:sz="4" w:space="0" w:color="000000"/>
              <w:right w:val="single" w:sz="4" w:space="0" w:color="000000"/>
            </w:tcBorders>
            <w:shd w:val="clear" w:color="auto" w:fill="D3D3D3"/>
          </w:tcPr>
          <w:p>
            <w:pPr/>
          </w:p>
        </w:tc>
        <w:tc>
          <w:tcPr>
            <w:tcW w:w="1172" w:type="dxa"/>
            <w:vMerge/>
            <w:tcBorders>
              <w:left w:val="single" w:sz="4" w:space="0" w:color="000000"/>
              <w:right w:val="single" w:sz="4" w:space="0" w:color="000000"/>
            </w:tcBorders>
            <w:shd w:val="clear" w:color="auto" w:fill="D3D3D3"/>
          </w:tcPr>
          <w:p>
            <w:pPr/>
          </w:p>
        </w:tc>
      </w:tr>
      <w:tr>
        <w:trPr>
          <w:trHeight w:val="156" w:hRule="exact"/>
        </w:trPr>
        <w:tc>
          <w:tcPr>
            <w:tcW w:w="1186" w:type="dxa"/>
            <w:vMerge/>
            <w:tcBorders>
              <w:left w:val="single" w:sz="4" w:space="0" w:color="000000"/>
              <w:right w:val="single" w:sz="4" w:space="0" w:color="000000"/>
            </w:tcBorders>
            <w:shd w:val="clear" w:color="auto" w:fill="D3D3D3"/>
          </w:tcPr>
          <w:p>
            <w:pPr/>
          </w:p>
        </w:tc>
        <w:tc>
          <w:tcPr>
            <w:tcW w:w="1207" w:type="dxa"/>
            <w:vMerge/>
            <w:tcBorders>
              <w:left w:val="single" w:sz="4" w:space="0" w:color="000000"/>
              <w:right w:val="single" w:sz="4" w:space="0" w:color="000000"/>
            </w:tcBorders>
            <w:shd w:val="clear" w:color="auto" w:fill="D3D3D3"/>
          </w:tcPr>
          <w:p>
            <w:pPr/>
          </w:p>
        </w:tc>
        <w:tc>
          <w:tcPr>
            <w:tcW w:w="1184"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41"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84" w:type="dxa"/>
            <w:vMerge/>
            <w:tcBorders>
              <w:left w:val="single" w:sz="4" w:space="0" w:color="000000"/>
              <w:right w:val="single" w:sz="4" w:space="0" w:color="000000"/>
            </w:tcBorders>
            <w:shd w:val="clear" w:color="auto" w:fill="D3D3D3"/>
          </w:tcPr>
          <w:p>
            <w:pPr/>
          </w:p>
        </w:tc>
        <w:tc>
          <w:tcPr>
            <w:tcW w:w="1219" w:type="dxa"/>
            <w:vMerge/>
            <w:tcBorders>
              <w:left w:val="single" w:sz="4" w:space="0" w:color="000000"/>
              <w:bottom w:val="nil" w:sz="6" w:space="0" w:color="auto"/>
              <w:right w:val="single" w:sz="4" w:space="0" w:color="000000"/>
            </w:tcBorders>
            <w:shd w:val="clear" w:color="auto" w:fill="D3D3D3"/>
          </w:tcPr>
          <w:p>
            <w:pPr/>
          </w:p>
        </w:tc>
        <w:tc>
          <w:tcPr>
            <w:tcW w:w="1173" w:type="dxa"/>
            <w:vMerge/>
            <w:tcBorders>
              <w:left w:val="single" w:sz="4" w:space="0" w:color="000000"/>
              <w:right w:val="single" w:sz="4" w:space="0" w:color="000000"/>
            </w:tcBorders>
            <w:shd w:val="clear" w:color="auto" w:fill="D3D3D3"/>
          </w:tcPr>
          <w:p>
            <w:pPr/>
          </w:p>
        </w:tc>
        <w:tc>
          <w:tcPr>
            <w:tcW w:w="1219" w:type="dxa"/>
            <w:vMerge/>
            <w:tcBorders>
              <w:left w:val="single" w:sz="4" w:space="0" w:color="000000"/>
              <w:right w:val="single" w:sz="4" w:space="0" w:color="000000"/>
            </w:tcBorders>
            <w:shd w:val="clear" w:color="auto" w:fill="D3D3D3"/>
          </w:tcPr>
          <w:p>
            <w:pPr/>
          </w:p>
        </w:tc>
        <w:tc>
          <w:tcPr>
            <w:tcW w:w="1172" w:type="dxa"/>
            <w:vMerge/>
            <w:tcBorders>
              <w:left w:val="single" w:sz="4" w:space="0" w:color="000000"/>
              <w:right w:val="single" w:sz="4" w:space="0" w:color="000000"/>
            </w:tcBorders>
            <w:shd w:val="clear" w:color="auto" w:fill="D3D3D3"/>
          </w:tcPr>
          <w:p>
            <w:pPr/>
          </w:p>
        </w:tc>
      </w:tr>
      <w:tr>
        <w:trPr>
          <w:trHeight w:val="156" w:hRule="exact"/>
        </w:trPr>
        <w:tc>
          <w:tcPr>
            <w:tcW w:w="1186" w:type="dxa"/>
            <w:vMerge/>
            <w:tcBorders>
              <w:left w:val="single" w:sz="4" w:space="0" w:color="000000"/>
              <w:right w:val="single" w:sz="4" w:space="0" w:color="000000"/>
            </w:tcBorders>
            <w:shd w:val="clear" w:color="auto" w:fill="D3D3D3"/>
          </w:tcPr>
          <w:p>
            <w:pPr/>
          </w:p>
        </w:tc>
        <w:tc>
          <w:tcPr>
            <w:tcW w:w="1207" w:type="dxa"/>
            <w:vMerge/>
            <w:tcBorders>
              <w:left w:val="single" w:sz="4" w:space="0" w:color="000000"/>
              <w:right w:val="single" w:sz="4" w:space="0" w:color="000000"/>
            </w:tcBorders>
            <w:shd w:val="clear" w:color="auto" w:fill="D3D3D3"/>
          </w:tcPr>
          <w:p>
            <w:pPr/>
          </w:p>
        </w:tc>
        <w:tc>
          <w:tcPr>
            <w:tcW w:w="1184" w:type="dxa"/>
            <w:vMerge/>
            <w:tcBorders>
              <w:left w:val="single" w:sz="4" w:space="0" w:color="000000"/>
              <w:right w:val="single" w:sz="4" w:space="0" w:color="000000"/>
            </w:tcBorders>
            <w:shd w:val="clear" w:color="auto" w:fill="D3D3D3"/>
          </w:tcPr>
          <w:p>
            <w:pPr/>
          </w:p>
        </w:tc>
        <w:tc>
          <w:tcPr>
            <w:tcW w:w="1184" w:type="dxa"/>
            <w:vMerge/>
            <w:tcBorders>
              <w:left w:val="single" w:sz="4" w:space="0" w:color="000000"/>
              <w:right w:val="single" w:sz="4" w:space="0" w:color="000000"/>
            </w:tcBorders>
            <w:shd w:val="clear" w:color="auto" w:fill="D3D3D3"/>
          </w:tcPr>
          <w:p>
            <w:pPr/>
          </w:p>
        </w:tc>
        <w:tc>
          <w:tcPr>
            <w:tcW w:w="121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6"/>
              <w:ind w:left="64" w:right="6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73" w:type="dxa"/>
            <w:vMerge/>
            <w:tcBorders>
              <w:left w:val="single" w:sz="4" w:space="0" w:color="000000"/>
              <w:right w:val="single" w:sz="4" w:space="0" w:color="000000"/>
            </w:tcBorders>
            <w:shd w:val="clear" w:color="auto" w:fill="D3D3D3"/>
          </w:tcPr>
          <w:p>
            <w:pPr/>
          </w:p>
        </w:tc>
        <w:tc>
          <w:tcPr>
            <w:tcW w:w="1219" w:type="dxa"/>
            <w:vMerge/>
            <w:tcBorders>
              <w:left w:val="single" w:sz="4" w:space="0" w:color="000000"/>
              <w:bottom w:val="nil" w:sz="6" w:space="0" w:color="auto"/>
              <w:right w:val="single" w:sz="4" w:space="0" w:color="000000"/>
            </w:tcBorders>
            <w:shd w:val="clear" w:color="auto" w:fill="D3D3D3"/>
          </w:tcPr>
          <w:p>
            <w:pPr/>
          </w:p>
        </w:tc>
        <w:tc>
          <w:tcPr>
            <w:tcW w:w="1172" w:type="dxa"/>
            <w:vMerge/>
            <w:tcBorders>
              <w:left w:val="single" w:sz="4" w:space="0" w:color="000000"/>
              <w:right w:val="single" w:sz="4" w:space="0" w:color="000000"/>
            </w:tcBorders>
            <w:shd w:val="clear" w:color="auto" w:fill="D3D3D3"/>
          </w:tcPr>
          <w:p>
            <w:pPr/>
          </w:p>
        </w:tc>
      </w:tr>
      <w:tr>
        <w:trPr>
          <w:trHeight w:val="156" w:hRule="exact"/>
        </w:trPr>
        <w:tc>
          <w:tcPr>
            <w:tcW w:w="1186" w:type="dxa"/>
            <w:vMerge/>
            <w:tcBorders>
              <w:left w:val="single" w:sz="4" w:space="0" w:color="000000"/>
              <w:right w:val="single" w:sz="4" w:space="0" w:color="000000"/>
            </w:tcBorders>
            <w:shd w:val="clear" w:color="auto" w:fill="D3D3D3"/>
          </w:tcPr>
          <w:p>
            <w:pPr/>
          </w:p>
        </w:tc>
        <w:tc>
          <w:tcPr>
            <w:tcW w:w="1207" w:type="dxa"/>
            <w:vMerge/>
            <w:tcBorders>
              <w:left w:val="single" w:sz="4" w:space="0" w:color="000000"/>
              <w:bottom w:val="nil" w:sz="6" w:space="0" w:color="auto"/>
              <w:right w:val="single" w:sz="4" w:space="0" w:color="000000"/>
            </w:tcBorders>
            <w:shd w:val="clear" w:color="auto" w:fill="D3D3D3"/>
          </w:tcPr>
          <w:p>
            <w:pPr/>
          </w:p>
        </w:tc>
        <w:tc>
          <w:tcPr>
            <w:tcW w:w="1184" w:type="dxa"/>
            <w:vMerge/>
            <w:tcBorders>
              <w:left w:val="single" w:sz="4" w:space="0" w:color="000000"/>
              <w:right w:val="single" w:sz="4" w:space="0" w:color="000000"/>
            </w:tcBorders>
            <w:shd w:val="clear" w:color="auto" w:fill="D3D3D3"/>
          </w:tcPr>
          <w:p>
            <w:pPr/>
          </w:p>
        </w:tc>
        <w:tc>
          <w:tcPr>
            <w:tcW w:w="1184" w:type="dxa"/>
            <w:vMerge/>
            <w:tcBorders>
              <w:left w:val="single" w:sz="4" w:space="0" w:color="000000"/>
              <w:right w:val="single" w:sz="4" w:space="0" w:color="000000"/>
            </w:tcBorders>
            <w:shd w:val="clear" w:color="auto" w:fill="D3D3D3"/>
          </w:tcPr>
          <w:p>
            <w:pPr/>
          </w:p>
        </w:tc>
        <w:tc>
          <w:tcPr>
            <w:tcW w:w="1219" w:type="dxa"/>
            <w:vMerge/>
            <w:tcBorders>
              <w:left w:val="single" w:sz="4" w:space="0" w:color="000000"/>
              <w:right w:val="single" w:sz="4" w:space="0" w:color="000000"/>
            </w:tcBorders>
            <w:shd w:val="clear" w:color="auto" w:fill="D3D3D3"/>
          </w:tcPr>
          <w:p>
            <w:pPr/>
          </w:p>
        </w:tc>
        <w:tc>
          <w:tcPr>
            <w:tcW w:w="1173" w:type="dxa"/>
            <w:vMerge/>
            <w:tcBorders>
              <w:left w:val="single" w:sz="4" w:space="0" w:color="000000"/>
              <w:right w:val="single" w:sz="4" w:space="0" w:color="000000"/>
            </w:tcBorders>
            <w:shd w:val="clear" w:color="auto" w:fill="D3D3D3"/>
          </w:tcPr>
          <w:p>
            <w:pPr/>
          </w:p>
        </w:tc>
        <w:tc>
          <w:tcPr>
            <w:tcW w:w="121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424" w:right="153"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72" w:type="dxa"/>
            <w:vMerge/>
            <w:tcBorders>
              <w:left w:val="single" w:sz="4" w:space="0" w:color="000000"/>
              <w:right w:val="single" w:sz="4" w:space="0" w:color="000000"/>
            </w:tcBorders>
            <w:shd w:val="clear" w:color="auto" w:fill="D3D3D3"/>
          </w:tcPr>
          <w:p>
            <w:pPr/>
          </w:p>
        </w:tc>
      </w:tr>
      <w:tr>
        <w:trPr>
          <w:trHeight w:val="156" w:hRule="exact"/>
        </w:trPr>
        <w:tc>
          <w:tcPr>
            <w:tcW w:w="1186" w:type="dxa"/>
            <w:vMerge/>
            <w:tcBorders>
              <w:left w:val="single" w:sz="4" w:space="0" w:color="000000"/>
              <w:bottom w:val="nil" w:sz="6" w:space="0" w:color="auto"/>
              <w:right w:val="single" w:sz="4" w:space="0" w:color="000000"/>
            </w:tcBorders>
            <w:shd w:val="clear" w:color="auto" w:fill="D3D3D3"/>
          </w:tcPr>
          <w:p>
            <w:pPr/>
          </w:p>
        </w:tc>
        <w:tc>
          <w:tcPr>
            <w:tcW w:w="120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7"/>
              <w:ind w:right="10"/>
              <w:jc w:val="center"/>
              <w:rPr>
                <w:rFonts w:ascii="宋体" w:hAnsi="宋体" w:cs="宋体" w:eastAsia="宋体" w:hint="default"/>
                <w:sz w:val="18"/>
                <w:szCs w:val="18"/>
              </w:rPr>
            </w:pPr>
            <w:r>
              <w:rPr>
                <w:rFonts w:ascii="宋体" w:hAnsi="宋体" w:cs="宋体" w:eastAsia="宋体" w:hint="default"/>
                <w:sz w:val="18"/>
                <w:szCs w:val="18"/>
              </w:rPr>
              <w:t>（含税）</w:t>
            </w:r>
          </w:p>
        </w:tc>
        <w:tc>
          <w:tcPr>
            <w:tcW w:w="1184" w:type="dxa"/>
            <w:vMerge/>
            <w:tcBorders>
              <w:left w:val="single" w:sz="4" w:space="0" w:color="000000"/>
              <w:right w:val="single" w:sz="4" w:space="0" w:color="000000"/>
            </w:tcBorders>
            <w:shd w:val="clear" w:color="auto" w:fill="D3D3D3"/>
          </w:tcPr>
          <w:p>
            <w:pPr/>
          </w:p>
        </w:tc>
        <w:tc>
          <w:tcPr>
            <w:tcW w:w="1184" w:type="dxa"/>
            <w:vMerge/>
            <w:tcBorders>
              <w:left w:val="single" w:sz="4" w:space="0" w:color="000000"/>
              <w:right w:val="single" w:sz="4" w:space="0" w:color="000000"/>
            </w:tcBorders>
            <w:shd w:val="clear" w:color="auto" w:fill="D3D3D3"/>
          </w:tcPr>
          <w:p>
            <w:pPr/>
          </w:p>
        </w:tc>
        <w:tc>
          <w:tcPr>
            <w:tcW w:w="1219" w:type="dxa"/>
            <w:vMerge/>
            <w:tcBorders>
              <w:left w:val="single" w:sz="4" w:space="0" w:color="000000"/>
              <w:right w:val="single" w:sz="4" w:space="0" w:color="000000"/>
            </w:tcBorders>
            <w:shd w:val="clear" w:color="auto" w:fill="D3D3D3"/>
          </w:tcPr>
          <w:p>
            <w:pPr/>
          </w:p>
        </w:tc>
        <w:tc>
          <w:tcPr>
            <w:tcW w:w="1173" w:type="dxa"/>
            <w:vMerge/>
            <w:tcBorders>
              <w:left w:val="single" w:sz="4" w:space="0" w:color="000000"/>
              <w:right w:val="single" w:sz="4" w:space="0" w:color="000000"/>
            </w:tcBorders>
            <w:shd w:val="clear" w:color="auto" w:fill="D3D3D3"/>
          </w:tcPr>
          <w:p>
            <w:pPr/>
          </w:p>
        </w:tc>
        <w:tc>
          <w:tcPr>
            <w:tcW w:w="1219" w:type="dxa"/>
            <w:vMerge/>
            <w:tcBorders>
              <w:left w:val="single" w:sz="4" w:space="0" w:color="000000"/>
              <w:right w:val="single" w:sz="4" w:space="0" w:color="000000"/>
            </w:tcBorders>
            <w:shd w:val="clear" w:color="auto" w:fill="D3D3D3"/>
          </w:tcPr>
          <w:p>
            <w:pPr/>
          </w:p>
        </w:tc>
        <w:tc>
          <w:tcPr>
            <w:tcW w:w="1172" w:type="dxa"/>
            <w:vMerge/>
            <w:tcBorders>
              <w:left w:val="single" w:sz="4" w:space="0" w:color="000000"/>
              <w:right w:val="single" w:sz="4" w:space="0" w:color="000000"/>
            </w:tcBorders>
            <w:shd w:val="clear" w:color="auto" w:fill="D3D3D3"/>
          </w:tcPr>
          <w:p>
            <w:pPr/>
          </w:p>
        </w:tc>
      </w:tr>
      <w:tr>
        <w:trPr>
          <w:trHeight w:val="392" w:hRule="exact"/>
        </w:trPr>
        <w:tc>
          <w:tcPr>
            <w:tcW w:w="118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207" w:type="dxa"/>
            <w:vMerge/>
            <w:tcBorders>
              <w:left w:val="single" w:sz="4" w:space="0" w:color="000000"/>
              <w:right w:val="single" w:sz="4" w:space="0" w:color="000000"/>
            </w:tcBorders>
            <w:shd w:val="clear" w:color="auto" w:fill="D3D3D3"/>
          </w:tcPr>
          <w:p>
            <w:pPr/>
          </w:p>
        </w:tc>
        <w:tc>
          <w:tcPr>
            <w:tcW w:w="1184" w:type="dxa"/>
            <w:vMerge/>
            <w:tcBorders>
              <w:left w:val="single" w:sz="4" w:space="0" w:color="000000"/>
              <w:right w:val="single" w:sz="4" w:space="0" w:color="000000"/>
            </w:tcBorders>
            <w:shd w:val="clear" w:color="auto" w:fill="D3D3D3"/>
          </w:tcPr>
          <w:p>
            <w:pPr/>
          </w:p>
        </w:tc>
        <w:tc>
          <w:tcPr>
            <w:tcW w:w="1184" w:type="dxa"/>
            <w:vMerge/>
            <w:tcBorders>
              <w:left w:val="single" w:sz="4" w:space="0" w:color="000000"/>
              <w:right w:val="single" w:sz="4" w:space="0" w:color="000000"/>
            </w:tcBorders>
            <w:shd w:val="clear" w:color="auto" w:fill="D3D3D3"/>
          </w:tcPr>
          <w:p>
            <w:pPr/>
          </w:p>
        </w:tc>
        <w:tc>
          <w:tcPr>
            <w:tcW w:w="1219" w:type="dxa"/>
            <w:vMerge/>
            <w:tcBorders>
              <w:left w:val="single" w:sz="4" w:space="0" w:color="000000"/>
              <w:right w:val="single" w:sz="4" w:space="0" w:color="000000"/>
            </w:tcBorders>
            <w:shd w:val="clear" w:color="auto" w:fill="D3D3D3"/>
          </w:tcPr>
          <w:p>
            <w:pPr/>
          </w:p>
        </w:tc>
        <w:tc>
          <w:tcPr>
            <w:tcW w:w="1173" w:type="dxa"/>
            <w:vMerge/>
            <w:tcBorders>
              <w:left w:val="single" w:sz="4" w:space="0" w:color="000000"/>
              <w:right w:val="single" w:sz="4" w:space="0" w:color="000000"/>
            </w:tcBorders>
            <w:shd w:val="clear" w:color="auto" w:fill="D3D3D3"/>
          </w:tcPr>
          <w:p>
            <w:pPr/>
          </w:p>
        </w:tc>
        <w:tc>
          <w:tcPr>
            <w:tcW w:w="1219" w:type="dxa"/>
            <w:vMerge/>
            <w:tcBorders>
              <w:left w:val="single" w:sz="4" w:space="0" w:color="000000"/>
              <w:right w:val="single" w:sz="4" w:space="0" w:color="000000"/>
            </w:tcBorders>
            <w:shd w:val="clear" w:color="auto" w:fill="D3D3D3"/>
          </w:tcPr>
          <w:p>
            <w:pPr/>
          </w:p>
        </w:tc>
        <w:tc>
          <w:tcPr>
            <w:tcW w:w="1172" w:type="dxa"/>
            <w:vMerge/>
            <w:tcBorders>
              <w:left w:val="single" w:sz="4" w:space="0" w:color="000000"/>
              <w:right w:val="single" w:sz="4" w:space="0" w:color="000000"/>
            </w:tcBorders>
            <w:shd w:val="clear" w:color="auto" w:fill="D3D3D3"/>
          </w:tcPr>
          <w:p>
            <w:pPr/>
          </w:p>
        </w:tc>
      </w:tr>
      <w:tr>
        <w:trPr>
          <w:trHeight w:val="156" w:hRule="exact"/>
        </w:trPr>
        <w:tc>
          <w:tcPr>
            <w:tcW w:w="1186" w:type="dxa"/>
            <w:vMerge w:val="restart"/>
            <w:tcBorders>
              <w:top w:val="nil" w:sz="6" w:space="0" w:color="auto"/>
              <w:left w:val="single" w:sz="4" w:space="0" w:color="000000"/>
              <w:right w:val="single" w:sz="4" w:space="0" w:color="000000"/>
            </w:tcBorders>
            <w:shd w:val="clear" w:color="auto" w:fill="D3D3D3"/>
          </w:tcPr>
          <w:p>
            <w:pPr/>
          </w:p>
        </w:tc>
        <w:tc>
          <w:tcPr>
            <w:tcW w:w="1207" w:type="dxa"/>
            <w:vMerge/>
            <w:tcBorders>
              <w:left w:val="single" w:sz="4" w:space="0" w:color="000000"/>
              <w:bottom w:val="nil" w:sz="6" w:space="0" w:color="auto"/>
              <w:right w:val="single" w:sz="4" w:space="0" w:color="000000"/>
            </w:tcBorders>
            <w:shd w:val="clear" w:color="auto" w:fill="D3D3D3"/>
          </w:tcPr>
          <w:p>
            <w:pPr/>
          </w:p>
        </w:tc>
        <w:tc>
          <w:tcPr>
            <w:tcW w:w="1184" w:type="dxa"/>
            <w:vMerge/>
            <w:tcBorders>
              <w:left w:val="single" w:sz="4" w:space="0" w:color="000000"/>
              <w:right w:val="single" w:sz="4" w:space="0" w:color="000000"/>
            </w:tcBorders>
            <w:shd w:val="clear" w:color="auto" w:fill="D3D3D3"/>
          </w:tcPr>
          <w:p>
            <w:pPr/>
          </w:p>
        </w:tc>
        <w:tc>
          <w:tcPr>
            <w:tcW w:w="1184" w:type="dxa"/>
            <w:vMerge/>
            <w:tcBorders>
              <w:left w:val="single" w:sz="4" w:space="0" w:color="000000"/>
              <w:right w:val="single" w:sz="4" w:space="0" w:color="000000"/>
            </w:tcBorders>
            <w:shd w:val="clear" w:color="auto" w:fill="D3D3D3"/>
          </w:tcPr>
          <w:p>
            <w:pPr/>
          </w:p>
        </w:tc>
        <w:tc>
          <w:tcPr>
            <w:tcW w:w="1219" w:type="dxa"/>
            <w:vMerge/>
            <w:tcBorders>
              <w:left w:val="single" w:sz="4" w:space="0" w:color="000000"/>
              <w:right w:val="single" w:sz="4" w:space="0" w:color="000000"/>
            </w:tcBorders>
            <w:shd w:val="clear" w:color="auto" w:fill="D3D3D3"/>
          </w:tcPr>
          <w:p>
            <w:pPr/>
          </w:p>
        </w:tc>
        <w:tc>
          <w:tcPr>
            <w:tcW w:w="1173" w:type="dxa"/>
            <w:vMerge/>
            <w:tcBorders>
              <w:left w:val="single" w:sz="4" w:space="0" w:color="000000"/>
              <w:right w:val="single" w:sz="4" w:space="0" w:color="000000"/>
            </w:tcBorders>
            <w:shd w:val="clear" w:color="auto" w:fill="D3D3D3"/>
          </w:tcPr>
          <w:p>
            <w:pPr/>
          </w:p>
        </w:tc>
        <w:tc>
          <w:tcPr>
            <w:tcW w:w="1219" w:type="dxa"/>
            <w:vMerge/>
            <w:tcBorders>
              <w:left w:val="single" w:sz="4" w:space="0" w:color="000000"/>
              <w:right w:val="single" w:sz="4" w:space="0" w:color="000000"/>
            </w:tcBorders>
            <w:shd w:val="clear" w:color="auto" w:fill="D3D3D3"/>
          </w:tcPr>
          <w:p>
            <w:pPr/>
          </w:p>
        </w:tc>
        <w:tc>
          <w:tcPr>
            <w:tcW w:w="1172" w:type="dxa"/>
            <w:vMerge/>
            <w:tcBorders>
              <w:left w:val="single" w:sz="4" w:space="0" w:color="000000"/>
              <w:right w:val="single" w:sz="4" w:space="0" w:color="000000"/>
            </w:tcBorders>
            <w:shd w:val="clear" w:color="auto" w:fill="D3D3D3"/>
          </w:tcPr>
          <w:p>
            <w:pPr/>
          </w:p>
        </w:tc>
      </w:tr>
      <w:tr>
        <w:trPr>
          <w:trHeight w:val="156" w:hRule="exact"/>
        </w:trPr>
        <w:tc>
          <w:tcPr>
            <w:tcW w:w="1186" w:type="dxa"/>
            <w:vMerge/>
            <w:tcBorders>
              <w:left w:val="single" w:sz="4" w:space="0" w:color="000000"/>
              <w:right w:val="single" w:sz="4" w:space="0" w:color="000000"/>
            </w:tcBorders>
            <w:shd w:val="clear" w:color="auto" w:fill="D3D3D3"/>
          </w:tcPr>
          <w:p>
            <w:pPr/>
          </w:p>
        </w:tc>
        <w:tc>
          <w:tcPr>
            <w:tcW w:w="1207" w:type="dxa"/>
            <w:vMerge w:val="restart"/>
            <w:tcBorders>
              <w:top w:val="nil" w:sz="6" w:space="0" w:color="auto"/>
              <w:left w:val="single" w:sz="4" w:space="0" w:color="000000"/>
              <w:right w:val="single" w:sz="4" w:space="0" w:color="000000"/>
            </w:tcBorders>
            <w:shd w:val="clear" w:color="auto" w:fill="D3D3D3"/>
          </w:tcPr>
          <w:p>
            <w:pPr/>
          </w:p>
        </w:tc>
        <w:tc>
          <w:tcPr>
            <w:tcW w:w="1184" w:type="dxa"/>
            <w:vMerge/>
            <w:tcBorders>
              <w:left w:val="single" w:sz="4" w:space="0" w:color="000000"/>
              <w:right w:val="single" w:sz="4" w:space="0" w:color="000000"/>
            </w:tcBorders>
            <w:shd w:val="clear" w:color="auto" w:fill="D3D3D3"/>
          </w:tcPr>
          <w:p>
            <w:pPr/>
          </w:p>
        </w:tc>
        <w:tc>
          <w:tcPr>
            <w:tcW w:w="1184" w:type="dxa"/>
            <w:vMerge/>
            <w:tcBorders>
              <w:left w:val="single" w:sz="4" w:space="0" w:color="000000"/>
              <w:right w:val="single" w:sz="4" w:space="0" w:color="000000"/>
            </w:tcBorders>
            <w:shd w:val="clear" w:color="auto" w:fill="D3D3D3"/>
          </w:tcPr>
          <w:p>
            <w:pPr/>
          </w:p>
        </w:tc>
        <w:tc>
          <w:tcPr>
            <w:tcW w:w="1219" w:type="dxa"/>
            <w:vMerge/>
            <w:tcBorders>
              <w:left w:val="single" w:sz="4" w:space="0" w:color="000000"/>
              <w:right w:val="single" w:sz="4" w:space="0" w:color="000000"/>
            </w:tcBorders>
            <w:shd w:val="clear" w:color="auto" w:fill="D3D3D3"/>
          </w:tcPr>
          <w:p>
            <w:pPr/>
          </w:p>
        </w:tc>
        <w:tc>
          <w:tcPr>
            <w:tcW w:w="1173" w:type="dxa"/>
            <w:vMerge/>
            <w:tcBorders>
              <w:left w:val="single" w:sz="4" w:space="0" w:color="000000"/>
              <w:right w:val="single" w:sz="4" w:space="0" w:color="000000"/>
            </w:tcBorders>
            <w:shd w:val="clear" w:color="auto" w:fill="D3D3D3"/>
          </w:tcPr>
          <w:p>
            <w:pPr/>
          </w:p>
        </w:tc>
        <w:tc>
          <w:tcPr>
            <w:tcW w:w="1219" w:type="dxa"/>
            <w:vMerge/>
            <w:tcBorders>
              <w:left w:val="single" w:sz="4" w:space="0" w:color="000000"/>
              <w:bottom w:val="nil" w:sz="6" w:space="0" w:color="auto"/>
              <w:right w:val="single" w:sz="4" w:space="0" w:color="000000"/>
            </w:tcBorders>
            <w:shd w:val="clear" w:color="auto" w:fill="D3D3D3"/>
          </w:tcPr>
          <w:p>
            <w:pPr/>
          </w:p>
        </w:tc>
        <w:tc>
          <w:tcPr>
            <w:tcW w:w="1172" w:type="dxa"/>
            <w:vMerge/>
            <w:tcBorders>
              <w:left w:val="single" w:sz="4" w:space="0" w:color="000000"/>
              <w:right w:val="single" w:sz="4" w:space="0" w:color="000000"/>
            </w:tcBorders>
            <w:shd w:val="clear" w:color="auto" w:fill="D3D3D3"/>
          </w:tcPr>
          <w:p>
            <w:pPr/>
          </w:p>
        </w:tc>
      </w:tr>
      <w:tr>
        <w:trPr>
          <w:trHeight w:val="156" w:hRule="exact"/>
        </w:trPr>
        <w:tc>
          <w:tcPr>
            <w:tcW w:w="1186" w:type="dxa"/>
            <w:vMerge/>
            <w:tcBorders>
              <w:left w:val="single" w:sz="4" w:space="0" w:color="000000"/>
              <w:right w:val="single" w:sz="4" w:space="0" w:color="000000"/>
            </w:tcBorders>
            <w:shd w:val="clear" w:color="auto" w:fill="D3D3D3"/>
          </w:tcPr>
          <w:p>
            <w:pPr/>
          </w:p>
        </w:tc>
        <w:tc>
          <w:tcPr>
            <w:tcW w:w="1207" w:type="dxa"/>
            <w:vMerge/>
            <w:tcBorders>
              <w:left w:val="single" w:sz="4" w:space="0" w:color="000000"/>
              <w:right w:val="single" w:sz="4" w:space="0" w:color="000000"/>
            </w:tcBorders>
            <w:shd w:val="clear" w:color="auto" w:fill="D3D3D3"/>
          </w:tcPr>
          <w:p>
            <w:pPr/>
          </w:p>
        </w:tc>
        <w:tc>
          <w:tcPr>
            <w:tcW w:w="1184" w:type="dxa"/>
            <w:vMerge/>
            <w:tcBorders>
              <w:left w:val="single" w:sz="4" w:space="0" w:color="000000"/>
              <w:right w:val="single" w:sz="4" w:space="0" w:color="000000"/>
            </w:tcBorders>
            <w:shd w:val="clear" w:color="auto" w:fill="D3D3D3"/>
          </w:tcPr>
          <w:p>
            <w:pPr/>
          </w:p>
        </w:tc>
        <w:tc>
          <w:tcPr>
            <w:tcW w:w="1184" w:type="dxa"/>
            <w:vMerge/>
            <w:tcBorders>
              <w:left w:val="single" w:sz="4" w:space="0" w:color="000000"/>
              <w:right w:val="single" w:sz="4" w:space="0" w:color="000000"/>
            </w:tcBorders>
            <w:shd w:val="clear" w:color="auto" w:fill="D3D3D3"/>
          </w:tcPr>
          <w:p>
            <w:pPr/>
          </w:p>
        </w:tc>
        <w:tc>
          <w:tcPr>
            <w:tcW w:w="1219" w:type="dxa"/>
            <w:vMerge/>
            <w:tcBorders>
              <w:left w:val="single" w:sz="4" w:space="0" w:color="000000"/>
              <w:bottom w:val="nil" w:sz="6" w:space="0" w:color="auto"/>
              <w:right w:val="single" w:sz="4" w:space="0" w:color="000000"/>
            </w:tcBorders>
            <w:shd w:val="clear" w:color="auto" w:fill="D3D3D3"/>
          </w:tcPr>
          <w:p>
            <w:pPr/>
          </w:p>
        </w:tc>
        <w:tc>
          <w:tcPr>
            <w:tcW w:w="1173" w:type="dxa"/>
            <w:vMerge/>
            <w:tcBorders>
              <w:left w:val="single" w:sz="4" w:space="0" w:color="000000"/>
              <w:right w:val="single" w:sz="4" w:space="0" w:color="000000"/>
            </w:tcBorders>
            <w:shd w:val="clear" w:color="auto" w:fill="D3D3D3"/>
          </w:tcPr>
          <w:p>
            <w:pPr/>
          </w:p>
        </w:tc>
        <w:tc>
          <w:tcPr>
            <w:tcW w:w="1219" w:type="dxa"/>
            <w:vMerge w:val="restart"/>
            <w:tcBorders>
              <w:top w:val="nil" w:sz="6" w:space="0" w:color="auto"/>
              <w:left w:val="single" w:sz="4" w:space="0" w:color="000000"/>
              <w:right w:val="single" w:sz="4" w:space="0" w:color="000000"/>
            </w:tcBorders>
            <w:shd w:val="clear" w:color="auto" w:fill="D3D3D3"/>
          </w:tcPr>
          <w:p>
            <w:pPr/>
          </w:p>
        </w:tc>
        <w:tc>
          <w:tcPr>
            <w:tcW w:w="1172" w:type="dxa"/>
            <w:vMerge/>
            <w:tcBorders>
              <w:left w:val="single" w:sz="4" w:space="0" w:color="000000"/>
              <w:right w:val="single" w:sz="4" w:space="0" w:color="000000"/>
            </w:tcBorders>
            <w:shd w:val="clear" w:color="auto" w:fill="D3D3D3"/>
          </w:tcPr>
          <w:p>
            <w:pPr/>
          </w:p>
        </w:tc>
      </w:tr>
      <w:tr>
        <w:trPr>
          <w:trHeight w:val="156" w:hRule="exact"/>
        </w:trPr>
        <w:tc>
          <w:tcPr>
            <w:tcW w:w="1186" w:type="dxa"/>
            <w:vMerge/>
            <w:tcBorders>
              <w:left w:val="single" w:sz="4" w:space="0" w:color="000000"/>
              <w:right w:val="single" w:sz="4" w:space="0" w:color="000000"/>
            </w:tcBorders>
            <w:shd w:val="clear" w:color="auto" w:fill="D3D3D3"/>
          </w:tcPr>
          <w:p>
            <w:pPr/>
          </w:p>
        </w:tc>
        <w:tc>
          <w:tcPr>
            <w:tcW w:w="1207" w:type="dxa"/>
            <w:vMerge/>
            <w:tcBorders>
              <w:left w:val="single" w:sz="4" w:space="0" w:color="000000"/>
              <w:right w:val="single" w:sz="4" w:space="0" w:color="000000"/>
            </w:tcBorders>
            <w:shd w:val="clear" w:color="auto" w:fill="D3D3D3"/>
          </w:tcPr>
          <w:p>
            <w:pPr/>
          </w:p>
        </w:tc>
        <w:tc>
          <w:tcPr>
            <w:tcW w:w="1184" w:type="dxa"/>
            <w:vMerge/>
            <w:tcBorders>
              <w:left w:val="single" w:sz="4" w:space="0" w:color="000000"/>
              <w:bottom w:val="nil" w:sz="6" w:space="0" w:color="auto"/>
              <w:right w:val="single" w:sz="4" w:space="0" w:color="000000"/>
            </w:tcBorders>
            <w:shd w:val="clear" w:color="auto" w:fill="D3D3D3"/>
          </w:tcPr>
          <w:p>
            <w:pPr/>
          </w:p>
        </w:tc>
        <w:tc>
          <w:tcPr>
            <w:tcW w:w="1184" w:type="dxa"/>
            <w:vMerge/>
            <w:tcBorders>
              <w:left w:val="single" w:sz="4" w:space="0" w:color="000000"/>
              <w:right w:val="single" w:sz="4" w:space="0" w:color="000000"/>
            </w:tcBorders>
            <w:shd w:val="clear" w:color="auto" w:fill="D3D3D3"/>
          </w:tcPr>
          <w:p>
            <w:pPr/>
          </w:p>
        </w:tc>
        <w:tc>
          <w:tcPr>
            <w:tcW w:w="1219" w:type="dxa"/>
            <w:vMerge w:val="restart"/>
            <w:tcBorders>
              <w:top w:val="nil" w:sz="6" w:space="0" w:color="auto"/>
              <w:left w:val="single" w:sz="4" w:space="0" w:color="000000"/>
              <w:right w:val="single" w:sz="4" w:space="0" w:color="000000"/>
            </w:tcBorders>
            <w:shd w:val="clear" w:color="auto" w:fill="D3D3D3"/>
          </w:tcPr>
          <w:p>
            <w:pPr/>
          </w:p>
        </w:tc>
        <w:tc>
          <w:tcPr>
            <w:tcW w:w="1173" w:type="dxa"/>
            <w:vMerge/>
            <w:tcBorders>
              <w:left w:val="single" w:sz="4" w:space="0" w:color="000000"/>
              <w:right w:val="single" w:sz="4" w:space="0" w:color="000000"/>
            </w:tcBorders>
            <w:shd w:val="clear" w:color="auto" w:fill="D3D3D3"/>
          </w:tcPr>
          <w:p>
            <w:pPr/>
          </w:p>
        </w:tc>
        <w:tc>
          <w:tcPr>
            <w:tcW w:w="1219" w:type="dxa"/>
            <w:vMerge/>
            <w:tcBorders>
              <w:left w:val="single" w:sz="4" w:space="0" w:color="000000"/>
              <w:right w:val="single" w:sz="4" w:space="0" w:color="000000"/>
            </w:tcBorders>
            <w:shd w:val="clear" w:color="auto" w:fill="D3D3D3"/>
          </w:tcPr>
          <w:p>
            <w:pPr/>
          </w:p>
        </w:tc>
        <w:tc>
          <w:tcPr>
            <w:tcW w:w="1172" w:type="dxa"/>
            <w:vMerge/>
            <w:tcBorders>
              <w:left w:val="single" w:sz="4" w:space="0" w:color="000000"/>
              <w:right w:val="single" w:sz="4" w:space="0" w:color="000000"/>
            </w:tcBorders>
            <w:shd w:val="clear" w:color="auto" w:fill="D3D3D3"/>
          </w:tcPr>
          <w:p>
            <w:pPr/>
          </w:p>
        </w:tc>
      </w:tr>
      <w:tr>
        <w:trPr>
          <w:trHeight w:val="156" w:hRule="exact"/>
        </w:trPr>
        <w:tc>
          <w:tcPr>
            <w:tcW w:w="1186" w:type="dxa"/>
            <w:vMerge/>
            <w:tcBorders>
              <w:left w:val="single" w:sz="4" w:space="0" w:color="000000"/>
              <w:right w:val="single" w:sz="4" w:space="0" w:color="000000"/>
            </w:tcBorders>
            <w:shd w:val="clear" w:color="auto" w:fill="D3D3D3"/>
          </w:tcPr>
          <w:p>
            <w:pPr/>
          </w:p>
        </w:tc>
        <w:tc>
          <w:tcPr>
            <w:tcW w:w="1207" w:type="dxa"/>
            <w:vMerge/>
            <w:tcBorders>
              <w:left w:val="single" w:sz="4" w:space="0" w:color="000000"/>
              <w:right w:val="single" w:sz="4" w:space="0" w:color="000000"/>
            </w:tcBorders>
            <w:shd w:val="clear" w:color="auto" w:fill="D3D3D3"/>
          </w:tcPr>
          <w:p>
            <w:pPr/>
          </w:p>
        </w:tc>
        <w:tc>
          <w:tcPr>
            <w:tcW w:w="1184" w:type="dxa"/>
            <w:vMerge w:val="restart"/>
            <w:tcBorders>
              <w:top w:val="nil" w:sz="6" w:space="0" w:color="auto"/>
              <w:left w:val="single" w:sz="4" w:space="0" w:color="000000"/>
              <w:right w:val="single" w:sz="4" w:space="0" w:color="000000"/>
            </w:tcBorders>
            <w:shd w:val="clear" w:color="auto" w:fill="D3D3D3"/>
          </w:tcPr>
          <w:p>
            <w:pPr/>
          </w:p>
        </w:tc>
        <w:tc>
          <w:tcPr>
            <w:tcW w:w="1184" w:type="dxa"/>
            <w:vMerge/>
            <w:tcBorders>
              <w:left w:val="single" w:sz="4" w:space="0" w:color="000000"/>
              <w:bottom w:val="nil" w:sz="6" w:space="0" w:color="auto"/>
              <w:right w:val="single" w:sz="4" w:space="0" w:color="000000"/>
            </w:tcBorders>
            <w:shd w:val="clear" w:color="auto" w:fill="D3D3D3"/>
          </w:tcPr>
          <w:p>
            <w:pPr/>
          </w:p>
        </w:tc>
        <w:tc>
          <w:tcPr>
            <w:tcW w:w="1219" w:type="dxa"/>
            <w:vMerge/>
            <w:tcBorders>
              <w:left w:val="single" w:sz="4" w:space="0" w:color="000000"/>
              <w:right w:val="single" w:sz="4" w:space="0" w:color="000000"/>
            </w:tcBorders>
            <w:shd w:val="clear" w:color="auto" w:fill="D3D3D3"/>
          </w:tcPr>
          <w:p>
            <w:pPr/>
          </w:p>
        </w:tc>
        <w:tc>
          <w:tcPr>
            <w:tcW w:w="1173" w:type="dxa"/>
            <w:vMerge/>
            <w:tcBorders>
              <w:left w:val="single" w:sz="4" w:space="0" w:color="000000"/>
              <w:bottom w:val="nil" w:sz="6" w:space="0" w:color="auto"/>
              <w:right w:val="single" w:sz="4" w:space="0" w:color="000000"/>
            </w:tcBorders>
            <w:shd w:val="clear" w:color="auto" w:fill="D3D3D3"/>
          </w:tcPr>
          <w:p>
            <w:pPr/>
          </w:p>
        </w:tc>
        <w:tc>
          <w:tcPr>
            <w:tcW w:w="1219" w:type="dxa"/>
            <w:vMerge/>
            <w:tcBorders>
              <w:left w:val="single" w:sz="4" w:space="0" w:color="000000"/>
              <w:right w:val="single" w:sz="4" w:space="0" w:color="000000"/>
            </w:tcBorders>
            <w:shd w:val="clear" w:color="auto" w:fill="D3D3D3"/>
          </w:tcPr>
          <w:p>
            <w:pPr/>
          </w:p>
        </w:tc>
        <w:tc>
          <w:tcPr>
            <w:tcW w:w="1172" w:type="dxa"/>
            <w:vMerge/>
            <w:tcBorders>
              <w:left w:val="single" w:sz="4" w:space="0" w:color="000000"/>
              <w:right w:val="single" w:sz="4" w:space="0" w:color="000000"/>
            </w:tcBorders>
            <w:shd w:val="clear" w:color="auto" w:fill="D3D3D3"/>
          </w:tcPr>
          <w:p>
            <w:pPr/>
          </w:p>
        </w:tc>
      </w:tr>
      <w:tr>
        <w:trPr>
          <w:trHeight w:val="161" w:hRule="exact"/>
        </w:trPr>
        <w:tc>
          <w:tcPr>
            <w:tcW w:w="1186" w:type="dxa"/>
            <w:vMerge/>
            <w:tcBorders>
              <w:left w:val="single" w:sz="4" w:space="0" w:color="000000"/>
              <w:bottom w:val="single" w:sz="4" w:space="0" w:color="000000"/>
              <w:right w:val="single" w:sz="4" w:space="0" w:color="000000"/>
            </w:tcBorders>
            <w:shd w:val="clear" w:color="auto" w:fill="D3D3D3"/>
          </w:tcPr>
          <w:p>
            <w:pPr/>
          </w:p>
        </w:tc>
        <w:tc>
          <w:tcPr>
            <w:tcW w:w="1207" w:type="dxa"/>
            <w:vMerge/>
            <w:tcBorders>
              <w:left w:val="single" w:sz="4" w:space="0" w:color="000000"/>
              <w:bottom w:val="single" w:sz="4" w:space="0" w:color="000000"/>
              <w:right w:val="single" w:sz="4" w:space="0" w:color="000000"/>
            </w:tcBorders>
            <w:shd w:val="clear" w:color="auto" w:fill="D3D3D3"/>
          </w:tcPr>
          <w:p>
            <w:pPr/>
          </w:p>
        </w:tc>
        <w:tc>
          <w:tcPr>
            <w:tcW w:w="1184" w:type="dxa"/>
            <w:vMerge/>
            <w:tcBorders>
              <w:left w:val="single" w:sz="4" w:space="0" w:color="000000"/>
              <w:bottom w:val="single" w:sz="4" w:space="0" w:color="000000"/>
              <w:right w:val="single" w:sz="4" w:space="0" w:color="000000"/>
            </w:tcBorders>
            <w:shd w:val="clear" w:color="auto" w:fill="D3D3D3"/>
          </w:tcPr>
          <w:p>
            <w:pPr/>
          </w:p>
        </w:tc>
        <w:tc>
          <w:tcPr>
            <w:tcW w:w="1184" w:type="dxa"/>
            <w:tcBorders>
              <w:top w:val="nil" w:sz="6" w:space="0" w:color="auto"/>
              <w:left w:val="single" w:sz="4" w:space="0" w:color="000000"/>
              <w:bottom w:val="single" w:sz="4" w:space="0" w:color="000000"/>
              <w:right w:val="single" w:sz="4" w:space="0" w:color="000000"/>
            </w:tcBorders>
            <w:shd w:val="clear" w:color="auto" w:fill="D3D3D3"/>
          </w:tcPr>
          <w:p>
            <w:pPr/>
          </w:p>
        </w:tc>
        <w:tc>
          <w:tcPr>
            <w:tcW w:w="1219" w:type="dxa"/>
            <w:vMerge/>
            <w:tcBorders>
              <w:left w:val="single" w:sz="4" w:space="0" w:color="000000"/>
              <w:bottom w:val="single" w:sz="4" w:space="0" w:color="000000"/>
              <w:right w:val="single" w:sz="4" w:space="0" w:color="000000"/>
            </w:tcBorders>
            <w:shd w:val="clear" w:color="auto" w:fill="D3D3D3"/>
          </w:tcPr>
          <w:p>
            <w:pPr/>
          </w:p>
        </w:tc>
        <w:tc>
          <w:tcPr>
            <w:tcW w:w="1173" w:type="dxa"/>
            <w:tcBorders>
              <w:top w:val="nil" w:sz="6" w:space="0" w:color="auto"/>
              <w:left w:val="single" w:sz="4" w:space="0" w:color="000000"/>
              <w:bottom w:val="single" w:sz="4" w:space="0" w:color="000000"/>
              <w:right w:val="single" w:sz="4" w:space="0" w:color="000000"/>
            </w:tcBorders>
            <w:shd w:val="clear" w:color="auto" w:fill="D3D3D3"/>
          </w:tcPr>
          <w:p>
            <w:pPr/>
          </w:p>
        </w:tc>
        <w:tc>
          <w:tcPr>
            <w:tcW w:w="1219" w:type="dxa"/>
            <w:vMerge/>
            <w:tcBorders>
              <w:left w:val="single" w:sz="4" w:space="0" w:color="000000"/>
              <w:bottom w:val="single" w:sz="4" w:space="0" w:color="000000"/>
              <w:right w:val="single" w:sz="4" w:space="0" w:color="000000"/>
            </w:tcBorders>
            <w:shd w:val="clear" w:color="auto" w:fill="D3D3D3"/>
          </w:tcPr>
          <w:p>
            <w:pPr/>
          </w:p>
        </w:tc>
        <w:tc>
          <w:tcPr>
            <w:tcW w:w="117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101,100,814.74</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1"/>
              <w:jc w:val="right"/>
              <w:rPr>
                <w:rFonts w:ascii="Times New Roman" w:hAnsi="Times New Roman" w:cs="Times New Roman" w:eastAsia="Times New Roman" w:hint="default"/>
                <w:sz w:val="18"/>
                <w:szCs w:val="18"/>
              </w:rPr>
            </w:pPr>
            <w:r>
              <w:rPr>
                <w:rFonts w:ascii="Times New Roman"/>
                <w:spacing w:val="-1"/>
                <w:sz w:val="18"/>
              </w:rPr>
              <w:t>273,018,669.82</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270.05%</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273,018,669.82</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270.05%</w:t>
            </w:r>
          </w:p>
        </w:tc>
      </w:tr>
      <w:tr>
        <w:trPr>
          <w:trHeight w:val="402" w:hRule="exact"/>
        </w:trPr>
        <w:tc>
          <w:tcPr>
            <w:tcW w:w="1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185,972,590.91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26,954,164.03</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14.49%</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26,954,164.03</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14.49%</w:t>
            </w: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82,643,748.05</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355,095,034.93</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23.27%</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z w:val="18"/>
              </w:rPr>
              <w:t>0.00</w:t>
            </w:r>
          </w:p>
        </w:tc>
        <w:tc>
          <w:tcPr>
            <w:tcW w:w="11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82,643,748.05</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23.27%</w:t>
            </w: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6"/>
        <w:ind w:left="153" w:right="0"/>
        <w:jc w:val="left"/>
      </w:pPr>
      <w:r>
        <w:rPr/>
        <w:t>√ 适用 □ 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before="44"/>
        <w:ind w:left="0" w:right="1139"/>
        <w:jc w:val="right"/>
      </w:pPr>
      <w:r>
        <w:rPr/>
        <w:pict>
          <v:shape style="position:absolute;margin-left:56.459999pt;margin-top:-83.347984pt;width:479.1pt;height:118.7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4"/>
                    <w:gridCol w:w="4783"/>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36" w:right="47" w:hanging="990"/>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 出普通股现金红利分配预案的原因</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6"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362" w:hRule="exact"/>
                    </w:trPr>
                    <w:tc>
                      <w:tcPr>
                        <w:tcW w:w="47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年公司回购股份已投入大量资金</w:t>
                        </w:r>
                        <w:r>
                          <w:rPr>
                            <w:rFonts w:ascii="Times New Roman" w:hAnsi="Times New Roman" w:cs="Times New Roman" w:eastAsia="Times New Roman" w:hint="default"/>
                            <w:sz w:val="18"/>
                            <w:szCs w:val="18"/>
                          </w:rPr>
                          <w:t>,</w:t>
                        </w:r>
                        <w:r>
                          <w:rPr>
                            <w:rFonts w:ascii="宋体" w:hAnsi="宋体" w:cs="宋体" w:eastAsia="宋体" w:hint="default"/>
                            <w:sz w:val="18"/>
                            <w:szCs w:val="18"/>
                          </w:rPr>
                          <w:t>公司正处于发展</w:t>
                        </w:r>
                      </w:p>
                    </w:tc>
                    <w:tc>
                      <w:tcPr>
                        <w:tcW w:w="478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阶段，</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年将面临较大的资金支出压力，且受新型冠状病</w:t>
                        </w:r>
                      </w:p>
                    </w:tc>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68"/>
                          <w:jc w:val="right"/>
                          <w:rPr>
                            <w:rFonts w:ascii="宋体" w:hAnsi="宋体" w:cs="宋体" w:eastAsia="宋体" w:hint="default"/>
                            <w:sz w:val="18"/>
                            <w:szCs w:val="18"/>
                          </w:rPr>
                        </w:pPr>
                        <w:r>
                          <w:rPr>
                            <w:rFonts w:ascii="宋体" w:hAnsi="宋体" w:cs="宋体" w:eastAsia="宋体" w:hint="default"/>
                            <w:sz w:val="18"/>
                            <w:szCs w:val="18"/>
                          </w:rPr>
                          <w:t>满足公司流动资金的需求，保障公司生产经营的正常运</w:t>
                        </w:r>
                      </w:p>
                    </w:tc>
                  </w:tr>
                  <w:tr>
                    <w:trPr>
                      <w:trHeight w:val="307" w:hRule="exact"/>
                    </w:trPr>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毒疫情影响，国内外经济环境波动剧烈，为保持公司生产经</w:t>
                        </w:r>
                      </w:p>
                    </w:tc>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68"/>
                          <w:jc w:val="right"/>
                          <w:rPr>
                            <w:rFonts w:ascii="宋体" w:hAnsi="宋体" w:cs="宋体" w:eastAsia="宋体" w:hint="default"/>
                            <w:sz w:val="18"/>
                            <w:szCs w:val="18"/>
                          </w:rPr>
                        </w:pPr>
                        <w:r>
                          <w:rPr>
                            <w:rFonts w:ascii="宋体" w:hAnsi="宋体" w:cs="宋体" w:eastAsia="宋体" w:hint="default"/>
                            <w:sz w:val="18"/>
                            <w:szCs w:val="18"/>
                          </w:rPr>
                          <w:t>行，确保在公司战略转型阶段提供必要的、充足的资金，以</w:t>
                        </w:r>
                      </w:p>
                    </w:tc>
                  </w:tr>
                  <w:tr>
                    <w:trPr>
                      <w:trHeight w:val="313" w:hRule="exact"/>
                    </w:trPr>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营需要，加快转型升级的步伐，实现公司的经营战略目标，</w:t>
                        </w:r>
                      </w:p>
                    </w:tc>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13"/>
                          <w:jc w:val="right"/>
                          <w:rPr>
                            <w:rFonts w:ascii="宋体" w:hAnsi="宋体" w:cs="宋体" w:eastAsia="宋体" w:hint="default"/>
                            <w:sz w:val="18"/>
                            <w:szCs w:val="18"/>
                          </w:rPr>
                        </w:pPr>
                        <w:r>
                          <w:rPr>
                            <w:rFonts w:ascii="宋体" w:hAnsi="宋体" w:cs="宋体" w:eastAsia="宋体" w:hint="default"/>
                            <w:spacing w:val="-2"/>
                            <w:sz w:val="18"/>
                            <w:szCs w:val="18"/>
                          </w:rPr>
                          <w:t>促进公司的长远发展，为投资者提供更加稳定、长效的回报</w:t>
                        </w:r>
                      </w:p>
                    </w:tc>
                  </w:tr>
                  <w:tr>
                    <w:trPr>
                      <w:trHeight w:val="356" w:hRule="exact"/>
                    </w:trPr>
                    <w:tc>
                      <w:tcPr>
                        <w:tcW w:w="47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公司需要留存充足收益用于流动资金周转及未来的发展。</w:t>
                        </w:r>
                      </w:p>
                    </w:tc>
                    <w:tc>
                      <w:tcPr>
                        <w:tcW w:w="4783" w:type="dxa"/>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7"/>
        <w:ind w:right="0"/>
        <w:jc w:val="left"/>
        <w:rPr>
          <w:b w:val="0"/>
          <w:bCs w:val="0"/>
        </w:rPr>
      </w:pPr>
      <w:r>
        <w:rPr/>
        <w:t>二、本报告期利润分配及资本公积金转增股本情况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53" w:right="5531"/>
        <w:jc w:val="left"/>
      </w:pPr>
      <w:r>
        <w:rPr/>
        <w:t>□ 适用 √ 不适用 公司计划年度不派发现金红利，不送红股，不以公积金转增股本。</w:t>
      </w:r>
    </w:p>
    <w:p>
      <w:pPr>
        <w:spacing w:after="0" w:line="357" w:lineRule="auto"/>
        <w:jc w:val="left"/>
        <w:sectPr>
          <w:pgSz w:w="11910" w:h="16840"/>
          <w:pgMar w:header="747" w:footer="982" w:top="1060" w:bottom="118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153" w:right="0"/>
        <w:jc w:val="left"/>
      </w:pPr>
      <w:r>
        <w:rPr/>
        <w:t>□ 适用 √ 不适用 </w:t>
      </w:r>
      <w:r>
        <w:rPr>
          <w:spacing w:val="-2"/>
        </w:rPr>
        <w:t>公司报告期不存在由公司实际控制人、股东、关联方、收购人以及公司等承诺相关方在报告期内履行完毕及截至报告期末尚</w:t>
      </w:r>
      <w:r>
        <w:rPr>
          <w:spacing w:val="-66"/>
        </w:rPr>
        <w:t> </w:t>
      </w:r>
      <w:r>
        <w:rPr>
          <w:spacing w:val="-66"/>
        </w:rPr>
      </w:r>
      <w:r>
        <w:rPr/>
        <w:t>未履行完毕的承诺事项。</w:t>
      </w:r>
    </w:p>
    <w:p>
      <w:pPr>
        <w:spacing w:line="240" w:lineRule="auto" w:before="1"/>
        <w:rPr>
          <w:rFonts w:ascii="宋体" w:hAnsi="宋体" w:cs="宋体" w:eastAsia="宋体" w:hint="default"/>
          <w:sz w:val="21"/>
          <w:szCs w:val="21"/>
        </w:rPr>
      </w:pPr>
    </w:p>
    <w:p>
      <w:pPr>
        <w:pStyle w:val="Heading3"/>
        <w:spacing w:line="259" w:lineRule="auto"/>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78"/>
      </w:tblGrid>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4" w:right="43"/>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96" w:right="43"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94" w:right="42"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4770"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8"/>
              <w:ind w:left="22" w:right="191"/>
              <w:jc w:val="both"/>
              <w:rPr>
                <w:rFonts w:ascii="宋体" w:hAnsi="宋体" w:cs="宋体" w:eastAsia="宋体" w:hint="default"/>
                <w:sz w:val="18"/>
                <w:szCs w:val="18"/>
              </w:rPr>
            </w:pPr>
            <w:r>
              <w:rPr>
                <w:rFonts w:ascii="宋体" w:hAnsi="宋体" w:cs="宋体" w:eastAsia="宋体" w:hint="default"/>
                <w:sz w:val="18"/>
                <w:szCs w:val="18"/>
              </w:rPr>
              <w:t>北明软件现金 购买北京金实 盈信科技有限 公司股权</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742" w:right="0"/>
              <w:jc w:val="left"/>
              <w:rPr>
                <w:rFonts w:ascii="Times New Roman" w:hAnsi="Times New Roman" w:cs="Times New Roman" w:eastAsia="Times New Roman" w:hint="default"/>
                <w:sz w:val="18"/>
                <w:szCs w:val="18"/>
              </w:rPr>
            </w:pPr>
            <w:r>
              <w:rPr>
                <w:rFonts w:ascii="Times New Roman"/>
                <w:sz w:val="18"/>
              </w:rPr>
              <w:t>2,730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516" w:right="0"/>
              <w:jc w:val="left"/>
              <w:rPr>
                <w:rFonts w:ascii="Times New Roman" w:hAnsi="Times New Roman" w:cs="Times New Roman" w:eastAsia="Times New Roman" w:hint="default"/>
                <w:sz w:val="18"/>
                <w:szCs w:val="18"/>
              </w:rPr>
            </w:pPr>
            <w:r>
              <w:rPr>
                <w:rFonts w:ascii="Times New Roman"/>
                <w:sz w:val="18"/>
              </w:rPr>
              <w:t>1,759.86</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金实盈信一直 专注于做金融 领域精细化管 理服务，业务 发展稳健。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年未达到 预测业绩的主 要原因是客户 招标的商务流 程更加繁琐， 业务审批流程 更加复杂漫 长，影响公司 合同签订，收 入确认滞后。</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62"/>
              <w:jc w:val="both"/>
              <w:rPr>
                <w:rFonts w:ascii="宋体" w:hAnsi="宋体" w:cs="宋体" w:eastAsia="宋体" w:hint="default"/>
                <w:sz w:val="18"/>
                <w:szCs w:val="18"/>
              </w:rPr>
            </w:pPr>
            <w:r>
              <w:rPr>
                <w:rFonts w:ascii="宋体" w:hAnsi="宋体" w:cs="宋体" w:eastAsia="宋体" w:hint="default"/>
                <w:sz w:val="18"/>
                <w:szCs w:val="18"/>
              </w:rPr>
              <w:t>中国证券报、 证券时报、巨 潮资讯网</w:t>
            </w:r>
          </w:p>
          <w:p>
            <w:pPr>
              <w:pStyle w:val="TableParagraph"/>
              <w:spacing w:line="300" w:lineRule="auto" w:before="19"/>
              <w:ind w:left="24" w:right="1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 ninfo.com.cn</w:t>
            </w:r>
            <w:r>
              <w:rPr>
                <w:rFonts w:ascii="宋体" w:hAnsi="宋体" w:cs="宋体" w:eastAsia="宋体" w:hint="default"/>
                <w:sz w:val="18"/>
                <w:szCs w:val="18"/>
              </w:rPr>
              <w:t>）</w:t>
            </w:r>
          </w:p>
          <w:p>
            <w:pPr>
              <w:pStyle w:val="TableParagraph"/>
              <w:spacing w:line="319" w:lineRule="auto" w:before="13"/>
              <w:ind w:left="24" w:right="62"/>
              <w:jc w:val="left"/>
              <w:rPr>
                <w:rFonts w:ascii="宋体" w:hAnsi="宋体" w:cs="宋体" w:eastAsia="宋体" w:hint="default"/>
                <w:sz w:val="18"/>
                <w:szCs w:val="18"/>
              </w:rPr>
            </w:pPr>
            <w:r>
              <w:rPr>
                <w:rFonts w:ascii="宋体" w:hAnsi="宋体" w:cs="宋体" w:eastAsia="宋体" w:hint="default"/>
                <w:sz w:val="18"/>
                <w:szCs w:val="18"/>
              </w:rPr>
              <w:t>《北明软件有 限公司与席波 及西安盈泰企 业管理咨询有 限公司关于北 京金实盈信科 技有限公司之 股权转让协 议》</w:t>
            </w:r>
          </w:p>
        </w:tc>
      </w:tr>
    </w:tbl>
    <w:p>
      <w:pPr>
        <w:pStyle w:val="BodyText"/>
        <w:spacing w:line="240" w:lineRule="auto" w:before="51"/>
        <w:ind w:right="0"/>
        <w:jc w:val="left"/>
      </w:pPr>
      <w:r>
        <w:rPr/>
        <w:t>公司股东、交易对手方在报告年度经营业绩做出的承诺情况</w:t>
      </w:r>
    </w:p>
    <w:p>
      <w:pPr>
        <w:pStyle w:val="BodyText"/>
        <w:spacing w:line="357" w:lineRule="auto" w:before="117"/>
        <w:ind w:left="444" w:right="0" w:hanging="291"/>
        <w:jc w:val="left"/>
      </w:pPr>
      <w:r>
        <w:rPr/>
        <w:t>√ 适用 □ 不适用 </w:t>
      </w:r>
      <w:r>
        <w:rPr>
          <w:spacing w:val="-2"/>
        </w:rPr>
        <w:t>根据北明软件与交易对手方签署的《股权转让协议》</w:t>
      </w:r>
      <w:r>
        <w:rPr>
          <w:rFonts w:ascii="Times New Roman" w:hAnsi="Times New Roman" w:cs="Times New Roman" w:eastAsia="Times New Roman" w:hint="default"/>
          <w:spacing w:val="-2"/>
        </w:rPr>
        <w:t>,</w:t>
      </w:r>
      <w:r>
        <w:rPr>
          <w:spacing w:val="-2"/>
        </w:rPr>
        <w:t>金实盈信承诺</w:t>
      </w:r>
      <w:r>
        <w:rPr>
          <w:rFonts w:ascii="Times New Roman" w:hAnsi="Times New Roman" w:cs="Times New Roman" w:eastAsia="Times New Roman" w:hint="default"/>
          <w:spacing w:val="-2"/>
        </w:rPr>
        <w:t>2019</w:t>
      </w:r>
      <w:r>
        <w:rPr>
          <w:spacing w:val="-2"/>
        </w:rPr>
        <w:t>年度扣除非经常性损益后的经审计的税后净利润</w:t>
      </w:r>
    </w:p>
    <w:p>
      <w:pPr>
        <w:pStyle w:val="BodyText"/>
        <w:spacing w:line="214" w:lineRule="exact"/>
        <w:ind w:left="153" w:right="0"/>
        <w:jc w:val="left"/>
        <w:rPr>
          <w:rFonts w:ascii="Times New Roman" w:hAnsi="Times New Roman" w:cs="Times New Roman" w:eastAsia="Times New Roman" w:hint="default"/>
        </w:rPr>
      </w:pPr>
      <w:r>
        <w:rPr/>
        <w:t>不低于人民币</w:t>
      </w:r>
      <w:r>
        <w:rPr>
          <w:rFonts w:ascii="Times New Roman" w:hAnsi="Times New Roman" w:cs="Times New Roman" w:eastAsia="Times New Roman" w:hint="default"/>
        </w:rPr>
        <w:t>2,730</w:t>
      </w:r>
      <w:r>
        <w:rPr/>
        <w:t>万元，</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2018</w:t>
      </w:r>
      <w:r>
        <w:rPr/>
        <w:t>及</w:t>
      </w:r>
      <w:r>
        <w:rPr>
          <w:rFonts w:ascii="Times New Roman" w:hAnsi="Times New Roman" w:cs="Times New Roman" w:eastAsia="Times New Roman" w:hint="default"/>
        </w:rPr>
        <w:t>2019</w:t>
      </w:r>
      <w:r>
        <w:rPr/>
        <w:t>年度累计扣除非经常性损益后的经审计的税后净利润不低于人民币</w:t>
      </w:r>
      <w:r>
        <w:rPr>
          <w:rFonts w:ascii="Times New Roman" w:hAnsi="Times New Roman" w:cs="Times New Roman" w:eastAsia="Times New Roman" w:hint="default"/>
        </w:rPr>
        <w:t>8,065</w:t>
      </w:r>
    </w:p>
    <w:p>
      <w:pPr>
        <w:pStyle w:val="BodyText"/>
        <w:spacing w:line="240" w:lineRule="auto" w:before="64"/>
        <w:ind w:right="0"/>
        <w:jc w:val="left"/>
      </w:pPr>
      <w:r>
        <w:rPr/>
        <w:t>万元。</w:t>
      </w:r>
    </w:p>
    <w:p>
      <w:pPr>
        <w:pStyle w:val="BodyText"/>
        <w:spacing w:line="328" w:lineRule="auto" w:before="116"/>
        <w:ind w:left="153" w:right="0" w:firstLine="290"/>
        <w:jc w:val="left"/>
      </w:pPr>
      <w:r>
        <w:rPr>
          <w:spacing w:val="-1"/>
        </w:rPr>
        <w:t>由于金实盈信未能完成其累计业绩承诺，根据北明软件与交易对手签订的《股权转让协议》相关条款计算确定的最终股</w:t>
      </w:r>
      <w:r>
        <w:rPr/>
        <w:t> 权转让款为</w:t>
      </w:r>
      <w:r>
        <w:rPr>
          <w:rFonts w:ascii="Times New Roman" w:hAnsi="Times New Roman" w:cs="Times New Roman" w:eastAsia="Times New Roman" w:hint="default"/>
        </w:rPr>
        <w:t>14,388.19</w:t>
      </w:r>
      <w:r>
        <w:rPr/>
        <w:t>万元，与初始股权转让价格的差额为</w:t>
      </w:r>
      <w:r>
        <w:rPr>
          <w:rFonts w:ascii="Times New Roman" w:hAnsi="Times New Roman" w:cs="Times New Roman" w:eastAsia="Times New Roman" w:hint="default"/>
        </w:rPr>
        <w:t>3,591.81</w:t>
      </w:r>
      <w:r>
        <w:rPr/>
        <w:t>万元，公司计入了营业外收入。 业绩承诺的完成情况及其对商誉减值测试的影响</w:t>
      </w:r>
    </w:p>
    <w:p>
      <w:pPr>
        <w:pStyle w:val="BodyText"/>
        <w:spacing w:line="300" w:lineRule="auto" w:before="48"/>
        <w:ind w:left="153" w:right="1130" w:firstLine="360"/>
        <w:jc w:val="both"/>
      </w:pPr>
      <w:r>
        <w:rPr/>
        <w:t>金实盈信</w:t>
      </w:r>
      <w:r>
        <w:rPr>
          <w:rFonts w:ascii="Times New Roman" w:hAnsi="Times New Roman" w:cs="Times New Roman" w:eastAsia="Times New Roman" w:hint="default"/>
        </w:rPr>
        <w:t>2019</w:t>
      </w:r>
      <w:r>
        <w:rPr/>
        <w:t>年实际实现的扣除非经常性损益后经审计的税后净利润为</w:t>
      </w:r>
      <w:r>
        <w:rPr>
          <w:rFonts w:ascii="Times New Roman" w:hAnsi="Times New Roman" w:cs="Times New Roman" w:eastAsia="Times New Roman" w:hint="default"/>
        </w:rPr>
        <w:t>1,775.74</w:t>
      </w:r>
      <w:r>
        <w:rPr/>
        <w:t>万元，</w:t>
      </w:r>
      <w:r>
        <w:rPr>
          <w:rFonts w:ascii="Times New Roman" w:hAnsi="Times New Roman" w:cs="Times New Roman" w:eastAsia="Times New Roman" w:hint="default"/>
        </w:rPr>
        <w:t>2016</w:t>
      </w:r>
      <w:r>
        <w:rPr/>
        <w:t>至</w:t>
      </w:r>
      <w:r>
        <w:rPr>
          <w:rFonts w:ascii="Times New Roman" w:hAnsi="Times New Roman" w:cs="Times New Roman" w:eastAsia="Times New Roman" w:hint="default"/>
        </w:rPr>
        <w:t>2019</w:t>
      </w:r>
      <w:r>
        <w:rPr/>
        <w:t>年度累计实际实现的 </w:t>
      </w:r>
      <w:r>
        <w:rPr>
          <w:spacing w:val="-1"/>
        </w:rPr>
        <w:t>扣除非经常性损益后的经审计税后净利润为</w:t>
      </w:r>
      <w:r>
        <w:rPr>
          <w:rFonts w:ascii="Times New Roman" w:hAnsi="Times New Roman" w:cs="Times New Roman" w:eastAsia="Times New Roman" w:hint="default"/>
          <w:spacing w:val="-1"/>
        </w:rPr>
        <w:t>7,170.98</w:t>
      </w:r>
      <w:r>
        <w:rPr>
          <w:spacing w:val="-1"/>
        </w:rPr>
        <w:t>万元，与单年承诺净利润、累计承诺净利润相比，实现率分别为</w:t>
      </w:r>
      <w:r>
        <w:rPr>
          <w:rFonts w:ascii="Times New Roman" w:hAnsi="Times New Roman" w:cs="Times New Roman" w:eastAsia="Times New Roman" w:hint="default"/>
          <w:spacing w:val="-1"/>
        </w:rPr>
        <w:t>64.58%</w:t>
      </w:r>
      <w:r>
        <w:rPr>
          <w:rFonts w:ascii="Times New Roman" w:hAnsi="Times New Roman" w:cs="Times New Roman" w:eastAsia="Times New Roman" w:hint="default"/>
          <w:spacing w:val="5"/>
        </w:rPr>
        <w:t> </w:t>
      </w:r>
      <w:r>
        <w:rPr/>
        <w:t>和</w:t>
      </w:r>
      <w:r>
        <w:rPr>
          <w:rFonts w:ascii="Times New Roman" w:hAnsi="Times New Roman" w:cs="Times New Roman" w:eastAsia="Times New Roman" w:hint="default"/>
        </w:rPr>
        <w:t>88.91%</w:t>
      </w:r>
      <w:r>
        <w:rPr/>
        <w:t>。</w:t>
      </w:r>
    </w:p>
    <w:p>
      <w:pPr>
        <w:pStyle w:val="BodyText"/>
        <w:spacing w:line="300" w:lineRule="auto" w:before="52"/>
        <w:ind w:left="153" w:right="1121" w:firstLine="360"/>
        <w:jc w:val="left"/>
      </w:pPr>
      <w:r>
        <w:rPr/>
        <w:t>公司聘请中联资产评估集团有限公司对金实盈信截止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日的包含商誉的相关资产组预计未来现金流量的现 值进行了评估，并出具了《资产评估报告》（中联评报字［</w:t>
      </w:r>
      <w:r>
        <w:rPr>
          <w:rFonts w:ascii="Times New Roman" w:hAnsi="Times New Roman" w:cs="Times New Roman" w:eastAsia="Times New Roman" w:hint="default"/>
        </w:rPr>
        <w:t>2020</w:t>
      </w:r>
      <w:r>
        <w:rPr/>
        <w:t>］第</w:t>
      </w:r>
      <w:r>
        <w:rPr>
          <w:rFonts w:ascii="Times New Roman" w:hAnsi="Times New Roman" w:cs="Times New Roman" w:eastAsia="Times New Roman" w:hint="default"/>
        </w:rPr>
        <w:t>607</w:t>
      </w:r>
      <w:r>
        <w:rPr/>
        <w:t>号），该报告所载评估结果低于资产组（含商誉）</w:t>
      </w:r>
    </w:p>
    <w:p>
      <w:pPr>
        <w:spacing w:after="0" w:line="300"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153" w:right="0"/>
        <w:jc w:val="left"/>
      </w:pPr>
      <w:r>
        <w:rPr/>
        <w:t>账面价值</w:t>
      </w:r>
      <w:r>
        <w:rPr>
          <w:rFonts w:ascii="Times New Roman" w:hAnsi="Times New Roman" w:cs="Times New Roman" w:eastAsia="Times New Roman" w:hint="default"/>
        </w:rPr>
        <w:t>1,084.55</w:t>
      </w:r>
      <w:r>
        <w:rPr/>
        <w:t>万元。公司按评估结果对收购金实盈信形成的商誉计提减值准备</w:t>
      </w:r>
      <w:r>
        <w:rPr>
          <w:rFonts w:ascii="Times New Roman" w:hAnsi="Times New Roman" w:cs="Times New Roman" w:eastAsia="Times New Roman" w:hint="default"/>
        </w:rPr>
        <w:t>1,084.55</w:t>
      </w:r>
      <w:r>
        <w:rPr/>
        <w:t>万元。</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四、控股股东及其关联方对上市公司的非经营性占用资金情况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49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3"/>
          <w:szCs w:val="13"/>
        </w:rPr>
      </w:pPr>
    </w:p>
    <w:p>
      <w:pPr>
        <w:pStyle w:val="BodyText"/>
        <w:spacing w:line="240" w:lineRule="auto"/>
        <w:ind w:left="454" w:right="0"/>
        <w:jc w:val="left"/>
      </w:pPr>
      <w:r>
        <w:rPr/>
        <w:t>（</w:t>
      </w:r>
      <w:r>
        <w:rPr>
          <w:rFonts w:ascii="Times New Roman" w:hAnsi="Times New Roman" w:cs="Times New Roman" w:eastAsia="Times New Roman" w:hint="default"/>
        </w:rPr>
        <w:t>1</w:t>
      </w:r>
      <w:r>
        <w:rPr/>
        <w:t>）会计政策变更</w:t>
      </w:r>
    </w:p>
    <w:p>
      <w:pPr>
        <w:spacing w:line="240" w:lineRule="auto" w:before="13"/>
        <w:rPr>
          <w:rFonts w:ascii="宋体" w:hAnsi="宋体" w:cs="宋体" w:eastAsia="宋体" w:hint="default"/>
          <w:sz w:val="13"/>
          <w:szCs w:val="13"/>
        </w:rPr>
      </w:pPr>
    </w:p>
    <w:p>
      <w:pPr>
        <w:pStyle w:val="BodyText"/>
        <w:spacing w:line="240" w:lineRule="auto"/>
        <w:ind w:left="513" w:right="0"/>
        <w:jc w:val="left"/>
      </w:pPr>
      <w:r>
        <w:rPr/>
        <w:t>①执行修订后的非货币性资产交换会计准则</w:t>
      </w:r>
    </w:p>
    <w:p>
      <w:pPr>
        <w:spacing w:line="240" w:lineRule="auto" w:before="0"/>
        <w:rPr>
          <w:rFonts w:ascii="宋体" w:hAnsi="宋体" w:cs="宋体" w:eastAsia="宋体" w:hint="default"/>
          <w:sz w:val="15"/>
          <w:szCs w:val="15"/>
        </w:rPr>
      </w:pPr>
    </w:p>
    <w:p>
      <w:pPr>
        <w:pStyle w:val="BodyText"/>
        <w:spacing w:line="300" w:lineRule="auto"/>
        <w:ind w:right="1120"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日，财政部发布了《关于印发修订</w:t>
      </w:r>
      <w:r>
        <w:rPr>
          <w:rFonts w:ascii="Times New Roman" w:hAnsi="Times New Roman" w:cs="Times New Roman" w:eastAsia="Times New Roman" w:hint="default"/>
        </w:rPr>
        <w:t>&lt;</w:t>
      </w:r>
      <w:r>
        <w:rPr/>
        <w:t>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w:t>
      </w:r>
      <w:r>
        <w:rPr>
          <w:rFonts w:ascii="Times New Roman" w:hAnsi="Times New Roman" w:cs="Times New Roman" w:eastAsia="Times New Roman" w:hint="default"/>
        </w:rPr>
        <w:t>&gt;</w:t>
      </w:r>
      <w:r>
        <w:rPr/>
        <w:t>的通知》（财会【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8 </w:t>
      </w:r>
      <w:r>
        <w:rPr/>
        <w:t>号），对非货币性资产交换的确认、计量和披露作出修订。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日至该准则施行日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日之间发生的非货币 性资产交换，应根据该准则的规定进行调整；</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日之前发生的非货币性资产交换，不需进行追溯调整。</w:t>
      </w:r>
    </w:p>
    <w:p>
      <w:pPr>
        <w:pStyle w:val="BodyText"/>
        <w:spacing w:line="240" w:lineRule="auto" w:before="133"/>
        <w:ind w:left="514" w:right="0"/>
        <w:jc w:val="left"/>
      </w:pPr>
      <w:r>
        <w:rPr/>
        <w:t>②执行修订后的债务重组会计准则</w:t>
      </w:r>
    </w:p>
    <w:p>
      <w:pPr>
        <w:spacing w:line="240" w:lineRule="auto" w:before="0"/>
        <w:rPr>
          <w:rFonts w:ascii="宋体" w:hAnsi="宋体" w:cs="宋体" w:eastAsia="宋体" w:hint="default"/>
          <w:sz w:val="15"/>
          <w:szCs w:val="15"/>
        </w:rPr>
      </w:pPr>
    </w:p>
    <w:p>
      <w:pPr>
        <w:pStyle w:val="BodyText"/>
        <w:spacing w:line="300" w:lineRule="auto"/>
        <w:ind w:right="1120"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日，财政部发布了《关于印发修订</w:t>
      </w:r>
      <w:r>
        <w:rPr>
          <w:rFonts w:ascii="Times New Roman" w:hAnsi="Times New Roman" w:cs="Times New Roman" w:eastAsia="Times New Roman" w:hint="default"/>
        </w:rPr>
        <w:t>&lt;</w:t>
      </w:r>
      <w:r>
        <w:rPr/>
        <w:t>企业会计准则第</w:t>
      </w:r>
      <w:r>
        <w:rPr>
          <w:rFonts w:ascii="Times New Roman" w:hAnsi="Times New Roman" w:cs="Times New Roman" w:eastAsia="Times New Roman" w:hint="default"/>
        </w:rPr>
        <w:t>12</w:t>
      </w:r>
      <w:r>
        <w:rPr/>
        <w:t>号</w:t>
      </w:r>
      <w:r>
        <w:rPr>
          <w:rFonts w:ascii="Times New Roman" w:hAnsi="Times New Roman" w:cs="Times New Roman" w:eastAsia="Times New Roman" w:hint="default"/>
        </w:rPr>
        <w:t>——</w:t>
      </w:r>
      <w:r>
        <w:rPr/>
        <w:t>债务重组</w:t>
      </w:r>
      <w:r>
        <w:rPr>
          <w:rFonts w:ascii="Times New Roman" w:hAnsi="Times New Roman" w:cs="Times New Roman" w:eastAsia="Times New Roman" w:hint="default"/>
        </w:rPr>
        <w:t>&gt;</w:t>
      </w:r>
      <w:r>
        <w:rPr/>
        <w:t>的通知》（财会【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9</w:t>
      </w:r>
      <w:r>
        <w:rPr/>
        <w:t>号）， 对债务重组的确认、计量和披露作出修订。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日至该准则施行日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日之间发生的债务重组，应根据该准 则的规定进行调整；</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日之前发生的债务重组，不需进行追溯调整。</w:t>
      </w:r>
    </w:p>
    <w:p>
      <w:pPr>
        <w:pStyle w:val="BodyText"/>
        <w:spacing w:line="240" w:lineRule="auto" w:before="133"/>
        <w:ind w:left="514" w:right="0"/>
        <w:jc w:val="left"/>
      </w:pPr>
      <w:r>
        <w:rPr/>
        <w:t>③采用新的财务报表格式</w:t>
      </w:r>
    </w:p>
    <w:p>
      <w:pPr>
        <w:spacing w:line="240" w:lineRule="auto" w:before="0"/>
        <w:rPr>
          <w:rFonts w:ascii="宋体" w:hAnsi="宋体" w:cs="宋体" w:eastAsia="宋体" w:hint="default"/>
          <w:sz w:val="15"/>
          <w:szCs w:val="15"/>
        </w:rPr>
      </w:pPr>
    </w:p>
    <w:p>
      <w:pPr>
        <w:pStyle w:val="BodyText"/>
        <w:spacing w:line="304" w:lineRule="auto"/>
        <w:ind w:left="153" w:right="1129"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日，财政部发布了《关于修订印发</w:t>
      </w:r>
      <w:r>
        <w:rPr>
          <w:rFonts w:ascii="Times New Roman" w:hAnsi="Times New Roman" w:cs="Times New Roman" w:eastAsia="Times New Roman" w:hint="default"/>
        </w:rPr>
        <w:t>2018</w:t>
      </w:r>
      <w:r>
        <w:rPr/>
        <w:t>年度合并财务报表格式的通知》（财会</w:t>
      </w:r>
      <w:r>
        <w:rPr>
          <w:rFonts w:ascii="Times New Roman" w:hAnsi="Times New Roman" w:cs="Times New Roman" w:eastAsia="Times New Roman" w:hint="default"/>
        </w:rPr>
        <w:t>[2019]1</w:t>
      </w:r>
      <w:r>
        <w:rPr/>
        <w:t>号）；</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 </w:t>
      </w:r>
      <w:r>
        <w:rPr/>
        <w:t>日，财政部发布了《关于修订印发</w:t>
      </w:r>
      <w:r>
        <w:rPr>
          <w:rFonts w:ascii="Times New Roman" w:hAnsi="Times New Roman" w:cs="Times New Roman" w:eastAsia="Times New Roman" w:hint="default"/>
        </w:rPr>
        <w:t>2019</w:t>
      </w:r>
      <w:r>
        <w:rPr/>
        <w:t>年度一般企业财务报表格式的通知》（财会〔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w:t>
      </w:r>
      <w:r>
        <w:rPr/>
        <w:t>号）。本公司</w:t>
      </w:r>
      <w:r>
        <w:rPr>
          <w:rFonts w:ascii="Times New Roman" w:hAnsi="Times New Roman" w:cs="Times New Roman" w:eastAsia="Times New Roman" w:hint="default"/>
        </w:rPr>
        <w:t>2019</w:t>
      </w:r>
      <w:r>
        <w:rPr/>
        <w:t>年属于执行 </w:t>
      </w:r>
      <w:r>
        <w:rPr>
          <w:spacing w:val="-2"/>
        </w:rPr>
        <w:t>新金融工具准则，但未执行新收入准则和新租赁准则情形，资产负债表、利润表、现金流量表及股东权益变动表列报项目的</w:t>
      </w:r>
      <w:r>
        <w:rPr>
          <w:spacing w:val="-66"/>
        </w:rPr>
        <w:t> </w:t>
      </w:r>
      <w:r>
        <w:rPr>
          <w:spacing w:val="-66"/>
        </w:rPr>
      </w:r>
      <w:r>
        <w:rPr>
          <w:spacing w:val="-2"/>
        </w:rPr>
        <w:t>变化，主要是执行新金融工具准则导致的变化，在以下执行新金融工具准则中反映。财会〔</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6</w:t>
      </w:r>
      <w:r>
        <w:rPr>
          <w:spacing w:val="-2"/>
        </w:rPr>
        <w:t>号中还将</w:t>
      </w:r>
      <w:r>
        <w:rPr>
          <w:rFonts w:ascii="Times New Roman" w:hAnsi="Times New Roman" w:cs="Times New Roman" w:eastAsia="Times New Roman" w:hint="default"/>
          <w:spacing w:val="-2"/>
        </w:rPr>
        <w:t>“</w:t>
      </w:r>
      <w:r>
        <w:rPr>
          <w:spacing w:val="-2"/>
        </w:rPr>
        <w:t>应收票据及应</w:t>
      </w:r>
      <w:r>
        <w:rPr>
          <w:spacing w:val="-51"/>
        </w:rPr>
        <w:t> </w:t>
      </w:r>
      <w:r>
        <w:rPr>
          <w:spacing w:val="-51"/>
        </w:rPr>
      </w:r>
      <w:r>
        <w:rPr/>
        <w:t>收账款</w:t>
      </w:r>
      <w:r>
        <w:rPr>
          <w:rFonts w:ascii="Times New Roman" w:hAnsi="Times New Roman" w:cs="Times New Roman" w:eastAsia="Times New Roman" w:hint="default"/>
        </w:rPr>
        <w:t>”</w:t>
      </w:r>
      <w:r>
        <w:rPr/>
        <w:t>拆分为</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，将</w:t>
      </w:r>
      <w:r>
        <w:rPr>
          <w:rFonts w:ascii="Times New Roman" w:hAnsi="Times New Roman" w:cs="Times New Roman" w:eastAsia="Times New Roman" w:hint="default"/>
        </w:rPr>
        <w:t>“</w:t>
      </w:r>
      <w:r>
        <w:rPr/>
        <w:t>应付票据及应付账款</w:t>
      </w:r>
      <w:r>
        <w:rPr>
          <w:rFonts w:ascii="Times New Roman" w:hAnsi="Times New Roman" w:cs="Times New Roman" w:eastAsia="Times New Roman" w:hint="default"/>
        </w:rPr>
        <w:t>”</w:t>
      </w:r>
      <w:r>
        <w:rPr/>
        <w:t>拆分为</w:t>
      </w:r>
      <w:r>
        <w:rPr>
          <w:rFonts w:ascii="Times New Roman" w:hAnsi="Times New Roman" w:cs="Times New Roman" w:eastAsia="Times New Roman" w:hint="default"/>
        </w:rPr>
        <w:t>“</w:t>
      </w:r>
      <w:r>
        <w:rPr/>
        <w:t>应付票据</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应付账款</w:t>
      </w:r>
      <w:r>
        <w:rPr>
          <w:rFonts w:ascii="Times New Roman" w:hAnsi="Times New Roman" w:cs="Times New Roman" w:eastAsia="Times New Roman" w:hint="default"/>
        </w:rPr>
        <w:t>”</w:t>
      </w:r>
      <w:r>
        <w:rPr/>
        <w:t>，分别列示。</w:t>
      </w:r>
    </w:p>
    <w:p>
      <w:pPr>
        <w:pStyle w:val="BodyText"/>
        <w:spacing w:line="240" w:lineRule="auto" w:before="129"/>
        <w:ind w:left="514" w:right="0"/>
        <w:jc w:val="left"/>
      </w:pPr>
      <w:r>
        <w:rPr/>
        <w:t>④执行新金融工具准则</w:t>
      </w:r>
    </w:p>
    <w:p>
      <w:pPr>
        <w:spacing w:line="240" w:lineRule="auto" w:before="0"/>
        <w:rPr>
          <w:rFonts w:ascii="宋体" w:hAnsi="宋体" w:cs="宋体" w:eastAsia="宋体" w:hint="default"/>
          <w:sz w:val="15"/>
          <w:szCs w:val="15"/>
        </w:rPr>
      </w:pPr>
    </w:p>
    <w:p>
      <w:pPr>
        <w:pStyle w:val="BodyText"/>
        <w:spacing w:line="300" w:lineRule="auto"/>
        <w:ind w:right="1129" w:firstLine="360"/>
        <w:jc w:val="both"/>
      </w:pPr>
      <w:r>
        <w:rPr>
          <w:spacing w:val="-2"/>
        </w:rPr>
        <w:t>本公司于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日起执行财政部于</w:t>
      </w:r>
      <w:r>
        <w:rPr>
          <w:rFonts w:ascii="Times New Roman" w:hAnsi="Times New Roman" w:cs="Times New Roman" w:eastAsia="Times New Roman" w:hint="default"/>
          <w:spacing w:val="-2"/>
        </w:rPr>
        <w:t>2017</w:t>
      </w:r>
      <w:r>
        <w:rPr>
          <w:spacing w:val="-2"/>
        </w:rPr>
        <w:t>年修订的《企业会计准则第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金融工具确认和计量》、《企业会计准则</w:t>
      </w:r>
      <w:r>
        <w:rPr/>
        <w:t> 第</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金融资产转移》、《企业会计准则第</w:t>
      </w:r>
      <w:r>
        <w:rPr>
          <w:rFonts w:ascii="Times New Roman" w:hAnsi="Times New Roman" w:cs="Times New Roman" w:eastAsia="Times New Roman" w:hint="default"/>
        </w:rPr>
        <w:t>24</w:t>
      </w:r>
      <w:r>
        <w:rPr/>
        <w:t>号</w:t>
      </w:r>
      <w:r>
        <w:rPr>
          <w:rFonts w:ascii="Times New Roman" w:hAnsi="Times New Roman" w:cs="Times New Roman" w:eastAsia="Times New Roman" w:hint="default"/>
        </w:rPr>
        <w:t>—</w:t>
      </w:r>
      <w:r>
        <w:rPr/>
        <w:t>套期会计》和《企业会计准则第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金融工具列报》（以下简称</w:t>
      </w:r>
      <w:r>
        <w:rPr>
          <w:rFonts w:ascii="Times New Roman" w:hAnsi="Times New Roman" w:cs="Times New Roman" w:eastAsia="Times New Roman" w:hint="default"/>
        </w:rPr>
        <w:t>“</w:t>
      </w:r>
      <w:r>
        <w:rPr/>
        <w:t>新 金融工具准则</w:t>
      </w:r>
      <w:r>
        <w:rPr>
          <w:rFonts w:ascii="Times New Roman" w:hAnsi="Times New Roman" w:cs="Times New Roman" w:eastAsia="Times New Roman" w:hint="default"/>
        </w:rPr>
        <w:t>”</w:t>
      </w:r>
      <w:r>
        <w:rPr/>
        <w:t>，修订前的金融工具准则简称</w:t>
      </w:r>
      <w:r>
        <w:rPr>
          <w:rFonts w:ascii="Times New Roman" w:hAnsi="Times New Roman" w:cs="Times New Roman" w:eastAsia="Times New Roman" w:hint="default"/>
        </w:rPr>
        <w:t>“</w:t>
      </w:r>
      <w:r>
        <w:rPr/>
        <w:t>原金融工具准则</w:t>
      </w:r>
      <w:r>
        <w:rPr>
          <w:rFonts w:ascii="Times New Roman" w:hAnsi="Times New Roman" w:cs="Times New Roman" w:eastAsia="Times New Roman" w:hint="default"/>
        </w:rPr>
        <w:t>”</w:t>
      </w:r>
      <w:r>
        <w:rPr/>
        <w:t>）。</w:t>
      </w:r>
    </w:p>
    <w:p>
      <w:pPr>
        <w:pStyle w:val="BodyText"/>
        <w:spacing w:line="316" w:lineRule="auto" w:before="133"/>
        <w:ind w:right="1129" w:firstLine="360"/>
        <w:jc w:val="both"/>
      </w:pPr>
      <w:r>
        <w:rPr>
          <w:spacing w:val="-2"/>
        </w:rPr>
        <w:t>金融资产分类与计量方面，新金融工具准则要求金融资产基于合同现金流量特征及企业管理该等资产的业务模式分类为</w:t>
      </w:r>
      <w:r>
        <w:rPr/>
        <w:t> </w:t>
      </w:r>
      <w:r>
        <w:rPr>
          <w:spacing w:val="-2"/>
        </w:rPr>
        <w:t>以摊余成本计量的金融资产、以公允价值计量且其变动计入其他综合收益的金融资产和以公允价值计量且其变动计入当期损</w:t>
      </w:r>
      <w:r>
        <w:rPr>
          <w:spacing w:val="-64"/>
        </w:rPr>
        <w:t> </w:t>
      </w:r>
      <w:r>
        <w:rPr>
          <w:spacing w:val="-64"/>
        </w:rPr>
      </w:r>
      <w:r>
        <w:rPr>
          <w:spacing w:val="-2"/>
        </w:rPr>
        <w:t>益的金融资产三大类别。取消了贷款和应收款项、持有至到期投资和可供出售金融资产等原分类。权益工具投资一般分类为</w:t>
      </w:r>
      <w:r>
        <w:rPr>
          <w:spacing w:val="-66"/>
        </w:rPr>
        <w:t> </w:t>
      </w:r>
      <w:r>
        <w:rPr>
          <w:spacing w:val="-66"/>
        </w:rPr>
      </w:r>
      <w:r>
        <w:rPr>
          <w:spacing w:val="-2"/>
        </w:rPr>
        <w:t>以公允价值计量且其变动计入当期损益的金融资产，也允许企业将非交易性权益工具投资指定为以公允价值计量且其变动计</w:t>
      </w:r>
      <w:r>
        <w:rPr>
          <w:spacing w:val="-64"/>
        </w:rPr>
        <w:t> </w:t>
      </w:r>
      <w:r>
        <w:rPr>
          <w:spacing w:val="-64"/>
        </w:rPr>
      </w:r>
      <w:r>
        <w:rPr>
          <w:spacing w:val="-2"/>
        </w:rPr>
        <w:t>入其他综合收益的金融资产，但该指定不可撤销，且在处置时不得将原计入其他综合收益的累计公允价值变动额结转计入当</w:t>
      </w:r>
      <w:r>
        <w:rPr>
          <w:spacing w:val="-64"/>
        </w:rPr>
        <w:t> </w:t>
      </w:r>
      <w:r>
        <w:rPr>
          <w:spacing w:val="-64"/>
        </w:rPr>
      </w:r>
      <w:r>
        <w:rPr/>
        <w:t>期损益。</w:t>
      </w:r>
    </w:p>
    <w:p>
      <w:pPr>
        <w:pStyle w:val="BodyText"/>
        <w:spacing w:line="240" w:lineRule="auto" w:before="137"/>
        <w:ind w:left="514" w:right="0"/>
        <w:jc w:val="left"/>
      </w:pPr>
      <w:r>
        <w:rPr/>
        <w:t>金融资产减值方面</w:t>
      </w:r>
      <w:r>
        <w:rPr>
          <w:spacing w:val="-82"/>
        </w:rPr>
        <w:t>，</w:t>
      </w:r>
      <w:r>
        <w:rPr/>
        <w:t>新金融工具准则有关减值的要求适用于以摊余成本计量以及分类为以公允价值计量且其变动计入其</w:t>
      </w:r>
    </w:p>
    <w:p>
      <w:pPr>
        <w:spacing w:after="0" w:line="240"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153" w:right="0"/>
        <w:jc w:val="left"/>
      </w:pPr>
      <w:r>
        <w:rPr>
          <w:spacing w:val="-2"/>
        </w:rPr>
        <w:t>他综合收益的债务工具投资、租赁应收款以及未提用的贷款承诺和财务担保合同等。新金融工具准则要求采用预期信用损失</w:t>
      </w:r>
      <w:r>
        <w:rPr>
          <w:spacing w:val="-64"/>
        </w:rPr>
        <w:t> </w:t>
      </w:r>
      <w:r>
        <w:rPr>
          <w:spacing w:val="-64"/>
        </w:rPr>
      </w:r>
      <w:r>
        <w:rPr/>
        <w:t>模型以替代原先的已发生信用损失模型。</w:t>
      </w:r>
    </w:p>
    <w:p>
      <w:pPr>
        <w:pStyle w:val="BodyText"/>
        <w:spacing w:line="309" w:lineRule="auto" w:before="139"/>
        <w:ind w:left="153" w:right="1130" w:firstLine="36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日之前的金融工具确认和计量与新金融工具准则要求不一致的，本公司按照新金融工具准则的要求进行衔接</w:t>
      </w:r>
      <w:r>
        <w:rPr/>
        <w:t> </w:t>
      </w:r>
      <w:r>
        <w:rPr>
          <w:spacing w:val="-2"/>
        </w:rPr>
        <w:t>调整。涉及前期比较财务报表数据与新金融工具准则要求不一致的，本公司不进行调整。金融工具原账面价值和在新金融工</w:t>
      </w:r>
      <w:r>
        <w:rPr>
          <w:spacing w:val="-66"/>
        </w:rPr>
        <w:t> </w:t>
      </w:r>
      <w:r>
        <w:rPr>
          <w:spacing w:val="-66"/>
        </w:rPr>
      </w:r>
      <w:r>
        <w:rPr/>
        <w:t>具准则施行日的新账面价值之间的差额，计入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日的留存收益或其他综合收益。</w:t>
      </w:r>
    </w:p>
    <w:p>
      <w:pPr>
        <w:pStyle w:val="BodyText"/>
        <w:spacing w:line="240" w:lineRule="auto" w:before="125"/>
        <w:ind w:left="513" w:right="0"/>
        <w:jc w:val="left"/>
      </w:pPr>
      <w:r>
        <w:rPr>
          <w:rFonts w:ascii="Times New Roman" w:hAnsi="Times New Roman" w:cs="Times New Roman" w:eastAsia="Times New Roman" w:hint="default"/>
        </w:rPr>
        <w:t>A</w:t>
      </w:r>
      <w:r>
        <w:rPr/>
        <w:t>、新金融工具准则首次执行日，分类与计量的改变对本公司财务报表的影响：</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4860"/>
        <w:gridCol w:w="2209"/>
        <w:gridCol w:w="2340"/>
      </w:tblGrid>
      <w:tr>
        <w:trPr>
          <w:trHeight w:val="347" w:hRule="exact"/>
        </w:trPr>
        <w:tc>
          <w:tcPr>
            <w:tcW w:w="4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报表项目</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日账面价值</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日账面价值</w:t>
            </w:r>
          </w:p>
        </w:tc>
      </w:tr>
      <w:tr>
        <w:trPr>
          <w:trHeight w:val="347" w:hRule="exact"/>
        </w:trPr>
        <w:tc>
          <w:tcPr>
            <w:tcW w:w="4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209"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其中：可供出售金融资产</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30,194,928.13</w:t>
            </w:r>
          </w:p>
        </w:tc>
        <w:tc>
          <w:tcPr>
            <w:tcW w:w="2340"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26"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209"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30,194,928.13</w:t>
            </w:r>
          </w:p>
        </w:tc>
      </w:tr>
      <w:tr>
        <w:trPr>
          <w:trHeight w:val="347" w:hRule="exact"/>
        </w:trPr>
        <w:tc>
          <w:tcPr>
            <w:tcW w:w="4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2209"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其中：其他综合收益</w:t>
            </w:r>
          </w:p>
        </w:tc>
        <w:tc>
          <w:tcPr>
            <w:tcW w:w="2209" w:type="dxa"/>
            <w:tcBorders>
              <w:top w:val="single" w:sz="6" w:space="0" w:color="000000"/>
              <w:left w:val="single" w:sz="6" w:space="0" w:color="000000"/>
              <w:bottom w:val="single" w:sz="6" w:space="0" w:color="000000"/>
              <w:right w:val="single" w:sz="6" w:space="0" w:color="000000"/>
            </w:tcBorders>
          </w:tcPr>
          <w:p>
            <w:pP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-16,171,512.65</w:t>
            </w:r>
          </w:p>
        </w:tc>
      </w:tr>
      <w:tr>
        <w:trPr>
          <w:trHeight w:val="348" w:hRule="exact"/>
        </w:trPr>
        <w:tc>
          <w:tcPr>
            <w:tcW w:w="4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4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1,314,594,063.13</w:t>
            </w:r>
          </w:p>
        </w:tc>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1,330,765,575.78</w:t>
            </w:r>
          </w:p>
        </w:tc>
      </w:tr>
    </w:tbl>
    <w:p>
      <w:pPr>
        <w:spacing w:line="240" w:lineRule="auto" w:before="8"/>
        <w:rPr>
          <w:rFonts w:ascii="宋体" w:hAnsi="宋体" w:cs="宋体" w:eastAsia="宋体" w:hint="default"/>
          <w:sz w:val="6"/>
          <w:szCs w:val="6"/>
        </w:rPr>
      </w:pPr>
    </w:p>
    <w:p>
      <w:pPr>
        <w:pStyle w:val="BodyText"/>
        <w:spacing w:line="240" w:lineRule="auto" w:before="44"/>
        <w:ind w:left="514" w:right="0"/>
        <w:jc w:val="left"/>
      </w:pPr>
      <w:r>
        <w:rPr>
          <w:rFonts w:ascii="Times New Roman" w:hAnsi="Times New Roman" w:cs="Times New Roman" w:eastAsia="Times New Roman" w:hint="default"/>
        </w:rPr>
        <w:t>B</w:t>
      </w:r>
      <w:r>
        <w:rPr/>
        <w:t>、新金融工具准则首次执行日，分类与计量改变对上述金融资产项目账面价值的影响：</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207"/>
        <w:gridCol w:w="2519"/>
        <w:gridCol w:w="1482"/>
        <w:gridCol w:w="1038"/>
        <w:gridCol w:w="2208"/>
      </w:tblGrid>
      <w:tr>
        <w:trPr>
          <w:trHeight w:val="365" w:hRule="exact"/>
        </w:trPr>
        <w:tc>
          <w:tcPr>
            <w:tcW w:w="2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734"/>
              <w:jc w:val="right"/>
              <w:rPr>
                <w:rFonts w:ascii="宋体" w:hAnsi="宋体" w:cs="宋体" w:eastAsia="宋体" w:hint="default"/>
                <w:sz w:val="18"/>
                <w:szCs w:val="18"/>
              </w:rPr>
            </w:pPr>
            <w:r>
              <w:rPr>
                <w:rFonts w:ascii="宋体" w:hAnsi="宋体" w:cs="宋体" w:eastAsia="宋体" w:hint="default"/>
                <w:sz w:val="18"/>
                <w:szCs w:val="18"/>
              </w:rPr>
              <w:t>报表项目</w:t>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日账面价值</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64"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0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52"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日账面价值</w:t>
            </w:r>
          </w:p>
        </w:tc>
      </w:tr>
      <w:tr>
        <w:trPr>
          <w:trHeight w:val="467" w:hRule="exact"/>
        </w:trPr>
        <w:tc>
          <w:tcPr>
            <w:tcW w:w="2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749"/>
              <w:jc w:val="righ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466" w:right="0"/>
              <w:jc w:val="left"/>
              <w:rPr>
                <w:rFonts w:ascii="Times New Roman" w:hAnsi="Times New Roman" w:cs="Times New Roman" w:eastAsia="Times New Roman" w:hint="default"/>
                <w:sz w:val="18"/>
                <w:szCs w:val="18"/>
              </w:rPr>
            </w:pPr>
            <w:r>
              <w:rPr>
                <w:rFonts w:ascii="Times New Roman"/>
                <w:sz w:val="18"/>
              </w:rPr>
              <w:t>30,194,928.13</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-30,194,928.13</w:t>
            </w:r>
          </w:p>
        </w:tc>
        <w:tc>
          <w:tcPr>
            <w:tcW w:w="103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468" w:hRule="exact"/>
        </w:trPr>
        <w:tc>
          <w:tcPr>
            <w:tcW w:w="2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749"/>
              <w:jc w:val="righ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519" w:type="dxa"/>
            <w:tcBorders>
              <w:top w:val="single" w:sz="6" w:space="0" w:color="000000"/>
              <w:left w:val="single" w:sz="6" w:space="0" w:color="000000"/>
              <w:bottom w:val="single" w:sz="6" w:space="0" w:color="000000"/>
              <w:right w:val="single" w:sz="6" w:space="0" w:color="000000"/>
            </w:tcBorders>
          </w:tcPr>
          <w:p>
            <w:pP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pacing w:val="-1"/>
                <w:sz w:val="18"/>
              </w:rPr>
              <w:t>30,194,928.13</w:t>
            </w:r>
          </w:p>
        </w:tc>
        <w:tc>
          <w:tcPr>
            <w:tcW w:w="103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155" w:right="0"/>
              <w:jc w:val="left"/>
              <w:rPr>
                <w:rFonts w:ascii="Times New Roman" w:hAnsi="Times New Roman" w:cs="Times New Roman" w:eastAsia="Times New Roman" w:hint="default"/>
                <w:sz w:val="18"/>
                <w:szCs w:val="18"/>
              </w:rPr>
            </w:pPr>
            <w:r>
              <w:rPr>
                <w:rFonts w:ascii="Times New Roman"/>
                <w:sz w:val="18"/>
              </w:rPr>
              <w:t>30,194,928.13</w:t>
            </w:r>
          </w:p>
        </w:tc>
      </w:tr>
    </w:tbl>
    <w:p>
      <w:pPr>
        <w:spacing w:line="240" w:lineRule="auto" w:before="8"/>
        <w:rPr>
          <w:rFonts w:ascii="宋体" w:hAnsi="宋体" w:cs="宋体" w:eastAsia="宋体" w:hint="default"/>
          <w:sz w:val="6"/>
          <w:szCs w:val="6"/>
        </w:rPr>
      </w:pPr>
    </w:p>
    <w:p>
      <w:pPr>
        <w:pStyle w:val="BodyText"/>
        <w:spacing w:line="240" w:lineRule="auto" w:before="44"/>
        <w:ind w:left="514" w:right="0"/>
        <w:jc w:val="left"/>
      </w:pPr>
      <w:r>
        <w:rPr>
          <w:rFonts w:ascii="Times New Roman" w:hAnsi="Times New Roman" w:cs="Times New Roman" w:eastAsia="Times New Roman" w:hint="default"/>
        </w:rPr>
        <w:t>C</w:t>
      </w:r>
      <w:r>
        <w:rPr/>
        <w:t>、新金融工具准则首次执行日，分类与计量的改变对金融资产减值准备的影响：</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158"/>
        <w:gridCol w:w="3150"/>
        <w:gridCol w:w="1016"/>
        <w:gridCol w:w="979"/>
        <w:gridCol w:w="3150"/>
      </w:tblGrid>
      <w:tr>
        <w:trPr>
          <w:trHeight w:val="365" w:hRule="exact"/>
        </w:trPr>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1"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50" w:right="0"/>
              <w:jc w:val="left"/>
              <w:rPr>
                <w:rFonts w:ascii="宋体" w:hAnsi="宋体" w:cs="宋体" w:eastAsia="宋体" w:hint="default"/>
                <w:sz w:val="18"/>
                <w:szCs w:val="18"/>
              </w:rPr>
            </w:pPr>
            <w:r>
              <w:rPr>
                <w:rFonts w:ascii="宋体" w:hAnsi="宋体" w:cs="宋体" w:eastAsia="宋体" w:hint="default"/>
                <w:sz w:val="18"/>
                <w:szCs w:val="18"/>
              </w:rPr>
              <w:t>按原金融工具准则确认的减值准备</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30"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1"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50" w:right="0"/>
              <w:jc w:val="left"/>
              <w:rPr>
                <w:rFonts w:ascii="宋体" w:hAnsi="宋体" w:cs="宋体" w:eastAsia="宋体" w:hint="default"/>
                <w:sz w:val="18"/>
                <w:szCs w:val="18"/>
              </w:rPr>
            </w:pPr>
            <w:r>
              <w:rPr>
                <w:rFonts w:ascii="宋体" w:hAnsi="宋体" w:cs="宋体" w:eastAsia="宋体" w:hint="default"/>
                <w:sz w:val="18"/>
                <w:szCs w:val="18"/>
              </w:rPr>
              <w:t>按新金融工具准则确认的损失准备</w:t>
            </w:r>
          </w:p>
        </w:tc>
      </w:tr>
      <w:tr>
        <w:trPr>
          <w:trHeight w:val="467" w:hRule="exact"/>
        </w:trPr>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171,784,952.48</w:t>
            </w:r>
          </w:p>
        </w:tc>
        <w:tc>
          <w:tcPr>
            <w:tcW w:w="1016" w:type="dxa"/>
            <w:tcBorders>
              <w:top w:val="single" w:sz="6" w:space="0" w:color="000000"/>
              <w:left w:val="single" w:sz="6" w:space="0" w:color="000000"/>
              <w:bottom w:val="single" w:sz="6" w:space="0" w:color="000000"/>
              <w:right w:val="single" w:sz="6" w:space="0" w:color="000000"/>
            </w:tcBorders>
          </w:tcPr>
          <w:p>
            <w:pPr/>
          </w:p>
        </w:tc>
        <w:tc>
          <w:tcPr>
            <w:tcW w:w="979" w:type="dxa"/>
            <w:tcBorders>
              <w:top w:val="single" w:sz="6" w:space="0" w:color="000000"/>
              <w:left w:val="single" w:sz="6" w:space="0" w:color="000000"/>
              <w:bottom w:val="single" w:sz="6" w:space="0" w:color="000000"/>
              <w:right w:val="single" w:sz="6" w:space="0" w:color="000000"/>
            </w:tcBorders>
          </w:tcPr>
          <w:p>
            <w:pPr/>
          </w:p>
        </w:tc>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171,784,952.48</w:t>
            </w:r>
          </w:p>
        </w:tc>
      </w:tr>
      <w:tr>
        <w:trPr>
          <w:trHeight w:val="467" w:hRule="exact"/>
        </w:trPr>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12,814,154.11</w:t>
            </w:r>
          </w:p>
        </w:tc>
        <w:tc>
          <w:tcPr>
            <w:tcW w:w="1016" w:type="dxa"/>
            <w:tcBorders>
              <w:top w:val="single" w:sz="6" w:space="0" w:color="000000"/>
              <w:left w:val="single" w:sz="6" w:space="0" w:color="000000"/>
              <w:bottom w:val="single" w:sz="6" w:space="0" w:color="000000"/>
              <w:right w:val="single" w:sz="6" w:space="0" w:color="000000"/>
            </w:tcBorders>
          </w:tcPr>
          <w:p>
            <w:pPr/>
          </w:p>
        </w:tc>
        <w:tc>
          <w:tcPr>
            <w:tcW w:w="979" w:type="dxa"/>
            <w:tcBorders>
              <w:top w:val="single" w:sz="6" w:space="0" w:color="000000"/>
              <w:left w:val="single" w:sz="6" w:space="0" w:color="000000"/>
              <w:bottom w:val="single" w:sz="6" w:space="0" w:color="000000"/>
              <w:right w:val="single" w:sz="6" w:space="0" w:color="000000"/>
            </w:tcBorders>
          </w:tcPr>
          <w:p>
            <w:pPr/>
          </w:p>
        </w:tc>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12,814,154.11</w:t>
            </w:r>
          </w:p>
        </w:tc>
      </w:tr>
      <w:tr>
        <w:trPr>
          <w:trHeight w:val="468" w:hRule="exact"/>
        </w:trPr>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184,599,106.59</w:t>
            </w:r>
          </w:p>
        </w:tc>
        <w:tc>
          <w:tcPr>
            <w:tcW w:w="1016" w:type="dxa"/>
            <w:tcBorders>
              <w:top w:val="single" w:sz="6" w:space="0" w:color="000000"/>
              <w:left w:val="single" w:sz="6" w:space="0" w:color="000000"/>
              <w:bottom w:val="single" w:sz="6" w:space="0" w:color="000000"/>
              <w:right w:val="single" w:sz="6" w:space="0" w:color="000000"/>
            </w:tcBorders>
          </w:tcPr>
          <w:p>
            <w:pPr/>
          </w:p>
        </w:tc>
        <w:tc>
          <w:tcPr>
            <w:tcW w:w="979" w:type="dxa"/>
            <w:tcBorders>
              <w:top w:val="single" w:sz="6" w:space="0" w:color="000000"/>
              <w:left w:val="single" w:sz="6" w:space="0" w:color="000000"/>
              <w:bottom w:val="single" w:sz="6" w:space="0" w:color="000000"/>
              <w:right w:val="single" w:sz="6" w:space="0" w:color="000000"/>
            </w:tcBorders>
          </w:tcPr>
          <w:p>
            <w:pPr/>
          </w:p>
        </w:tc>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184,599,106.59</w:t>
            </w:r>
          </w:p>
        </w:tc>
      </w:tr>
    </w:tbl>
    <w:p>
      <w:pPr>
        <w:spacing w:line="240" w:lineRule="auto" w:before="8"/>
        <w:rPr>
          <w:rFonts w:ascii="宋体" w:hAnsi="宋体" w:cs="宋体" w:eastAsia="宋体" w:hint="default"/>
          <w:sz w:val="6"/>
          <w:szCs w:val="6"/>
        </w:rPr>
      </w:pPr>
    </w:p>
    <w:p>
      <w:pPr>
        <w:pStyle w:val="BodyText"/>
        <w:spacing w:line="537" w:lineRule="auto" w:before="44"/>
        <w:ind w:left="604" w:right="8950" w:hanging="270"/>
        <w:jc w:val="left"/>
      </w:pPr>
      <w:r>
        <w:rPr/>
        <w:t>⑤其他会计政策变更 无</w:t>
      </w:r>
    </w:p>
    <w:p>
      <w:pPr>
        <w:pStyle w:val="BodyText"/>
        <w:spacing w:line="508" w:lineRule="auto" w:before="69"/>
        <w:ind w:left="604" w:right="9130" w:hanging="360"/>
        <w:jc w:val="left"/>
      </w:pPr>
      <w:r>
        <w:rPr/>
        <w:t>（</w:t>
      </w:r>
      <w:r>
        <w:rPr>
          <w:rFonts w:ascii="Times New Roman" w:hAnsi="Times New Roman" w:cs="Times New Roman" w:eastAsia="Times New Roman" w:hint="default"/>
        </w:rPr>
        <w:t>2</w:t>
      </w:r>
      <w:r>
        <w:rPr/>
        <w:t>）会计估计变更 无</w:t>
      </w:r>
    </w:p>
    <w:p>
      <w:pPr>
        <w:pStyle w:val="Heading2"/>
        <w:spacing w:line="240" w:lineRule="auto" w:before="127"/>
        <w:ind w:right="0"/>
        <w:jc w:val="left"/>
        <w:rPr>
          <w:b w:val="0"/>
          <w:bCs w:val="0"/>
        </w:rPr>
      </w:pP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153" w:right="6611"/>
        <w:jc w:val="left"/>
      </w:pPr>
      <w:r>
        <w:rPr/>
        <w:t>□ 适用 √ 不适用 公司报告期无重大会计差错更正需追溯重述的情况。</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r>
        <w:rPr/>
        <w:t>八、与上年度财务报告相比，合并报表范围发生变化的情况说明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13" w:right="1117" w:hanging="360"/>
        <w:jc w:val="left"/>
      </w:pPr>
      <w:r>
        <w:rPr/>
        <w:t>√ 适用 □ 不适用 </w:t>
      </w:r>
      <w:r>
        <w:rPr>
          <w:spacing w:val="-5"/>
        </w:rPr>
        <w:t>本年度增加8家合并单位，其中7家公司为2019年新设立的公司：河北北明鼎云信息技术有限公司、北明天时智能技术（北</w:t>
      </w:r>
      <w:r>
        <w:rPr/>
      </w:r>
    </w:p>
    <w:p>
      <w:pPr>
        <w:spacing w:after="0" w:line="357"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153" w:right="1128"/>
        <w:jc w:val="both"/>
      </w:pPr>
      <w:r>
        <w:rPr>
          <w:spacing w:val="-2"/>
        </w:rPr>
        <w:t>京）有限公司、湖南北明信息技术有限公司、北明（青岛）信息技术有限公司、成都北明祺舯信息技术有限公司、北京枫调</w:t>
      </w:r>
      <w:r>
        <w:rPr>
          <w:spacing w:val="-65"/>
        </w:rPr>
        <w:t> </w:t>
      </w:r>
      <w:r>
        <w:rPr>
          <w:spacing w:val="-65"/>
        </w:rPr>
      </w:r>
      <w:r>
        <w:rPr>
          <w:spacing w:val="-2"/>
        </w:rPr>
        <w:t>理顺科技发展有限公司、全面智能（厦门）科技有限公司，上述，其中本公司持有河北北明鼎云信息技术有限公司、湖南北</w:t>
      </w:r>
      <w:r>
        <w:rPr>
          <w:spacing w:val="-68"/>
        </w:rPr>
        <w:t> </w:t>
      </w:r>
      <w:r>
        <w:rPr>
          <w:spacing w:val="-68"/>
        </w:rPr>
      </w:r>
      <w:r>
        <w:rPr>
          <w:spacing w:val="-2"/>
        </w:rPr>
        <w:t>明信息技术有限公司、北明（青岛）信息技术有限公司100%股权，持有北明天时智能技术（北京）有限公司、北京枫调理顺</w:t>
      </w:r>
      <w:r>
        <w:rPr>
          <w:spacing w:val="-61"/>
        </w:rPr>
        <w:t> </w:t>
      </w:r>
      <w:r>
        <w:rPr>
          <w:spacing w:val="-61"/>
        </w:rPr>
      </w:r>
      <w:r>
        <w:rPr/>
        <w:t>科技发展有限公司、全面智能（厦门）科技有限公司51%股权，持有成都北明祺舯信息技术有限公司60%股权；1家为2019年</w:t>
      </w:r>
      <w:r>
        <w:rPr>
          <w:spacing w:val="-83"/>
        </w:rPr>
        <w:t> </w:t>
      </w:r>
      <w:r>
        <w:rPr>
          <w:spacing w:val="-83"/>
        </w:rPr>
      </w:r>
      <w:r>
        <w:rPr/>
        <w:t>非同一控制下企业合并的公司：石家庄赛孚纺织有限公司。本年度减少2家合并单位为：北明云山（武汉）软件开发有限公</w:t>
      </w:r>
      <w:r>
        <w:rPr>
          <w:spacing w:val="-83"/>
        </w:rPr>
        <w:t> </w:t>
      </w:r>
      <w:r>
        <w:rPr>
          <w:spacing w:val="-83"/>
        </w:rPr>
      </w:r>
      <w:r>
        <w:rPr/>
        <w:t>司、北京北明云易信息科技有限公司，为2019年注销的公司。</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63"/>
        <w:gridCol w:w="4805"/>
      </w:tblGrid>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80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hAnsi="宋体" w:cs="宋体" w:eastAsia="宋体" w:hint="default"/>
                <w:sz w:val="18"/>
                <w:szCs w:val="18"/>
              </w:rPr>
              <w:t>中兴财光华会计师事务所（特殊普通合伙）</w:t>
            </w: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80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80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4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80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hAnsi="宋体" w:cs="宋体" w:eastAsia="宋体" w:hint="default"/>
                <w:sz w:val="18"/>
                <w:szCs w:val="18"/>
              </w:rPr>
              <w:t>王飞 、秦卫国</w:t>
            </w:r>
          </w:p>
        </w:tc>
      </w:tr>
      <w:tr>
        <w:trPr>
          <w:trHeight w:val="403" w:hRule="exact"/>
        </w:trPr>
        <w:tc>
          <w:tcPr>
            <w:tcW w:w="4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80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44" w:right="0"/>
              <w:jc w:val="left"/>
              <w:rPr>
                <w:rFonts w:ascii="宋体" w:hAnsi="宋体" w:cs="宋体" w:eastAsia="宋体" w:hint="default"/>
                <w:sz w:val="18"/>
                <w:szCs w:val="18"/>
              </w:rPr>
            </w:pPr>
            <w:r>
              <w:rPr>
                <w:rFonts w:ascii="宋体" w:hAnsi="宋体" w:cs="宋体" w:eastAsia="宋体" w:hint="default"/>
                <w:sz w:val="18"/>
                <w:szCs w:val="18"/>
              </w:rPr>
              <w:t>王飞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年、秦卫国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51"/>
        <w:ind w:right="0"/>
        <w:jc w:val="left"/>
      </w:pPr>
      <w:r>
        <w:rPr/>
        <w:t>当期是否改聘会计师事务所</w:t>
      </w:r>
    </w:p>
    <w:p>
      <w:pPr>
        <w:pStyle w:val="BodyText"/>
        <w:spacing w:line="340" w:lineRule="auto" w:before="116"/>
        <w:ind w:right="62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338" w:lineRule="auto" w:before="40"/>
        <w:ind w:right="26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本年度，公司聘请中兴财光华会计师事务所（特殊普通合伙）为内部控制审计机构，支付报酬</w:t>
      </w:r>
      <w:r>
        <w:rPr>
          <w:rFonts w:ascii="Times New Roman" w:hAnsi="Times New Roman" w:cs="Times New Roman" w:eastAsia="Times New Roman" w:hint="default"/>
        </w:rPr>
        <w:t>40</w:t>
      </w:r>
      <w:r>
        <w:rPr/>
        <w:t>万元。</w:t>
      </w: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7691"/>
        <w:jc w:val="left"/>
      </w:pPr>
      <w:r>
        <w:rPr/>
        <w:t>□ 适用 √ 不适用 公司报告期未发生破产重整相关事项。</w:t>
      </w: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7691"/>
        <w:jc w:val="left"/>
      </w:pPr>
      <w:r>
        <w:rPr/>
        <w:t>□ 适用 √ 不适用 本报告期公司无重大诉讼、仲裁事项。</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r>
        <w:rPr/>
        <w:t>十三、处罚及整改情况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153" w:right="7871"/>
        <w:jc w:val="left"/>
      </w:pPr>
      <w:r>
        <w:rPr/>
        <w:t>□ 适用 √ 不适用 公司报告期不存在处罚及整改情况。</w:t>
      </w:r>
    </w:p>
    <w:p>
      <w:pPr>
        <w:spacing w:after="0" w:line="360" w:lineRule="auto"/>
        <w:jc w:val="left"/>
        <w:sectPr>
          <w:pgSz w:w="11910" w:h="16840"/>
          <w:pgMar w:header="747" w:footer="982" w:top="1060" w:bottom="118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4451"/>
        <w:jc w:val="left"/>
      </w:pPr>
      <w:r>
        <w:rPr/>
        <w:t>□ 适用 √ 不适用 公司报告期无股权激励计划、员工持股计划或其他员工激励措施及其实施情况。</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00"/>
        <w:gridCol w:w="677"/>
        <w:gridCol w:w="677"/>
        <w:gridCol w:w="706"/>
        <w:gridCol w:w="679"/>
        <w:gridCol w:w="674"/>
        <w:gridCol w:w="674"/>
        <w:gridCol w:w="673"/>
        <w:gridCol w:w="674"/>
        <w:gridCol w:w="674"/>
        <w:gridCol w:w="673"/>
        <w:gridCol w:w="674"/>
        <w:gridCol w:w="670"/>
        <w:gridCol w:w="642"/>
      </w:tblGrid>
      <w:tr>
        <w:trPr>
          <w:trHeight w:val="1338" w:hRule="exact"/>
        </w:trPr>
        <w:tc>
          <w:tcPr>
            <w:tcW w:w="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4" w:right="35"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6"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2" w:right="60"/>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1" w:right="61"/>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9" w:lineRule="auto" w:before="19"/>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1"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1" w:right="61"/>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1"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2" w:right="60"/>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9"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6" w:right="43"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57" w:hRule="exact"/>
        </w:trPr>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w:t>
            </w:r>
          </w:p>
        </w:tc>
        <w:tc>
          <w:tcPr>
            <w:tcW w:w="677" w:type="dxa"/>
            <w:tcBorders>
              <w:top w:val="single" w:sz="4" w:space="0" w:color="000000"/>
              <w:left w:val="single" w:sz="4" w:space="0" w:color="000000"/>
              <w:bottom w:val="nil" w:sz="6" w:space="0" w:color="auto"/>
              <w:right w:val="single" w:sz="4" w:space="0" w:color="000000"/>
            </w:tcBorders>
          </w:tcPr>
          <w:p>
            <w:pPr/>
          </w:p>
        </w:tc>
        <w:tc>
          <w:tcPr>
            <w:tcW w:w="677" w:type="dxa"/>
            <w:tcBorders>
              <w:top w:val="single" w:sz="4" w:space="0" w:color="000000"/>
              <w:left w:val="single" w:sz="4" w:space="0" w:color="000000"/>
              <w:bottom w:val="nil" w:sz="6" w:space="0" w:color="auto"/>
              <w:right w:val="single" w:sz="4" w:space="0" w:color="000000"/>
            </w:tcBorders>
          </w:tcPr>
          <w:p>
            <w:pPr/>
          </w:p>
        </w:tc>
        <w:tc>
          <w:tcPr>
            <w:tcW w:w="706" w:type="dxa"/>
            <w:tcBorders>
              <w:top w:val="single" w:sz="4" w:space="0" w:color="000000"/>
              <w:left w:val="single" w:sz="4" w:space="0" w:color="000000"/>
              <w:bottom w:val="nil" w:sz="6" w:space="0" w:color="auto"/>
              <w:right w:val="single" w:sz="4" w:space="0" w:color="000000"/>
            </w:tcBorders>
          </w:tcPr>
          <w:p>
            <w:pPr/>
          </w:p>
        </w:tc>
        <w:tc>
          <w:tcPr>
            <w:tcW w:w="679"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3"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3"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0" w:type="dxa"/>
            <w:tcBorders>
              <w:top w:val="single" w:sz="4" w:space="0" w:color="000000"/>
              <w:left w:val="single" w:sz="4" w:space="0" w:color="000000"/>
              <w:bottom w:val="nil" w:sz="6" w:space="0" w:color="auto"/>
              <w:right w:val="single" w:sz="4" w:space="0" w:color="000000"/>
            </w:tcBorders>
          </w:tcPr>
          <w:p>
            <w:pPr/>
          </w:p>
        </w:tc>
        <w:tc>
          <w:tcPr>
            <w:tcW w:w="6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《关于</w:t>
            </w:r>
          </w:p>
        </w:tc>
      </w:tr>
      <w:tr>
        <w:trPr>
          <w:trHeight w:val="936"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7"/>
              <w:jc w:val="both"/>
              <w:rPr>
                <w:rFonts w:ascii="宋体" w:hAnsi="宋体" w:cs="宋体" w:eastAsia="宋体" w:hint="default"/>
                <w:sz w:val="18"/>
                <w:szCs w:val="18"/>
              </w:rPr>
            </w:pPr>
            <w:r>
              <w:rPr>
                <w:rFonts w:ascii="宋体" w:hAnsi="宋体" w:cs="宋体" w:eastAsia="宋体" w:hint="default"/>
                <w:sz w:val="18"/>
                <w:szCs w:val="18"/>
              </w:rPr>
              <w:t>山纺织集 团进出口 贸易有限</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Times New Roman" w:hAnsi="Times New Roman" w:cs="Times New Roman" w:eastAsia="Times New Roman" w:hint="default"/>
                <w:sz w:val="18"/>
                <w:szCs w:val="18"/>
              </w:rPr>
            </w:pPr>
            <w:r>
              <w:rPr>
                <w:rFonts w:ascii="Times New Roman"/>
                <w:sz w:val="18"/>
              </w:rPr>
              <w:t>491.05</w:t>
            </w:r>
          </w:p>
        </w:tc>
        <w:tc>
          <w:tcPr>
            <w:tcW w:w="67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0"/>
              <w:jc w:val="right"/>
              <w:rPr>
                <w:rFonts w:ascii="Times New Roman" w:hAnsi="Times New Roman" w:cs="Times New Roman" w:eastAsia="Times New Roman" w:hint="default"/>
                <w:sz w:val="18"/>
                <w:szCs w:val="18"/>
              </w:rPr>
            </w:pPr>
            <w:r>
              <w:rPr>
                <w:rFonts w:ascii="Times New Roman"/>
                <w:sz w:val="18"/>
              </w:rPr>
              <w:t>0.10%</w:t>
            </w: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3" w:right="0"/>
              <w:jc w:val="left"/>
              <w:rPr>
                <w:rFonts w:ascii="Times New Roman" w:hAnsi="Times New Roman" w:cs="Times New Roman" w:eastAsia="Times New Roman" w:hint="default"/>
                <w:sz w:val="18"/>
                <w:szCs w:val="18"/>
              </w:rPr>
            </w:pPr>
            <w:r>
              <w:rPr>
                <w:rFonts w:ascii="Times New Roman"/>
                <w:sz w:val="18"/>
              </w:rPr>
              <w:t>491.05</w:t>
            </w:r>
          </w:p>
        </w:tc>
        <w:tc>
          <w:tcPr>
            <w:tcW w:w="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3" w:right="66"/>
              <w:jc w:val="left"/>
              <w:rPr>
                <w:rFonts w:ascii="宋体" w:hAnsi="宋体" w:cs="宋体" w:eastAsia="宋体" w:hint="default"/>
                <w:sz w:val="18"/>
                <w:szCs w:val="18"/>
              </w:rPr>
            </w:pPr>
            <w:r>
              <w:rPr>
                <w:rFonts w:ascii="宋体" w:hAnsi="宋体" w:cs="宋体" w:eastAsia="宋体" w:hint="default"/>
                <w:sz w:val="18"/>
                <w:szCs w:val="18"/>
              </w:rPr>
              <w:t>度日常 关联交</w:t>
            </w:r>
          </w:p>
        </w:tc>
      </w:tr>
      <w:tr>
        <w:trPr>
          <w:trHeight w:val="357" w:hRule="exact"/>
        </w:trPr>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677" w:type="dxa"/>
            <w:tcBorders>
              <w:top w:val="nil" w:sz="6" w:space="0" w:color="auto"/>
              <w:left w:val="single" w:sz="4" w:space="0" w:color="000000"/>
              <w:bottom w:val="single" w:sz="4" w:space="0" w:color="000000"/>
              <w:right w:val="single" w:sz="4" w:space="0" w:color="000000"/>
            </w:tcBorders>
          </w:tcPr>
          <w:p>
            <w:pPr/>
          </w:p>
        </w:tc>
        <w:tc>
          <w:tcPr>
            <w:tcW w:w="677" w:type="dxa"/>
            <w:tcBorders>
              <w:top w:val="nil" w:sz="6" w:space="0" w:color="auto"/>
              <w:left w:val="single" w:sz="4" w:space="0" w:color="000000"/>
              <w:bottom w:val="single" w:sz="4" w:space="0" w:color="000000"/>
              <w:right w:val="single" w:sz="4" w:space="0" w:color="000000"/>
            </w:tcBorders>
          </w:tcPr>
          <w:p>
            <w:pPr/>
          </w:p>
        </w:tc>
        <w:tc>
          <w:tcPr>
            <w:tcW w:w="706" w:type="dxa"/>
            <w:tcBorders>
              <w:top w:val="nil" w:sz="6" w:space="0" w:color="auto"/>
              <w:left w:val="single" w:sz="4" w:space="0" w:color="000000"/>
              <w:bottom w:val="single" w:sz="4" w:space="0" w:color="000000"/>
              <w:right w:val="single" w:sz="4" w:space="0" w:color="000000"/>
            </w:tcBorders>
          </w:tcPr>
          <w:p>
            <w:pPr/>
          </w:p>
        </w:tc>
        <w:tc>
          <w:tcPr>
            <w:tcW w:w="679"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0" w:type="dxa"/>
            <w:tcBorders>
              <w:top w:val="nil" w:sz="6" w:space="0" w:color="auto"/>
              <w:left w:val="single" w:sz="4" w:space="0" w:color="000000"/>
              <w:bottom w:val="single" w:sz="4" w:space="0" w:color="000000"/>
              <w:right w:val="single" w:sz="4" w:space="0" w:color="000000"/>
            </w:tcBorders>
          </w:tcPr>
          <w:p>
            <w:pPr/>
          </w:p>
        </w:tc>
        <w:tc>
          <w:tcPr>
            <w:tcW w:w="64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易预计</w:t>
            </w:r>
          </w:p>
        </w:tc>
      </w:tr>
      <w:tr>
        <w:trPr>
          <w:trHeight w:val="1239" w:hRule="exact"/>
        </w:trPr>
        <w:tc>
          <w:tcPr>
            <w:tcW w:w="800" w:type="dxa"/>
            <w:tcBorders>
              <w:top w:val="single" w:sz="4" w:space="0" w:color="000000"/>
              <w:left w:val="single" w:sz="4" w:space="0" w:color="000000"/>
              <w:bottom w:val="nil" w:sz="6" w:space="0" w:color="auto"/>
              <w:right w:val="single" w:sz="4" w:space="0" w:color="000000"/>
            </w:tcBorders>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石家庄常 山纺织集 团供销公 司</w:t>
            </w:r>
          </w:p>
        </w:tc>
        <w:tc>
          <w:tcPr>
            <w:tcW w:w="67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2"/>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0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11,297.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43</w:t>
            </w:r>
          </w:p>
        </w:tc>
        <w:tc>
          <w:tcPr>
            <w:tcW w:w="673"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2.39%</w:t>
            </w: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11,297.</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43</w:t>
            </w:r>
          </w:p>
        </w:tc>
        <w:tc>
          <w:tcPr>
            <w:tcW w:w="6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nil" w:sz="6" w:space="0" w:color="auto"/>
              <w:left w:val="single" w:sz="4" w:space="0" w:color="000000"/>
              <w:bottom w:val="nil" w:sz="6" w:space="0" w:color="auto"/>
              <w:right w:val="single" w:sz="4" w:space="0" w:color="000000"/>
            </w:tcBorders>
          </w:tcPr>
          <w:p>
            <w:pPr>
              <w:pStyle w:val="TableParagraph"/>
              <w:spacing w:line="201" w:lineRule="exact"/>
              <w:ind w:left="23" w:right="0"/>
              <w:jc w:val="left"/>
              <w:rPr>
                <w:rFonts w:ascii="宋体" w:hAnsi="宋体" w:cs="宋体" w:eastAsia="宋体" w:hint="default"/>
                <w:sz w:val="18"/>
                <w:szCs w:val="18"/>
              </w:rPr>
            </w:pPr>
            <w:r>
              <w:rPr>
                <w:rFonts w:ascii="宋体" w:hAnsi="宋体" w:cs="宋体" w:eastAsia="宋体" w:hint="default"/>
                <w:sz w:val="18"/>
                <w:szCs w:val="18"/>
              </w:rPr>
              <w:t>的公</w:t>
            </w:r>
          </w:p>
          <w:p>
            <w:pPr>
              <w:pStyle w:val="TableParagraph"/>
              <w:spacing w:line="338" w:lineRule="auto" w:before="76"/>
              <w:ind w:left="23" w:right="20"/>
              <w:jc w:val="left"/>
              <w:rPr>
                <w:rFonts w:ascii="Times New Roman" w:hAnsi="Times New Roman" w:cs="Times New Roman" w:eastAsia="Times New Roman" w:hint="default"/>
                <w:sz w:val="18"/>
                <w:szCs w:val="18"/>
              </w:rPr>
            </w:pPr>
            <w:r>
              <w:rPr>
                <w:rFonts w:ascii="宋体" w:hAnsi="宋体" w:cs="宋体" w:eastAsia="宋体" w:hint="default"/>
                <w:spacing w:val="-34"/>
                <w:sz w:val="18"/>
                <w:szCs w:val="18"/>
              </w:rPr>
              <w:t>告》（编</w:t>
            </w:r>
            <w:r>
              <w:rPr>
                <w:rFonts w:ascii="宋体" w:hAnsi="宋体" w:cs="宋体" w:eastAsia="宋体" w:hint="default"/>
                <w:sz w:val="18"/>
                <w:szCs w:val="18"/>
              </w:rPr>
              <w:t> 号： </w:t>
            </w:r>
            <w:r>
              <w:rPr>
                <w:rFonts w:ascii="Times New Roman" w:hAnsi="Times New Roman" w:cs="Times New Roman" w:eastAsia="Times New Roman" w:hint="default"/>
                <w:sz w:val="18"/>
                <w:szCs w:val="18"/>
              </w:rPr>
              <w:t>2019-0</w:t>
            </w:r>
          </w:p>
        </w:tc>
      </w:tr>
      <w:tr>
        <w:trPr>
          <w:trHeight w:val="99" w:hRule="exact"/>
        </w:trPr>
        <w:tc>
          <w:tcPr>
            <w:tcW w:w="800" w:type="dxa"/>
            <w:tcBorders>
              <w:top w:val="nil" w:sz="6" w:space="0" w:color="auto"/>
              <w:left w:val="single" w:sz="4" w:space="0" w:color="000000"/>
              <w:bottom w:val="single" w:sz="4" w:space="0" w:color="000000"/>
              <w:right w:val="single" w:sz="4" w:space="0" w:color="000000"/>
            </w:tcBorders>
          </w:tcPr>
          <w:p>
            <w:pPr/>
          </w:p>
        </w:tc>
        <w:tc>
          <w:tcPr>
            <w:tcW w:w="677" w:type="dxa"/>
            <w:tcBorders>
              <w:top w:val="nil" w:sz="6" w:space="0" w:color="auto"/>
              <w:left w:val="single" w:sz="4" w:space="0" w:color="000000"/>
              <w:bottom w:val="single" w:sz="4" w:space="0" w:color="000000"/>
              <w:right w:val="single" w:sz="4" w:space="0" w:color="000000"/>
            </w:tcBorders>
          </w:tcPr>
          <w:p>
            <w:pPr/>
          </w:p>
        </w:tc>
        <w:tc>
          <w:tcPr>
            <w:tcW w:w="677" w:type="dxa"/>
            <w:tcBorders>
              <w:top w:val="nil" w:sz="6" w:space="0" w:color="auto"/>
              <w:left w:val="single" w:sz="4" w:space="0" w:color="000000"/>
              <w:bottom w:val="single" w:sz="4" w:space="0" w:color="000000"/>
              <w:right w:val="single" w:sz="4" w:space="0" w:color="000000"/>
            </w:tcBorders>
          </w:tcPr>
          <w:p>
            <w:pPr/>
          </w:p>
        </w:tc>
        <w:tc>
          <w:tcPr>
            <w:tcW w:w="706" w:type="dxa"/>
            <w:tcBorders>
              <w:top w:val="nil" w:sz="6" w:space="0" w:color="auto"/>
              <w:left w:val="single" w:sz="4" w:space="0" w:color="000000"/>
              <w:bottom w:val="single" w:sz="4" w:space="0" w:color="000000"/>
              <w:right w:val="single" w:sz="4" w:space="0" w:color="000000"/>
            </w:tcBorders>
          </w:tcPr>
          <w:p>
            <w:pPr/>
          </w:p>
        </w:tc>
        <w:tc>
          <w:tcPr>
            <w:tcW w:w="679"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tcPr>
          <w:p>
            <w:pPr/>
          </w:p>
        </w:tc>
        <w:tc>
          <w:tcPr>
            <w:tcW w:w="674" w:type="dxa"/>
            <w:vMerge w:val="restart"/>
            <w:tcBorders>
              <w:top w:val="nil" w:sz="6" w:space="0" w:color="auto"/>
              <w:left w:val="single" w:sz="4" w:space="0" w:color="000000"/>
              <w:right w:val="single" w:sz="4" w:space="0" w:color="000000"/>
            </w:tcBorders>
          </w:tcPr>
          <w:p>
            <w:pPr>
              <w:pStyle w:val="TableParagraph"/>
              <w:spacing w:line="195" w:lineRule="exact"/>
              <w:ind w:left="85" w:right="0"/>
              <w:jc w:val="left"/>
              <w:rPr>
                <w:rFonts w:ascii="Times New Roman" w:hAnsi="Times New Roman" w:cs="Times New Roman" w:eastAsia="Times New Roman" w:hint="default"/>
                <w:sz w:val="18"/>
                <w:szCs w:val="18"/>
              </w:rPr>
            </w:pPr>
            <w:r>
              <w:rPr>
                <w:rFonts w:ascii="Times New Roman"/>
                <w:sz w:val="18"/>
              </w:rPr>
              <w:t>13,000</w:t>
            </w: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0" w:type="dxa"/>
            <w:tcBorders>
              <w:top w:val="nil" w:sz="6" w:space="0" w:color="auto"/>
              <w:left w:val="single" w:sz="4" w:space="0" w:color="000000"/>
              <w:bottom w:val="single" w:sz="4" w:space="0" w:color="000000"/>
              <w:right w:val="single" w:sz="4" w:space="0" w:color="000000"/>
            </w:tcBorders>
          </w:tcPr>
          <w:p>
            <w:pPr/>
          </w:p>
        </w:tc>
        <w:tc>
          <w:tcPr>
            <w:tcW w:w="642" w:type="dxa"/>
            <w:vMerge w:val="restart"/>
            <w:tcBorders>
              <w:top w:val="nil" w:sz="6" w:space="0" w:color="auto"/>
              <w:left w:val="single" w:sz="4" w:space="0" w:color="000000"/>
              <w:right w:val="single" w:sz="4" w:space="0" w:color="000000"/>
            </w:tcBorders>
          </w:tcPr>
          <w:p>
            <w:pPr>
              <w:pStyle w:val="TableParagraph"/>
              <w:spacing w:line="223"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pacing w:val="-135"/>
                <w:sz w:val="18"/>
                <w:szCs w:val="18"/>
              </w:rPr>
              <w:t>）</w:t>
            </w:r>
            <w:r>
              <w:rPr>
                <w:rFonts w:ascii="宋体" w:hAnsi="宋体" w:cs="宋体" w:eastAsia="宋体" w:hint="default"/>
                <w:sz w:val="18"/>
                <w:szCs w:val="18"/>
              </w:rPr>
              <w:t>《中</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国证券</w:t>
            </w:r>
          </w:p>
        </w:tc>
      </w:tr>
      <w:tr>
        <w:trPr>
          <w:trHeight w:val="423" w:hRule="exact"/>
        </w:trPr>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w:t>
            </w:r>
          </w:p>
        </w:tc>
        <w:tc>
          <w:tcPr>
            <w:tcW w:w="677" w:type="dxa"/>
            <w:tcBorders>
              <w:top w:val="single" w:sz="4" w:space="0" w:color="000000"/>
              <w:left w:val="single" w:sz="4" w:space="0" w:color="000000"/>
              <w:bottom w:val="nil" w:sz="6" w:space="0" w:color="auto"/>
              <w:right w:val="single" w:sz="4" w:space="0" w:color="000000"/>
            </w:tcBorders>
          </w:tcPr>
          <w:p>
            <w:pPr/>
          </w:p>
        </w:tc>
        <w:tc>
          <w:tcPr>
            <w:tcW w:w="677" w:type="dxa"/>
            <w:tcBorders>
              <w:top w:val="single" w:sz="4" w:space="0" w:color="000000"/>
              <w:left w:val="single" w:sz="4" w:space="0" w:color="000000"/>
              <w:bottom w:val="nil" w:sz="6" w:space="0" w:color="auto"/>
              <w:right w:val="single" w:sz="4" w:space="0" w:color="000000"/>
            </w:tcBorders>
          </w:tcPr>
          <w:p>
            <w:pPr/>
          </w:p>
        </w:tc>
        <w:tc>
          <w:tcPr>
            <w:tcW w:w="706" w:type="dxa"/>
            <w:tcBorders>
              <w:top w:val="single" w:sz="4" w:space="0" w:color="000000"/>
              <w:left w:val="single" w:sz="4" w:space="0" w:color="000000"/>
              <w:bottom w:val="nil" w:sz="6" w:space="0" w:color="auto"/>
              <w:right w:val="single" w:sz="4" w:space="0" w:color="000000"/>
            </w:tcBorders>
          </w:tcPr>
          <w:p>
            <w:pPr/>
          </w:p>
        </w:tc>
        <w:tc>
          <w:tcPr>
            <w:tcW w:w="679"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3" w:type="dxa"/>
            <w:tcBorders>
              <w:top w:val="single" w:sz="4" w:space="0" w:color="000000"/>
              <w:left w:val="single" w:sz="4" w:space="0" w:color="000000"/>
              <w:bottom w:val="nil" w:sz="6" w:space="0" w:color="auto"/>
              <w:right w:val="single" w:sz="4" w:space="0" w:color="000000"/>
            </w:tcBorders>
          </w:tcPr>
          <w:p>
            <w:pPr/>
          </w:p>
        </w:tc>
        <w:tc>
          <w:tcPr>
            <w:tcW w:w="674" w:type="dxa"/>
            <w:vMerge/>
            <w:tcBorders>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3"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0" w:type="dxa"/>
            <w:tcBorders>
              <w:top w:val="single" w:sz="4" w:space="0" w:color="000000"/>
              <w:left w:val="single" w:sz="4" w:space="0" w:color="000000"/>
              <w:bottom w:val="nil" w:sz="6" w:space="0" w:color="auto"/>
              <w:right w:val="single" w:sz="4" w:space="0" w:color="000000"/>
            </w:tcBorders>
          </w:tcPr>
          <w:p>
            <w:pPr/>
          </w:p>
        </w:tc>
        <w:tc>
          <w:tcPr>
            <w:tcW w:w="642" w:type="dxa"/>
            <w:vMerge/>
            <w:tcBorders>
              <w:left w:val="single" w:sz="4" w:space="0" w:color="000000"/>
              <w:bottom w:val="nil" w:sz="6" w:space="0" w:color="auto"/>
              <w:right w:val="single" w:sz="4" w:space="0" w:color="000000"/>
            </w:tcBorders>
          </w:tcPr>
          <w:p>
            <w:pPr/>
          </w:p>
        </w:tc>
      </w:tr>
      <w:tr>
        <w:trPr>
          <w:trHeight w:val="937"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22" w:right="0"/>
              <w:jc w:val="left"/>
              <w:rPr>
                <w:rFonts w:ascii="宋体" w:hAnsi="宋体" w:cs="宋体" w:eastAsia="宋体" w:hint="default"/>
                <w:sz w:val="18"/>
                <w:szCs w:val="18"/>
              </w:rPr>
            </w:pPr>
            <w:r>
              <w:rPr>
                <w:rFonts w:ascii="宋体" w:hAnsi="宋体" w:cs="宋体" w:eastAsia="宋体" w:hint="default"/>
                <w:sz w:val="18"/>
                <w:szCs w:val="18"/>
              </w:rPr>
              <w:t>山纺织集</w:t>
            </w:r>
          </w:p>
          <w:p>
            <w:pPr>
              <w:pStyle w:val="TableParagraph"/>
              <w:spacing w:line="316" w:lineRule="auto" w:before="76"/>
              <w:ind w:left="22" w:right="47"/>
              <w:jc w:val="left"/>
              <w:rPr>
                <w:rFonts w:ascii="宋体" w:hAnsi="宋体" w:cs="宋体" w:eastAsia="宋体" w:hint="default"/>
                <w:sz w:val="18"/>
                <w:szCs w:val="18"/>
              </w:rPr>
            </w:pPr>
            <w:r>
              <w:rPr>
                <w:rFonts w:ascii="宋体" w:hAnsi="宋体" w:cs="宋体" w:eastAsia="宋体" w:hint="default"/>
                <w:sz w:val="18"/>
                <w:szCs w:val="18"/>
              </w:rPr>
              <w:t>团经编实 业有限公</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316" w:lineRule="auto" w:before="101"/>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316" w:lineRule="auto" w:before="101"/>
              <w:ind w:left="22" w:right="102"/>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06" w:type="dxa"/>
            <w:tcBorders>
              <w:top w:val="nil" w:sz="6" w:space="0" w:color="auto"/>
              <w:left w:val="single" w:sz="4" w:space="0" w:color="000000"/>
              <w:bottom w:val="nil" w:sz="6" w:space="0" w:color="auto"/>
              <w:right w:val="single" w:sz="4" w:space="0" w:color="000000"/>
            </w:tcBorders>
          </w:tcPr>
          <w:p>
            <w:pPr>
              <w:pStyle w:val="TableParagraph"/>
              <w:spacing w:line="316" w:lineRule="auto" w:before="101"/>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nil" w:sz="6" w:space="0" w:color="auto"/>
              <w:left w:val="single" w:sz="4" w:space="0" w:color="000000"/>
              <w:bottom w:val="nil" w:sz="6" w:space="0" w:color="auto"/>
              <w:right w:val="single" w:sz="4" w:space="0" w:color="000000"/>
            </w:tcBorders>
          </w:tcPr>
          <w:p>
            <w:pPr>
              <w:pStyle w:val="TableParagraph"/>
              <w:spacing w:line="316" w:lineRule="auto" w:before="101"/>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316" w:lineRule="auto" w:before="101"/>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8.22</w:t>
            </w:r>
          </w:p>
        </w:tc>
        <w:tc>
          <w:tcPr>
            <w:tcW w:w="67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nil" w:sz="6" w:space="0" w:color="auto"/>
              <w:left w:val="single" w:sz="4" w:space="0" w:color="000000"/>
              <w:bottom w:val="nil" w:sz="6" w:space="0" w:color="auto"/>
              <w:right w:val="single" w:sz="4" w:space="0" w:color="000000"/>
            </w:tcBorders>
          </w:tcPr>
          <w:p>
            <w:pPr>
              <w:pStyle w:val="TableParagraph"/>
              <w:spacing w:line="316" w:lineRule="auto" w:before="101"/>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8.22</w:t>
            </w:r>
          </w:p>
        </w:tc>
        <w:tc>
          <w:tcPr>
            <w:tcW w:w="670" w:type="dxa"/>
            <w:tcBorders>
              <w:top w:val="nil" w:sz="6" w:space="0" w:color="auto"/>
              <w:left w:val="single" w:sz="4" w:space="0" w:color="000000"/>
              <w:bottom w:val="nil" w:sz="6" w:space="0" w:color="auto"/>
              <w:right w:val="single" w:sz="4" w:space="0" w:color="000000"/>
            </w:tcBorders>
          </w:tcPr>
          <w:p>
            <w:pPr>
              <w:pStyle w:val="TableParagraph"/>
              <w:spacing w:line="19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nil" w:sz="6" w:space="0" w:color="auto"/>
              <w:left w:val="single" w:sz="4" w:space="0" w:color="000000"/>
              <w:bottom w:val="nil" w:sz="6" w:space="0" w:color="auto"/>
              <w:right w:val="single" w:sz="4" w:space="0" w:color="000000"/>
            </w:tcBorders>
          </w:tcPr>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报</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10" w:lineRule="atLeast" w:before="2"/>
              <w:ind w:left="23" w:right="66"/>
              <w:jc w:val="left"/>
              <w:rPr>
                <w:rFonts w:ascii="宋体" w:hAnsi="宋体" w:cs="宋体" w:eastAsia="宋体" w:hint="default"/>
                <w:sz w:val="18"/>
                <w:szCs w:val="18"/>
              </w:rPr>
            </w:pPr>
            <w:r>
              <w:rPr>
                <w:rFonts w:ascii="宋体" w:hAnsi="宋体" w:cs="宋体" w:eastAsia="宋体" w:hint="default"/>
                <w:sz w:val="18"/>
                <w:szCs w:val="18"/>
              </w:rPr>
              <w:t>《证券 时报》</w:t>
            </w:r>
          </w:p>
        </w:tc>
      </w:tr>
      <w:tr>
        <w:trPr>
          <w:trHeight w:val="291" w:hRule="exact"/>
        </w:trPr>
        <w:tc>
          <w:tcPr>
            <w:tcW w:w="800" w:type="dxa"/>
            <w:tcBorders>
              <w:top w:val="nil" w:sz="6" w:space="0" w:color="auto"/>
              <w:left w:val="single" w:sz="4" w:space="0" w:color="000000"/>
              <w:bottom w:val="single" w:sz="4" w:space="0" w:color="000000"/>
              <w:right w:val="single" w:sz="4" w:space="0" w:color="000000"/>
            </w:tcBorders>
          </w:tcPr>
          <w:p>
            <w:pPr>
              <w:pStyle w:val="TableParagraph"/>
              <w:spacing w:line="181" w:lineRule="exact"/>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77" w:type="dxa"/>
            <w:tcBorders>
              <w:top w:val="nil" w:sz="6" w:space="0" w:color="auto"/>
              <w:left w:val="single" w:sz="4" w:space="0" w:color="000000"/>
              <w:bottom w:val="single" w:sz="4" w:space="0" w:color="000000"/>
              <w:right w:val="single" w:sz="4" w:space="0" w:color="000000"/>
            </w:tcBorders>
          </w:tcPr>
          <w:p>
            <w:pPr/>
          </w:p>
        </w:tc>
        <w:tc>
          <w:tcPr>
            <w:tcW w:w="677" w:type="dxa"/>
            <w:tcBorders>
              <w:top w:val="nil" w:sz="6" w:space="0" w:color="auto"/>
              <w:left w:val="single" w:sz="4" w:space="0" w:color="000000"/>
              <w:bottom w:val="single" w:sz="4" w:space="0" w:color="000000"/>
              <w:right w:val="single" w:sz="4" w:space="0" w:color="000000"/>
            </w:tcBorders>
          </w:tcPr>
          <w:p>
            <w:pPr/>
          </w:p>
        </w:tc>
        <w:tc>
          <w:tcPr>
            <w:tcW w:w="706" w:type="dxa"/>
            <w:tcBorders>
              <w:top w:val="nil" w:sz="6" w:space="0" w:color="auto"/>
              <w:left w:val="single" w:sz="4" w:space="0" w:color="000000"/>
              <w:bottom w:val="single" w:sz="4" w:space="0" w:color="000000"/>
              <w:right w:val="single" w:sz="4" w:space="0" w:color="000000"/>
            </w:tcBorders>
          </w:tcPr>
          <w:p>
            <w:pPr/>
          </w:p>
        </w:tc>
        <w:tc>
          <w:tcPr>
            <w:tcW w:w="679"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tcPr>
          <w:p>
            <w:pPr/>
          </w:p>
        </w:tc>
        <w:tc>
          <w:tcPr>
            <w:tcW w:w="674" w:type="dxa"/>
            <w:vMerge w:val="restart"/>
            <w:tcBorders>
              <w:top w:val="nil" w:sz="6" w:space="0" w:color="auto"/>
              <w:left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0" w:type="dxa"/>
            <w:tcBorders>
              <w:top w:val="nil" w:sz="6" w:space="0" w:color="auto"/>
              <w:left w:val="single" w:sz="4" w:space="0" w:color="000000"/>
              <w:bottom w:val="single" w:sz="4" w:space="0" w:color="000000"/>
              <w:right w:val="single" w:sz="4" w:space="0" w:color="000000"/>
            </w:tcBorders>
          </w:tcPr>
          <w:p>
            <w:pPr/>
          </w:p>
        </w:tc>
        <w:tc>
          <w:tcPr>
            <w:tcW w:w="642" w:type="dxa"/>
            <w:vMerge w:val="restart"/>
            <w:tcBorders>
              <w:top w:val="nil" w:sz="6" w:space="0" w:color="auto"/>
              <w:left w:val="single" w:sz="4" w:space="0" w:color="000000"/>
              <w:right w:val="single" w:sz="4" w:space="0" w:color="000000"/>
            </w:tcBorders>
          </w:tcPr>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和巨潮</w:t>
            </w:r>
          </w:p>
        </w:tc>
      </w:tr>
      <w:tr>
        <w:trPr>
          <w:trHeight w:val="66" w:hRule="exact"/>
        </w:trPr>
        <w:tc>
          <w:tcPr>
            <w:tcW w:w="800" w:type="dxa"/>
            <w:tcBorders>
              <w:top w:val="single" w:sz="4" w:space="0" w:color="000000"/>
              <w:left w:val="single" w:sz="4" w:space="0" w:color="000000"/>
              <w:bottom w:val="nil" w:sz="6" w:space="0" w:color="auto"/>
              <w:right w:val="single" w:sz="4" w:space="0" w:color="000000"/>
            </w:tcBorders>
          </w:tcPr>
          <w:p>
            <w:pPr/>
          </w:p>
        </w:tc>
        <w:tc>
          <w:tcPr>
            <w:tcW w:w="677" w:type="dxa"/>
            <w:tcBorders>
              <w:top w:val="single" w:sz="4" w:space="0" w:color="000000"/>
              <w:left w:val="single" w:sz="4" w:space="0" w:color="000000"/>
              <w:bottom w:val="nil" w:sz="6" w:space="0" w:color="auto"/>
              <w:right w:val="single" w:sz="4" w:space="0" w:color="000000"/>
            </w:tcBorders>
          </w:tcPr>
          <w:p>
            <w:pPr/>
          </w:p>
        </w:tc>
        <w:tc>
          <w:tcPr>
            <w:tcW w:w="677" w:type="dxa"/>
            <w:tcBorders>
              <w:top w:val="single" w:sz="4" w:space="0" w:color="000000"/>
              <w:left w:val="single" w:sz="4" w:space="0" w:color="000000"/>
              <w:bottom w:val="nil" w:sz="6" w:space="0" w:color="auto"/>
              <w:right w:val="single" w:sz="4" w:space="0" w:color="000000"/>
            </w:tcBorders>
          </w:tcPr>
          <w:p>
            <w:pPr/>
          </w:p>
        </w:tc>
        <w:tc>
          <w:tcPr>
            <w:tcW w:w="706" w:type="dxa"/>
            <w:tcBorders>
              <w:top w:val="single" w:sz="4" w:space="0" w:color="000000"/>
              <w:left w:val="single" w:sz="4" w:space="0" w:color="000000"/>
              <w:bottom w:val="nil" w:sz="6" w:space="0" w:color="auto"/>
              <w:right w:val="single" w:sz="4" w:space="0" w:color="000000"/>
            </w:tcBorders>
          </w:tcPr>
          <w:p>
            <w:pPr/>
          </w:p>
        </w:tc>
        <w:tc>
          <w:tcPr>
            <w:tcW w:w="679"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3" w:type="dxa"/>
            <w:tcBorders>
              <w:top w:val="single" w:sz="4" w:space="0" w:color="000000"/>
              <w:left w:val="single" w:sz="4" w:space="0" w:color="000000"/>
              <w:bottom w:val="nil" w:sz="6" w:space="0" w:color="auto"/>
              <w:right w:val="single" w:sz="4" w:space="0" w:color="000000"/>
            </w:tcBorders>
          </w:tcPr>
          <w:p>
            <w:pPr/>
          </w:p>
        </w:tc>
        <w:tc>
          <w:tcPr>
            <w:tcW w:w="674" w:type="dxa"/>
            <w:vMerge/>
            <w:tcBorders>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3"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0" w:type="dxa"/>
            <w:tcBorders>
              <w:top w:val="single" w:sz="4" w:space="0" w:color="000000"/>
              <w:left w:val="single" w:sz="4" w:space="0" w:color="000000"/>
              <w:bottom w:val="nil" w:sz="6" w:space="0" w:color="auto"/>
              <w:right w:val="single" w:sz="4" w:space="0" w:color="000000"/>
            </w:tcBorders>
          </w:tcPr>
          <w:p>
            <w:pPr/>
          </w:p>
        </w:tc>
        <w:tc>
          <w:tcPr>
            <w:tcW w:w="642" w:type="dxa"/>
            <w:vMerge/>
            <w:tcBorders>
              <w:left w:val="single" w:sz="4" w:space="0" w:color="000000"/>
              <w:bottom w:val="nil" w:sz="6" w:space="0" w:color="auto"/>
              <w:right w:val="single" w:sz="4" w:space="0" w:color="000000"/>
            </w:tcBorders>
          </w:tcPr>
          <w:p>
            <w:pPr/>
          </w:p>
        </w:tc>
      </w:tr>
      <w:tr>
        <w:trPr>
          <w:trHeight w:val="1272" w:hRule="exact"/>
        </w:trPr>
        <w:tc>
          <w:tcPr>
            <w:tcW w:w="800" w:type="dxa"/>
            <w:tcBorders>
              <w:top w:val="nil" w:sz="6" w:space="0" w:color="auto"/>
              <w:left w:val="single" w:sz="4" w:space="0" w:color="000000"/>
              <w:bottom w:val="single" w:sz="4" w:space="0" w:color="000000"/>
              <w:right w:val="single" w:sz="4" w:space="0" w:color="000000"/>
            </w:tcBorders>
          </w:tcPr>
          <w:p>
            <w:pPr>
              <w:pStyle w:val="TableParagraph"/>
              <w:spacing w:line="316" w:lineRule="auto"/>
              <w:ind w:left="22" w:right="47"/>
              <w:jc w:val="both"/>
              <w:rPr>
                <w:rFonts w:ascii="宋体" w:hAnsi="宋体" w:cs="宋体" w:eastAsia="宋体" w:hint="default"/>
                <w:sz w:val="18"/>
                <w:szCs w:val="18"/>
              </w:rPr>
            </w:pPr>
            <w:r>
              <w:rPr>
                <w:rFonts w:ascii="宋体" w:hAnsi="宋体" w:cs="宋体" w:eastAsia="宋体" w:hint="default"/>
                <w:sz w:val="18"/>
                <w:szCs w:val="18"/>
              </w:rPr>
              <w:t>石家庄常 山纺织集 团有限责 任公司</w:t>
            </w:r>
          </w:p>
        </w:tc>
        <w:tc>
          <w:tcPr>
            <w:tcW w:w="6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2.63</w:t>
            </w:r>
          </w:p>
        </w:tc>
        <w:tc>
          <w:tcPr>
            <w:tcW w:w="673"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316" w:lineRule="auto"/>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2.63</w:t>
            </w:r>
          </w:p>
        </w:tc>
        <w:tc>
          <w:tcPr>
            <w:tcW w:w="6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资讯网</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t>
            </w:r>
          </w:p>
          <w:p>
            <w:pPr>
              <w:pStyle w:val="TableParagraph"/>
              <w:spacing w:line="362" w:lineRule="auto" w:before="102"/>
              <w:ind w:left="23" w:right="53"/>
              <w:jc w:val="left"/>
              <w:rPr>
                <w:rFonts w:ascii="Times New Roman" w:hAnsi="Times New Roman" w:cs="Times New Roman" w:eastAsia="Times New Roman" w:hint="default"/>
                <w:sz w:val="18"/>
                <w:szCs w:val="18"/>
              </w:rPr>
            </w:pPr>
            <w:r>
              <w:rPr>
                <w:rFonts w:ascii="Times New Roman"/>
                <w:spacing w:val="-3"/>
                <w:sz w:val="18"/>
              </w:rPr>
              <w:t>/www.c</w:t>
            </w:r>
            <w:r>
              <w:rPr>
                <w:rFonts w:ascii="Times New Roman"/>
                <w:spacing w:val="-43"/>
                <w:sz w:val="18"/>
              </w:rPr>
              <w:t> </w:t>
            </w:r>
            <w:r>
              <w:rPr>
                <w:rFonts w:ascii="Times New Roman"/>
                <w:spacing w:val="-43"/>
                <w:sz w:val="18"/>
              </w:rPr>
            </w:r>
            <w:r>
              <w:rPr>
                <w:rFonts w:ascii="Times New Roman"/>
                <w:sz w:val="18"/>
              </w:rPr>
              <w:t>ninfo.c</w:t>
            </w:r>
          </w:p>
        </w:tc>
      </w:tr>
      <w:tr>
        <w:trPr>
          <w:trHeight w:val="133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石家庄常 山纺织集 团供销公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2"/>
              <w:jc w:val="left"/>
              <w:rPr>
                <w:rFonts w:ascii="宋体" w:hAnsi="宋体" w:cs="宋体" w:eastAsia="宋体" w:hint="default"/>
                <w:sz w:val="18"/>
                <w:szCs w:val="18"/>
              </w:rPr>
            </w:pPr>
            <w:r>
              <w:rPr>
                <w:rFonts w:ascii="宋体" w:hAnsi="宋体" w:cs="宋体" w:eastAsia="宋体" w:hint="default"/>
                <w:sz w:val="18"/>
                <w:szCs w:val="18"/>
              </w:rPr>
              <w:t>采购产 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31"/>
              <w:jc w:val="left"/>
              <w:rPr>
                <w:rFonts w:ascii="宋体" w:hAnsi="宋体" w:cs="宋体" w:eastAsia="宋体" w:hint="default"/>
                <w:sz w:val="18"/>
                <w:szCs w:val="18"/>
              </w:rPr>
            </w:pPr>
            <w:r>
              <w:rPr>
                <w:rFonts w:ascii="宋体" w:hAnsi="宋体" w:cs="宋体" w:eastAsia="宋体" w:hint="default"/>
                <w:sz w:val="18"/>
                <w:szCs w:val="18"/>
              </w:rPr>
              <w:t>采购产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4,029.6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0.88%</w:t>
            </w:r>
          </w:p>
        </w:tc>
        <w:tc>
          <w:tcPr>
            <w:tcW w:w="674"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236" w:right="0"/>
              <w:jc w:val="left"/>
              <w:rPr>
                <w:rFonts w:ascii="Times New Roman" w:hAnsi="Times New Roman" w:cs="Times New Roman" w:eastAsia="Times New Roman" w:hint="default"/>
                <w:sz w:val="18"/>
                <w:szCs w:val="18"/>
              </w:rPr>
            </w:pPr>
            <w:r>
              <w:rPr>
                <w:rFonts w:ascii="Times New Roman"/>
                <w:sz w:val="18"/>
              </w:rPr>
              <w:t>5,000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4,029.6</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6</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2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om.cn</w:t>
            </w:r>
            <w:r>
              <w:rPr>
                <w:rFonts w:ascii="宋体" w:hAnsi="宋体" w:cs="宋体" w:eastAsia="宋体" w:hint="default"/>
                <w:sz w:val="18"/>
                <w:szCs w:val="18"/>
              </w:rPr>
              <w:t>）</w:t>
            </w:r>
          </w:p>
        </w:tc>
      </w:tr>
      <w:tr>
        <w:trPr>
          <w:trHeight w:val="71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同一母</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采购产</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采购产</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公平公</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396.04</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0.09%</w:t>
            </w: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现款结</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396.04</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42" w:type="dxa"/>
            <w:tcBorders>
              <w:top w:val="nil" w:sz="6" w:space="0" w:color="auto"/>
              <w:left w:val="single" w:sz="4" w:space="0" w:color="000000"/>
              <w:bottom w:val="nil" w:sz="6" w:space="0" w:color="auto"/>
              <w:right w:val="single" w:sz="4" w:space="0" w:color="000000"/>
            </w:tcBorders>
          </w:tcPr>
          <w:p>
            <w:pPr/>
          </w:p>
        </w:tc>
      </w:tr>
    </w:tbl>
    <w:p>
      <w:pPr>
        <w:pStyle w:val="BodyText"/>
        <w:tabs>
          <w:tab w:pos="1658" w:val="left" w:leader="none"/>
          <w:tab w:pos="2335" w:val="left" w:leader="none"/>
          <w:tab w:pos="3041" w:val="left" w:leader="none"/>
          <w:tab w:pos="3721" w:val="left" w:leader="none"/>
          <w:tab w:pos="7091" w:val="left" w:leader="none"/>
          <w:tab w:pos="8438" w:val="left" w:leader="none"/>
        </w:tabs>
        <w:spacing w:line="240" w:lineRule="auto" w:before="1"/>
        <w:ind w:left="181" w:right="0"/>
        <w:jc w:val="left"/>
        <w:rPr>
          <w:rFonts w:ascii="Times New Roman" w:hAnsi="Times New Roman" w:cs="Times New Roman" w:eastAsia="Times New Roman" w:hint="default"/>
        </w:rPr>
      </w:pPr>
      <w:r>
        <w:rPr/>
        <w:t>山纺织集</w:t>
      </w:r>
      <w:r>
        <w:rPr>
          <w:spacing w:val="-10"/>
        </w:rPr>
        <w:t> </w:t>
      </w:r>
      <w:r>
        <w:rPr/>
        <w:t>公司</w:t>
        <w:tab/>
        <w:t>品</w:t>
        <w:tab/>
        <w:t>品</w:t>
        <w:tab/>
        <w:t>正</w:t>
        <w:tab/>
        <w:t>格</w:t>
        <w:tab/>
        <w:t>算</w:t>
        <w:tab/>
      </w:r>
      <w:r>
        <w:rPr>
          <w:rFonts w:ascii="Times New Roman" w:hAnsi="Times New Roman" w:cs="Times New Roman" w:eastAsia="Times New Roman" w:hint="default"/>
        </w:rPr>
        <w:t>04 </w:t>
      </w:r>
      <w:r>
        <w:rPr/>
        <w:t>月</w:t>
      </w:r>
      <w:r>
        <w:rPr>
          <w:spacing w:val="-61"/>
        </w:rPr>
        <w:t> </w:t>
      </w:r>
      <w:r>
        <w:rPr>
          <w:rFonts w:ascii="Times New Roman" w:hAnsi="Times New Roman" w:cs="Times New Roman" w:eastAsia="Times New Roman" w:hint="default"/>
        </w:rPr>
        <w:t>30</w:t>
      </w:r>
    </w:p>
    <w:p>
      <w:pPr>
        <w:spacing w:after="0" w:line="240" w:lineRule="auto"/>
        <w:jc w:val="left"/>
        <w:rPr>
          <w:rFonts w:ascii="Times New Roman" w:hAnsi="Times New Roman" w:cs="Times New Roman" w:eastAsia="Times New Roman" w:hint="default"/>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0"/>
        <w:gridCol w:w="677"/>
        <w:gridCol w:w="677"/>
        <w:gridCol w:w="706"/>
        <w:gridCol w:w="679"/>
        <w:gridCol w:w="674"/>
        <w:gridCol w:w="674"/>
        <w:gridCol w:w="673"/>
        <w:gridCol w:w="674"/>
        <w:gridCol w:w="674"/>
        <w:gridCol w:w="673"/>
        <w:gridCol w:w="674"/>
        <w:gridCol w:w="670"/>
        <w:gridCol w:w="642"/>
      </w:tblGrid>
      <w:tr>
        <w:trPr>
          <w:trHeight w:val="318" w:hRule="exact"/>
        </w:trPr>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团进出口</w:t>
            </w:r>
          </w:p>
        </w:tc>
        <w:tc>
          <w:tcPr>
            <w:tcW w:w="677" w:type="dxa"/>
            <w:vMerge w:val="restart"/>
            <w:tcBorders>
              <w:top w:val="single" w:sz="4" w:space="0" w:color="000000"/>
              <w:left w:val="single" w:sz="4" w:space="0" w:color="000000"/>
              <w:right w:val="single" w:sz="4" w:space="0" w:color="000000"/>
            </w:tcBorders>
          </w:tcPr>
          <w:p>
            <w:pPr/>
          </w:p>
        </w:tc>
        <w:tc>
          <w:tcPr>
            <w:tcW w:w="677" w:type="dxa"/>
            <w:vMerge w:val="restart"/>
            <w:tcBorders>
              <w:top w:val="single" w:sz="4" w:space="0" w:color="000000"/>
              <w:left w:val="single" w:sz="4" w:space="0" w:color="000000"/>
              <w:right w:val="single" w:sz="4" w:space="0" w:color="000000"/>
            </w:tcBorders>
          </w:tcPr>
          <w:p>
            <w:pPr/>
          </w:p>
        </w:tc>
        <w:tc>
          <w:tcPr>
            <w:tcW w:w="706" w:type="dxa"/>
            <w:vMerge w:val="restart"/>
            <w:tcBorders>
              <w:top w:val="single" w:sz="4" w:space="0" w:color="000000"/>
              <w:left w:val="single" w:sz="4" w:space="0" w:color="000000"/>
              <w:right w:val="single" w:sz="4" w:space="0" w:color="000000"/>
            </w:tcBorders>
          </w:tcPr>
          <w:p>
            <w:pPr/>
          </w:p>
        </w:tc>
        <w:tc>
          <w:tcPr>
            <w:tcW w:w="679" w:type="dxa"/>
            <w:vMerge w:val="restart"/>
            <w:tcBorders>
              <w:top w:val="single" w:sz="4" w:space="0" w:color="000000"/>
              <w:left w:val="single" w:sz="4" w:space="0" w:color="000000"/>
              <w:right w:val="single" w:sz="4" w:space="0" w:color="000000"/>
            </w:tcBorders>
          </w:tcPr>
          <w:p>
            <w:pPr/>
          </w:p>
        </w:tc>
        <w:tc>
          <w:tcPr>
            <w:tcW w:w="674" w:type="dxa"/>
            <w:vMerge w:val="restart"/>
            <w:tcBorders>
              <w:top w:val="single" w:sz="4" w:space="0" w:color="000000"/>
              <w:left w:val="single" w:sz="4" w:space="0" w:color="000000"/>
              <w:right w:val="single" w:sz="4" w:space="0" w:color="000000"/>
            </w:tcBorders>
          </w:tcPr>
          <w:p>
            <w:pPr/>
          </w:p>
        </w:tc>
        <w:tc>
          <w:tcPr>
            <w:tcW w:w="674" w:type="dxa"/>
            <w:vMerge w:val="restart"/>
            <w:tcBorders>
              <w:top w:val="single" w:sz="4" w:space="0" w:color="000000"/>
              <w:left w:val="single" w:sz="4" w:space="0" w:color="000000"/>
              <w:right w:val="single" w:sz="4" w:space="0" w:color="000000"/>
            </w:tcBorders>
          </w:tcPr>
          <w:p>
            <w:pPr/>
          </w:p>
        </w:tc>
        <w:tc>
          <w:tcPr>
            <w:tcW w:w="673" w:type="dxa"/>
            <w:vMerge w:val="restart"/>
            <w:tcBorders>
              <w:top w:val="single" w:sz="4" w:space="0" w:color="000000"/>
              <w:left w:val="single" w:sz="4" w:space="0" w:color="000000"/>
              <w:right w:val="single" w:sz="4" w:space="0" w:color="000000"/>
            </w:tcBorders>
          </w:tcPr>
          <w:p>
            <w:pPr/>
          </w:p>
        </w:tc>
        <w:tc>
          <w:tcPr>
            <w:tcW w:w="674" w:type="dxa"/>
            <w:vMerge w:val="restart"/>
            <w:tcBorders>
              <w:top w:val="nil" w:sz="6" w:space="0" w:color="auto"/>
              <w:left w:val="single" w:sz="4" w:space="0" w:color="000000"/>
              <w:right w:val="single" w:sz="4" w:space="0" w:color="000000"/>
            </w:tcBorders>
          </w:tcPr>
          <w:p>
            <w:pPr/>
          </w:p>
        </w:tc>
        <w:tc>
          <w:tcPr>
            <w:tcW w:w="674" w:type="dxa"/>
            <w:vMerge w:val="restart"/>
            <w:tcBorders>
              <w:top w:val="single" w:sz="4" w:space="0" w:color="000000"/>
              <w:left w:val="single" w:sz="4" w:space="0" w:color="000000"/>
              <w:right w:val="single" w:sz="4" w:space="0" w:color="000000"/>
            </w:tcBorders>
          </w:tcPr>
          <w:p>
            <w:pPr/>
          </w:p>
        </w:tc>
        <w:tc>
          <w:tcPr>
            <w:tcW w:w="673" w:type="dxa"/>
            <w:vMerge w:val="restart"/>
            <w:tcBorders>
              <w:top w:val="single" w:sz="4" w:space="0" w:color="000000"/>
              <w:left w:val="single" w:sz="4" w:space="0" w:color="000000"/>
              <w:right w:val="single" w:sz="4" w:space="0" w:color="000000"/>
            </w:tcBorders>
          </w:tcPr>
          <w:p>
            <w:pPr/>
          </w:p>
        </w:tc>
        <w:tc>
          <w:tcPr>
            <w:tcW w:w="674" w:type="dxa"/>
            <w:vMerge w:val="restart"/>
            <w:tcBorders>
              <w:top w:val="single" w:sz="4" w:space="0" w:color="000000"/>
              <w:left w:val="single" w:sz="4" w:space="0" w:color="000000"/>
              <w:right w:val="single" w:sz="4" w:space="0" w:color="000000"/>
            </w:tcBorders>
          </w:tcPr>
          <w:p>
            <w:pPr/>
          </w:p>
        </w:tc>
        <w:tc>
          <w:tcPr>
            <w:tcW w:w="6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vMerge w:val="restart"/>
            <w:tcBorders>
              <w:top w:val="nil" w:sz="6" w:space="0" w:color="auto"/>
              <w:left w:val="single" w:sz="4" w:space="0" w:color="000000"/>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贸易有限</w:t>
            </w:r>
          </w:p>
        </w:tc>
        <w:tc>
          <w:tcPr>
            <w:tcW w:w="67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06" w:type="dxa"/>
            <w:vMerge/>
            <w:tcBorders>
              <w:left w:val="single" w:sz="4" w:space="0" w:color="000000"/>
              <w:right w:val="single" w:sz="4" w:space="0" w:color="000000"/>
            </w:tcBorders>
          </w:tcPr>
          <w:p>
            <w:pPr/>
          </w:p>
        </w:tc>
        <w:tc>
          <w:tcPr>
            <w:tcW w:w="679"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tcPr>
          <w:p>
            <w:pPr/>
          </w:p>
        </w:tc>
        <w:tc>
          <w:tcPr>
            <w:tcW w:w="673"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tcPr>
          <w:p>
            <w:pPr/>
          </w:p>
        </w:tc>
        <w:tc>
          <w:tcPr>
            <w:tcW w:w="673"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tcPr>
          <w:p>
            <w:pPr/>
          </w:p>
        </w:tc>
        <w:tc>
          <w:tcPr>
            <w:tcW w:w="670" w:type="dxa"/>
            <w:tcBorders>
              <w:top w:val="nil" w:sz="6" w:space="0" w:color="auto"/>
              <w:left w:val="single" w:sz="4" w:space="0" w:color="000000"/>
              <w:bottom w:val="nil" w:sz="6" w:space="0" w:color="auto"/>
              <w:right w:val="single" w:sz="4" w:space="0" w:color="000000"/>
            </w:tcBorders>
          </w:tcPr>
          <w:p>
            <w:pPr/>
          </w:p>
        </w:tc>
        <w:tc>
          <w:tcPr>
            <w:tcW w:w="642" w:type="dxa"/>
            <w:vMerge/>
            <w:tcBorders>
              <w:left w:val="single" w:sz="4" w:space="0" w:color="000000"/>
              <w:right w:val="single" w:sz="4" w:space="0" w:color="000000"/>
            </w:tcBorders>
          </w:tcPr>
          <w:p>
            <w:pPr/>
          </w:p>
        </w:tc>
      </w:tr>
      <w:tr>
        <w:trPr>
          <w:trHeight w:val="357" w:hRule="exact"/>
        </w:trPr>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67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06" w:type="dxa"/>
            <w:vMerge/>
            <w:tcBorders>
              <w:left w:val="single" w:sz="4" w:space="0" w:color="000000"/>
              <w:bottom w:val="single" w:sz="4" w:space="0" w:color="000000"/>
              <w:right w:val="single" w:sz="4" w:space="0" w:color="000000"/>
            </w:tcBorders>
          </w:tcPr>
          <w:p>
            <w:pPr/>
          </w:p>
        </w:tc>
        <w:tc>
          <w:tcPr>
            <w:tcW w:w="679"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tcPr>
          <w:p>
            <w:pPr/>
          </w:p>
        </w:tc>
        <w:tc>
          <w:tcPr>
            <w:tcW w:w="673"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tcPr>
          <w:p>
            <w:pPr/>
          </w:p>
        </w:tc>
        <w:tc>
          <w:tcPr>
            <w:tcW w:w="673"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tcPr>
          <w:p>
            <w:pPr/>
          </w:p>
        </w:tc>
        <w:tc>
          <w:tcPr>
            <w:tcW w:w="670" w:type="dxa"/>
            <w:tcBorders>
              <w:top w:val="nil" w:sz="6" w:space="0" w:color="auto"/>
              <w:left w:val="single" w:sz="4" w:space="0" w:color="000000"/>
              <w:bottom w:val="single" w:sz="4" w:space="0" w:color="000000"/>
              <w:right w:val="single" w:sz="4" w:space="0" w:color="000000"/>
            </w:tcBorders>
          </w:tcPr>
          <w:p>
            <w:pPr/>
          </w:p>
        </w:tc>
        <w:tc>
          <w:tcPr>
            <w:tcW w:w="642" w:type="dxa"/>
            <w:vMerge/>
            <w:tcBorders>
              <w:left w:val="single" w:sz="4" w:space="0" w:color="000000"/>
              <w:right w:val="single" w:sz="4" w:space="0" w:color="000000"/>
            </w:tcBorders>
          </w:tcPr>
          <w:p>
            <w:pPr/>
          </w:p>
        </w:tc>
      </w:tr>
      <w:tr>
        <w:trPr>
          <w:trHeight w:val="357" w:hRule="exact"/>
        </w:trPr>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w:t>
            </w:r>
          </w:p>
        </w:tc>
        <w:tc>
          <w:tcPr>
            <w:tcW w:w="677" w:type="dxa"/>
            <w:tcBorders>
              <w:top w:val="single" w:sz="4" w:space="0" w:color="000000"/>
              <w:left w:val="single" w:sz="4" w:space="0" w:color="000000"/>
              <w:bottom w:val="nil" w:sz="6" w:space="0" w:color="auto"/>
              <w:right w:val="single" w:sz="4" w:space="0" w:color="000000"/>
            </w:tcBorders>
          </w:tcPr>
          <w:p>
            <w:pPr/>
          </w:p>
        </w:tc>
        <w:tc>
          <w:tcPr>
            <w:tcW w:w="677" w:type="dxa"/>
            <w:tcBorders>
              <w:top w:val="single" w:sz="4" w:space="0" w:color="000000"/>
              <w:left w:val="single" w:sz="4" w:space="0" w:color="000000"/>
              <w:bottom w:val="nil" w:sz="6" w:space="0" w:color="auto"/>
              <w:right w:val="single" w:sz="4" w:space="0" w:color="000000"/>
            </w:tcBorders>
          </w:tcPr>
          <w:p>
            <w:pPr/>
          </w:p>
        </w:tc>
        <w:tc>
          <w:tcPr>
            <w:tcW w:w="706" w:type="dxa"/>
            <w:tcBorders>
              <w:top w:val="single" w:sz="4" w:space="0" w:color="000000"/>
              <w:left w:val="single" w:sz="4" w:space="0" w:color="000000"/>
              <w:bottom w:val="nil" w:sz="6" w:space="0" w:color="auto"/>
              <w:right w:val="single" w:sz="4" w:space="0" w:color="000000"/>
            </w:tcBorders>
          </w:tcPr>
          <w:p>
            <w:pPr/>
          </w:p>
        </w:tc>
        <w:tc>
          <w:tcPr>
            <w:tcW w:w="679"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3" w:type="dxa"/>
            <w:tcBorders>
              <w:top w:val="single" w:sz="4" w:space="0" w:color="000000"/>
              <w:left w:val="single" w:sz="4" w:space="0" w:color="000000"/>
              <w:bottom w:val="nil" w:sz="6" w:space="0" w:color="auto"/>
              <w:right w:val="single" w:sz="4" w:space="0" w:color="000000"/>
            </w:tcBorders>
          </w:tcPr>
          <w:p>
            <w:pPr/>
          </w:p>
        </w:tc>
        <w:tc>
          <w:tcPr>
            <w:tcW w:w="674" w:type="dxa"/>
            <w:vMerge/>
            <w:tcBorders>
              <w:left w:val="single" w:sz="4" w:space="0" w:color="000000"/>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3"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0" w:type="dxa"/>
            <w:tcBorders>
              <w:top w:val="single" w:sz="4" w:space="0" w:color="000000"/>
              <w:left w:val="single" w:sz="4" w:space="0" w:color="000000"/>
              <w:bottom w:val="nil" w:sz="6" w:space="0" w:color="auto"/>
              <w:right w:val="single" w:sz="4" w:space="0" w:color="000000"/>
            </w:tcBorders>
          </w:tcPr>
          <w:p>
            <w:pPr/>
          </w:p>
        </w:tc>
        <w:tc>
          <w:tcPr>
            <w:tcW w:w="642" w:type="dxa"/>
            <w:vMerge/>
            <w:tcBorders>
              <w:left w:val="single" w:sz="4" w:space="0" w:color="000000"/>
              <w:right w:val="single" w:sz="4" w:space="0" w:color="000000"/>
            </w:tcBorders>
          </w:tcPr>
          <w:p>
            <w:pPr/>
          </w:p>
        </w:tc>
      </w:tr>
      <w:tr>
        <w:trPr>
          <w:trHeight w:val="937"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7"/>
              <w:jc w:val="both"/>
              <w:rPr>
                <w:rFonts w:ascii="宋体" w:hAnsi="宋体" w:cs="宋体" w:eastAsia="宋体" w:hint="default"/>
                <w:sz w:val="18"/>
                <w:szCs w:val="18"/>
              </w:rPr>
            </w:pPr>
            <w:r>
              <w:rPr>
                <w:rFonts w:ascii="宋体" w:hAnsi="宋体" w:cs="宋体" w:eastAsia="宋体" w:hint="default"/>
                <w:sz w:val="18"/>
                <w:szCs w:val="18"/>
              </w:rPr>
              <w:t>山纺织集 团第四实 业有限公</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采购产 品</w:t>
            </w:r>
          </w:p>
        </w:tc>
        <w:tc>
          <w:tcPr>
            <w:tcW w:w="70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采购产 品</w:t>
            </w:r>
          </w:p>
        </w:tc>
        <w:tc>
          <w:tcPr>
            <w:tcW w:w="67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sz w:val="18"/>
              </w:rPr>
              <w:t>2.55</w:t>
            </w:r>
          </w:p>
        </w:tc>
        <w:tc>
          <w:tcPr>
            <w:tcW w:w="67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0.00%</w:t>
            </w:r>
          </w:p>
        </w:tc>
        <w:tc>
          <w:tcPr>
            <w:tcW w:w="674" w:type="dxa"/>
            <w:vMerge/>
            <w:tcBorders>
              <w:left w:val="single" w:sz="4" w:space="0" w:color="000000"/>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sz w:val="18"/>
              </w:rPr>
              <w:t>2.55</w:t>
            </w:r>
          </w:p>
        </w:tc>
        <w:tc>
          <w:tcPr>
            <w:tcW w:w="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vMerge/>
            <w:tcBorders>
              <w:left w:val="single" w:sz="4" w:space="0" w:color="000000"/>
              <w:right w:val="single" w:sz="4" w:space="0" w:color="000000"/>
            </w:tcBorders>
          </w:tcPr>
          <w:p>
            <w:pPr/>
          </w:p>
        </w:tc>
      </w:tr>
      <w:tr>
        <w:trPr>
          <w:trHeight w:val="356" w:hRule="exact"/>
        </w:trPr>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77" w:type="dxa"/>
            <w:tcBorders>
              <w:top w:val="nil" w:sz="6" w:space="0" w:color="auto"/>
              <w:left w:val="single" w:sz="4" w:space="0" w:color="000000"/>
              <w:bottom w:val="single" w:sz="4" w:space="0" w:color="000000"/>
              <w:right w:val="single" w:sz="4" w:space="0" w:color="000000"/>
            </w:tcBorders>
          </w:tcPr>
          <w:p>
            <w:pPr/>
          </w:p>
        </w:tc>
        <w:tc>
          <w:tcPr>
            <w:tcW w:w="677" w:type="dxa"/>
            <w:tcBorders>
              <w:top w:val="nil" w:sz="6" w:space="0" w:color="auto"/>
              <w:left w:val="single" w:sz="4" w:space="0" w:color="000000"/>
              <w:bottom w:val="single" w:sz="4" w:space="0" w:color="000000"/>
              <w:right w:val="single" w:sz="4" w:space="0" w:color="000000"/>
            </w:tcBorders>
          </w:tcPr>
          <w:p>
            <w:pPr/>
          </w:p>
        </w:tc>
        <w:tc>
          <w:tcPr>
            <w:tcW w:w="706" w:type="dxa"/>
            <w:tcBorders>
              <w:top w:val="nil" w:sz="6" w:space="0" w:color="auto"/>
              <w:left w:val="single" w:sz="4" w:space="0" w:color="000000"/>
              <w:bottom w:val="single" w:sz="4" w:space="0" w:color="000000"/>
              <w:right w:val="single" w:sz="4" w:space="0" w:color="000000"/>
            </w:tcBorders>
          </w:tcPr>
          <w:p>
            <w:pPr/>
          </w:p>
        </w:tc>
        <w:tc>
          <w:tcPr>
            <w:tcW w:w="679"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tcPr>
          <w:p>
            <w:pPr/>
          </w:p>
        </w:tc>
        <w:tc>
          <w:tcPr>
            <w:tcW w:w="674" w:type="dxa"/>
            <w:vMerge/>
            <w:tcBorders>
              <w:left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0" w:type="dxa"/>
            <w:tcBorders>
              <w:top w:val="nil" w:sz="6" w:space="0" w:color="auto"/>
              <w:left w:val="single" w:sz="4" w:space="0" w:color="000000"/>
              <w:bottom w:val="single" w:sz="4" w:space="0" w:color="000000"/>
              <w:right w:val="single" w:sz="4" w:space="0" w:color="000000"/>
            </w:tcBorders>
          </w:tcPr>
          <w:p>
            <w:pPr/>
          </w:p>
        </w:tc>
        <w:tc>
          <w:tcPr>
            <w:tcW w:w="642" w:type="dxa"/>
            <w:vMerge/>
            <w:tcBorders>
              <w:left w:val="single" w:sz="4" w:space="0" w:color="000000"/>
              <w:right w:val="single" w:sz="4" w:space="0" w:color="000000"/>
            </w:tcBorders>
          </w:tcPr>
          <w:p>
            <w:pPr/>
          </w:p>
        </w:tc>
      </w:tr>
      <w:tr>
        <w:trPr>
          <w:trHeight w:val="357" w:hRule="exact"/>
        </w:trPr>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w:t>
            </w:r>
          </w:p>
        </w:tc>
        <w:tc>
          <w:tcPr>
            <w:tcW w:w="677" w:type="dxa"/>
            <w:tcBorders>
              <w:top w:val="single" w:sz="4" w:space="0" w:color="000000"/>
              <w:left w:val="single" w:sz="4" w:space="0" w:color="000000"/>
              <w:bottom w:val="nil" w:sz="6" w:space="0" w:color="auto"/>
              <w:right w:val="single" w:sz="4" w:space="0" w:color="000000"/>
            </w:tcBorders>
          </w:tcPr>
          <w:p>
            <w:pPr/>
          </w:p>
        </w:tc>
        <w:tc>
          <w:tcPr>
            <w:tcW w:w="677" w:type="dxa"/>
            <w:tcBorders>
              <w:top w:val="single" w:sz="4" w:space="0" w:color="000000"/>
              <w:left w:val="single" w:sz="4" w:space="0" w:color="000000"/>
              <w:bottom w:val="nil" w:sz="6" w:space="0" w:color="auto"/>
              <w:right w:val="single" w:sz="4" w:space="0" w:color="000000"/>
            </w:tcBorders>
          </w:tcPr>
          <w:p>
            <w:pPr/>
          </w:p>
        </w:tc>
        <w:tc>
          <w:tcPr>
            <w:tcW w:w="706" w:type="dxa"/>
            <w:tcBorders>
              <w:top w:val="single" w:sz="4" w:space="0" w:color="000000"/>
              <w:left w:val="single" w:sz="4" w:space="0" w:color="000000"/>
              <w:bottom w:val="nil" w:sz="6" w:space="0" w:color="auto"/>
              <w:right w:val="single" w:sz="4" w:space="0" w:color="000000"/>
            </w:tcBorders>
          </w:tcPr>
          <w:p>
            <w:pPr/>
          </w:p>
        </w:tc>
        <w:tc>
          <w:tcPr>
            <w:tcW w:w="679"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3" w:type="dxa"/>
            <w:tcBorders>
              <w:top w:val="single" w:sz="4" w:space="0" w:color="000000"/>
              <w:left w:val="single" w:sz="4" w:space="0" w:color="000000"/>
              <w:bottom w:val="nil" w:sz="6" w:space="0" w:color="auto"/>
              <w:right w:val="single" w:sz="4" w:space="0" w:color="000000"/>
            </w:tcBorders>
          </w:tcPr>
          <w:p>
            <w:pPr/>
          </w:p>
        </w:tc>
        <w:tc>
          <w:tcPr>
            <w:tcW w:w="674" w:type="dxa"/>
            <w:vMerge/>
            <w:tcBorders>
              <w:left w:val="single" w:sz="4" w:space="0" w:color="000000"/>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3"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0" w:type="dxa"/>
            <w:tcBorders>
              <w:top w:val="single" w:sz="4" w:space="0" w:color="000000"/>
              <w:left w:val="single" w:sz="4" w:space="0" w:color="000000"/>
              <w:bottom w:val="nil" w:sz="6" w:space="0" w:color="auto"/>
              <w:right w:val="single" w:sz="4" w:space="0" w:color="000000"/>
            </w:tcBorders>
          </w:tcPr>
          <w:p>
            <w:pPr/>
          </w:p>
        </w:tc>
        <w:tc>
          <w:tcPr>
            <w:tcW w:w="642" w:type="dxa"/>
            <w:vMerge/>
            <w:tcBorders>
              <w:left w:val="single" w:sz="4" w:space="0" w:color="000000"/>
              <w:right w:val="single" w:sz="4" w:space="0" w:color="000000"/>
            </w:tcBorders>
          </w:tcPr>
          <w:p>
            <w:pPr/>
          </w:p>
        </w:tc>
      </w:tr>
      <w:tr>
        <w:trPr>
          <w:trHeight w:val="937"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7"/>
              <w:jc w:val="both"/>
              <w:rPr>
                <w:rFonts w:ascii="宋体" w:hAnsi="宋体" w:cs="宋体" w:eastAsia="宋体" w:hint="default"/>
                <w:sz w:val="18"/>
                <w:szCs w:val="18"/>
              </w:rPr>
            </w:pPr>
            <w:r>
              <w:rPr>
                <w:rFonts w:ascii="宋体" w:hAnsi="宋体" w:cs="宋体" w:eastAsia="宋体" w:hint="default"/>
                <w:sz w:val="18"/>
                <w:szCs w:val="18"/>
              </w:rPr>
              <w:t>山纺织集 团经编实 业有限公</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同一母 公司</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采购产 品</w:t>
            </w:r>
          </w:p>
        </w:tc>
        <w:tc>
          <w:tcPr>
            <w:tcW w:w="70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采购产 品</w:t>
            </w:r>
          </w:p>
        </w:tc>
        <w:tc>
          <w:tcPr>
            <w:tcW w:w="67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Times New Roman" w:hAnsi="Times New Roman" w:cs="Times New Roman" w:eastAsia="Times New Roman" w:hint="default"/>
                <w:sz w:val="18"/>
                <w:szCs w:val="18"/>
              </w:rPr>
            </w:pPr>
            <w:r>
              <w:rPr>
                <w:rFonts w:ascii="Times New Roman"/>
                <w:sz w:val="18"/>
              </w:rPr>
              <w:t>173.89</w:t>
            </w:r>
          </w:p>
        </w:tc>
        <w:tc>
          <w:tcPr>
            <w:tcW w:w="67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0.04%</w:t>
            </w:r>
          </w:p>
        </w:tc>
        <w:tc>
          <w:tcPr>
            <w:tcW w:w="674" w:type="dxa"/>
            <w:vMerge/>
            <w:tcBorders>
              <w:left w:val="single" w:sz="4" w:space="0" w:color="000000"/>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Times New Roman" w:hAnsi="Times New Roman" w:cs="Times New Roman" w:eastAsia="Times New Roman" w:hint="default"/>
                <w:sz w:val="18"/>
                <w:szCs w:val="18"/>
              </w:rPr>
            </w:pPr>
            <w:r>
              <w:rPr>
                <w:rFonts w:ascii="Times New Roman"/>
                <w:sz w:val="18"/>
              </w:rPr>
              <w:t>173.89</w:t>
            </w:r>
          </w:p>
        </w:tc>
        <w:tc>
          <w:tcPr>
            <w:tcW w:w="6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vMerge/>
            <w:tcBorders>
              <w:left w:val="single" w:sz="4" w:space="0" w:color="000000"/>
              <w:right w:val="single" w:sz="4" w:space="0" w:color="000000"/>
            </w:tcBorders>
          </w:tcPr>
          <w:p>
            <w:pPr/>
          </w:p>
        </w:tc>
      </w:tr>
      <w:tr>
        <w:trPr>
          <w:trHeight w:val="356" w:hRule="exact"/>
        </w:trPr>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77" w:type="dxa"/>
            <w:tcBorders>
              <w:top w:val="nil" w:sz="6" w:space="0" w:color="auto"/>
              <w:left w:val="single" w:sz="4" w:space="0" w:color="000000"/>
              <w:bottom w:val="single" w:sz="4" w:space="0" w:color="000000"/>
              <w:right w:val="single" w:sz="4" w:space="0" w:color="000000"/>
            </w:tcBorders>
          </w:tcPr>
          <w:p>
            <w:pPr/>
          </w:p>
        </w:tc>
        <w:tc>
          <w:tcPr>
            <w:tcW w:w="677" w:type="dxa"/>
            <w:tcBorders>
              <w:top w:val="nil" w:sz="6" w:space="0" w:color="auto"/>
              <w:left w:val="single" w:sz="4" w:space="0" w:color="000000"/>
              <w:bottom w:val="single" w:sz="4" w:space="0" w:color="000000"/>
              <w:right w:val="single" w:sz="4" w:space="0" w:color="000000"/>
            </w:tcBorders>
          </w:tcPr>
          <w:p>
            <w:pPr/>
          </w:p>
        </w:tc>
        <w:tc>
          <w:tcPr>
            <w:tcW w:w="706" w:type="dxa"/>
            <w:tcBorders>
              <w:top w:val="nil" w:sz="6" w:space="0" w:color="auto"/>
              <w:left w:val="single" w:sz="4" w:space="0" w:color="000000"/>
              <w:bottom w:val="single" w:sz="4" w:space="0" w:color="000000"/>
              <w:right w:val="single" w:sz="4" w:space="0" w:color="000000"/>
            </w:tcBorders>
          </w:tcPr>
          <w:p>
            <w:pPr/>
          </w:p>
        </w:tc>
        <w:tc>
          <w:tcPr>
            <w:tcW w:w="679"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0" w:type="dxa"/>
            <w:tcBorders>
              <w:top w:val="nil" w:sz="6" w:space="0" w:color="auto"/>
              <w:left w:val="single" w:sz="4" w:space="0" w:color="000000"/>
              <w:bottom w:val="single" w:sz="4" w:space="0" w:color="000000"/>
              <w:right w:val="single" w:sz="4" w:space="0" w:color="000000"/>
            </w:tcBorders>
          </w:tcPr>
          <w:p>
            <w:pPr/>
          </w:p>
        </w:tc>
        <w:tc>
          <w:tcPr>
            <w:tcW w:w="642" w:type="dxa"/>
            <w:vMerge/>
            <w:tcBorders>
              <w:left w:val="single" w:sz="4" w:space="0" w:color="000000"/>
              <w:bottom w:val="single" w:sz="4" w:space="0" w:color="000000"/>
              <w:right w:val="single" w:sz="4" w:space="0" w:color="000000"/>
            </w:tcBorders>
          </w:tcPr>
          <w:p>
            <w:pP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北京北明 兆业科技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参股公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79.67</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79.67</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800" w:type="dxa"/>
            <w:tcBorders>
              <w:top w:val="single" w:sz="4" w:space="0" w:color="000000"/>
              <w:left w:val="single" w:sz="4" w:space="0" w:color="000000"/>
              <w:bottom w:val="nil" w:sz="6" w:space="0" w:color="auto"/>
              <w:right w:val="single" w:sz="4" w:space="0" w:color="000000"/>
            </w:tcBorders>
          </w:tcPr>
          <w:p>
            <w:pPr/>
          </w:p>
        </w:tc>
        <w:tc>
          <w:tcPr>
            <w:tcW w:w="6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w:t>
            </w:r>
          </w:p>
        </w:tc>
        <w:tc>
          <w:tcPr>
            <w:tcW w:w="677" w:type="dxa"/>
            <w:tcBorders>
              <w:top w:val="single" w:sz="4" w:space="0" w:color="000000"/>
              <w:left w:val="single" w:sz="4" w:space="0" w:color="000000"/>
              <w:bottom w:val="nil" w:sz="6" w:space="0" w:color="auto"/>
              <w:right w:val="single" w:sz="4" w:space="0" w:color="000000"/>
            </w:tcBorders>
          </w:tcPr>
          <w:p>
            <w:pPr/>
          </w:p>
        </w:tc>
        <w:tc>
          <w:tcPr>
            <w:tcW w:w="706" w:type="dxa"/>
            <w:tcBorders>
              <w:top w:val="single" w:sz="4" w:space="0" w:color="000000"/>
              <w:left w:val="single" w:sz="4" w:space="0" w:color="000000"/>
              <w:bottom w:val="nil" w:sz="6" w:space="0" w:color="auto"/>
              <w:right w:val="single" w:sz="4" w:space="0" w:color="000000"/>
            </w:tcBorders>
          </w:tcPr>
          <w:p>
            <w:pPr/>
          </w:p>
        </w:tc>
        <w:tc>
          <w:tcPr>
            <w:tcW w:w="679"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3" w:type="dxa"/>
            <w:tcBorders>
              <w:top w:val="single" w:sz="4" w:space="0" w:color="000000"/>
              <w:left w:val="single" w:sz="4" w:space="0" w:color="000000"/>
              <w:bottom w:val="nil" w:sz="6" w:space="0" w:color="auto"/>
              <w:right w:val="single" w:sz="4" w:space="0" w:color="000000"/>
            </w:tcBorders>
          </w:tcPr>
          <w:p>
            <w:pPr/>
          </w:p>
        </w:tc>
        <w:tc>
          <w:tcPr>
            <w:tcW w:w="674" w:type="dxa"/>
            <w:vMerge w:val="restart"/>
            <w:tcBorders>
              <w:top w:val="single" w:sz="4" w:space="0" w:color="000000"/>
              <w:left w:val="single" w:sz="4" w:space="0" w:color="000000"/>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3"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0" w:type="dxa"/>
            <w:vMerge w:val="restart"/>
            <w:tcBorders>
              <w:top w:val="single" w:sz="4" w:space="0" w:color="000000"/>
              <w:left w:val="single" w:sz="4" w:space="0" w:color="000000"/>
              <w:right w:val="single" w:sz="4" w:space="0" w:color="000000"/>
            </w:tcBorders>
          </w:tcPr>
          <w:p>
            <w:pPr/>
          </w:p>
        </w:tc>
        <w:tc>
          <w:tcPr>
            <w:tcW w:w="642" w:type="dxa"/>
            <w:vMerge w:val="restart"/>
            <w:tcBorders>
              <w:top w:val="single" w:sz="4" w:space="0" w:color="000000"/>
              <w:left w:val="single" w:sz="4" w:space="0" w:color="000000"/>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北京云启</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理咸勇</w:t>
            </w:r>
          </w:p>
        </w:tc>
        <w:tc>
          <w:tcPr>
            <w:tcW w:w="677"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4" w:type="dxa"/>
            <w:vMerge/>
            <w:tcBorders>
              <w:left w:val="single" w:sz="4" w:space="0" w:color="000000"/>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0" w:type="dxa"/>
            <w:vMerge/>
            <w:tcBorders>
              <w:left w:val="single" w:sz="4" w:space="0" w:color="000000"/>
              <w:right w:val="single" w:sz="4" w:space="0" w:color="000000"/>
            </w:tcBorders>
          </w:tcPr>
          <w:p>
            <w:pPr/>
          </w:p>
        </w:tc>
        <w:tc>
          <w:tcPr>
            <w:tcW w:w="642" w:type="dxa"/>
            <w:vMerge/>
            <w:tcBorders>
              <w:left w:val="single" w:sz="4" w:space="0" w:color="000000"/>
              <w:right w:val="single" w:sz="4" w:space="0" w:color="000000"/>
            </w:tcBorders>
          </w:tcPr>
          <w:p>
            <w:pPr/>
          </w:p>
        </w:tc>
      </w:tr>
      <w:tr>
        <w:trPr>
          <w:trHeight w:val="624"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7"/>
              <w:jc w:val="left"/>
              <w:rPr>
                <w:rFonts w:ascii="宋体" w:hAnsi="宋体" w:cs="宋体" w:eastAsia="宋体" w:hint="default"/>
                <w:sz w:val="18"/>
                <w:szCs w:val="18"/>
              </w:rPr>
            </w:pPr>
            <w:r>
              <w:rPr>
                <w:rFonts w:ascii="宋体" w:hAnsi="宋体" w:cs="宋体" w:eastAsia="宋体" w:hint="default"/>
                <w:sz w:val="18"/>
                <w:szCs w:val="18"/>
              </w:rPr>
              <w:t>志新科技 股份有限</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2"/>
              <w:jc w:val="left"/>
              <w:rPr>
                <w:rFonts w:ascii="宋体" w:hAnsi="宋体" w:cs="宋体" w:eastAsia="宋体" w:hint="default"/>
                <w:sz w:val="18"/>
                <w:szCs w:val="18"/>
              </w:rPr>
            </w:pPr>
            <w:r>
              <w:rPr>
                <w:rFonts w:ascii="宋体" w:hAnsi="宋体" w:cs="宋体" w:eastAsia="宋体" w:hint="default"/>
                <w:sz w:val="18"/>
                <w:szCs w:val="18"/>
              </w:rPr>
              <w:t>之妻刘 丽丹为</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2"/>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0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399.76</w:t>
            </w:r>
          </w:p>
        </w:tc>
        <w:tc>
          <w:tcPr>
            <w:tcW w:w="67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0.08%</w:t>
            </w:r>
          </w:p>
        </w:tc>
        <w:tc>
          <w:tcPr>
            <w:tcW w:w="674" w:type="dxa"/>
            <w:vMerge/>
            <w:tcBorders>
              <w:left w:val="single" w:sz="4" w:space="0" w:color="000000"/>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399.76</w:t>
            </w:r>
          </w:p>
        </w:tc>
        <w:tc>
          <w:tcPr>
            <w:tcW w:w="670" w:type="dxa"/>
            <w:vMerge/>
            <w:tcBorders>
              <w:left w:val="single" w:sz="4" w:space="0" w:color="000000"/>
              <w:right w:val="single" w:sz="4" w:space="0" w:color="000000"/>
            </w:tcBorders>
          </w:tcPr>
          <w:p>
            <w:pPr/>
          </w:p>
        </w:tc>
        <w:tc>
          <w:tcPr>
            <w:tcW w:w="642" w:type="dxa"/>
            <w:vMerge/>
            <w:tcBorders>
              <w:left w:val="single" w:sz="4" w:space="0" w:color="000000"/>
              <w:right w:val="single" w:sz="4" w:space="0" w:color="000000"/>
            </w:tcBorders>
          </w:tcPr>
          <w:p>
            <w:pPr/>
          </w:p>
        </w:tc>
      </w:tr>
      <w:tr>
        <w:trPr>
          <w:trHeight w:val="313"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原股东</w:t>
            </w:r>
          </w:p>
        </w:tc>
        <w:tc>
          <w:tcPr>
            <w:tcW w:w="677"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4" w:type="dxa"/>
            <w:vMerge/>
            <w:tcBorders>
              <w:left w:val="single" w:sz="4" w:space="0" w:color="000000"/>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0" w:type="dxa"/>
            <w:vMerge/>
            <w:tcBorders>
              <w:left w:val="single" w:sz="4" w:space="0" w:color="000000"/>
              <w:right w:val="single" w:sz="4" w:space="0" w:color="000000"/>
            </w:tcBorders>
          </w:tcPr>
          <w:p>
            <w:pPr/>
          </w:p>
        </w:tc>
        <w:tc>
          <w:tcPr>
            <w:tcW w:w="642" w:type="dxa"/>
            <w:vMerge/>
            <w:tcBorders>
              <w:left w:val="single" w:sz="4" w:space="0" w:color="000000"/>
              <w:right w:val="single" w:sz="4" w:space="0" w:color="000000"/>
            </w:tcBorders>
          </w:tcPr>
          <w:p>
            <w:pPr/>
          </w:p>
        </w:tc>
      </w:tr>
      <w:tr>
        <w:trPr>
          <w:trHeight w:val="356" w:hRule="exact"/>
        </w:trPr>
        <w:tc>
          <w:tcPr>
            <w:tcW w:w="800" w:type="dxa"/>
            <w:tcBorders>
              <w:top w:val="nil" w:sz="6" w:space="0" w:color="auto"/>
              <w:left w:val="single" w:sz="4" w:space="0" w:color="000000"/>
              <w:bottom w:val="single" w:sz="4" w:space="0" w:color="000000"/>
              <w:right w:val="single" w:sz="4" w:space="0" w:color="000000"/>
            </w:tcBorders>
          </w:tcPr>
          <w:p>
            <w:pPr/>
          </w:p>
        </w:tc>
        <w:tc>
          <w:tcPr>
            <w:tcW w:w="6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的企业</w:t>
            </w:r>
          </w:p>
        </w:tc>
        <w:tc>
          <w:tcPr>
            <w:tcW w:w="677" w:type="dxa"/>
            <w:tcBorders>
              <w:top w:val="nil" w:sz="6" w:space="0" w:color="auto"/>
              <w:left w:val="single" w:sz="4" w:space="0" w:color="000000"/>
              <w:bottom w:val="single" w:sz="4" w:space="0" w:color="000000"/>
              <w:right w:val="single" w:sz="4" w:space="0" w:color="000000"/>
            </w:tcBorders>
          </w:tcPr>
          <w:p>
            <w:pPr/>
          </w:p>
        </w:tc>
        <w:tc>
          <w:tcPr>
            <w:tcW w:w="706" w:type="dxa"/>
            <w:tcBorders>
              <w:top w:val="nil" w:sz="6" w:space="0" w:color="auto"/>
              <w:left w:val="single" w:sz="4" w:space="0" w:color="000000"/>
              <w:bottom w:val="single" w:sz="4" w:space="0" w:color="000000"/>
              <w:right w:val="single" w:sz="4" w:space="0" w:color="000000"/>
            </w:tcBorders>
          </w:tcPr>
          <w:p>
            <w:pPr/>
          </w:p>
        </w:tc>
        <w:tc>
          <w:tcPr>
            <w:tcW w:w="679"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0" w:type="dxa"/>
            <w:vMerge/>
            <w:tcBorders>
              <w:left w:val="single" w:sz="4" w:space="0" w:color="000000"/>
              <w:bottom w:val="single" w:sz="4" w:space="0" w:color="000000"/>
              <w:right w:val="single" w:sz="4" w:space="0" w:color="000000"/>
            </w:tcBorders>
          </w:tcPr>
          <w:p>
            <w:pPr/>
          </w:p>
        </w:tc>
        <w:tc>
          <w:tcPr>
            <w:tcW w:w="642" w:type="dxa"/>
            <w:vMerge/>
            <w:tcBorders>
              <w:left w:val="single" w:sz="4" w:space="0" w:color="000000"/>
              <w:bottom w:val="single" w:sz="4" w:space="0" w:color="000000"/>
              <w:right w:val="single" w:sz="4" w:space="0" w:color="000000"/>
            </w:tcBorders>
          </w:tcPr>
          <w:p>
            <w:pP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北京国智 云鼎软件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联营企 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销售商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36.67</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36.67</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800" w:type="dxa"/>
            <w:tcBorders>
              <w:top w:val="single" w:sz="4" w:space="0" w:color="000000"/>
              <w:left w:val="single" w:sz="4" w:space="0" w:color="000000"/>
              <w:bottom w:val="nil" w:sz="6" w:space="0" w:color="auto"/>
              <w:right w:val="single" w:sz="4" w:space="0" w:color="000000"/>
            </w:tcBorders>
          </w:tcPr>
          <w:p>
            <w:pPr/>
          </w:p>
        </w:tc>
        <w:tc>
          <w:tcPr>
            <w:tcW w:w="6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w:t>
            </w:r>
          </w:p>
        </w:tc>
        <w:tc>
          <w:tcPr>
            <w:tcW w:w="677" w:type="dxa"/>
            <w:tcBorders>
              <w:top w:val="single" w:sz="4" w:space="0" w:color="000000"/>
              <w:left w:val="single" w:sz="4" w:space="0" w:color="000000"/>
              <w:bottom w:val="nil" w:sz="6" w:space="0" w:color="auto"/>
              <w:right w:val="single" w:sz="4" w:space="0" w:color="000000"/>
            </w:tcBorders>
          </w:tcPr>
          <w:p>
            <w:pPr/>
          </w:p>
        </w:tc>
        <w:tc>
          <w:tcPr>
            <w:tcW w:w="706" w:type="dxa"/>
            <w:tcBorders>
              <w:top w:val="single" w:sz="4" w:space="0" w:color="000000"/>
              <w:left w:val="single" w:sz="4" w:space="0" w:color="000000"/>
              <w:bottom w:val="nil" w:sz="6" w:space="0" w:color="auto"/>
              <w:right w:val="single" w:sz="4" w:space="0" w:color="000000"/>
            </w:tcBorders>
          </w:tcPr>
          <w:p>
            <w:pPr/>
          </w:p>
        </w:tc>
        <w:tc>
          <w:tcPr>
            <w:tcW w:w="679"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3" w:type="dxa"/>
            <w:tcBorders>
              <w:top w:val="single" w:sz="4" w:space="0" w:color="000000"/>
              <w:left w:val="single" w:sz="4" w:space="0" w:color="000000"/>
              <w:bottom w:val="nil" w:sz="6" w:space="0" w:color="auto"/>
              <w:right w:val="single" w:sz="4" w:space="0" w:color="000000"/>
            </w:tcBorders>
          </w:tcPr>
          <w:p>
            <w:pPr/>
          </w:p>
        </w:tc>
        <w:tc>
          <w:tcPr>
            <w:tcW w:w="674" w:type="dxa"/>
            <w:vMerge w:val="restart"/>
            <w:tcBorders>
              <w:top w:val="single" w:sz="4" w:space="0" w:color="000000"/>
              <w:left w:val="single" w:sz="4" w:space="0" w:color="000000"/>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3"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0" w:type="dxa"/>
            <w:vMerge w:val="restart"/>
            <w:tcBorders>
              <w:top w:val="single" w:sz="4" w:space="0" w:color="000000"/>
              <w:left w:val="single" w:sz="4" w:space="0" w:color="000000"/>
              <w:right w:val="single" w:sz="4" w:space="0" w:color="000000"/>
            </w:tcBorders>
          </w:tcPr>
          <w:p>
            <w:pPr/>
          </w:p>
        </w:tc>
        <w:tc>
          <w:tcPr>
            <w:tcW w:w="642" w:type="dxa"/>
            <w:vMerge w:val="restart"/>
            <w:tcBorders>
              <w:top w:val="single" w:sz="4" w:space="0" w:color="000000"/>
              <w:left w:val="single" w:sz="4" w:space="0" w:color="000000"/>
              <w:right w:val="single" w:sz="4" w:space="0" w:color="000000"/>
            </w:tcBorders>
          </w:tcPr>
          <w:p>
            <w:pPr/>
          </w:p>
        </w:tc>
      </w:tr>
      <w:tr>
        <w:trPr>
          <w:trHeight w:val="312"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北京云启</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理咸勇</w:t>
            </w:r>
          </w:p>
        </w:tc>
        <w:tc>
          <w:tcPr>
            <w:tcW w:w="677"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4" w:type="dxa"/>
            <w:vMerge/>
            <w:tcBorders>
              <w:left w:val="single" w:sz="4" w:space="0" w:color="000000"/>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0" w:type="dxa"/>
            <w:vMerge/>
            <w:tcBorders>
              <w:left w:val="single" w:sz="4" w:space="0" w:color="000000"/>
              <w:right w:val="single" w:sz="4" w:space="0" w:color="000000"/>
            </w:tcBorders>
          </w:tcPr>
          <w:p>
            <w:pPr/>
          </w:p>
        </w:tc>
        <w:tc>
          <w:tcPr>
            <w:tcW w:w="642" w:type="dxa"/>
            <w:vMerge/>
            <w:tcBorders>
              <w:left w:val="single" w:sz="4" w:space="0" w:color="000000"/>
              <w:right w:val="single" w:sz="4" w:space="0" w:color="000000"/>
            </w:tcBorders>
          </w:tcPr>
          <w:p>
            <w:pPr/>
          </w:p>
        </w:tc>
      </w:tr>
      <w:tr>
        <w:trPr>
          <w:trHeight w:val="624"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7"/>
              <w:jc w:val="left"/>
              <w:rPr>
                <w:rFonts w:ascii="宋体" w:hAnsi="宋体" w:cs="宋体" w:eastAsia="宋体" w:hint="default"/>
                <w:sz w:val="18"/>
                <w:szCs w:val="18"/>
              </w:rPr>
            </w:pPr>
            <w:r>
              <w:rPr>
                <w:rFonts w:ascii="宋体" w:hAnsi="宋体" w:cs="宋体" w:eastAsia="宋体" w:hint="default"/>
                <w:sz w:val="18"/>
                <w:szCs w:val="18"/>
              </w:rPr>
              <w:t>志新科技 股份有限</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02"/>
              <w:jc w:val="left"/>
              <w:rPr>
                <w:rFonts w:ascii="宋体" w:hAnsi="宋体" w:cs="宋体" w:eastAsia="宋体" w:hint="default"/>
                <w:sz w:val="18"/>
                <w:szCs w:val="18"/>
              </w:rPr>
            </w:pPr>
            <w:r>
              <w:rPr>
                <w:rFonts w:ascii="宋体" w:hAnsi="宋体" w:cs="宋体" w:eastAsia="宋体" w:hint="default"/>
                <w:sz w:val="18"/>
                <w:szCs w:val="18"/>
              </w:rPr>
              <w:t>之妻刘 丽丹为</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2"/>
              <w:jc w:val="left"/>
              <w:rPr>
                <w:rFonts w:ascii="宋体" w:hAnsi="宋体" w:cs="宋体" w:eastAsia="宋体" w:hint="default"/>
                <w:sz w:val="18"/>
                <w:szCs w:val="18"/>
              </w:rPr>
            </w:pPr>
            <w:r>
              <w:rPr>
                <w:rFonts w:ascii="宋体" w:hAnsi="宋体" w:cs="宋体" w:eastAsia="宋体" w:hint="default"/>
                <w:sz w:val="18"/>
                <w:szCs w:val="18"/>
              </w:rPr>
              <w:t>采购产 品</w:t>
            </w:r>
          </w:p>
        </w:tc>
        <w:tc>
          <w:tcPr>
            <w:tcW w:w="70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31"/>
              <w:jc w:val="left"/>
              <w:rPr>
                <w:rFonts w:ascii="宋体" w:hAnsi="宋体" w:cs="宋体" w:eastAsia="宋体" w:hint="default"/>
                <w:sz w:val="18"/>
                <w:szCs w:val="18"/>
              </w:rPr>
            </w:pPr>
            <w:r>
              <w:rPr>
                <w:rFonts w:ascii="宋体" w:hAnsi="宋体" w:cs="宋体" w:eastAsia="宋体" w:hint="default"/>
                <w:sz w:val="18"/>
                <w:szCs w:val="18"/>
              </w:rPr>
              <w:t>采购产 品</w:t>
            </w:r>
          </w:p>
        </w:tc>
        <w:tc>
          <w:tcPr>
            <w:tcW w:w="679"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915.42</w:t>
            </w:r>
          </w:p>
        </w:tc>
        <w:tc>
          <w:tcPr>
            <w:tcW w:w="67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0.24%</w:t>
            </w:r>
          </w:p>
        </w:tc>
        <w:tc>
          <w:tcPr>
            <w:tcW w:w="674" w:type="dxa"/>
            <w:vMerge/>
            <w:tcBorders>
              <w:left w:val="single" w:sz="4" w:space="0" w:color="000000"/>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915.42</w:t>
            </w:r>
          </w:p>
        </w:tc>
        <w:tc>
          <w:tcPr>
            <w:tcW w:w="670" w:type="dxa"/>
            <w:vMerge/>
            <w:tcBorders>
              <w:left w:val="single" w:sz="4" w:space="0" w:color="000000"/>
              <w:right w:val="single" w:sz="4" w:space="0" w:color="000000"/>
            </w:tcBorders>
          </w:tcPr>
          <w:p>
            <w:pPr/>
          </w:p>
        </w:tc>
        <w:tc>
          <w:tcPr>
            <w:tcW w:w="642" w:type="dxa"/>
            <w:vMerge/>
            <w:tcBorders>
              <w:left w:val="single" w:sz="4" w:space="0" w:color="000000"/>
              <w:right w:val="single" w:sz="4" w:space="0" w:color="000000"/>
            </w:tcBorders>
          </w:tcPr>
          <w:p>
            <w:pPr/>
          </w:p>
        </w:tc>
      </w:tr>
      <w:tr>
        <w:trPr>
          <w:trHeight w:val="313"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原股东</w:t>
            </w:r>
          </w:p>
        </w:tc>
        <w:tc>
          <w:tcPr>
            <w:tcW w:w="677" w:type="dxa"/>
            <w:tcBorders>
              <w:top w:val="nil" w:sz="6" w:space="0" w:color="auto"/>
              <w:left w:val="single" w:sz="4" w:space="0" w:color="000000"/>
              <w:bottom w:val="nil" w:sz="6" w:space="0" w:color="auto"/>
              <w:right w:val="single" w:sz="4" w:space="0" w:color="000000"/>
            </w:tcBorders>
          </w:tcPr>
          <w:p>
            <w:pPr/>
          </w:p>
        </w:tc>
        <w:tc>
          <w:tcPr>
            <w:tcW w:w="706" w:type="dxa"/>
            <w:tcBorders>
              <w:top w:val="nil" w:sz="6" w:space="0" w:color="auto"/>
              <w:left w:val="single" w:sz="4" w:space="0" w:color="000000"/>
              <w:bottom w:val="nil" w:sz="6" w:space="0" w:color="auto"/>
              <w:right w:val="single" w:sz="4" w:space="0" w:color="000000"/>
            </w:tcBorders>
          </w:tcPr>
          <w:p>
            <w:pPr/>
          </w:p>
        </w:tc>
        <w:tc>
          <w:tcPr>
            <w:tcW w:w="679"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4" w:type="dxa"/>
            <w:vMerge/>
            <w:tcBorders>
              <w:left w:val="single" w:sz="4" w:space="0" w:color="000000"/>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3" w:type="dxa"/>
            <w:tcBorders>
              <w:top w:val="nil" w:sz="6" w:space="0" w:color="auto"/>
              <w:left w:val="single" w:sz="4" w:space="0" w:color="000000"/>
              <w:bottom w:val="nil" w:sz="6" w:space="0" w:color="auto"/>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
        </w:tc>
        <w:tc>
          <w:tcPr>
            <w:tcW w:w="670" w:type="dxa"/>
            <w:vMerge/>
            <w:tcBorders>
              <w:left w:val="single" w:sz="4" w:space="0" w:color="000000"/>
              <w:right w:val="single" w:sz="4" w:space="0" w:color="000000"/>
            </w:tcBorders>
          </w:tcPr>
          <w:p>
            <w:pPr/>
          </w:p>
        </w:tc>
        <w:tc>
          <w:tcPr>
            <w:tcW w:w="642" w:type="dxa"/>
            <w:vMerge/>
            <w:tcBorders>
              <w:left w:val="single" w:sz="4" w:space="0" w:color="000000"/>
              <w:right w:val="single" w:sz="4" w:space="0" w:color="000000"/>
            </w:tcBorders>
          </w:tcPr>
          <w:p>
            <w:pPr/>
          </w:p>
        </w:tc>
      </w:tr>
      <w:tr>
        <w:trPr>
          <w:trHeight w:val="356" w:hRule="exact"/>
        </w:trPr>
        <w:tc>
          <w:tcPr>
            <w:tcW w:w="800" w:type="dxa"/>
            <w:tcBorders>
              <w:top w:val="nil" w:sz="6" w:space="0" w:color="auto"/>
              <w:left w:val="single" w:sz="4" w:space="0" w:color="000000"/>
              <w:bottom w:val="single" w:sz="4" w:space="0" w:color="000000"/>
              <w:right w:val="single" w:sz="4" w:space="0" w:color="000000"/>
            </w:tcBorders>
          </w:tcPr>
          <w:p>
            <w:pPr/>
          </w:p>
        </w:tc>
        <w:tc>
          <w:tcPr>
            <w:tcW w:w="6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的企业</w:t>
            </w:r>
          </w:p>
        </w:tc>
        <w:tc>
          <w:tcPr>
            <w:tcW w:w="677" w:type="dxa"/>
            <w:tcBorders>
              <w:top w:val="nil" w:sz="6" w:space="0" w:color="auto"/>
              <w:left w:val="single" w:sz="4" w:space="0" w:color="000000"/>
              <w:bottom w:val="single" w:sz="4" w:space="0" w:color="000000"/>
              <w:right w:val="single" w:sz="4" w:space="0" w:color="000000"/>
            </w:tcBorders>
          </w:tcPr>
          <w:p>
            <w:pPr/>
          </w:p>
        </w:tc>
        <w:tc>
          <w:tcPr>
            <w:tcW w:w="706" w:type="dxa"/>
            <w:tcBorders>
              <w:top w:val="nil" w:sz="6" w:space="0" w:color="auto"/>
              <w:left w:val="single" w:sz="4" w:space="0" w:color="000000"/>
              <w:bottom w:val="single" w:sz="4" w:space="0" w:color="000000"/>
              <w:right w:val="single" w:sz="4" w:space="0" w:color="000000"/>
            </w:tcBorders>
          </w:tcPr>
          <w:p>
            <w:pPr/>
          </w:p>
        </w:tc>
        <w:tc>
          <w:tcPr>
            <w:tcW w:w="679"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0" w:type="dxa"/>
            <w:vMerge/>
            <w:tcBorders>
              <w:left w:val="single" w:sz="4" w:space="0" w:color="000000"/>
              <w:bottom w:val="single" w:sz="4" w:space="0" w:color="000000"/>
              <w:right w:val="single" w:sz="4" w:space="0" w:color="000000"/>
            </w:tcBorders>
          </w:tcPr>
          <w:p>
            <w:pPr/>
          </w:p>
        </w:tc>
        <w:tc>
          <w:tcPr>
            <w:tcW w:w="642" w:type="dxa"/>
            <w:vMerge/>
            <w:tcBorders>
              <w:left w:val="single" w:sz="4" w:space="0" w:color="000000"/>
              <w:bottom w:val="single" w:sz="4" w:space="0" w:color="000000"/>
              <w:right w:val="single" w:sz="4" w:space="0" w:color="000000"/>
            </w:tcBorders>
          </w:tcPr>
          <w:p>
            <w:pP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北京北明 兆业科技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参股公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采购产 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采购产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1,493.1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0.38%</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1,493.1</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2</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both"/>
              <w:rPr>
                <w:rFonts w:ascii="宋体" w:hAnsi="宋体" w:cs="宋体" w:eastAsia="宋体" w:hint="default"/>
                <w:sz w:val="18"/>
                <w:szCs w:val="18"/>
              </w:rPr>
            </w:pPr>
            <w:r>
              <w:rPr>
                <w:rFonts w:ascii="宋体" w:hAnsi="宋体" w:cs="宋体" w:eastAsia="宋体" w:hint="default"/>
                <w:sz w:val="18"/>
                <w:szCs w:val="18"/>
              </w:rPr>
              <w:t>北京国智 云鼎软件 有限公司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联营企 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采购产 品</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采购产 品</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223.21</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0.06%</w:t>
            </w: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223.21</w:t>
            </w: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367" w:hRule="exact"/>
        </w:trPr>
        <w:tc>
          <w:tcPr>
            <w:tcW w:w="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北京盛世</w:t>
            </w:r>
          </w:p>
        </w:tc>
        <w:tc>
          <w:tcPr>
            <w:tcW w:w="6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公司第</w:t>
            </w:r>
          </w:p>
        </w:tc>
        <w:tc>
          <w:tcPr>
            <w:tcW w:w="677" w:type="dxa"/>
            <w:tcBorders>
              <w:top w:val="single" w:sz="4" w:space="0" w:color="000000"/>
              <w:left w:val="single" w:sz="4" w:space="0" w:color="000000"/>
              <w:bottom w:val="nil" w:sz="6" w:space="0" w:color="auto"/>
              <w:right w:val="single" w:sz="4" w:space="0" w:color="000000"/>
            </w:tcBorders>
          </w:tcPr>
          <w:p>
            <w:pPr/>
          </w:p>
        </w:tc>
        <w:tc>
          <w:tcPr>
            <w:tcW w:w="706" w:type="dxa"/>
            <w:tcBorders>
              <w:top w:val="single" w:sz="4" w:space="0" w:color="000000"/>
              <w:left w:val="single" w:sz="4" w:space="0" w:color="000000"/>
              <w:bottom w:val="nil" w:sz="6" w:space="0" w:color="auto"/>
              <w:right w:val="single" w:sz="4" w:space="0" w:color="000000"/>
            </w:tcBorders>
          </w:tcPr>
          <w:p>
            <w:pPr/>
          </w:p>
        </w:tc>
        <w:tc>
          <w:tcPr>
            <w:tcW w:w="679"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3" w:type="dxa"/>
            <w:tcBorders>
              <w:top w:val="single" w:sz="4" w:space="0" w:color="000000"/>
              <w:left w:val="single" w:sz="4" w:space="0" w:color="000000"/>
              <w:bottom w:val="nil" w:sz="6" w:space="0" w:color="auto"/>
              <w:right w:val="single" w:sz="4" w:space="0" w:color="000000"/>
            </w:tcBorders>
          </w:tcPr>
          <w:p>
            <w:pPr/>
          </w:p>
        </w:tc>
        <w:tc>
          <w:tcPr>
            <w:tcW w:w="674" w:type="dxa"/>
            <w:vMerge w:val="restart"/>
            <w:tcBorders>
              <w:top w:val="single" w:sz="4" w:space="0" w:color="000000"/>
              <w:left w:val="single" w:sz="4" w:space="0" w:color="000000"/>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3" w:type="dxa"/>
            <w:tcBorders>
              <w:top w:val="single" w:sz="4" w:space="0" w:color="000000"/>
              <w:left w:val="single" w:sz="4" w:space="0" w:color="000000"/>
              <w:bottom w:val="nil" w:sz="6" w:space="0" w:color="auto"/>
              <w:right w:val="single" w:sz="4" w:space="0" w:color="000000"/>
            </w:tcBorders>
          </w:tcPr>
          <w:p>
            <w:pPr/>
          </w:p>
        </w:tc>
        <w:tc>
          <w:tcPr>
            <w:tcW w:w="674" w:type="dxa"/>
            <w:tcBorders>
              <w:top w:val="single" w:sz="4" w:space="0" w:color="000000"/>
              <w:left w:val="single" w:sz="4" w:space="0" w:color="000000"/>
              <w:bottom w:val="nil" w:sz="6" w:space="0" w:color="auto"/>
              <w:right w:val="single" w:sz="4" w:space="0" w:color="000000"/>
            </w:tcBorders>
          </w:tcPr>
          <w:p>
            <w:pPr/>
          </w:p>
        </w:tc>
        <w:tc>
          <w:tcPr>
            <w:tcW w:w="670" w:type="dxa"/>
            <w:vMerge w:val="restart"/>
            <w:tcBorders>
              <w:top w:val="single" w:sz="4" w:space="0" w:color="000000"/>
              <w:left w:val="single" w:sz="4" w:space="0" w:color="000000"/>
              <w:right w:val="single" w:sz="4" w:space="0" w:color="000000"/>
            </w:tcBorders>
          </w:tcPr>
          <w:p>
            <w:pPr/>
          </w:p>
        </w:tc>
        <w:tc>
          <w:tcPr>
            <w:tcW w:w="642" w:type="dxa"/>
            <w:vMerge w:val="restart"/>
            <w:tcBorders>
              <w:top w:val="single" w:sz="4" w:space="0" w:color="000000"/>
              <w:left w:val="single" w:sz="4" w:space="0" w:color="000000"/>
              <w:right w:val="single" w:sz="4" w:space="0" w:color="000000"/>
            </w:tcBorders>
          </w:tcPr>
          <w:p>
            <w:pPr/>
          </w:p>
        </w:tc>
      </w:tr>
      <w:tr>
        <w:trPr>
          <w:trHeight w:val="624" w:hRule="exact"/>
        </w:trPr>
        <w:tc>
          <w:tcPr>
            <w:tcW w:w="800"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47"/>
              <w:jc w:val="left"/>
              <w:rPr>
                <w:rFonts w:ascii="宋体" w:hAnsi="宋体" w:cs="宋体" w:eastAsia="宋体" w:hint="default"/>
                <w:sz w:val="18"/>
                <w:szCs w:val="18"/>
              </w:rPr>
            </w:pPr>
            <w:r>
              <w:rPr>
                <w:rFonts w:ascii="宋体" w:hAnsi="宋体" w:cs="宋体" w:eastAsia="宋体" w:hint="default"/>
                <w:sz w:val="18"/>
                <w:szCs w:val="18"/>
              </w:rPr>
              <w:t>繁花国际 际传媒广</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二大股 东合营</w:t>
            </w:r>
          </w:p>
        </w:tc>
        <w:tc>
          <w:tcPr>
            <w:tcW w:w="677"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102"/>
              <w:jc w:val="left"/>
              <w:rPr>
                <w:rFonts w:ascii="宋体" w:hAnsi="宋体" w:cs="宋体" w:eastAsia="宋体" w:hint="default"/>
                <w:sz w:val="18"/>
                <w:szCs w:val="18"/>
              </w:rPr>
            </w:pPr>
            <w:r>
              <w:rPr>
                <w:rFonts w:ascii="宋体" w:hAnsi="宋体" w:cs="宋体" w:eastAsia="宋体" w:hint="default"/>
                <w:sz w:val="18"/>
                <w:szCs w:val="18"/>
              </w:rPr>
              <w:t>物业服 务</w:t>
            </w:r>
          </w:p>
        </w:tc>
        <w:tc>
          <w:tcPr>
            <w:tcW w:w="706"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131"/>
              <w:jc w:val="left"/>
              <w:rPr>
                <w:rFonts w:ascii="宋体" w:hAnsi="宋体" w:cs="宋体" w:eastAsia="宋体" w:hint="default"/>
                <w:sz w:val="18"/>
                <w:szCs w:val="18"/>
              </w:rPr>
            </w:pPr>
            <w:r>
              <w:rPr>
                <w:rFonts w:ascii="宋体" w:hAnsi="宋体" w:cs="宋体" w:eastAsia="宋体" w:hint="default"/>
                <w:sz w:val="18"/>
                <w:szCs w:val="18"/>
              </w:rPr>
              <w:t>物业服 务</w:t>
            </w:r>
          </w:p>
        </w:tc>
        <w:tc>
          <w:tcPr>
            <w:tcW w:w="679"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104"/>
              <w:jc w:val="left"/>
              <w:rPr>
                <w:rFonts w:ascii="宋体" w:hAnsi="宋体" w:cs="宋体" w:eastAsia="宋体" w:hint="default"/>
                <w:sz w:val="18"/>
                <w:szCs w:val="18"/>
              </w:rPr>
            </w:pPr>
            <w:r>
              <w:rPr>
                <w:rFonts w:ascii="宋体" w:hAnsi="宋体" w:cs="宋体" w:eastAsia="宋体" w:hint="default"/>
                <w:sz w:val="18"/>
                <w:szCs w:val="18"/>
              </w:rPr>
              <w:t>公平公 正</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4" w:right="98"/>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238.23</w:t>
            </w:r>
          </w:p>
        </w:tc>
        <w:tc>
          <w:tcPr>
            <w:tcW w:w="67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0.06%</w:t>
            </w:r>
          </w:p>
        </w:tc>
        <w:tc>
          <w:tcPr>
            <w:tcW w:w="674" w:type="dxa"/>
            <w:vMerge/>
            <w:tcBorders>
              <w:left w:val="single" w:sz="4" w:space="0" w:color="000000"/>
              <w:right w:val="single" w:sz="4" w:space="0" w:color="000000"/>
            </w:tcBorders>
          </w:tcPr>
          <w:p>
            <w:pP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3"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98"/>
              <w:jc w:val="left"/>
              <w:rPr>
                <w:rFonts w:ascii="宋体" w:hAnsi="宋体" w:cs="宋体" w:eastAsia="宋体" w:hint="default"/>
                <w:sz w:val="18"/>
                <w:szCs w:val="18"/>
              </w:rPr>
            </w:pPr>
            <w:r>
              <w:rPr>
                <w:rFonts w:ascii="宋体" w:hAnsi="宋体" w:cs="宋体" w:eastAsia="宋体" w:hint="default"/>
                <w:sz w:val="18"/>
                <w:szCs w:val="18"/>
              </w:rPr>
              <w:t>现款结 算</w:t>
            </w:r>
          </w:p>
        </w:tc>
        <w:tc>
          <w:tcPr>
            <w:tcW w:w="67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238.23</w:t>
            </w:r>
          </w:p>
        </w:tc>
        <w:tc>
          <w:tcPr>
            <w:tcW w:w="670" w:type="dxa"/>
            <w:vMerge/>
            <w:tcBorders>
              <w:left w:val="single" w:sz="4" w:space="0" w:color="000000"/>
              <w:right w:val="single" w:sz="4" w:space="0" w:color="000000"/>
            </w:tcBorders>
          </w:tcPr>
          <w:p>
            <w:pPr/>
          </w:p>
        </w:tc>
        <w:tc>
          <w:tcPr>
            <w:tcW w:w="642" w:type="dxa"/>
            <w:vMerge/>
            <w:tcBorders>
              <w:left w:val="single" w:sz="4" w:space="0" w:color="000000"/>
              <w:right w:val="single" w:sz="4" w:space="0" w:color="000000"/>
            </w:tcBorders>
          </w:tcPr>
          <w:p>
            <w:pPr/>
          </w:p>
        </w:tc>
      </w:tr>
      <w:tr>
        <w:trPr>
          <w:trHeight w:val="347" w:hRule="exact"/>
        </w:trPr>
        <w:tc>
          <w:tcPr>
            <w:tcW w:w="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告有限公</w:t>
            </w:r>
          </w:p>
        </w:tc>
        <w:tc>
          <w:tcPr>
            <w:tcW w:w="6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企业</w:t>
            </w:r>
          </w:p>
        </w:tc>
        <w:tc>
          <w:tcPr>
            <w:tcW w:w="677" w:type="dxa"/>
            <w:tcBorders>
              <w:top w:val="nil" w:sz="6" w:space="0" w:color="auto"/>
              <w:left w:val="single" w:sz="4" w:space="0" w:color="000000"/>
              <w:bottom w:val="single" w:sz="4" w:space="0" w:color="000000"/>
              <w:right w:val="single" w:sz="4" w:space="0" w:color="000000"/>
            </w:tcBorders>
          </w:tcPr>
          <w:p>
            <w:pPr/>
          </w:p>
        </w:tc>
        <w:tc>
          <w:tcPr>
            <w:tcW w:w="706" w:type="dxa"/>
            <w:tcBorders>
              <w:top w:val="nil" w:sz="6" w:space="0" w:color="auto"/>
              <w:left w:val="single" w:sz="4" w:space="0" w:color="000000"/>
              <w:bottom w:val="single" w:sz="4" w:space="0" w:color="000000"/>
              <w:right w:val="single" w:sz="4" w:space="0" w:color="000000"/>
            </w:tcBorders>
          </w:tcPr>
          <w:p>
            <w:pPr/>
          </w:p>
        </w:tc>
        <w:tc>
          <w:tcPr>
            <w:tcW w:w="679"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3" w:type="dxa"/>
            <w:tcBorders>
              <w:top w:val="nil" w:sz="6" w:space="0" w:color="auto"/>
              <w:left w:val="single" w:sz="4" w:space="0" w:color="000000"/>
              <w:bottom w:val="single" w:sz="4" w:space="0" w:color="000000"/>
              <w:right w:val="single" w:sz="4" w:space="0" w:color="000000"/>
            </w:tcBorders>
          </w:tcPr>
          <w:p>
            <w:pPr/>
          </w:p>
        </w:tc>
        <w:tc>
          <w:tcPr>
            <w:tcW w:w="674" w:type="dxa"/>
            <w:tcBorders>
              <w:top w:val="nil" w:sz="6" w:space="0" w:color="auto"/>
              <w:left w:val="single" w:sz="4" w:space="0" w:color="000000"/>
              <w:bottom w:val="single" w:sz="4" w:space="0" w:color="000000"/>
              <w:right w:val="single" w:sz="4" w:space="0" w:color="000000"/>
            </w:tcBorders>
          </w:tcPr>
          <w:p>
            <w:pPr/>
          </w:p>
        </w:tc>
        <w:tc>
          <w:tcPr>
            <w:tcW w:w="670" w:type="dxa"/>
            <w:vMerge/>
            <w:tcBorders>
              <w:left w:val="single" w:sz="4" w:space="0" w:color="000000"/>
              <w:bottom w:val="single" w:sz="4" w:space="0" w:color="000000"/>
              <w:right w:val="single" w:sz="4" w:space="0" w:color="000000"/>
            </w:tcBorders>
          </w:tcPr>
          <w:p>
            <w:pPr/>
          </w:p>
        </w:tc>
        <w:tc>
          <w:tcPr>
            <w:tcW w:w="64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789"/>
        <w:gridCol w:w="677"/>
        <w:gridCol w:w="677"/>
        <w:gridCol w:w="694"/>
        <w:gridCol w:w="691"/>
        <w:gridCol w:w="674"/>
        <w:gridCol w:w="674"/>
        <w:gridCol w:w="673"/>
        <w:gridCol w:w="674"/>
        <w:gridCol w:w="674"/>
        <w:gridCol w:w="673"/>
        <w:gridCol w:w="674"/>
        <w:gridCol w:w="670"/>
        <w:gridCol w:w="642"/>
      </w:tblGrid>
      <w:tr>
        <w:trPr>
          <w:trHeight w:val="362" w:hRule="exact"/>
        </w:trPr>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司</w:t>
            </w:r>
          </w:p>
        </w:tc>
        <w:tc>
          <w:tcPr>
            <w:tcW w:w="67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836" w:type="dxa"/>
            <w:gridSpan w:val="4"/>
            <w:tcBorders>
              <w:top w:val="single" w:sz="4" w:space="0" w:color="000000"/>
              <w:left w:val="single" w:sz="4" w:space="0" w:color="000000"/>
              <w:bottom w:val="nil" w:sz="6" w:space="0" w:color="auto"/>
              <w:right w:val="single" w:sz="4" w:space="0" w:color="000000"/>
            </w:tcBorders>
            <w:shd w:val="clear" w:color="auto" w:fill="D3D3D3"/>
          </w:tcPr>
          <w:p>
            <w:pPr/>
          </w:p>
        </w:tc>
        <w:tc>
          <w:tcPr>
            <w:tcW w:w="691" w:type="dxa"/>
            <w:tcBorders>
              <w:top w:val="single" w:sz="4" w:space="0" w:color="000000"/>
              <w:left w:val="single" w:sz="4" w:space="0" w:color="000000"/>
              <w:bottom w:val="nil" w:sz="6" w:space="0" w:color="auto"/>
              <w:right w:val="single" w:sz="4" w:space="0" w:color="000000"/>
            </w:tcBorders>
            <w:shd w:val="clear" w:color="auto" w:fill="D3D3D3"/>
          </w:tcPr>
          <w:p>
            <w:pPr/>
          </w:p>
        </w:tc>
        <w:tc>
          <w:tcPr>
            <w:tcW w:w="674" w:type="dxa"/>
            <w:tcBorders>
              <w:top w:val="single" w:sz="4" w:space="0" w:color="000000"/>
              <w:left w:val="single" w:sz="4" w:space="0" w:color="000000"/>
              <w:bottom w:val="nil" w:sz="6" w:space="0" w:color="auto"/>
              <w:right w:val="single" w:sz="4" w:space="0" w:color="000000"/>
            </w:tcBorders>
            <w:shd w:val="clear" w:color="auto" w:fill="D3D3D3"/>
          </w:tcPr>
          <w:p>
            <w:pPr/>
          </w:p>
        </w:tc>
        <w:tc>
          <w:tcPr>
            <w:tcW w:w="674" w:type="dxa"/>
            <w:vMerge w:val="restart"/>
            <w:tcBorders>
              <w:top w:val="single" w:sz="4" w:space="0" w:color="000000"/>
              <w:left w:val="single" w:sz="9" w:space="0" w:color="D3D3D3"/>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55</w:t>
            </w:r>
          </w:p>
        </w:tc>
        <w:tc>
          <w:tcPr>
            <w:tcW w:w="67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18,000</w:t>
            </w:r>
          </w:p>
        </w:tc>
        <w:tc>
          <w:tcPr>
            <w:tcW w:w="67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4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392" w:hRule="exact"/>
        </w:trPr>
        <w:tc>
          <w:tcPr>
            <w:tcW w:w="2836" w:type="dxa"/>
            <w:gridSpan w:val="4"/>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vMerge/>
            <w:tcBorders>
              <w:left w:val="single" w:sz="9" w:space="0" w:color="D3D3D3"/>
              <w:right w:val="single" w:sz="4" w:space="0" w:color="000000"/>
            </w:tcBorders>
          </w:tcPr>
          <w:p>
            <w:pPr/>
          </w:p>
        </w:tc>
        <w:tc>
          <w:tcPr>
            <w:tcW w:w="673" w:type="dxa"/>
            <w:vMerge/>
            <w:tcBorders>
              <w:left w:val="single" w:sz="4" w:space="0" w:color="000000"/>
              <w:right w:val="single" w:sz="4" w:space="0" w:color="000000"/>
            </w:tcBorders>
            <w:shd w:val="clear" w:color="auto" w:fill="D3D3D3"/>
          </w:tcPr>
          <w:p>
            <w:pPr/>
          </w:p>
        </w:tc>
        <w:tc>
          <w:tcPr>
            <w:tcW w:w="674" w:type="dxa"/>
            <w:vMerge/>
            <w:tcBorders>
              <w:left w:val="single" w:sz="4" w:space="0" w:color="000000"/>
              <w:right w:val="single" w:sz="4" w:space="0" w:color="000000"/>
            </w:tcBorders>
          </w:tcPr>
          <w:p>
            <w:pPr/>
          </w:p>
        </w:tc>
        <w:tc>
          <w:tcPr>
            <w:tcW w:w="674" w:type="dxa"/>
            <w:vMerge/>
            <w:tcBorders>
              <w:left w:val="single" w:sz="4" w:space="0" w:color="000000"/>
              <w:right w:val="single" w:sz="4" w:space="0" w:color="000000"/>
            </w:tcBorders>
            <w:shd w:val="clear" w:color="auto" w:fill="D3D3D3"/>
          </w:tcPr>
          <w:p>
            <w:pPr/>
          </w:p>
        </w:tc>
        <w:tc>
          <w:tcPr>
            <w:tcW w:w="673" w:type="dxa"/>
            <w:vMerge/>
            <w:tcBorders>
              <w:left w:val="single" w:sz="4" w:space="0" w:color="000000"/>
              <w:right w:val="single" w:sz="4" w:space="0" w:color="000000"/>
            </w:tcBorders>
            <w:shd w:val="clear" w:color="auto" w:fill="D3D3D3"/>
          </w:tcPr>
          <w:p>
            <w:pPr/>
          </w:p>
        </w:tc>
        <w:tc>
          <w:tcPr>
            <w:tcW w:w="674" w:type="dxa"/>
            <w:vMerge/>
            <w:tcBorders>
              <w:left w:val="single" w:sz="4" w:space="0" w:color="000000"/>
              <w:right w:val="single" w:sz="4" w:space="0" w:color="000000"/>
            </w:tcBorders>
            <w:shd w:val="clear" w:color="auto" w:fill="D3D3D3"/>
          </w:tcPr>
          <w:p>
            <w:pPr/>
          </w:p>
        </w:tc>
        <w:tc>
          <w:tcPr>
            <w:tcW w:w="670" w:type="dxa"/>
            <w:vMerge/>
            <w:tcBorders>
              <w:left w:val="single" w:sz="4" w:space="0" w:color="000000"/>
              <w:right w:val="single" w:sz="4" w:space="0" w:color="000000"/>
            </w:tcBorders>
            <w:shd w:val="clear" w:color="auto" w:fill="D3D3D3"/>
          </w:tcPr>
          <w:p>
            <w:pPr/>
          </w:p>
        </w:tc>
        <w:tc>
          <w:tcPr>
            <w:tcW w:w="642" w:type="dxa"/>
            <w:vMerge/>
            <w:tcBorders>
              <w:left w:val="single" w:sz="4" w:space="0" w:color="000000"/>
              <w:right w:val="single" w:sz="4" w:space="0" w:color="000000"/>
            </w:tcBorders>
            <w:shd w:val="clear" w:color="auto" w:fill="D3D3D3"/>
          </w:tcPr>
          <w:p>
            <w:pPr/>
          </w:p>
        </w:tc>
      </w:tr>
      <w:tr>
        <w:trPr>
          <w:trHeight w:val="162" w:hRule="exact"/>
        </w:trPr>
        <w:tc>
          <w:tcPr>
            <w:tcW w:w="2836" w:type="dxa"/>
            <w:gridSpan w:val="4"/>
            <w:tcBorders>
              <w:top w:val="nil" w:sz="6" w:space="0" w:color="auto"/>
              <w:left w:val="single" w:sz="4" w:space="0" w:color="000000"/>
              <w:bottom w:val="single" w:sz="4" w:space="0" w:color="000000"/>
              <w:right w:val="single" w:sz="4" w:space="0" w:color="000000"/>
            </w:tcBorders>
            <w:shd w:val="clear" w:color="auto" w:fill="D3D3D3"/>
          </w:tcPr>
          <w:p>
            <w:pPr/>
          </w:p>
        </w:tc>
        <w:tc>
          <w:tcPr>
            <w:tcW w:w="691" w:type="dxa"/>
            <w:tcBorders>
              <w:top w:val="nil" w:sz="6" w:space="0" w:color="auto"/>
              <w:left w:val="single" w:sz="4" w:space="0" w:color="000000"/>
              <w:bottom w:val="single" w:sz="4" w:space="0" w:color="000000"/>
              <w:right w:val="single" w:sz="4" w:space="0" w:color="000000"/>
            </w:tcBorders>
            <w:shd w:val="clear" w:color="auto" w:fill="D3D3D3"/>
          </w:tcPr>
          <w:p>
            <w:pPr/>
          </w:p>
        </w:tc>
        <w:tc>
          <w:tcPr>
            <w:tcW w:w="674" w:type="dxa"/>
            <w:tcBorders>
              <w:top w:val="nil" w:sz="6" w:space="0" w:color="auto"/>
              <w:left w:val="single" w:sz="4" w:space="0" w:color="000000"/>
              <w:bottom w:val="single" w:sz="4" w:space="0" w:color="000000"/>
              <w:right w:val="single" w:sz="4" w:space="0" w:color="000000"/>
            </w:tcBorders>
            <w:shd w:val="clear" w:color="auto" w:fill="D3D3D3"/>
          </w:tcPr>
          <w:p>
            <w:pPr/>
          </w:p>
        </w:tc>
        <w:tc>
          <w:tcPr>
            <w:tcW w:w="674" w:type="dxa"/>
            <w:vMerge/>
            <w:tcBorders>
              <w:left w:val="single" w:sz="9" w:space="0" w:color="D3D3D3"/>
              <w:bottom w:val="single" w:sz="4" w:space="0" w:color="000000"/>
              <w:right w:val="single" w:sz="4" w:space="0" w:color="000000"/>
            </w:tcBorders>
          </w:tcPr>
          <w:p>
            <w:pPr/>
          </w:p>
        </w:tc>
        <w:tc>
          <w:tcPr>
            <w:tcW w:w="673" w:type="dxa"/>
            <w:vMerge/>
            <w:tcBorders>
              <w:left w:val="single" w:sz="4" w:space="0" w:color="000000"/>
              <w:bottom w:val="single" w:sz="4" w:space="0" w:color="000000"/>
              <w:right w:val="single" w:sz="4" w:space="0" w:color="000000"/>
            </w:tcBorders>
            <w:shd w:val="clear" w:color="auto" w:fill="D3D3D3"/>
          </w:tcPr>
          <w:p>
            <w:pPr/>
          </w:p>
        </w:tc>
        <w:tc>
          <w:tcPr>
            <w:tcW w:w="674" w:type="dxa"/>
            <w:vMerge/>
            <w:tcBorders>
              <w:left w:val="single" w:sz="4" w:space="0" w:color="000000"/>
              <w:bottom w:val="single" w:sz="4" w:space="0" w:color="000000"/>
              <w:right w:val="single" w:sz="4" w:space="0" w:color="000000"/>
            </w:tcBorders>
          </w:tcPr>
          <w:p>
            <w:pPr/>
          </w:p>
        </w:tc>
        <w:tc>
          <w:tcPr>
            <w:tcW w:w="674" w:type="dxa"/>
            <w:vMerge/>
            <w:tcBorders>
              <w:left w:val="single" w:sz="4" w:space="0" w:color="000000"/>
              <w:bottom w:val="single" w:sz="4" w:space="0" w:color="000000"/>
              <w:right w:val="single" w:sz="4" w:space="0" w:color="000000"/>
            </w:tcBorders>
            <w:shd w:val="clear" w:color="auto" w:fill="D3D3D3"/>
          </w:tcPr>
          <w:p>
            <w:pPr/>
          </w:p>
        </w:tc>
        <w:tc>
          <w:tcPr>
            <w:tcW w:w="673" w:type="dxa"/>
            <w:vMerge/>
            <w:tcBorders>
              <w:left w:val="single" w:sz="4" w:space="0" w:color="000000"/>
              <w:bottom w:val="single" w:sz="4" w:space="0" w:color="000000"/>
              <w:right w:val="single" w:sz="4" w:space="0" w:color="000000"/>
            </w:tcBorders>
            <w:shd w:val="clear" w:color="auto" w:fill="D3D3D3"/>
          </w:tcPr>
          <w:p>
            <w:pPr/>
          </w:p>
        </w:tc>
        <w:tc>
          <w:tcPr>
            <w:tcW w:w="674" w:type="dxa"/>
            <w:vMerge/>
            <w:tcBorders>
              <w:left w:val="single" w:sz="4" w:space="0" w:color="000000"/>
              <w:bottom w:val="single" w:sz="4" w:space="0" w:color="000000"/>
              <w:right w:val="single" w:sz="4" w:space="0" w:color="000000"/>
            </w:tcBorders>
            <w:shd w:val="clear" w:color="auto" w:fill="D3D3D3"/>
          </w:tcPr>
          <w:p>
            <w:pPr/>
          </w:p>
        </w:tc>
        <w:tc>
          <w:tcPr>
            <w:tcW w:w="670" w:type="dxa"/>
            <w:vMerge/>
            <w:tcBorders>
              <w:left w:val="single" w:sz="4" w:space="0" w:color="000000"/>
              <w:bottom w:val="single" w:sz="4" w:space="0" w:color="000000"/>
              <w:right w:val="single" w:sz="4" w:space="0" w:color="000000"/>
            </w:tcBorders>
            <w:shd w:val="clear" w:color="auto" w:fill="D3D3D3"/>
          </w:tcPr>
          <w:p>
            <w:pPr/>
          </w:p>
        </w:tc>
        <w:tc>
          <w:tcPr>
            <w:tcW w:w="64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83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21" w:type="dxa"/>
            <w:gridSpan w:val="10"/>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7" w:hRule="exact"/>
        </w:trPr>
        <w:tc>
          <w:tcPr>
            <w:tcW w:w="2836" w:type="dxa"/>
            <w:gridSpan w:val="4"/>
            <w:tcBorders>
              <w:top w:val="single" w:sz="4" w:space="0" w:color="000000"/>
              <w:left w:val="single" w:sz="4" w:space="0" w:color="000000"/>
              <w:bottom w:val="nil" w:sz="6" w:space="0" w:color="auto"/>
              <w:right w:val="single" w:sz="4" w:space="0" w:color="000000"/>
            </w:tcBorders>
            <w:shd w:val="clear" w:color="auto" w:fill="D3D3D3"/>
          </w:tcPr>
          <w:p>
            <w:pPr/>
          </w:p>
        </w:tc>
        <w:tc>
          <w:tcPr>
            <w:tcW w:w="6721" w:type="dxa"/>
            <w:gridSpan w:val="10"/>
            <w:vMerge w:val="restart"/>
            <w:tcBorders>
              <w:top w:val="single" w:sz="4" w:space="0" w:color="000000"/>
              <w:left w:val="single" w:sz="10" w:space="0" w:color="D3D3D3"/>
              <w:right w:val="single" w:sz="4" w:space="0" w:color="000000"/>
            </w:tcBorders>
          </w:tcPr>
          <w:p>
            <w:pPr>
              <w:pStyle w:val="TableParagraph"/>
              <w:spacing w:line="300" w:lineRule="auto" w:before="51"/>
              <w:ind w:left="27" w:right="23" w:firstLine="360"/>
              <w:jc w:val="both"/>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年年度股东大会审议通过与常山集团签署</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年度日常生产经营 关联交易协议的议案，</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年度预计销售商品发生关联交易 </w:t>
            </w:r>
            <w:r>
              <w:rPr>
                <w:rFonts w:ascii="Times New Roman" w:hAnsi="Times New Roman" w:cs="Times New Roman" w:eastAsia="Times New Roman" w:hint="default"/>
                <w:sz w:val="18"/>
                <w:szCs w:val="18"/>
              </w:rPr>
              <w:t>13,000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万元，购买商品 发生关联交易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万元，本报告期内公司与常山集团及附属企业实际发生销售商品</w:t>
            </w:r>
          </w:p>
          <w:p>
            <w:pPr>
              <w:pStyle w:val="TableParagraph"/>
              <w:spacing w:line="302" w:lineRule="auto" w:before="13"/>
              <w:ind w:left="27" w:right="20"/>
              <w:jc w:val="left"/>
              <w:rPr>
                <w:rFonts w:ascii="宋体" w:hAnsi="宋体" w:cs="宋体" w:eastAsia="宋体" w:hint="default"/>
                <w:sz w:val="18"/>
                <w:szCs w:val="18"/>
              </w:rPr>
            </w:pPr>
            <w:r>
              <w:rPr>
                <w:rFonts w:ascii="宋体" w:hAnsi="宋体" w:cs="宋体" w:eastAsia="宋体" w:hint="default"/>
                <w:sz w:val="18"/>
                <w:szCs w:val="18"/>
              </w:rPr>
              <w:t>关联交易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11,799.33</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万元，发生购买商品关联交易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4,602.13</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万元，在股东大会授权范围</w:t>
            </w:r>
            <w:r>
              <w:rPr>
                <w:rFonts w:ascii="宋体" w:hAnsi="宋体" w:cs="宋体" w:eastAsia="宋体" w:hint="default"/>
                <w:sz w:val="18"/>
                <w:szCs w:val="18"/>
              </w:rPr>
              <w:t> 内。</w:t>
            </w:r>
          </w:p>
        </w:tc>
      </w:tr>
      <w:tr>
        <w:trPr>
          <w:trHeight w:val="1016" w:hRule="exact"/>
        </w:trPr>
        <w:tc>
          <w:tcPr>
            <w:tcW w:w="2836" w:type="dxa"/>
            <w:gridSpan w:val="4"/>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21" w:type="dxa"/>
            <w:gridSpan w:val="10"/>
            <w:vMerge/>
            <w:tcBorders>
              <w:left w:val="single" w:sz="10" w:space="0" w:color="D3D3D3"/>
              <w:right w:val="single" w:sz="4" w:space="0" w:color="000000"/>
            </w:tcBorders>
          </w:tcPr>
          <w:p>
            <w:pPr/>
          </w:p>
        </w:tc>
      </w:tr>
      <w:tr>
        <w:trPr>
          <w:trHeight w:val="318" w:hRule="exact"/>
        </w:trPr>
        <w:tc>
          <w:tcPr>
            <w:tcW w:w="2836" w:type="dxa"/>
            <w:gridSpan w:val="4"/>
            <w:tcBorders>
              <w:top w:val="nil" w:sz="6" w:space="0" w:color="auto"/>
              <w:left w:val="single" w:sz="4" w:space="0" w:color="000000"/>
              <w:bottom w:val="single" w:sz="4" w:space="0" w:color="000000"/>
              <w:right w:val="single" w:sz="4" w:space="0" w:color="000000"/>
            </w:tcBorders>
            <w:shd w:val="clear" w:color="auto" w:fill="D3D3D3"/>
          </w:tcPr>
          <w:p>
            <w:pPr/>
          </w:p>
        </w:tc>
        <w:tc>
          <w:tcPr>
            <w:tcW w:w="6721" w:type="dxa"/>
            <w:gridSpan w:val="10"/>
            <w:vMerge/>
            <w:tcBorders>
              <w:left w:val="single" w:sz="10" w:space="0" w:color="D3D3D3"/>
              <w:bottom w:val="single" w:sz="4" w:space="0" w:color="000000"/>
              <w:right w:val="single" w:sz="4" w:space="0" w:color="000000"/>
            </w:tcBorders>
          </w:tcPr>
          <w:p>
            <w:pPr/>
          </w:p>
        </w:tc>
      </w:tr>
      <w:tr>
        <w:trPr>
          <w:trHeight w:val="714" w:hRule="exact"/>
        </w:trPr>
        <w:tc>
          <w:tcPr>
            <w:tcW w:w="283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13"/>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21" w:type="dxa"/>
            <w:gridSpan w:val="10"/>
            <w:tcBorders>
              <w:top w:val="single" w:sz="4" w:space="0" w:color="000000"/>
              <w:left w:val="single" w:sz="13" w:space="0" w:color="D3D3D3"/>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both"/>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3" w:right="6431"/>
        <w:jc w:val="left"/>
      </w:pPr>
      <w:r>
        <w:rPr/>
        <w:t>□ 适用 √ 不适用 公司报告期未发生资产或股权收购、出售的关联交易。</w:t>
      </w:r>
    </w:p>
    <w:p>
      <w:pPr>
        <w:spacing w:line="240" w:lineRule="auto" w:before="1"/>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3" w:right="7151"/>
        <w:jc w:val="left"/>
      </w:pPr>
      <w:r>
        <w:rPr/>
        <w:t>□ 适用 √ 不适用 公司报告期未发生共同对外投资的关联交易。</w:t>
      </w:r>
    </w:p>
    <w:p>
      <w:pPr>
        <w:spacing w:line="240" w:lineRule="auto" w:before="11"/>
        <w:rPr>
          <w:rFonts w:ascii="宋体" w:hAnsi="宋体" w:cs="宋体" w:eastAsia="宋体" w:hint="default"/>
          <w:sz w:val="19"/>
          <w:szCs w:val="19"/>
        </w:rPr>
      </w:pPr>
    </w:p>
    <w:p>
      <w:pPr>
        <w:pStyle w:val="Heading3"/>
        <w:spacing w:line="240" w:lineRule="auto"/>
        <w:ind w:right="0"/>
        <w:jc w:val="both"/>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7871"/>
        <w:jc w:val="left"/>
      </w:pPr>
      <w:r>
        <w:rPr/>
        <w:t>√ 适用 □ 不适用 是否存在非经营性关联债权债务往来</w:t>
      </w:r>
    </w:p>
    <w:p>
      <w:pPr>
        <w:pStyle w:val="BodyText"/>
        <w:spacing w:line="357" w:lineRule="auto" w:before="29"/>
        <w:ind w:left="153" w:right="6971"/>
        <w:jc w:val="left"/>
      </w:pPr>
      <w:r>
        <w:rPr/>
        <w:t>□ 是 √ 否 公司报告期不存在非经营性关联债权债务往来。</w:t>
      </w:r>
    </w:p>
    <w:p>
      <w:pPr>
        <w:spacing w:line="240" w:lineRule="auto" w:before="13"/>
        <w:rPr>
          <w:rFonts w:ascii="宋体" w:hAnsi="宋体" w:cs="宋体" w:eastAsia="宋体" w:hint="default"/>
          <w:sz w:val="19"/>
          <w:szCs w:val="19"/>
        </w:rPr>
      </w:pPr>
    </w:p>
    <w:p>
      <w:pPr>
        <w:pStyle w:val="Heading3"/>
        <w:spacing w:line="240" w:lineRule="auto"/>
        <w:ind w:right="0"/>
        <w:jc w:val="both"/>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8051"/>
        <w:jc w:val="left"/>
      </w:pPr>
      <w:r>
        <w:rPr/>
        <w:t>□ 适用 √ 不适用 公司报告期无其他重大关联交易。</w:t>
      </w:r>
    </w:p>
    <w:p>
      <w:pPr>
        <w:pStyle w:val="BodyText"/>
        <w:spacing w:line="240" w:lineRule="auto" w:before="28"/>
        <w:ind w:left="513" w:right="0"/>
        <w:jc w:val="left"/>
      </w:pPr>
      <w:r>
        <w:rPr>
          <w:rFonts w:ascii="Times New Roman" w:hAnsi="Times New Roman" w:cs="Times New Roman" w:eastAsia="Times New Roman" w:hint="default"/>
        </w:rPr>
        <w:t>1</w:t>
      </w:r>
      <w:r>
        <w:rPr>
          <w:spacing w:val="-10"/>
        </w:rPr>
        <w:t>、</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9 </w:t>
      </w:r>
      <w:r>
        <w:rPr/>
        <w:t>月</w:t>
      </w:r>
      <w:r>
        <w:rPr>
          <w:spacing w:val="-46"/>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日召开</w:t>
      </w:r>
      <w:r>
        <w:rPr>
          <w:spacing w:val="1"/>
        </w:rPr>
        <w:t>的</w:t>
      </w:r>
      <w:r>
        <w:rPr/>
        <w:t>公司董事会七届七次会议</w:t>
      </w:r>
      <w:r>
        <w:rPr>
          <w:spacing w:val="-10"/>
        </w:rPr>
        <w:t>，</w:t>
      </w:r>
      <w:r>
        <w:rPr/>
        <w:t>审议通过</w:t>
      </w:r>
      <w:r>
        <w:rPr>
          <w:spacing w:val="-10"/>
        </w:rPr>
        <w:t>了</w:t>
      </w:r>
      <w:r>
        <w:rPr/>
        <w:t>《关于投资设立孙公司暨关联交易的议案</w:t>
      </w:r>
      <w:r>
        <w:rPr>
          <w:spacing w:val="-90"/>
        </w:rPr>
        <w:t>》</w:t>
      </w:r>
      <w:r>
        <w:rPr>
          <w:spacing w:val="-10"/>
        </w:rPr>
        <w:t>。</w:t>
      </w:r>
      <w:r>
        <w:rPr/>
        <w:t>公司子</w:t>
      </w:r>
    </w:p>
    <w:p>
      <w:pPr>
        <w:pStyle w:val="BodyText"/>
        <w:spacing w:line="300" w:lineRule="auto" w:before="63"/>
        <w:ind w:right="1133"/>
        <w:jc w:val="both"/>
      </w:pPr>
      <w:r>
        <w:rPr>
          <w:spacing w:val="-2"/>
        </w:rPr>
        <w:t>公司北明软件与公司第二大股东北明伟业（公司关联法人）、公司原副总经理石民（公司关联自然人）及其他</w:t>
      </w:r>
      <w:r>
        <w:rPr>
          <w:spacing w:val="-44"/>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名自然人共 同出资组建北京枫调理顺科技发展有限公司，该公司注册资本</w:t>
      </w:r>
      <w:r>
        <w:rPr>
          <w:spacing w:val="-50"/>
        </w:rPr>
        <w:t> </w:t>
      </w:r>
      <w:r>
        <w:rPr>
          <w:rFonts w:ascii="Times New Roman" w:hAnsi="Times New Roman" w:cs="Times New Roman" w:eastAsia="Times New Roman" w:hint="default"/>
        </w:rPr>
        <w:t>1000</w:t>
      </w:r>
      <w:r>
        <w:rPr>
          <w:rFonts w:ascii="Times New Roman" w:hAnsi="Times New Roman" w:cs="Times New Roman" w:eastAsia="Times New Roman" w:hint="default"/>
          <w:spacing w:val="-5"/>
        </w:rPr>
        <w:t> </w:t>
      </w:r>
      <w:r>
        <w:rPr/>
        <w:t>万元，其中北明软件出资占该公司股权比例为</w:t>
      </w:r>
      <w:r>
        <w:rPr>
          <w:spacing w:val="-50"/>
        </w:rPr>
        <w:t> </w:t>
      </w:r>
      <w:r>
        <w:rPr>
          <w:rFonts w:ascii="Times New Roman" w:hAnsi="Times New Roman" w:cs="Times New Roman" w:eastAsia="Times New Roman" w:hint="default"/>
        </w:rPr>
        <w:t>51%</w:t>
      </w:r>
      <w:r>
        <w:rPr/>
        <w:t>，北</w:t>
      </w:r>
      <w:r>
        <w:rPr>
          <w:spacing w:val="-3"/>
        </w:rPr>
        <w:t> </w:t>
      </w:r>
      <w:r>
        <w:rPr/>
        <w:t>明伟业出资占该公司股权比例为</w:t>
      </w:r>
      <w:r>
        <w:rPr>
          <w:spacing w:val="-46"/>
        </w:rPr>
        <w:t> </w:t>
      </w:r>
      <w:r>
        <w:rPr>
          <w:rFonts w:ascii="Times New Roman" w:hAnsi="Times New Roman" w:cs="Times New Roman" w:eastAsia="Times New Roman" w:hint="default"/>
        </w:rPr>
        <w:t>10%</w:t>
      </w:r>
      <w:r>
        <w:rPr/>
        <w:t>。</w:t>
      </w:r>
    </w:p>
    <w:p>
      <w:pPr>
        <w:pStyle w:val="BodyText"/>
        <w:spacing w:line="240" w:lineRule="auto" w:before="51"/>
        <w:ind w:left="514"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日召开</w:t>
      </w:r>
      <w:r>
        <w:rPr>
          <w:spacing w:val="1"/>
        </w:rPr>
        <w:t>的</w:t>
      </w:r>
      <w:r>
        <w:rPr/>
        <w:t>公司董事会七届十次会议，审议通过了《关于投资设立孙公司暨关联交易的议案</w:t>
      </w:r>
      <w:r>
        <w:rPr>
          <w:spacing w:val="-90"/>
        </w:rPr>
        <w:t>》</w:t>
      </w:r>
      <w:r>
        <w:rPr/>
        <w:t>。公司</w:t>
      </w:r>
    </w:p>
    <w:p>
      <w:pPr>
        <w:pStyle w:val="BodyText"/>
        <w:spacing w:line="300" w:lineRule="auto" w:before="63"/>
        <w:ind w:right="1123"/>
        <w:jc w:val="both"/>
      </w:pPr>
      <w:r>
        <w:rPr>
          <w:spacing w:val="-2"/>
        </w:rPr>
        <w:t>子公司北明软件与公司第二大股东北明伟业（公司关联法人）、公司原副总经理石民（公司关联自然人）及其他</w:t>
      </w:r>
      <w:r>
        <w:rPr>
          <w:spacing w:val="-43"/>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名自然人 共同出资组建全面智能（厦门）科技有限公司，该公司注册资本</w:t>
      </w:r>
      <w:r>
        <w:rPr>
          <w:spacing w:val="-46"/>
        </w:rPr>
        <w:t> </w:t>
      </w:r>
      <w:r>
        <w:rPr>
          <w:rFonts w:ascii="Times New Roman" w:hAnsi="Times New Roman" w:cs="Times New Roman" w:eastAsia="Times New Roman" w:hint="default"/>
        </w:rPr>
        <w:t>2000 </w:t>
      </w:r>
      <w:r>
        <w:rPr/>
        <w:t>万元，其中北明软件出资占该公司股权比例为</w:t>
      </w:r>
      <w:r>
        <w:rPr>
          <w:spacing w:val="-46"/>
        </w:rPr>
        <w:t> </w:t>
      </w:r>
      <w:r>
        <w:rPr>
          <w:rFonts w:ascii="Times New Roman" w:hAnsi="Times New Roman" w:cs="Times New Roman" w:eastAsia="Times New Roman" w:hint="default"/>
        </w:rPr>
        <w:t>51%</w:t>
      </w:r>
      <w:r>
        <w:rPr/>
        <w:t>， 北明伟业出资占该公司股权比例为</w:t>
      </w:r>
      <w:r>
        <w:rPr>
          <w:spacing w:val="-46"/>
        </w:rPr>
        <w:t> </w:t>
      </w:r>
      <w:r>
        <w:rPr>
          <w:rFonts w:ascii="Times New Roman" w:hAnsi="Times New Roman" w:cs="Times New Roman" w:eastAsia="Times New Roman" w:hint="default"/>
        </w:rPr>
        <w:t>22%</w:t>
      </w:r>
      <w:r>
        <w:rPr/>
        <w:t>。</w:t>
      </w:r>
    </w:p>
    <w:p>
      <w:pPr>
        <w:pStyle w:val="BodyText"/>
        <w:spacing w:line="240" w:lineRule="auto" w:before="52"/>
        <w:ind w:right="0"/>
        <w:jc w:val="both"/>
      </w:pPr>
      <w:r>
        <w:rPr/>
        <w:t>重大关联交易临时报告披露网站相关查询</w:t>
      </w:r>
    </w:p>
    <w:p>
      <w:pPr>
        <w:spacing w:after="0" w:line="240" w:lineRule="auto"/>
        <w:jc w:val="both"/>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760"/>
        <w:gridCol w:w="1762"/>
        <w:gridCol w:w="2007"/>
      </w:tblGrid>
      <w:tr>
        <w:trPr>
          <w:trHeight w:val="402" w:hRule="exact"/>
        </w:trPr>
        <w:tc>
          <w:tcPr>
            <w:tcW w:w="57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1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4"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20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关于投资设立孙公司暨关联交易的公告（公告编号：</w:t>
            </w:r>
            <w:r>
              <w:rPr>
                <w:rFonts w:ascii="Times New Roman" w:hAnsi="Times New Roman" w:cs="Times New Roman" w:eastAsia="Times New Roman" w:hint="default"/>
                <w:sz w:val="18"/>
                <w:szCs w:val="18"/>
              </w:rPr>
              <w:t>2019-056</w:t>
            </w:r>
            <w:r>
              <w:rPr>
                <w:rFonts w:ascii="宋体" w:hAnsi="宋体" w:cs="宋体" w:eastAsia="宋体" w:hint="default"/>
                <w:sz w:val="18"/>
                <w:szCs w:val="18"/>
              </w:rPr>
              <w:t>）</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0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2" w:hRule="exact"/>
        </w:trPr>
        <w:tc>
          <w:tcPr>
            <w:tcW w:w="5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关于投资设立孙公司暨关联交易的公告（公告编号：</w:t>
            </w:r>
            <w:r>
              <w:rPr>
                <w:rFonts w:ascii="Times New Roman" w:hAnsi="Times New Roman" w:cs="Times New Roman" w:eastAsia="Times New Roman" w:hint="default"/>
                <w:sz w:val="18"/>
                <w:szCs w:val="18"/>
              </w:rPr>
              <w:t>2019-084</w:t>
            </w:r>
            <w:r>
              <w:rPr>
                <w:rFonts w:ascii="宋体" w:hAnsi="宋体" w:cs="宋体" w:eastAsia="宋体" w:hint="default"/>
                <w:sz w:val="18"/>
                <w:szCs w:val="18"/>
              </w:rPr>
              <w:t>）</w:t>
            </w:r>
          </w:p>
        </w:tc>
        <w:tc>
          <w:tcPr>
            <w:tcW w:w="1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007" w:type="dxa"/>
            <w:tcBorders>
              <w:top w:val="single" w:sz="4" w:space="0" w:color="000000"/>
              <w:left w:val="single" w:sz="4" w:space="0" w:color="000000"/>
              <w:bottom w:val="single" w:sz="4" w:space="0" w:color="000000"/>
              <w:right w:val="single" w:sz="4" w:space="0" w:color="000000"/>
            </w:tcBorders>
            <w:shd w:val="clear" w:color="auto" w:fill="C7EDCC"/>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十七、重大合同及其履行情况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8411"/>
        <w:jc w:val="left"/>
      </w:pPr>
      <w:r>
        <w:rPr/>
        <w:t>□ 适用 √ 不适用 公司报告期不存在托管情况。</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8411"/>
        <w:jc w:val="left"/>
      </w:pPr>
      <w:r>
        <w:rPr/>
        <w:t>□ 适用 √ 不适用 公司报告期不存在承包情况。</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3" w:right="9221"/>
        <w:jc w:val="left"/>
      </w:pPr>
      <w:r>
        <w:rPr/>
        <w:t>√ 适用 □ 不适用 租赁情况说明</w:t>
      </w:r>
    </w:p>
    <w:p>
      <w:pPr>
        <w:pStyle w:val="BodyText"/>
        <w:spacing w:line="300" w:lineRule="auto" w:before="25"/>
        <w:ind w:left="153" w:right="0" w:firstLine="290"/>
        <w:jc w:val="left"/>
      </w:pPr>
      <w:r>
        <w:rPr>
          <w:spacing w:val="-1"/>
        </w:rPr>
        <w:t>①本报告期，北明软件依据租赁合同承租关联方广州移动科技有限公司办公楼，承租期为自</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12</w:t>
      </w:r>
      <w:r>
        <w:rPr>
          <w:spacing w:val="-1"/>
        </w:rPr>
        <w:t>月</w:t>
      </w:r>
      <w:r>
        <w:rPr/>
        <w:t> </w:t>
      </w:r>
      <w:r>
        <w:rPr>
          <w:rFonts w:ascii="Times New Roman" w:hAnsi="Times New Roman" w:cs="Times New Roman" w:eastAsia="Times New Roman" w:hint="default"/>
        </w:rPr>
        <w:t>31</w:t>
      </w:r>
      <w:r>
        <w:rPr/>
        <w:t>日，租赁费</w:t>
      </w:r>
      <w:r>
        <w:rPr>
          <w:rFonts w:ascii="Times New Roman" w:hAnsi="Times New Roman" w:cs="Times New Roman" w:eastAsia="Times New Roman" w:hint="default"/>
        </w:rPr>
        <w:t>160,915.00</w:t>
      </w:r>
      <w:r>
        <w:rPr/>
        <w:t>元</w:t>
      </w:r>
      <w:r>
        <w:rPr>
          <w:rFonts w:ascii="Times New Roman" w:hAnsi="Times New Roman" w:cs="Times New Roman" w:eastAsia="Times New Roman" w:hint="default"/>
        </w:rPr>
        <w:t>/</w:t>
      </w:r>
      <w:r>
        <w:rPr/>
        <w:t>月，根据合同规定，自第二年起租金价格每年上涨</w:t>
      </w:r>
      <w:r>
        <w:rPr>
          <w:rFonts w:ascii="Times New Roman" w:hAnsi="Times New Roman" w:cs="Times New Roman" w:eastAsia="Times New Roman" w:hint="default"/>
        </w:rPr>
        <w:t>5%</w:t>
      </w:r>
      <w:r>
        <w:rPr/>
        <w:t>。本报告期，北明软件依据租赁合同承租 </w:t>
      </w:r>
      <w:r>
        <w:rPr>
          <w:spacing w:val="-1"/>
        </w:rPr>
        <w:t>关联方广州移动科技有限公司办公室，承租期为自</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16</w:t>
      </w:r>
      <w:r>
        <w:rPr>
          <w:spacing w:val="-1"/>
        </w:rPr>
        <w:t>日至</w:t>
      </w:r>
      <w:r>
        <w:rPr>
          <w:rFonts w:ascii="Times New Roman" w:hAnsi="Times New Roman" w:cs="Times New Roman" w:eastAsia="Times New Roman" w:hint="default"/>
          <w:spacing w:val="-1"/>
        </w:rPr>
        <w:t>2022</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17</w:t>
      </w:r>
      <w:r>
        <w:rPr>
          <w:spacing w:val="-1"/>
        </w:rPr>
        <w:t>日，租赁费</w:t>
      </w:r>
      <w:r>
        <w:rPr>
          <w:rFonts w:ascii="Times New Roman" w:hAnsi="Times New Roman" w:cs="Times New Roman" w:eastAsia="Times New Roman" w:hint="default"/>
          <w:spacing w:val="-1"/>
        </w:rPr>
        <w:t>22,824.75</w:t>
      </w:r>
      <w:r>
        <w:rPr>
          <w:spacing w:val="-1"/>
        </w:rPr>
        <w:t>元</w:t>
      </w:r>
      <w:r>
        <w:rPr>
          <w:rFonts w:ascii="Times New Roman" w:hAnsi="Times New Roman" w:cs="Times New Roman" w:eastAsia="Times New Roman" w:hint="default"/>
          <w:spacing w:val="-1"/>
        </w:rPr>
        <w:t>/</w:t>
      </w:r>
      <w:r>
        <w:rPr>
          <w:spacing w:val="-1"/>
        </w:rPr>
        <w:t>月</w:t>
      </w:r>
      <w:r>
        <w:rPr>
          <w:rFonts w:ascii="Times New Roman" w:hAnsi="Times New Roman" w:cs="Times New Roman" w:eastAsia="Times New Roman" w:hint="default"/>
          <w:spacing w:val="-1"/>
        </w:rPr>
        <w:t>(11</w:t>
      </w:r>
      <w:r>
        <w:rPr>
          <w:spacing w:val="-1"/>
        </w:rPr>
        <w:t>月按半个月</w:t>
      </w:r>
      <w:r>
        <w:rPr>
          <w:spacing w:val="-37"/>
        </w:rPr>
        <w:t> </w:t>
      </w:r>
      <w:r>
        <w:rPr>
          <w:spacing w:val="-37"/>
        </w:rPr>
      </w:r>
      <w:r>
        <w:rPr/>
        <w:t>计算），根据合同规定，自第二年起租金价格每年上涨</w:t>
      </w:r>
      <w:r>
        <w:rPr>
          <w:rFonts w:ascii="Times New Roman" w:hAnsi="Times New Roman" w:cs="Times New Roman" w:eastAsia="Times New Roman" w:hint="default"/>
        </w:rPr>
        <w:t>5%</w:t>
      </w:r>
      <w:r>
        <w:rPr/>
        <w:t>。本报告期，北明软件依据租赁合同承租关联方广州移动科技有 </w:t>
      </w:r>
      <w:r>
        <w:rPr>
          <w:spacing w:val="-1"/>
        </w:rPr>
        <w:t>限公司</w:t>
      </w:r>
      <w:r>
        <w:rPr>
          <w:rFonts w:ascii="Times New Roman" w:hAnsi="Times New Roman" w:cs="Times New Roman" w:eastAsia="Times New Roman" w:hint="default"/>
          <w:spacing w:val="-1"/>
        </w:rPr>
        <w:t>9</w:t>
      </w:r>
      <w:r>
        <w:rPr>
          <w:spacing w:val="-1"/>
        </w:rPr>
        <w:t>层办公室，承租期为自</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日，租赁费</w:t>
      </w:r>
      <w:r>
        <w:rPr>
          <w:rFonts w:ascii="Times New Roman" w:hAnsi="Times New Roman" w:cs="Times New Roman" w:eastAsia="Times New Roman" w:hint="default"/>
          <w:spacing w:val="-1"/>
        </w:rPr>
        <w:t>17,010.00</w:t>
      </w:r>
      <w:r>
        <w:rPr>
          <w:spacing w:val="-1"/>
        </w:rPr>
        <w:t>元</w:t>
      </w:r>
      <w:r>
        <w:rPr>
          <w:rFonts w:ascii="Times New Roman" w:hAnsi="Times New Roman" w:cs="Times New Roman" w:eastAsia="Times New Roman" w:hint="default"/>
          <w:spacing w:val="-1"/>
        </w:rPr>
        <w:t>/</w:t>
      </w:r>
      <w:r>
        <w:rPr>
          <w:spacing w:val="-1"/>
        </w:rPr>
        <w:t>月，根据合同规定，自第二年起租金价</w:t>
      </w:r>
      <w:r>
        <w:rPr>
          <w:spacing w:val="-68"/>
        </w:rPr>
        <w:t> </w:t>
      </w:r>
      <w:r>
        <w:rPr>
          <w:spacing w:val="-68"/>
        </w:rPr>
      </w:r>
      <w:r>
        <w:rPr/>
        <w:t>格每年上涨</w:t>
      </w:r>
      <w:r>
        <w:rPr>
          <w:rFonts w:ascii="Times New Roman" w:hAnsi="Times New Roman" w:cs="Times New Roman" w:eastAsia="Times New Roman" w:hint="default"/>
        </w:rPr>
        <w:t>5%</w:t>
      </w:r>
      <w:r>
        <w:rPr/>
        <w:t>。</w:t>
      </w:r>
    </w:p>
    <w:p>
      <w:pPr>
        <w:pStyle w:val="BodyText"/>
        <w:spacing w:line="300" w:lineRule="auto" w:before="13"/>
        <w:ind w:left="153" w:right="0" w:firstLine="290"/>
        <w:jc w:val="left"/>
      </w:pPr>
      <w:r>
        <w:rPr>
          <w:spacing w:val="-1"/>
        </w:rPr>
        <w:t>②本报告期，北明软件依据与承租关联方北京盛世繁花国际传媒广告有限公司签署的租赁协议，承租其办公楼，</w:t>
      </w:r>
      <w:r>
        <w:rPr>
          <w:rFonts w:ascii="Times New Roman" w:hAnsi="Times New Roman" w:cs="Times New Roman" w:eastAsia="Times New Roman" w:hint="default"/>
          <w:spacing w:val="-1"/>
        </w:rPr>
        <w:t>2019</w:t>
      </w:r>
      <w:r>
        <w:rPr>
          <w:spacing w:val="-1"/>
        </w:rPr>
        <w:t>年</w:t>
      </w:r>
      <w:r>
        <w:rPr/>
        <w:t> 租赁费为</w:t>
      </w:r>
      <w:r>
        <w:rPr>
          <w:rFonts w:ascii="Times New Roman" w:hAnsi="Times New Roman" w:cs="Times New Roman" w:eastAsia="Times New Roman" w:hint="default"/>
        </w:rPr>
        <w:t>18,632,611.00</w:t>
      </w:r>
      <w:r>
        <w:rPr/>
        <w:t>元。</w:t>
      </w:r>
    </w:p>
    <w:p>
      <w:pPr>
        <w:pStyle w:val="BodyText"/>
        <w:spacing w:line="300" w:lineRule="auto" w:before="13"/>
        <w:ind w:left="153" w:right="0" w:firstLine="290"/>
        <w:jc w:val="left"/>
      </w:pPr>
      <w:r>
        <w:rPr>
          <w:spacing w:val="-4"/>
        </w:rPr>
        <w:t>③本报告期，北京爱意生活依据与承租关联方北京盛世繁花国际传媒广告有限公司签署的租赁协议，承租其办公楼，</w:t>
      </w:r>
      <w:r>
        <w:rPr>
          <w:rFonts w:ascii="Times New Roman" w:hAnsi="Times New Roman" w:cs="Times New Roman" w:eastAsia="Times New Roman" w:hint="default"/>
          <w:spacing w:val="-4"/>
        </w:rPr>
        <w:t>2019</w:t>
      </w:r>
      <w:r>
        <w:rPr>
          <w:rFonts w:ascii="Times New Roman" w:hAnsi="Times New Roman" w:cs="Times New Roman" w:eastAsia="Times New Roman" w:hint="default"/>
        </w:rPr>
        <w:t> </w:t>
      </w:r>
      <w:r>
        <w:rPr/>
        <w:t>年租赁费为</w:t>
      </w:r>
      <w:r>
        <w:rPr>
          <w:rFonts w:ascii="Times New Roman" w:hAnsi="Times New Roman" w:cs="Times New Roman" w:eastAsia="Times New Roman" w:hint="default"/>
        </w:rPr>
        <w:t>1,206,544.00</w:t>
      </w:r>
      <w:r>
        <w:rPr/>
        <w:t>元。</w:t>
      </w:r>
    </w:p>
    <w:p>
      <w:pPr>
        <w:pStyle w:val="BodyText"/>
        <w:spacing w:line="240" w:lineRule="auto" w:before="53"/>
        <w:ind w:left="153" w:right="0"/>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3"/>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t>公司报告期不存在为公司带来的损益达到公司报告期利润总额</w:t>
      </w:r>
      <w:r>
        <w:rPr>
          <w:spacing w:val="-46"/>
        </w:rPr>
        <w:t> </w:t>
      </w:r>
      <w:r>
        <w:rPr>
          <w:rFonts w:ascii="Times New Roman" w:hAnsi="Times New Roman" w:cs="Times New Roman" w:eastAsia="Times New Roman" w:hint="default"/>
        </w:rPr>
        <w:t>10%</w:t>
      </w:r>
      <w:r>
        <w:rPr/>
        <w:t>以上的租赁项目。</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单位：万元</w:t>
      </w:r>
    </w:p>
    <w:p>
      <w:pPr>
        <w:spacing w:after="0" w:line="240" w:lineRule="auto"/>
        <w:jc w:val="right"/>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09"/>
        <w:gridCol w:w="1168"/>
        <w:gridCol w:w="926"/>
        <w:gridCol w:w="1303"/>
        <w:gridCol w:w="899"/>
        <w:gridCol w:w="1192"/>
        <w:gridCol w:w="723"/>
        <w:gridCol w:w="792"/>
        <w:gridCol w:w="777"/>
      </w:tblGrid>
      <w:tr>
        <w:trPr>
          <w:trHeight w:val="402" w:hRule="exact"/>
        </w:trPr>
        <w:tc>
          <w:tcPr>
            <w:tcW w:w="948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93"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0" w:right="35"/>
              <w:jc w:val="left"/>
              <w:rPr>
                <w:rFonts w:ascii="宋体" w:hAnsi="宋体" w:cs="宋体" w:eastAsia="宋体" w:hint="default"/>
                <w:sz w:val="18"/>
                <w:szCs w:val="18"/>
              </w:rPr>
            </w:pPr>
            <w:r>
              <w:rPr>
                <w:rFonts w:ascii="宋体" w:hAnsi="宋体" w:cs="宋体" w:eastAsia="宋体" w:hint="default"/>
                <w:sz w:val="18"/>
                <w:szCs w:val="18"/>
              </w:rPr>
              <w:t>担保额度相关 公告披露日期</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8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6" w:right="90"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7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08"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1"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48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0" w:right="35"/>
              <w:jc w:val="left"/>
              <w:rPr>
                <w:rFonts w:ascii="宋体" w:hAnsi="宋体" w:cs="宋体" w:eastAsia="宋体" w:hint="default"/>
                <w:sz w:val="18"/>
                <w:szCs w:val="18"/>
              </w:rPr>
            </w:pPr>
            <w:r>
              <w:rPr>
                <w:rFonts w:ascii="宋体" w:hAnsi="宋体" w:cs="宋体" w:eastAsia="宋体" w:hint="default"/>
                <w:sz w:val="18"/>
                <w:szCs w:val="18"/>
              </w:rPr>
              <w:t>担保额度相关 公告披露日期</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8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63" w:right="83"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7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6"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12" w:right="2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0" w:right="1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石家庄常山恒荣进出 口贸易有限公司</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20,874</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石家庄常山恒新纺织 有限公司</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62,000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38,800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192,000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7"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156,660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舞钢智慧城市科技发 展有限公司</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12,000</w:t>
            </w:r>
          </w:p>
        </w:tc>
        <w:tc>
          <w:tcPr>
            <w:tcW w:w="1303" w:type="dxa"/>
            <w:tcBorders>
              <w:top w:val="single" w:sz="4" w:space="0" w:color="000000"/>
              <w:left w:val="single" w:sz="4" w:space="0" w:color="000000"/>
              <w:bottom w:val="single" w:sz="4" w:space="0" w:color="000000"/>
              <w:right w:val="single" w:sz="4" w:space="0" w:color="000000"/>
            </w:tcBorders>
          </w:tcPr>
          <w:p>
            <w:pPr/>
          </w:p>
        </w:tc>
        <w:tc>
          <w:tcPr>
            <w:tcW w:w="899" w:type="dxa"/>
            <w:tcBorders>
              <w:top w:val="single" w:sz="4" w:space="0" w:color="000000"/>
              <w:left w:val="single" w:sz="4" w:space="0" w:color="000000"/>
              <w:bottom w:val="single" w:sz="4" w:space="0" w:color="000000"/>
              <w:right w:val="single" w:sz="4" w:space="0" w:color="000000"/>
            </w:tcBorders>
          </w:tcPr>
          <w:p>
            <w:pP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7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2"/>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 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9" w:type="dxa"/>
            <w:gridSpan w:val="2"/>
            <w:tcBorders>
              <w:top w:val="single" w:sz="4" w:space="0" w:color="000000"/>
              <w:left w:val="single" w:sz="10" w:space="0" w:color="D3D3D3"/>
              <w:bottom w:val="single" w:sz="4" w:space="0" w:color="000000"/>
              <w:right w:val="single" w:sz="13" w:space="0" w:color="D3D3D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306,000</w:t>
            </w:r>
          </w:p>
        </w:tc>
        <w:tc>
          <w:tcPr>
            <w:tcW w:w="209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0" w:right="79"/>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291" w:type="dxa"/>
            <w:gridSpan w:val="3"/>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216,334</w:t>
            </w:r>
          </w:p>
        </w:tc>
      </w:tr>
      <w:tr>
        <w:trPr>
          <w:trHeight w:val="714" w:hRule="exact"/>
        </w:trPr>
        <w:tc>
          <w:tcPr>
            <w:tcW w:w="287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2"/>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 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9" w:type="dxa"/>
            <w:gridSpan w:val="2"/>
            <w:tcBorders>
              <w:top w:val="single" w:sz="4" w:space="0" w:color="000000"/>
              <w:left w:val="single" w:sz="10" w:space="0" w:color="D3D3D3"/>
              <w:bottom w:val="single" w:sz="4" w:space="0" w:color="000000"/>
              <w:right w:val="single" w:sz="13" w:space="0" w:color="D3D3D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306,000</w:t>
            </w:r>
          </w:p>
        </w:tc>
        <w:tc>
          <w:tcPr>
            <w:tcW w:w="209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0" w:right="79"/>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291" w:type="dxa"/>
            <w:gridSpan w:val="3"/>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216,334</w:t>
            </w:r>
          </w:p>
        </w:tc>
      </w:tr>
      <w:tr>
        <w:trPr>
          <w:trHeight w:val="402" w:hRule="exact"/>
        </w:trPr>
        <w:tc>
          <w:tcPr>
            <w:tcW w:w="948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1" w:hRule="exact"/>
        </w:trPr>
        <w:tc>
          <w:tcPr>
            <w:tcW w:w="1709" w:type="dxa"/>
            <w:tcBorders>
              <w:top w:val="single" w:sz="4" w:space="0" w:color="000000"/>
              <w:left w:val="single" w:sz="4" w:space="0" w:color="000000"/>
              <w:bottom w:val="nil" w:sz="6" w:space="0" w:color="auto"/>
              <w:right w:val="single" w:sz="4" w:space="0" w:color="000000"/>
            </w:tcBorders>
            <w:shd w:val="clear" w:color="auto" w:fill="D3D3D3"/>
          </w:tcPr>
          <w:p>
            <w:pPr/>
          </w:p>
        </w:tc>
        <w:tc>
          <w:tcPr>
            <w:tcW w:w="116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40" w:right="35"/>
              <w:jc w:val="left"/>
              <w:rPr>
                <w:rFonts w:ascii="宋体" w:hAnsi="宋体" w:cs="宋体" w:eastAsia="宋体" w:hint="default"/>
                <w:sz w:val="18"/>
                <w:szCs w:val="18"/>
              </w:rPr>
            </w:pPr>
            <w:r>
              <w:rPr>
                <w:rFonts w:ascii="宋体" w:hAnsi="宋体" w:cs="宋体" w:eastAsia="宋体" w:hint="default"/>
                <w:sz w:val="18"/>
                <w:szCs w:val="18"/>
              </w:rPr>
              <w:t>担保额度相关 公告披露日期</w:t>
            </w:r>
          </w:p>
        </w:tc>
        <w:tc>
          <w:tcPr>
            <w:tcW w:w="926" w:type="dxa"/>
            <w:tcBorders>
              <w:top w:val="single" w:sz="4" w:space="0" w:color="000000"/>
              <w:left w:val="single" w:sz="4" w:space="0" w:color="000000"/>
              <w:bottom w:val="nil" w:sz="6" w:space="0" w:color="auto"/>
              <w:right w:val="single" w:sz="4" w:space="0" w:color="000000"/>
            </w:tcBorders>
            <w:shd w:val="clear" w:color="auto" w:fill="D3D3D3"/>
          </w:tcPr>
          <w:p>
            <w:pPr/>
          </w:p>
        </w:tc>
        <w:tc>
          <w:tcPr>
            <w:tcW w:w="1303" w:type="dxa"/>
            <w:tcBorders>
              <w:top w:val="single" w:sz="4" w:space="0" w:color="000000"/>
              <w:left w:val="single" w:sz="4" w:space="0" w:color="000000"/>
              <w:bottom w:val="nil" w:sz="6" w:space="0" w:color="auto"/>
              <w:right w:val="single" w:sz="4" w:space="0" w:color="000000"/>
            </w:tcBorders>
            <w:shd w:val="clear" w:color="auto" w:fill="D3D3D3"/>
          </w:tcPr>
          <w:p>
            <w:pPr/>
          </w:p>
        </w:tc>
        <w:tc>
          <w:tcPr>
            <w:tcW w:w="89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73" w:right="74"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192" w:type="dxa"/>
            <w:tcBorders>
              <w:top w:val="single" w:sz="4" w:space="0" w:color="000000"/>
              <w:left w:val="single" w:sz="4" w:space="0" w:color="000000"/>
              <w:bottom w:val="nil" w:sz="6" w:space="0" w:color="auto"/>
              <w:right w:val="single" w:sz="4" w:space="0" w:color="000000"/>
            </w:tcBorders>
            <w:shd w:val="clear" w:color="auto" w:fill="D3D3D3"/>
          </w:tcPr>
          <w:p>
            <w:pPr/>
          </w:p>
        </w:tc>
        <w:tc>
          <w:tcPr>
            <w:tcW w:w="723" w:type="dxa"/>
            <w:tcBorders>
              <w:top w:val="single" w:sz="4" w:space="0" w:color="000000"/>
              <w:left w:val="single" w:sz="4" w:space="0" w:color="000000"/>
              <w:bottom w:val="nil" w:sz="6" w:space="0" w:color="auto"/>
              <w:right w:val="single" w:sz="4" w:space="0" w:color="000000"/>
            </w:tcBorders>
            <w:shd w:val="clear" w:color="auto" w:fill="D3D3D3"/>
          </w:tcPr>
          <w:p>
            <w:pPr/>
          </w:p>
        </w:tc>
        <w:tc>
          <w:tcPr>
            <w:tcW w:w="7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08"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6" w:right="18"/>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0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1168" w:type="dxa"/>
            <w:vMerge/>
            <w:tcBorders>
              <w:left w:val="single" w:sz="4" w:space="0" w:color="000000"/>
              <w:right w:val="single" w:sz="4" w:space="0" w:color="000000"/>
            </w:tcBorders>
            <w:shd w:val="clear" w:color="auto" w:fill="D3D3D3"/>
          </w:tcPr>
          <w:p>
            <w:pPr/>
          </w:p>
        </w:tc>
        <w:tc>
          <w:tcPr>
            <w:tcW w:w="9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899" w:type="dxa"/>
            <w:vMerge/>
            <w:tcBorders>
              <w:left w:val="single" w:sz="4" w:space="0" w:color="000000"/>
              <w:right w:val="single" w:sz="4" w:space="0" w:color="000000"/>
            </w:tcBorders>
            <w:shd w:val="clear" w:color="auto" w:fill="D3D3D3"/>
          </w:tcPr>
          <w:p>
            <w:pPr/>
          </w:p>
        </w:tc>
        <w:tc>
          <w:tcPr>
            <w:tcW w:w="11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72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86"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2" w:type="dxa"/>
            <w:vMerge/>
            <w:tcBorders>
              <w:left w:val="single" w:sz="4" w:space="0" w:color="000000"/>
              <w:right w:val="single" w:sz="4" w:space="0" w:color="000000"/>
            </w:tcBorders>
            <w:shd w:val="clear" w:color="auto" w:fill="D3D3D3"/>
          </w:tcPr>
          <w:p>
            <w:pPr/>
          </w:p>
        </w:tc>
        <w:tc>
          <w:tcPr>
            <w:tcW w:w="777" w:type="dxa"/>
            <w:vMerge/>
            <w:tcBorders>
              <w:left w:val="single" w:sz="4" w:space="0" w:color="000000"/>
              <w:right w:val="single" w:sz="4" w:space="0" w:color="000000"/>
            </w:tcBorders>
            <w:shd w:val="clear" w:color="auto" w:fill="D3D3D3"/>
          </w:tcPr>
          <w:p>
            <w:pPr/>
          </w:p>
        </w:tc>
      </w:tr>
      <w:tr>
        <w:trPr>
          <w:trHeight w:val="161" w:hRule="exact"/>
        </w:trPr>
        <w:tc>
          <w:tcPr>
            <w:tcW w:w="1709" w:type="dxa"/>
            <w:tcBorders>
              <w:top w:val="nil" w:sz="6" w:space="0" w:color="auto"/>
              <w:left w:val="single" w:sz="4" w:space="0" w:color="000000"/>
              <w:bottom w:val="single" w:sz="4" w:space="0" w:color="000000"/>
              <w:right w:val="single" w:sz="4" w:space="0" w:color="000000"/>
            </w:tcBorders>
            <w:shd w:val="clear" w:color="auto" w:fill="D3D3D3"/>
          </w:tcPr>
          <w:p>
            <w:pPr/>
          </w:p>
        </w:tc>
        <w:tc>
          <w:tcPr>
            <w:tcW w:w="1168" w:type="dxa"/>
            <w:vMerge/>
            <w:tcBorders>
              <w:left w:val="single" w:sz="4" w:space="0" w:color="000000"/>
              <w:bottom w:val="single" w:sz="4" w:space="0" w:color="000000"/>
              <w:right w:val="single" w:sz="4" w:space="0" w:color="000000"/>
            </w:tcBorders>
            <w:shd w:val="clear" w:color="auto" w:fill="D3D3D3"/>
          </w:tcPr>
          <w:p>
            <w:pPr/>
          </w:p>
        </w:tc>
        <w:tc>
          <w:tcPr>
            <w:tcW w:w="926" w:type="dxa"/>
            <w:tcBorders>
              <w:top w:val="nil" w:sz="6" w:space="0" w:color="auto"/>
              <w:left w:val="single" w:sz="4" w:space="0" w:color="000000"/>
              <w:bottom w:val="single" w:sz="4" w:space="0" w:color="000000"/>
              <w:right w:val="single" w:sz="4" w:space="0" w:color="000000"/>
            </w:tcBorders>
            <w:shd w:val="clear" w:color="auto" w:fill="D3D3D3"/>
          </w:tcPr>
          <w:p>
            <w:pPr/>
          </w:p>
        </w:tc>
        <w:tc>
          <w:tcPr>
            <w:tcW w:w="1303" w:type="dxa"/>
            <w:tcBorders>
              <w:top w:val="nil" w:sz="6" w:space="0" w:color="auto"/>
              <w:left w:val="single" w:sz="4" w:space="0" w:color="000000"/>
              <w:bottom w:val="single" w:sz="4" w:space="0" w:color="000000"/>
              <w:right w:val="single" w:sz="4" w:space="0" w:color="000000"/>
            </w:tcBorders>
            <w:shd w:val="clear" w:color="auto" w:fill="D3D3D3"/>
          </w:tcPr>
          <w:p>
            <w:pPr/>
          </w:p>
        </w:tc>
        <w:tc>
          <w:tcPr>
            <w:tcW w:w="899" w:type="dxa"/>
            <w:vMerge/>
            <w:tcBorders>
              <w:left w:val="single" w:sz="4" w:space="0" w:color="000000"/>
              <w:bottom w:val="single" w:sz="4" w:space="0" w:color="000000"/>
              <w:right w:val="single" w:sz="4" w:space="0" w:color="000000"/>
            </w:tcBorders>
            <w:shd w:val="clear" w:color="auto" w:fill="D3D3D3"/>
          </w:tcPr>
          <w:p>
            <w:pPr/>
          </w:p>
        </w:tc>
        <w:tc>
          <w:tcPr>
            <w:tcW w:w="1192" w:type="dxa"/>
            <w:tcBorders>
              <w:top w:val="nil" w:sz="6" w:space="0" w:color="auto"/>
              <w:left w:val="single" w:sz="4" w:space="0" w:color="000000"/>
              <w:bottom w:val="single" w:sz="4" w:space="0" w:color="000000"/>
              <w:right w:val="single" w:sz="4" w:space="0" w:color="000000"/>
            </w:tcBorders>
            <w:shd w:val="clear" w:color="auto" w:fill="D3D3D3"/>
          </w:tcPr>
          <w:p>
            <w:pPr/>
          </w:p>
        </w:tc>
        <w:tc>
          <w:tcPr>
            <w:tcW w:w="723" w:type="dxa"/>
            <w:tcBorders>
              <w:top w:val="nil" w:sz="6" w:space="0" w:color="auto"/>
              <w:left w:val="single" w:sz="4" w:space="0" w:color="000000"/>
              <w:bottom w:val="single" w:sz="4" w:space="0" w:color="000000"/>
              <w:right w:val="single" w:sz="4" w:space="0" w:color="000000"/>
            </w:tcBorders>
            <w:shd w:val="clear" w:color="auto" w:fill="D3D3D3"/>
          </w:tcPr>
          <w:p>
            <w:pPr/>
          </w:p>
        </w:tc>
        <w:tc>
          <w:tcPr>
            <w:tcW w:w="792" w:type="dxa"/>
            <w:vMerge/>
            <w:tcBorders>
              <w:left w:val="single" w:sz="4" w:space="0" w:color="000000"/>
              <w:bottom w:val="single" w:sz="4" w:space="0" w:color="000000"/>
              <w:right w:val="single" w:sz="4" w:space="0" w:color="000000"/>
            </w:tcBorders>
            <w:shd w:val="clear" w:color="auto" w:fill="D3D3D3"/>
          </w:tcPr>
          <w:p>
            <w:pPr/>
          </w:p>
        </w:tc>
        <w:tc>
          <w:tcPr>
            <w:tcW w:w="777"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北明天时能源科技</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（北京）有限公司</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8,000</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3,481</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连带责任保证</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87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2"/>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 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29" w:type="dxa"/>
            <w:gridSpan w:val="2"/>
            <w:tcBorders>
              <w:top w:val="single" w:sz="4" w:space="0" w:color="000000"/>
              <w:left w:val="single" w:sz="10" w:space="0" w:color="D3D3D3"/>
              <w:bottom w:val="single" w:sz="4" w:space="0" w:color="000000"/>
              <w:right w:val="single" w:sz="13" w:space="0" w:color="D3D3D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8,000</w:t>
            </w:r>
          </w:p>
        </w:tc>
        <w:tc>
          <w:tcPr>
            <w:tcW w:w="209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0" w:right="79"/>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291" w:type="dxa"/>
            <w:gridSpan w:val="3"/>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3,481</w:t>
            </w:r>
          </w:p>
        </w:tc>
      </w:tr>
      <w:tr>
        <w:trPr>
          <w:trHeight w:val="714" w:hRule="exact"/>
        </w:trPr>
        <w:tc>
          <w:tcPr>
            <w:tcW w:w="287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2"/>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 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29" w:type="dxa"/>
            <w:gridSpan w:val="2"/>
            <w:tcBorders>
              <w:top w:val="single" w:sz="4" w:space="0" w:color="000000"/>
              <w:left w:val="single" w:sz="10" w:space="0" w:color="D3D3D3"/>
              <w:bottom w:val="single" w:sz="4" w:space="0" w:color="000000"/>
              <w:right w:val="single" w:sz="13" w:space="0" w:color="D3D3D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8,000</w:t>
            </w:r>
          </w:p>
        </w:tc>
        <w:tc>
          <w:tcPr>
            <w:tcW w:w="209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0" w:right="79"/>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291" w:type="dxa"/>
            <w:gridSpan w:val="3"/>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3,481</w:t>
            </w:r>
          </w:p>
        </w:tc>
      </w:tr>
      <w:tr>
        <w:trPr>
          <w:trHeight w:val="402" w:hRule="exact"/>
        </w:trPr>
        <w:tc>
          <w:tcPr>
            <w:tcW w:w="948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4" w:hRule="exact"/>
        </w:trPr>
        <w:tc>
          <w:tcPr>
            <w:tcW w:w="287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9" w:type="dxa"/>
            <w:gridSpan w:val="2"/>
            <w:tcBorders>
              <w:top w:val="single" w:sz="4" w:space="0" w:color="000000"/>
              <w:left w:val="single" w:sz="10" w:space="0" w:color="D3D3D3"/>
              <w:bottom w:val="single" w:sz="4" w:space="0" w:color="000000"/>
              <w:right w:val="single" w:sz="13" w:space="0" w:color="D3D3D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314,000</w:t>
            </w:r>
          </w:p>
        </w:tc>
        <w:tc>
          <w:tcPr>
            <w:tcW w:w="209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0" w:right="79"/>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291" w:type="dxa"/>
            <w:gridSpan w:val="3"/>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219,815</w:t>
            </w:r>
          </w:p>
        </w:tc>
      </w:tr>
      <w:tr>
        <w:trPr>
          <w:trHeight w:val="714" w:hRule="exact"/>
        </w:trPr>
        <w:tc>
          <w:tcPr>
            <w:tcW w:w="287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9" w:type="dxa"/>
            <w:gridSpan w:val="2"/>
            <w:tcBorders>
              <w:top w:val="single" w:sz="4" w:space="0" w:color="000000"/>
              <w:left w:val="single" w:sz="10" w:space="0" w:color="D3D3D3"/>
              <w:bottom w:val="single" w:sz="4" w:space="0" w:color="000000"/>
              <w:right w:val="single" w:sz="13" w:space="0" w:color="D3D3D3"/>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314,000</w:t>
            </w:r>
          </w:p>
        </w:tc>
        <w:tc>
          <w:tcPr>
            <w:tcW w:w="209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0" w:right="79"/>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291" w:type="dxa"/>
            <w:gridSpan w:val="3"/>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219,815</w:t>
            </w:r>
          </w:p>
        </w:tc>
      </w:tr>
      <w:tr>
        <w:trPr>
          <w:trHeight w:val="402" w:hRule="exact"/>
        </w:trPr>
        <w:tc>
          <w:tcPr>
            <w:tcW w:w="510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382"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37.18%</w:t>
            </w:r>
          </w:p>
        </w:tc>
      </w:tr>
      <w:tr>
        <w:trPr>
          <w:trHeight w:val="402" w:hRule="exact"/>
        </w:trPr>
        <w:tc>
          <w:tcPr>
            <w:tcW w:w="948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714" w:hRule="exact"/>
        </w:trPr>
        <w:tc>
          <w:tcPr>
            <w:tcW w:w="510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的被担保对象提供的债务担保 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382"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20,874</w:t>
            </w:r>
          </w:p>
        </w:tc>
      </w:tr>
      <w:tr>
        <w:trPr>
          <w:trHeight w:val="402" w:hRule="exact"/>
        </w:trPr>
        <w:tc>
          <w:tcPr>
            <w:tcW w:w="510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382"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20,874</w:t>
            </w:r>
          </w:p>
        </w:tc>
      </w:tr>
    </w:tbl>
    <w:p>
      <w:pPr>
        <w:pStyle w:val="BodyText"/>
        <w:spacing w:line="240" w:lineRule="auto" w:before="51"/>
        <w:ind w:right="0"/>
        <w:jc w:val="left"/>
      </w:pPr>
      <w:r>
        <w:rPr/>
        <w:t>采用复合方式担保的具体情况说明</w:t>
      </w:r>
    </w:p>
    <w:p>
      <w:pPr>
        <w:spacing w:after="0" w:line="240" w:lineRule="auto"/>
        <w:jc w:val="left"/>
        <w:sectPr>
          <w:pgSz w:w="11910" w:h="16840"/>
          <w:pgMar w:header="747" w:footer="982" w:top="1060" w:bottom="118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0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十八、社会责任情况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right="1190" w:firstLine="290"/>
        <w:jc w:val="left"/>
      </w:pPr>
      <w:r>
        <w:rPr>
          <w:rFonts w:ascii="Times New Roman" w:hAnsi="Times New Roman" w:cs="Times New Roman" w:eastAsia="Times New Roman" w:hint="default"/>
        </w:rPr>
        <w:t>1</w:t>
      </w:r>
      <w:r>
        <w:rPr/>
        <w:t>、公司不断完善治理结构，严格管理，不存在违规担保、关联方违规占用资金、内幕交易等损害投资者、债权人等利 益相关者的行为。</w:t>
      </w:r>
    </w:p>
    <w:p>
      <w:pPr>
        <w:pStyle w:val="BodyText"/>
        <w:spacing w:line="240" w:lineRule="auto" w:before="69"/>
        <w:ind w:left="444" w:right="0"/>
        <w:jc w:val="left"/>
      </w:pPr>
      <w:r>
        <w:rPr>
          <w:rFonts w:ascii="Times New Roman" w:hAnsi="Times New Roman" w:cs="Times New Roman" w:eastAsia="Times New Roman" w:hint="default"/>
        </w:rPr>
        <w:t>2</w:t>
      </w:r>
      <w:r>
        <w:rPr/>
        <w:t>、公司守法诚信经营，与上下游客户建立了和谐共盈的合作关系。</w:t>
      </w:r>
    </w:p>
    <w:p>
      <w:pPr>
        <w:pStyle w:val="BodyText"/>
        <w:spacing w:line="302" w:lineRule="auto" w:before="102"/>
        <w:ind w:left="153" w:right="1117" w:firstLine="290"/>
        <w:jc w:val="left"/>
      </w:pPr>
      <w:r>
        <w:rPr>
          <w:rFonts w:ascii="Times New Roman" w:hAnsi="Times New Roman" w:cs="Times New Roman" w:eastAsia="Times New Roman" w:hint="default"/>
        </w:rPr>
        <w:t>3</w:t>
      </w:r>
      <w:r>
        <w:rPr/>
        <w:t>、公司严格按照《劳动合同法》要求，与职工签订劳动合同，按照国家相关规定为职工缴纳各项社会保险，尊重员工</w:t>
      </w:r>
      <w:r>
        <w:rPr>
          <w:spacing w:val="1"/>
        </w:rPr>
        <w:t> </w:t>
      </w:r>
      <w:r>
        <w:rPr/>
        <w:t>各项权利。</w:t>
      </w:r>
    </w:p>
    <w:p>
      <w:pPr>
        <w:spacing w:line="240" w:lineRule="auto" w:before="2"/>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公司报告年度暂未开展精准扶贫工作，也暂无后续精准扶贫计划。</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3" w:right="5711"/>
        <w:jc w:val="left"/>
      </w:pPr>
      <w:r>
        <w:rPr/>
        <w:t>上市公司及其子公司是否属于环境保护部门公布的重点排污单位 否</w:t>
      </w:r>
    </w:p>
    <w:p>
      <w:pPr>
        <w:pStyle w:val="BodyText"/>
        <w:spacing w:line="307" w:lineRule="auto" w:before="26"/>
        <w:ind w:left="153" w:right="1031" w:firstLine="290"/>
        <w:jc w:val="left"/>
      </w:pPr>
      <w:r>
        <w:rPr>
          <w:spacing w:val="-2"/>
        </w:rPr>
        <w:t>公司认真贯彻《中华人民共和国环境保护法》，生产全过程认真执行质量管理体系</w:t>
      </w:r>
      <w:r>
        <w:rPr>
          <w:rFonts w:ascii="Times New Roman" w:hAnsi="Times New Roman" w:cs="Times New Roman" w:eastAsia="Times New Roman" w:hint="default"/>
          <w:spacing w:val="-2"/>
        </w:rPr>
        <w:t>ISO9001:2015</w:t>
      </w:r>
      <w:r>
        <w:rPr>
          <w:spacing w:val="-2"/>
        </w:rPr>
        <w:t>标准和环境管理体系</w:t>
      </w:r>
      <w:r>
        <w:rPr>
          <w:rFonts w:ascii="Times New Roman" w:hAnsi="Times New Roman" w:cs="Times New Roman" w:eastAsia="Times New Roman" w:hint="default"/>
          <w:spacing w:val="-2"/>
        </w:rPr>
        <w:t>ISO</w:t>
      </w:r>
      <w:r>
        <w:rPr>
          <w:rFonts w:ascii="Times New Roman" w:hAnsi="Times New Roman" w:cs="Times New Roman" w:eastAsia="Times New Roman" w:hint="default"/>
        </w:rPr>
        <w:t> 14001</w:t>
      </w:r>
      <w:r>
        <w:rPr/>
        <w:t>：</w:t>
      </w:r>
      <w:r>
        <w:rPr>
          <w:rFonts w:ascii="Times New Roman" w:hAnsi="Times New Roman" w:cs="Times New Roman" w:eastAsia="Times New Roman" w:hint="default"/>
        </w:rPr>
        <w:t>2015</w:t>
      </w:r>
      <w:r>
        <w:rPr/>
        <w:t>标准，努力开展清洁生产经营活动，达到环保要求，减少环境污染，为了更好地实现公司可持续发展，推行节 能减排创新工作，公司努力降低能源的消耗，在技术改造升级、工艺调整、浆料配方优化等方面不断创新，做到达标排放。 </w:t>
      </w:r>
      <w:r>
        <w:rPr>
          <w:spacing w:val="-2"/>
        </w:rPr>
        <w:t>空压机的系统优化和改造空调风机扇叶，在纺织设备上使用变频节能技术等降低电力能源消耗，改造车间用水设施，在保证</w:t>
      </w:r>
    </w:p>
    <w:p>
      <w:pPr>
        <w:spacing w:after="0" w:line="307"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09" w:lineRule="auto" w:before="44"/>
        <w:ind w:left="153" w:right="1131"/>
        <w:jc w:val="both"/>
      </w:pPr>
      <w:r>
        <w:rPr>
          <w:spacing w:val="-2"/>
        </w:rPr>
        <w:t>生产的情况下实现水的循环利用，节约用水降低成本，达到了废水排放量的降低；空调采用较为先进的喷淋头，降低空调用</w:t>
      </w:r>
      <w:r>
        <w:rPr>
          <w:spacing w:val="-66"/>
        </w:rPr>
        <w:t> </w:t>
      </w:r>
      <w:r>
        <w:rPr>
          <w:spacing w:val="-66"/>
        </w:rPr>
      </w:r>
      <w:r>
        <w:rPr>
          <w:spacing w:val="-1"/>
        </w:rPr>
        <w:t>水，做到循环利用，提高了空调效率，在节约电能的同时节约了用水量。报告期内，公司</w:t>
      </w:r>
      <w:r>
        <w:rPr>
          <w:rFonts w:ascii="Times New Roman" w:hAnsi="Times New Roman" w:cs="Times New Roman" w:eastAsia="Times New Roman" w:hint="default"/>
          <w:spacing w:val="-1"/>
        </w:rPr>
        <w:t>"</w:t>
      </w:r>
      <w:r>
        <w:rPr>
          <w:spacing w:val="-1"/>
        </w:rPr>
        <w:t>三废</w:t>
      </w:r>
      <w:r>
        <w:rPr>
          <w:rFonts w:ascii="Times New Roman" w:hAnsi="Times New Roman" w:cs="Times New Roman" w:eastAsia="Times New Roman" w:hint="default"/>
          <w:spacing w:val="-1"/>
        </w:rPr>
        <w:t>"</w:t>
      </w:r>
      <w:r>
        <w:rPr>
          <w:spacing w:val="-1"/>
        </w:rPr>
        <w:t>全部实现达标排放，未发生</w:t>
      </w:r>
      <w:r>
        <w:rPr/>
        <w:t> 环境纠纷和环境污染事故。</w:t>
      </w:r>
    </w:p>
    <w:p>
      <w:pPr>
        <w:spacing w:line="240" w:lineRule="auto" w:before="2"/>
        <w:rPr>
          <w:rFonts w:ascii="宋体" w:hAnsi="宋体" w:cs="宋体" w:eastAsia="宋体" w:hint="default"/>
          <w:sz w:val="21"/>
          <w:szCs w:val="21"/>
        </w:rPr>
      </w:pPr>
    </w:p>
    <w:p>
      <w:pPr>
        <w:pStyle w:val="Heading2"/>
        <w:spacing w:line="240" w:lineRule="auto"/>
        <w:ind w:right="0"/>
        <w:jc w:val="left"/>
        <w:rPr>
          <w:b w:val="0"/>
          <w:bCs w:val="0"/>
        </w:rPr>
      </w:pPr>
      <w:r>
        <w:rPr/>
        <w:t>十九、其他重大事项的说明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3"/>
          <w:szCs w:val="13"/>
        </w:rPr>
      </w:pPr>
    </w:p>
    <w:p>
      <w:pPr>
        <w:pStyle w:val="BodyText"/>
        <w:spacing w:line="300" w:lineRule="auto"/>
        <w:ind w:right="0" w:firstLine="360"/>
        <w:jc w:val="left"/>
      </w:pPr>
      <w:r>
        <w:rPr>
          <w:rFonts w:ascii="Times New Roman" w:hAnsi="Times New Roman" w:cs="Times New Roman" w:eastAsia="Times New Roman" w:hint="default"/>
          <w:spacing w:val="-4"/>
        </w:rPr>
        <w:t>1</w:t>
      </w:r>
      <w:r>
        <w:rPr>
          <w:spacing w:val="-4"/>
        </w:rPr>
        <w:t>、公司董事会七届三次会议和</w:t>
      </w:r>
      <w:r>
        <w:rPr>
          <w:rFonts w:ascii="Times New Roman" w:hAnsi="Times New Roman" w:cs="Times New Roman" w:eastAsia="Times New Roman" w:hint="default"/>
          <w:spacing w:val="-4"/>
        </w:rPr>
        <w:t>2018</w:t>
      </w:r>
      <w:r>
        <w:rPr>
          <w:spacing w:val="-4"/>
        </w:rPr>
        <w:t>年第</w:t>
      </w:r>
      <w:r>
        <w:rPr>
          <w:rFonts w:ascii="Times New Roman" w:hAnsi="Times New Roman" w:cs="Times New Roman" w:eastAsia="Times New Roman" w:hint="default"/>
          <w:spacing w:val="-4"/>
        </w:rPr>
        <w:t>4</w:t>
      </w:r>
      <w:r>
        <w:rPr>
          <w:spacing w:val="-4"/>
        </w:rPr>
        <w:t>次临时股东大会审议通过了《关于以集中竞价交易方式回购公司股份的议案》。</w:t>
      </w:r>
      <w:r>
        <w:rPr/>
        <w:t> 公司以自有或自筹资金不低于人民币</w:t>
      </w:r>
      <w:r>
        <w:rPr>
          <w:rFonts w:ascii="Times New Roman" w:hAnsi="Times New Roman" w:cs="Times New Roman" w:eastAsia="Times New Roman" w:hint="default"/>
        </w:rPr>
        <w:t>30,000</w:t>
      </w:r>
      <w:r>
        <w:rPr/>
        <w:t>万元，不超过人民币</w:t>
      </w:r>
      <w:r>
        <w:rPr>
          <w:rFonts w:ascii="Times New Roman" w:hAnsi="Times New Roman" w:cs="Times New Roman" w:eastAsia="Times New Roman" w:hint="default"/>
        </w:rPr>
        <w:t>60,000</w:t>
      </w:r>
      <w:r>
        <w:rPr/>
        <w:t>万元，以集中竞价交易方式回购公司股份并注销，回 购价格不超过</w:t>
      </w:r>
      <w:r>
        <w:rPr>
          <w:rFonts w:ascii="Times New Roman" w:hAnsi="Times New Roman" w:cs="Times New Roman" w:eastAsia="Times New Roman" w:hint="default"/>
        </w:rPr>
        <w:t>8.00</w:t>
      </w:r>
      <w:r>
        <w:rPr/>
        <w:t>元</w:t>
      </w:r>
      <w:r>
        <w:rPr>
          <w:rFonts w:ascii="Times New Roman" w:hAnsi="Times New Roman" w:cs="Times New Roman" w:eastAsia="Times New Roman" w:hint="default"/>
        </w:rPr>
        <w:t>/</w:t>
      </w:r>
      <w:r>
        <w:rPr/>
        <w:t>股（含</w:t>
      </w:r>
      <w:r>
        <w:rPr>
          <w:rFonts w:ascii="Times New Roman" w:hAnsi="Times New Roman" w:cs="Times New Roman" w:eastAsia="Times New Roman" w:hint="default"/>
        </w:rPr>
        <w:t>8.00</w:t>
      </w:r>
      <w:r>
        <w:rPr/>
        <w:t>元</w:t>
      </w:r>
      <w:r>
        <w:rPr>
          <w:rFonts w:ascii="Times New Roman" w:hAnsi="Times New Roman" w:cs="Times New Roman" w:eastAsia="Times New Roman" w:hint="default"/>
        </w:rPr>
        <w:t>/</w:t>
      </w:r>
      <w:r>
        <w:rPr/>
        <w:t>股）。截止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日，本次回购股份回购期限届满且已实施完毕，累计以集中竞 价方式回购股份</w:t>
      </w:r>
      <w:r>
        <w:rPr>
          <w:rFonts w:ascii="Times New Roman" w:hAnsi="Times New Roman" w:cs="Times New Roman" w:eastAsia="Times New Roman" w:hint="default"/>
        </w:rPr>
        <w:t>54,258,240</w:t>
      </w:r>
      <w:r>
        <w:rPr/>
        <w:t>股，占公司总股本的</w:t>
      </w:r>
      <w:r>
        <w:rPr>
          <w:rFonts w:ascii="Times New Roman" w:hAnsi="Times New Roman" w:cs="Times New Roman" w:eastAsia="Times New Roman" w:hint="default"/>
        </w:rPr>
        <w:t>3.28%</w:t>
      </w:r>
      <w:r>
        <w:rPr/>
        <w:t>，支付的总金额为</w:t>
      </w:r>
      <w:r>
        <w:rPr>
          <w:rFonts w:ascii="Times New Roman" w:hAnsi="Times New Roman" w:cs="Times New Roman" w:eastAsia="Times New Roman" w:hint="default"/>
        </w:rPr>
        <w:t>300,003,538.78</w:t>
      </w:r>
      <w:r>
        <w:rPr/>
        <w:t>元（含交易费用）。上述已回购股份 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日全部注销，本次注销完成后，公司总股本由</w:t>
      </w:r>
      <w:r>
        <w:rPr>
          <w:rFonts w:ascii="Times New Roman" w:hAnsi="Times New Roman" w:cs="Times New Roman" w:eastAsia="Times New Roman" w:hint="default"/>
        </w:rPr>
        <w:t>1,652,874,961</w:t>
      </w:r>
      <w:r>
        <w:rPr/>
        <w:t>减少至</w:t>
      </w:r>
      <w:r>
        <w:rPr>
          <w:rFonts w:ascii="Times New Roman" w:hAnsi="Times New Roman" w:cs="Times New Roman" w:eastAsia="Times New Roman" w:hint="default"/>
        </w:rPr>
        <w:t>1,598,616,721</w:t>
      </w:r>
      <w:r>
        <w:rPr/>
        <w:t>股。</w:t>
      </w:r>
    </w:p>
    <w:p>
      <w:pPr>
        <w:pStyle w:val="BodyText"/>
        <w:spacing w:line="300" w:lineRule="auto" w:before="133"/>
        <w:ind w:right="1131" w:firstLine="360"/>
        <w:jc w:val="both"/>
      </w:pPr>
      <w:r>
        <w:rPr>
          <w:rFonts w:ascii="Times New Roman" w:hAnsi="Times New Roman" w:cs="Times New Roman" w:eastAsia="Times New Roman" w:hint="default"/>
        </w:rPr>
        <w:t>2</w:t>
      </w:r>
      <w:r>
        <w:rPr/>
        <w:t>、公司重大资产重组后，公司主业已变更为软件及信息技术服务和纺织两大板块的双主营业务。</w:t>
      </w:r>
      <w:r>
        <w:rPr>
          <w:rFonts w:ascii="Times New Roman" w:hAnsi="Times New Roman" w:cs="Times New Roman" w:eastAsia="Times New Roman" w:hint="default"/>
        </w:rPr>
        <w:t>2018</w:t>
      </w:r>
      <w:r>
        <w:rPr/>
        <w:t>年度，公司软件 </w:t>
      </w:r>
      <w:r>
        <w:rPr>
          <w:spacing w:val="-1"/>
        </w:rPr>
        <w:t>及信息服务板块主营业务收入已超过公司营业总收入的</w:t>
      </w:r>
      <w:r>
        <w:rPr>
          <w:rFonts w:ascii="Times New Roman" w:hAnsi="Times New Roman" w:cs="Times New Roman" w:eastAsia="Times New Roman" w:hint="default"/>
          <w:spacing w:val="-1"/>
        </w:rPr>
        <w:t>50%</w:t>
      </w:r>
      <w:r>
        <w:rPr>
          <w:spacing w:val="-1"/>
        </w:rPr>
        <w:t>，根据《上市公司行业分类指引》的相关规定，公司所属行业变</w:t>
      </w:r>
      <w:r>
        <w:rPr/>
        <w:t> 更为：软件及信息技术服务业。</w:t>
      </w:r>
    </w:p>
    <w:p>
      <w:pPr>
        <w:pStyle w:val="BodyText"/>
        <w:spacing w:line="300" w:lineRule="auto" w:before="151"/>
        <w:ind w:right="1131" w:firstLine="360"/>
        <w:jc w:val="both"/>
      </w:pPr>
      <w:r>
        <w:rPr>
          <w:rFonts w:ascii="Times New Roman" w:hAnsi="Times New Roman" w:cs="Times New Roman" w:eastAsia="Times New Roman" w:hint="default"/>
          <w:spacing w:val="-2"/>
        </w:rPr>
        <w:t>3</w:t>
      </w:r>
      <w:r>
        <w:rPr>
          <w:spacing w:val="-2"/>
        </w:rPr>
        <w:t>、林芝腾讯投资管理有限公司于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30</w:t>
      </w:r>
      <w:r>
        <w:rPr>
          <w:spacing w:val="-2"/>
        </w:rPr>
        <w:t>日，将持有的恒定</w:t>
      </w:r>
      <w:r>
        <w:rPr>
          <w:rFonts w:ascii="Times New Roman" w:hAnsi="Times New Roman" w:cs="Times New Roman" w:eastAsia="Times New Roman" w:hint="default"/>
          <w:spacing w:val="-2"/>
        </w:rPr>
        <w:t>20</w:t>
      </w:r>
      <w:r>
        <w:rPr>
          <w:spacing w:val="-2"/>
        </w:rPr>
        <w:t>号及恒定</w:t>
      </w:r>
      <w:r>
        <w:rPr>
          <w:rFonts w:ascii="Times New Roman" w:hAnsi="Times New Roman" w:cs="Times New Roman" w:eastAsia="Times New Roman" w:hint="default"/>
          <w:spacing w:val="-2"/>
        </w:rPr>
        <w:t>21</w:t>
      </w:r>
      <w:r>
        <w:rPr>
          <w:spacing w:val="-2"/>
        </w:rPr>
        <w:t>号资管计划份额对应的本公司股份，通过</w:t>
      </w:r>
      <w:r>
        <w:rPr/>
        <w:t> 大宗交易方式转为直接持有本公司股份。本次交易完成后，林芝腾讯直接持有本公司股份</w:t>
      </w:r>
      <w:r>
        <w:rPr>
          <w:rFonts w:ascii="Times New Roman" w:hAnsi="Times New Roman" w:cs="Times New Roman" w:eastAsia="Times New Roman" w:hint="default"/>
        </w:rPr>
        <w:t>42,847,100</w:t>
      </w:r>
      <w:r>
        <w:rPr/>
        <w:t>股，占公司股份总数的 </w:t>
      </w:r>
      <w:r>
        <w:rPr>
          <w:rFonts w:ascii="Times New Roman" w:hAnsi="Times New Roman" w:cs="Times New Roman" w:eastAsia="Times New Roman" w:hint="default"/>
        </w:rPr>
        <w:t>2.68%</w:t>
      </w:r>
      <w:r>
        <w:rPr/>
        <w:t>。</w:t>
      </w:r>
    </w:p>
    <w:p>
      <w:pPr>
        <w:pStyle w:val="BodyText"/>
        <w:spacing w:line="240" w:lineRule="auto" w:before="133"/>
        <w:ind w:left="514" w:right="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21</w:t>
      </w:r>
      <w:r>
        <w:rPr/>
        <w:t>日，石家庄市公共资源交易中心发布《石家庄市公共资源交易中心国有建设用地使用权公开出让公告》</w:t>
      </w:r>
    </w:p>
    <w:p>
      <w:pPr>
        <w:pStyle w:val="BodyText"/>
        <w:spacing w:line="300" w:lineRule="auto" w:before="63"/>
        <w:ind w:left="153" w:right="0"/>
        <w:jc w:val="left"/>
      </w:pPr>
      <w:r>
        <w:rPr/>
        <w:t>（石公资交</w:t>
      </w:r>
      <w:r>
        <w:rPr>
          <w:rFonts w:ascii="Times New Roman" w:hAnsi="Times New Roman" w:cs="Times New Roman" w:eastAsia="Times New Roman" w:hint="default"/>
        </w:rPr>
        <w:t>[2019]69</w:t>
      </w:r>
      <w:r>
        <w:rPr/>
        <w:t>号），石家庄市公共资源交易中心决定公开出让公司所属第五分公司厂区土地，该土地出让面积为 </w:t>
      </w:r>
      <w:r>
        <w:rPr>
          <w:rFonts w:ascii="Times New Roman" w:hAnsi="Times New Roman" w:cs="Times New Roman" w:eastAsia="Times New Roman" w:hint="default"/>
          <w:spacing w:val="-1"/>
        </w:rPr>
        <w:t>122,118.0</w:t>
      </w:r>
      <w:r>
        <w:rPr>
          <w:spacing w:val="-1"/>
        </w:rPr>
        <w:t>平方米（合</w:t>
      </w:r>
      <w:r>
        <w:rPr>
          <w:rFonts w:ascii="Times New Roman" w:hAnsi="Times New Roman" w:cs="Times New Roman" w:eastAsia="Times New Roman" w:hint="default"/>
          <w:spacing w:val="-1"/>
        </w:rPr>
        <w:t>183.18</w:t>
      </w:r>
      <w:r>
        <w:rPr>
          <w:spacing w:val="-1"/>
        </w:rPr>
        <w:t>亩）。土地补偿按照土地出让总价款的</w:t>
      </w:r>
      <w:r>
        <w:rPr>
          <w:rFonts w:ascii="Times New Roman" w:hAnsi="Times New Roman" w:cs="Times New Roman" w:eastAsia="Times New Roman" w:hint="default"/>
          <w:spacing w:val="-1"/>
        </w:rPr>
        <w:t>60%</w:t>
      </w:r>
      <w:r>
        <w:rPr>
          <w:spacing w:val="-1"/>
        </w:rPr>
        <w:t>扣除已支付的土地补偿费</w:t>
      </w:r>
      <w:r>
        <w:rPr>
          <w:rFonts w:ascii="Times New Roman" w:hAnsi="Times New Roman" w:cs="Times New Roman" w:eastAsia="Times New Roman" w:hint="default"/>
          <w:spacing w:val="-1"/>
        </w:rPr>
        <w:t>20,149.47</w:t>
      </w:r>
      <w:r>
        <w:rPr>
          <w:spacing w:val="-1"/>
        </w:rPr>
        <w:t>万元及利息对企业</w:t>
      </w:r>
      <w:r>
        <w:rPr>
          <w:spacing w:val="-37"/>
        </w:rPr>
        <w:t> </w:t>
      </w:r>
      <w:r>
        <w:rPr>
          <w:spacing w:val="-37"/>
        </w:rPr>
      </w:r>
      <w:r>
        <w:rPr>
          <w:spacing w:val="-2"/>
        </w:rPr>
        <w:t>进行补偿。公司董事会七届十次会议审议通过了上述土地出让事项。上述地块于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24</w:t>
      </w:r>
      <w:r>
        <w:rPr>
          <w:spacing w:val="-2"/>
        </w:rPr>
        <w:t>日公开出让，受让人为北京中</w:t>
      </w:r>
      <w:r>
        <w:rPr>
          <w:spacing w:val="-58"/>
        </w:rPr>
        <w:t> </w:t>
      </w:r>
      <w:r>
        <w:rPr>
          <w:spacing w:val="-58"/>
        </w:rPr>
      </w:r>
      <w:r>
        <w:rPr/>
        <w:t>海地产有限公司，成交价为</w:t>
      </w:r>
      <w:r>
        <w:rPr>
          <w:rFonts w:ascii="Times New Roman" w:hAnsi="Times New Roman" w:cs="Times New Roman" w:eastAsia="Times New Roman" w:hint="default"/>
        </w:rPr>
        <w:t>201,100</w:t>
      </w:r>
      <w:r>
        <w:rPr/>
        <w:t>万元。</w:t>
      </w:r>
    </w:p>
    <w:p>
      <w:pPr>
        <w:pStyle w:val="BodyText"/>
        <w:spacing w:line="304" w:lineRule="auto" w:before="133"/>
        <w:ind w:left="153" w:right="1131" w:firstLine="360"/>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日公司下属第五分公司用于出租的一座仓库发生火灾，该房屋建筑物已于</w:t>
      </w:r>
      <w:r>
        <w:rPr>
          <w:rFonts w:ascii="Times New Roman" w:hAnsi="Times New Roman" w:cs="Times New Roman" w:eastAsia="Times New Roman" w:hint="default"/>
        </w:rPr>
        <w:t>2011</w:t>
      </w:r>
      <w:r>
        <w:rPr/>
        <w:t>年底注销，账面价值为 零。</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月公司收到石家庄市长安区公安消防大队出具的《火灾事故认定书》，认定起火原因为：起火部位位于石家庄 </w:t>
      </w:r>
      <w:r>
        <w:rPr>
          <w:spacing w:val="-1"/>
        </w:rPr>
        <w:t>常山北明科技股份有限公司第五分公司原整理车间与该车间西附房一层距北墙</w:t>
      </w:r>
      <w:r>
        <w:rPr>
          <w:rFonts w:ascii="Times New Roman" w:hAnsi="Times New Roman" w:cs="Times New Roman" w:eastAsia="Times New Roman" w:hint="default"/>
          <w:spacing w:val="-1"/>
        </w:rPr>
        <w:t>23.4</w:t>
      </w:r>
      <w:r>
        <w:rPr>
          <w:spacing w:val="-1"/>
        </w:rPr>
        <w:t>米的隔墙处，起火点位于该处配电柜，起</w:t>
      </w:r>
      <w:r>
        <w:rPr>
          <w:spacing w:val="-72"/>
        </w:rPr>
        <w:t> </w:t>
      </w:r>
      <w:r>
        <w:rPr>
          <w:spacing w:val="-72"/>
        </w:rPr>
      </w:r>
      <w:r>
        <w:rPr>
          <w:spacing w:val="-2"/>
        </w:rPr>
        <w:t>火原因系该配电柜内主配电线路故障所致。本次火灾的直接财产损失、事故责任认定、赔偿方案等尚未确定。</w:t>
      </w:r>
      <w:r>
        <w:rPr>
          <w:rFonts w:ascii="Times New Roman" w:hAnsi="Times New Roman" w:cs="Times New Roman" w:eastAsia="Times New Roman" w:hint="default"/>
          <w:spacing w:val="-2"/>
        </w:rPr>
        <w:t>2019</w:t>
      </w:r>
      <w:r>
        <w:rPr>
          <w:spacing w:val="-2"/>
        </w:rPr>
        <w:t>年，本着</w:t>
      </w:r>
      <w:r>
        <w:rPr>
          <w:spacing w:val="-62"/>
        </w:rPr>
        <w:t> </w:t>
      </w:r>
      <w:r>
        <w:rPr>
          <w:spacing w:val="-62"/>
        </w:rPr>
      </w:r>
      <w:r>
        <w:rPr>
          <w:spacing w:val="-1"/>
        </w:rPr>
        <w:t>人道主义和负责任企业精神，公司代替赔偿义务人向商户垫付了火灾损失赔偿款</w:t>
      </w:r>
      <w:r>
        <w:rPr>
          <w:rFonts w:ascii="Times New Roman" w:hAnsi="Times New Roman" w:cs="Times New Roman" w:eastAsia="Times New Roman" w:hint="default"/>
          <w:spacing w:val="-1"/>
        </w:rPr>
        <w:t>913.98</w:t>
      </w:r>
      <w:r>
        <w:rPr>
          <w:spacing w:val="-1"/>
        </w:rPr>
        <w:t>万元，并按照谨慎性原则计入了营业</w:t>
      </w:r>
      <w:r>
        <w:rPr>
          <w:spacing w:val="-75"/>
        </w:rPr>
        <w:t> </w:t>
      </w:r>
      <w:r>
        <w:rPr>
          <w:spacing w:val="-75"/>
        </w:rPr>
      </w:r>
      <w:r>
        <w:rPr>
          <w:spacing w:val="-2"/>
        </w:rPr>
        <w:t>外支出，减少了当期净利润。根据公司与商户签定的《垫付协议书》，公司有权要求赔偿义务人将依法应当赔偿给商户的火</w:t>
      </w:r>
      <w:r>
        <w:rPr>
          <w:spacing w:val="-66"/>
        </w:rPr>
        <w:t> </w:t>
      </w:r>
      <w:r>
        <w:rPr>
          <w:spacing w:val="-66"/>
        </w:rPr>
      </w:r>
      <w:r>
        <w:rPr>
          <w:spacing w:val="-2"/>
        </w:rPr>
        <w:t>灾损失赔偿款全部直接给付给公司，用于偿付公司提前垫付给商户的款项。公司将在收到赔偿义务人给付的赔偿款后，计入</w:t>
      </w:r>
      <w:r>
        <w:rPr>
          <w:spacing w:val="-66"/>
        </w:rPr>
        <w:t> </w:t>
      </w:r>
      <w:r>
        <w:rPr>
          <w:spacing w:val="-66"/>
        </w:rPr>
      </w:r>
      <w:r>
        <w:rPr/>
        <w:t>收到当期的营业外收入。</w:t>
      </w:r>
    </w:p>
    <w:p>
      <w:pPr>
        <w:pStyle w:val="BodyText"/>
        <w:spacing w:line="300" w:lineRule="auto" w:before="148"/>
        <w:ind w:left="153" w:right="1138" w:firstLine="360"/>
        <w:jc w:val="both"/>
      </w:pPr>
      <w:r>
        <w:rPr>
          <w:rFonts w:ascii="Times New Roman" w:hAnsi="Times New Roman" w:cs="Times New Roman" w:eastAsia="Times New Roman" w:hint="default"/>
        </w:rPr>
        <w:t>6</w:t>
      </w:r>
      <w:r>
        <w:rPr/>
        <w:t>、经公司董事会七届十一次决议通过，因市场环境及公司经营战略发生变化，常山恒宏纺织服装综合建设项目一期工 程停止建设，公司将该项目的在建工程余额</w:t>
      </w:r>
      <w:r>
        <w:rPr>
          <w:rFonts w:ascii="Times New Roman" w:hAnsi="Times New Roman" w:cs="Times New Roman" w:eastAsia="Times New Roman" w:hint="default"/>
        </w:rPr>
        <w:t>566.55</w:t>
      </w:r>
      <w:r>
        <w:rPr/>
        <w:t>元转入营业外支出，减少了当期净利润。</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r>
        <w:rPr/>
        <w:t>二十、公司子公司重大事项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13" w:right="1117" w:hanging="360"/>
        <w:jc w:val="left"/>
      </w:pPr>
      <w:r>
        <w:rPr/>
        <w:t>√ 适用 □ 不适用 </w:t>
      </w:r>
      <w:r>
        <w:rPr>
          <w:spacing w:val="-2"/>
        </w:rPr>
        <w:t>经公司董事会七届九次会议审议通过，公司全资子公司石家庄常山赵州纺织有限公司与赵县土地储备中心签订《房地产</w:t>
      </w:r>
    </w:p>
    <w:p>
      <w:pPr>
        <w:pStyle w:val="BodyText"/>
        <w:spacing w:line="237" w:lineRule="exact"/>
        <w:ind w:left="153" w:right="0"/>
        <w:jc w:val="left"/>
      </w:pPr>
      <w:r>
        <w:rPr/>
        <w:t>收购合同》，由赵县土地储备中心收购常山赵纺面积为</w:t>
      </w:r>
      <w:r>
        <w:rPr>
          <w:rFonts w:ascii="Times New Roman" w:hAnsi="Times New Roman" w:cs="Times New Roman" w:eastAsia="Times New Roman" w:hint="default"/>
        </w:rPr>
        <w:t>70,237.03</w:t>
      </w:r>
      <w:r>
        <w:rPr/>
        <w:t>平方米的土地及房屋所有权，补偿金总额为人民币</w:t>
      </w:r>
      <w:r>
        <w:rPr>
          <w:rFonts w:ascii="Times New Roman" w:hAnsi="Times New Roman" w:cs="Times New Roman" w:eastAsia="Times New Roman" w:hint="default"/>
        </w:rPr>
        <w:t>6,000</w:t>
      </w:r>
      <w:r>
        <w:rPr/>
        <w:t>万</w:t>
      </w:r>
    </w:p>
    <w:p>
      <w:pPr>
        <w:pStyle w:val="BodyText"/>
        <w:spacing w:line="240" w:lineRule="auto" w:before="63"/>
        <w:ind w:left="153" w:right="0"/>
        <w:jc w:val="left"/>
      </w:pPr>
      <w:r>
        <w:rPr/>
        <w:t>元，截止</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5</w:t>
      </w:r>
      <w:r>
        <w:rPr/>
        <w:t>日，公司已全额收到上述土地补偿金。</w:t>
      </w:r>
    </w:p>
    <w:p>
      <w:pPr>
        <w:spacing w:after="0" w:line="240"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4" w:right="0"/>
        <w:jc w:val="left"/>
        <w:rPr>
          <w:b w:val="0"/>
          <w:bCs w:val="0"/>
        </w:rPr>
      </w:pPr>
      <w:bookmarkStart w:name="_TOC_250007" w:id="6"/>
      <w:r>
        <w:rPr/>
        <w:t>第六节股份变动及股东情况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57"/>
        <w:gridCol w:w="1272"/>
        <w:gridCol w:w="900"/>
        <w:gridCol w:w="437"/>
        <w:gridCol w:w="540"/>
        <w:gridCol w:w="643"/>
        <w:gridCol w:w="926"/>
        <w:gridCol w:w="1002"/>
        <w:gridCol w:w="1132"/>
        <w:gridCol w:w="826"/>
      </w:tblGrid>
      <w:tr>
        <w:trPr>
          <w:trHeight w:val="402" w:hRule="exact"/>
        </w:trPr>
        <w:tc>
          <w:tcPr>
            <w:tcW w:w="1957" w:type="dxa"/>
            <w:tcBorders>
              <w:top w:val="single" w:sz="4" w:space="0" w:color="000000"/>
              <w:left w:val="single" w:sz="4" w:space="0" w:color="000000"/>
              <w:bottom w:val="nil" w:sz="6" w:space="0" w:color="auto"/>
              <w:right w:val="single" w:sz="4" w:space="0" w:color="000000"/>
            </w:tcBorders>
            <w:shd w:val="clear" w:color="auto" w:fill="D3D3D3"/>
          </w:tcPr>
          <w:p>
            <w:pPr/>
          </w:p>
        </w:tc>
        <w:tc>
          <w:tcPr>
            <w:tcW w:w="217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54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5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957" w:type="dxa"/>
            <w:vMerge w:val="restart"/>
            <w:tcBorders>
              <w:top w:val="nil" w:sz="6" w:space="0" w:color="auto"/>
              <w:left w:val="single" w:sz="4" w:space="0" w:color="000000"/>
              <w:right w:val="single" w:sz="4" w:space="0" w:color="000000"/>
            </w:tcBorders>
            <w:shd w:val="clear" w:color="auto" w:fill="D3D3D3"/>
          </w:tcPr>
          <w:p>
            <w:pPr/>
          </w:p>
        </w:tc>
        <w:tc>
          <w:tcPr>
            <w:tcW w:w="1272" w:type="dxa"/>
            <w:tcBorders>
              <w:top w:val="single" w:sz="4" w:space="0" w:color="000000"/>
              <w:left w:val="single" w:sz="4" w:space="0" w:color="000000"/>
              <w:bottom w:val="nil" w:sz="6" w:space="0" w:color="auto"/>
              <w:right w:val="single" w:sz="4" w:space="0" w:color="000000"/>
            </w:tcBorders>
            <w:shd w:val="clear" w:color="auto" w:fill="D3D3D3"/>
          </w:tcPr>
          <w:p>
            <w:pPr/>
          </w:p>
        </w:tc>
        <w:tc>
          <w:tcPr>
            <w:tcW w:w="900" w:type="dxa"/>
            <w:tcBorders>
              <w:top w:val="single" w:sz="4" w:space="0" w:color="000000"/>
              <w:left w:val="single" w:sz="4" w:space="0" w:color="000000"/>
              <w:bottom w:val="nil" w:sz="6" w:space="0" w:color="auto"/>
              <w:right w:val="single" w:sz="4" w:space="0" w:color="000000"/>
            </w:tcBorders>
            <w:shd w:val="clear" w:color="auto" w:fill="D3D3D3"/>
          </w:tcPr>
          <w:p>
            <w:pPr/>
          </w:p>
        </w:tc>
        <w:tc>
          <w:tcPr>
            <w:tcW w:w="43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3" w:right="31"/>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40" w:type="dxa"/>
            <w:tcBorders>
              <w:top w:val="single" w:sz="4" w:space="0" w:color="000000"/>
              <w:left w:val="single" w:sz="4" w:space="0" w:color="000000"/>
              <w:bottom w:val="nil" w:sz="6" w:space="0" w:color="auto"/>
              <w:right w:val="single" w:sz="4" w:space="0" w:color="000000"/>
            </w:tcBorders>
            <w:shd w:val="clear" w:color="auto" w:fill="D3D3D3"/>
          </w:tcPr>
          <w:p>
            <w:pPr/>
          </w:p>
        </w:tc>
        <w:tc>
          <w:tcPr>
            <w:tcW w:w="64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36" w:right="44"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926" w:type="dxa"/>
            <w:tcBorders>
              <w:top w:val="single" w:sz="4" w:space="0" w:color="000000"/>
              <w:left w:val="single" w:sz="4" w:space="0" w:color="000000"/>
              <w:bottom w:val="nil" w:sz="6" w:space="0" w:color="auto"/>
              <w:right w:val="single" w:sz="4" w:space="0" w:color="000000"/>
            </w:tcBorders>
            <w:shd w:val="clear" w:color="auto" w:fill="D3D3D3"/>
          </w:tcPr>
          <w:p>
            <w:pPr/>
          </w:p>
        </w:tc>
        <w:tc>
          <w:tcPr>
            <w:tcW w:w="1002" w:type="dxa"/>
            <w:tcBorders>
              <w:top w:val="single" w:sz="4" w:space="0" w:color="000000"/>
              <w:left w:val="single" w:sz="4" w:space="0" w:color="000000"/>
              <w:bottom w:val="nil" w:sz="6" w:space="0" w:color="auto"/>
              <w:right w:val="single" w:sz="4" w:space="0" w:color="000000"/>
            </w:tcBorders>
            <w:shd w:val="clear" w:color="auto" w:fill="D3D3D3"/>
          </w:tcPr>
          <w:p>
            <w:pPr/>
          </w:p>
        </w:tc>
        <w:tc>
          <w:tcPr>
            <w:tcW w:w="1132" w:type="dxa"/>
            <w:tcBorders>
              <w:top w:val="single" w:sz="4" w:space="0" w:color="000000"/>
              <w:left w:val="single" w:sz="4" w:space="0" w:color="000000"/>
              <w:bottom w:val="nil" w:sz="6" w:space="0" w:color="auto"/>
              <w:right w:val="single" w:sz="4" w:space="0" w:color="000000"/>
            </w:tcBorders>
            <w:shd w:val="clear" w:color="auto" w:fill="D3D3D3"/>
          </w:tcPr>
          <w:p>
            <w:pPr/>
          </w:p>
        </w:tc>
        <w:tc>
          <w:tcPr>
            <w:tcW w:w="82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86" w:hRule="exact"/>
        </w:trPr>
        <w:tc>
          <w:tcPr>
            <w:tcW w:w="1957" w:type="dxa"/>
            <w:vMerge/>
            <w:tcBorders>
              <w:left w:val="single" w:sz="4" w:space="0" w:color="000000"/>
              <w:bottom w:val="nil" w:sz="6" w:space="0" w:color="auto"/>
              <w:right w:val="single" w:sz="4" w:space="0" w:color="000000"/>
            </w:tcBorders>
            <w:shd w:val="clear" w:color="auto" w:fill="D3D3D3"/>
          </w:tcPr>
          <w:p>
            <w:pPr/>
          </w:p>
        </w:tc>
        <w:tc>
          <w:tcPr>
            <w:tcW w:w="127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90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6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437" w:type="dxa"/>
            <w:vMerge/>
            <w:tcBorders>
              <w:left w:val="single" w:sz="4" w:space="0" w:color="000000"/>
              <w:right w:val="single" w:sz="4" w:space="0" w:color="000000"/>
            </w:tcBorders>
            <w:shd w:val="clear" w:color="auto" w:fill="D3D3D3"/>
          </w:tcPr>
          <w:p>
            <w:pPr/>
          </w:p>
        </w:tc>
        <w:tc>
          <w:tcPr>
            <w:tcW w:w="54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643" w:type="dxa"/>
            <w:vMerge/>
            <w:tcBorders>
              <w:left w:val="single" w:sz="4" w:space="0" w:color="000000"/>
              <w:right w:val="single" w:sz="4" w:space="0" w:color="000000"/>
            </w:tcBorders>
            <w:shd w:val="clear" w:color="auto" w:fill="D3D3D3"/>
          </w:tcPr>
          <w:p>
            <w:pPr/>
          </w:p>
        </w:tc>
        <w:tc>
          <w:tcPr>
            <w:tcW w:w="92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7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0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1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82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57" w:type="dxa"/>
            <w:vMerge w:val="restart"/>
            <w:tcBorders>
              <w:top w:val="nil" w:sz="6" w:space="0" w:color="auto"/>
              <w:left w:val="single" w:sz="4" w:space="0" w:color="000000"/>
              <w:right w:val="single" w:sz="4" w:space="0" w:color="000000"/>
            </w:tcBorders>
            <w:shd w:val="clear" w:color="auto" w:fill="D3D3D3"/>
          </w:tcPr>
          <w:p>
            <w:pPr/>
          </w:p>
        </w:tc>
        <w:tc>
          <w:tcPr>
            <w:tcW w:w="1272" w:type="dxa"/>
            <w:vMerge/>
            <w:tcBorders>
              <w:left w:val="single" w:sz="4" w:space="0" w:color="000000"/>
              <w:bottom w:val="nil" w:sz="6" w:space="0" w:color="auto"/>
              <w:right w:val="single" w:sz="4" w:space="0" w:color="000000"/>
            </w:tcBorders>
            <w:shd w:val="clear" w:color="auto" w:fill="D3D3D3"/>
          </w:tcPr>
          <w:p>
            <w:pPr/>
          </w:p>
        </w:tc>
        <w:tc>
          <w:tcPr>
            <w:tcW w:w="900" w:type="dxa"/>
            <w:vMerge/>
            <w:tcBorders>
              <w:left w:val="single" w:sz="4" w:space="0" w:color="000000"/>
              <w:bottom w:val="nil" w:sz="6" w:space="0" w:color="auto"/>
              <w:right w:val="single" w:sz="4" w:space="0" w:color="000000"/>
            </w:tcBorders>
            <w:shd w:val="clear" w:color="auto" w:fill="D3D3D3"/>
          </w:tcPr>
          <w:p>
            <w:pPr/>
          </w:p>
        </w:tc>
        <w:tc>
          <w:tcPr>
            <w:tcW w:w="437" w:type="dxa"/>
            <w:vMerge/>
            <w:tcBorders>
              <w:left w:val="single" w:sz="4" w:space="0" w:color="000000"/>
              <w:right w:val="single" w:sz="4" w:space="0" w:color="000000"/>
            </w:tcBorders>
            <w:shd w:val="clear" w:color="auto" w:fill="D3D3D3"/>
          </w:tcPr>
          <w:p>
            <w:pPr/>
          </w:p>
        </w:tc>
        <w:tc>
          <w:tcPr>
            <w:tcW w:w="540" w:type="dxa"/>
            <w:vMerge/>
            <w:tcBorders>
              <w:left w:val="single" w:sz="4" w:space="0" w:color="000000"/>
              <w:bottom w:val="nil" w:sz="6" w:space="0" w:color="auto"/>
              <w:right w:val="single" w:sz="4" w:space="0" w:color="000000"/>
            </w:tcBorders>
            <w:shd w:val="clear" w:color="auto" w:fill="D3D3D3"/>
          </w:tcPr>
          <w:p>
            <w:pPr/>
          </w:p>
        </w:tc>
        <w:tc>
          <w:tcPr>
            <w:tcW w:w="643" w:type="dxa"/>
            <w:vMerge/>
            <w:tcBorders>
              <w:left w:val="single" w:sz="4" w:space="0" w:color="000000"/>
              <w:right w:val="single" w:sz="4" w:space="0" w:color="000000"/>
            </w:tcBorders>
            <w:shd w:val="clear" w:color="auto" w:fill="D3D3D3"/>
          </w:tcPr>
          <w:p>
            <w:pPr/>
          </w:p>
        </w:tc>
        <w:tc>
          <w:tcPr>
            <w:tcW w:w="926" w:type="dxa"/>
            <w:vMerge/>
            <w:tcBorders>
              <w:left w:val="single" w:sz="4" w:space="0" w:color="000000"/>
              <w:bottom w:val="nil" w:sz="6" w:space="0" w:color="auto"/>
              <w:right w:val="single" w:sz="4" w:space="0" w:color="000000"/>
            </w:tcBorders>
            <w:shd w:val="clear" w:color="auto" w:fill="D3D3D3"/>
          </w:tcPr>
          <w:p>
            <w:pPr/>
          </w:p>
        </w:tc>
        <w:tc>
          <w:tcPr>
            <w:tcW w:w="1002" w:type="dxa"/>
            <w:vMerge/>
            <w:tcBorders>
              <w:left w:val="single" w:sz="4" w:space="0" w:color="000000"/>
              <w:bottom w:val="nil" w:sz="6" w:space="0" w:color="auto"/>
              <w:right w:val="single" w:sz="4" w:space="0" w:color="000000"/>
            </w:tcBorders>
            <w:shd w:val="clear" w:color="auto" w:fill="D3D3D3"/>
          </w:tcPr>
          <w:p>
            <w:pPr/>
          </w:p>
        </w:tc>
        <w:tc>
          <w:tcPr>
            <w:tcW w:w="1132" w:type="dxa"/>
            <w:vMerge/>
            <w:tcBorders>
              <w:left w:val="single" w:sz="4" w:space="0" w:color="000000"/>
              <w:bottom w:val="nil" w:sz="6" w:space="0" w:color="auto"/>
              <w:right w:val="single" w:sz="4" w:space="0" w:color="000000"/>
            </w:tcBorders>
            <w:shd w:val="clear" w:color="auto" w:fill="D3D3D3"/>
          </w:tcPr>
          <w:p>
            <w:pPr/>
          </w:p>
        </w:tc>
        <w:tc>
          <w:tcPr>
            <w:tcW w:w="826" w:type="dxa"/>
            <w:vMerge/>
            <w:tcBorders>
              <w:left w:val="single" w:sz="4" w:space="0" w:color="000000"/>
              <w:bottom w:val="nil" w:sz="6" w:space="0" w:color="auto"/>
              <w:right w:val="single" w:sz="4" w:space="0" w:color="000000"/>
            </w:tcBorders>
            <w:shd w:val="clear" w:color="auto" w:fill="D3D3D3"/>
          </w:tcPr>
          <w:p>
            <w:pPr/>
          </w:p>
        </w:tc>
      </w:tr>
      <w:tr>
        <w:trPr>
          <w:trHeight w:val="161" w:hRule="exact"/>
        </w:trPr>
        <w:tc>
          <w:tcPr>
            <w:tcW w:w="1957" w:type="dxa"/>
            <w:vMerge/>
            <w:tcBorders>
              <w:left w:val="single" w:sz="4" w:space="0" w:color="000000"/>
              <w:bottom w:val="single" w:sz="4" w:space="0" w:color="000000"/>
              <w:right w:val="single" w:sz="4" w:space="0" w:color="000000"/>
            </w:tcBorders>
            <w:shd w:val="clear" w:color="auto" w:fill="D3D3D3"/>
          </w:tcPr>
          <w:p>
            <w:pPr/>
          </w:p>
        </w:tc>
        <w:tc>
          <w:tcPr>
            <w:tcW w:w="1272" w:type="dxa"/>
            <w:tcBorders>
              <w:top w:val="nil" w:sz="6" w:space="0" w:color="auto"/>
              <w:left w:val="single" w:sz="4" w:space="0" w:color="000000"/>
              <w:bottom w:val="single" w:sz="4" w:space="0" w:color="000000"/>
              <w:right w:val="single" w:sz="4" w:space="0" w:color="000000"/>
            </w:tcBorders>
            <w:shd w:val="clear" w:color="auto" w:fill="D3D3D3"/>
          </w:tcPr>
          <w:p>
            <w:pPr/>
          </w:p>
        </w:tc>
        <w:tc>
          <w:tcPr>
            <w:tcW w:w="900" w:type="dxa"/>
            <w:tcBorders>
              <w:top w:val="nil" w:sz="6" w:space="0" w:color="auto"/>
              <w:left w:val="single" w:sz="4" w:space="0" w:color="000000"/>
              <w:bottom w:val="single" w:sz="4" w:space="0" w:color="000000"/>
              <w:right w:val="single" w:sz="4" w:space="0" w:color="000000"/>
            </w:tcBorders>
            <w:shd w:val="clear" w:color="auto" w:fill="D3D3D3"/>
          </w:tcPr>
          <w:p>
            <w:pPr/>
          </w:p>
        </w:tc>
        <w:tc>
          <w:tcPr>
            <w:tcW w:w="437" w:type="dxa"/>
            <w:vMerge/>
            <w:tcBorders>
              <w:left w:val="single" w:sz="4" w:space="0" w:color="000000"/>
              <w:bottom w:val="single" w:sz="4" w:space="0" w:color="000000"/>
              <w:right w:val="single" w:sz="4" w:space="0" w:color="000000"/>
            </w:tcBorders>
            <w:shd w:val="clear" w:color="auto" w:fill="D3D3D3"/>
          </w:tcPr>
          <w:p>
            <w:pPr/>
          </w:p>
        </w:tc>
        <w:tc>
          <w:tcPr>
            <w:tcW w:w="540" w:type="dxa"/>
            <w:tcBorders>
              <w:top w:val="nil" w:sz="6" w:space="0" w:color="auto"/>
              <w:left w:val="single" w:sz="4" w:space="0" w:color="000000"/>
              <w:bottom w:val="single" w:sz="4" w:space="0" w:color="000000"/>
              <w:right w:val="single" w:sz="4" w:space="0" w:color="000000"/>
            </w:tcBorders>
            <w:shd w:val="clear" w:color="auto" w:fill="D3D3D3"/>
          </w:tcPr>
          <w:p>
            <w:pPr/>
          </w:p>
        </w:tc>
        <w:tc>
          <w:tcPr>
            <w:tcW w:w="643" w:type="dxa"/>
            <w:vMerge/>
            <w:tcBorders>
              <w:left w:val="single" w:sz="4" w:space="0" w:color="000000"/>
              <w:bottom w:val="single" w:sz="4" w:space="0" w:color="000000"/>
              <w:right w:val="single" w:sz="4" w:space="0" w:color="000000"/>
            </w:tcBorders>
            <w:shd w:val="clear" w:color="auto" w:fill="D3D3D3"/>
          </w:tcPr>
          <w:p>
            <w:pPr/>
          </w:p>
        </w:tc>
        <w:tc>
          <w:tcPr>
            <w:tcW w:w="926" w:type="dxa"/>
            <w:tcBorders>
              <w:top w:val="nil" w:sz="6" w:space="0" w:color="auto"/>
              <w:left w:val="single" w:sz="4" w:space="0" w:color="000000"/>
              <w:bottom w:val="single" w:sz="4" w:space="0" w:color="000000"/>
              <w:right w:val="single" w:sz="4" w:space="0" w:color="000000"/>
            </w:tcBorders>
            <w:shd w:val="clear" w:color="auto" w:fill="D3D3D3"/>
          </w:tcPr>
          <w:p>
            <w:pPr/>
          </w:p>
        </w:tc>
        <w:tc>
          <w:tcPr>
            <w:tcW w:w="1002" w:type="dxa"/>
            <w:tcBorders>
              <w:top w:val="nil" w:sz="6" w:space="0" w:color="auto"/>
              <w:left w:val="single" w:sz="4" w:space="0" w:color="000000"/>
              <w:bottom w:val="single" w:sz="4" w:space="0" w:color="000000"/>
              <w:right w:val="single" w:sz="4" w:space="0" w:color="000000"/>
            </w:tcBorders>
            <w:shd w:val="clear" w:color="auto" w:fill="D3D3D3"/>
          </w:tcPr>
          <w:p>
            <w:pPr/>
          </w:p>
        </w:tc>
        <w:tc>
          <w:tcPr>
            <w:tcW w:w="1132" w:type="dxa"/>
            <w:tcBorders>
              <w:top w:val="nil" w:sz="6" w:space="0" w:color="auto"/>
              <w:left w:val="single" w:sz="4" w:space="0" w:color="000000"/>
              <w:bottom w:val="single" w:sz="4" w:space="0" w:color="000000"/>
              <w:right w:val="single" w:sz="4" w:space="0" w:color="000000"/>
            </w:tcBorders>
            <w:shd w:val="clear" w:color="auto" w:fill="D3D3D3"/>
          </w:tcPr>
          <w:p>
            <w:pPr/>
          </w:p>
        </w:tc>
        <w:tc>
          <w:tcPr>
            <w:tcW w:w="82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28,714,191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1.74%</w:t>
            </w:r>
          </w:p>
        </w:tc>
        <w:tc>
          <w:tcPr>
            <w:tcW w:w="43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-7,660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-7,660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28,706,531</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w:t>
            </w:r>
          </w:p>
        </w:tc>
      </w:tr>
      <w:tr>
        <w:trPr>
          <w:trHeight w:val="402"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28,714,191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1.74%</w:t>
            </w:r>
          </w:p>
        </w:tc>
        <w:tc>
          <w:tcPr>
            <w:tcW w:w="43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-7,660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-7,660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28,706,531</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w:t>
            </w:r>
          </w:p>
        </w:tc>
      </w:tr>
      <w:tr>
        <w:trPr>
          <w:trHeight w:val="402"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28,714,191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1.74%</w:t>
            </w:r>
          </w:p>
        </w:tc>
        <w:tc>
          <w:tcPr>
            <w:tcW w:w="43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-7,660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-7,660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28,706,531</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w:t>
            </w:r>
          </w:p>
        </w:tc>
      </w:tr>
      <w:tr>
        <w:trPr>
          <w:trHeight w:val="402"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1,624,160,770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98.26%</w:t>
            </w:r>
          </w:p>
        </w:tc>
        <w:tc>
          <w:tcPr>
            <w:tcW w:w="43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-54,250,580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-54,250,580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1,569,910,190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98.20%</w:t>
            </w:r>
          </w:p>
        </w:tc>
      </w:tr>
      <w:tr>
        <w:trPr>
          <w:trHeight w:val="402"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1,624,160,770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98.26%</w:t>
            </w:r>
          </w:p>
        </w:tc>
        <w:tc>
          <w:tcPr>
            <w:tcW w:w="43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-54,250,580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-54,250,580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1,569,910,190</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98.20%</w:t>
            </w:r>
          </w:p>
        </w:tc>
      </w:tr>
      <w:tr>
        <w:trPr>
          <w:trHeight w:val="402" w:hRule="exact"/>
        </w:trPr>
        <w:tc>
          <w:tcPr>
            <w:tcW w:w="19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1,652,874,961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437"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-54,258,240</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-54,258,240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1,598,616,721</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both"/>
      </w:pPr>
      <w:r>
        <w:rPr/>
        <w:t>股份变动的原因</w:t>
      </w:r>
    </w:p>
    <w:p>
      <w:pPr>
        <w:pStyle w:val="BodyText"/>
        <w:spacing w:line="338" w:lineRule="auto" w:before="117"/>
        <w:ind w:left="514" w:right="1129"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3"/>
        </w:rPr>
        <w:t>公司分别于2018年11月13日和2018年11月29日召开董事会七届三次会议和2018年度第4次临时股东大会，审议通过了《关</w:t>
      </w:r>
    </w:p>
    <w:p>
      <w:pPr>
        <w:pStyle w:val="BodyText"/>
        <w:spacing w:line="316" w:lineRule="auto" w:before="2"/>
        <w:ind w:right="1039"/>
        <w:jc w:val="both"/>
      </w:pPr>
      <w:r>
        <w:rPr>
          <w:spacing w:val="-2"/>
        </w:rPr>
        <w:t>于以集中竞价交易方式回购公司股份的议案》。截止2019年11月28日，公司回购股份期限届满并实施完毕。公司以集中竞价</w:t>
      </w:r>
      <w:r>
        <w:rPr>
          <w:spacing w:val="-58"/>
        </w:rPr>
        <w:t> </w:t>
      </w:r>
      <w:r>
        <w:rPr>
          <w:spacing w:val="-58"/>
        </w:rPr>
      </w:r>
      <w:r>
        <w:rPr>
          <w:spacing w:val="-2"/>
        </w:rPr>
        <w:t>交易方式回购股份54,258,240股，支付的总金额为300,003,538.78元（含交易费用）。截止2019年12月31日，公司已办理完</w:t>
      </w:r>
      <w:r>
        <w:rPr>
          <w:spacing w:val="-35"/>
        </w:rPr>
        <w:t> </w:t>
      </w:r>
      <w:r>
        <w:rPr>
          <w:spacing w:val="-35"/>
        </w:rPr>
      </w:r>
      <w:r>
        <w:rPr>
          <w:spacing w:val="-2"/>
        </w:rPr>
        <w:t>毕上述回购股份的注销事宜，回购注销变更后的注册资本为人民币1,598,616,721元，同时减少资本公积245,714,593.85元。</w:t>
      </w:r>
    </w:p>
    <w:p>
      <w:pPr>
        <w:pStyle w:val="BodyText"/>
        <w:spacing w:line="240" w:lineRule="auto" w:before="59"/>
        <w:ind w:right="0"/>
        <w:jc w:val="both"/>
      </w:pPr>
      <w:r>
        <w:rPr/>
        <w:t>股份变动的批准情况</w:t>
      </w:r>
    </w:p>
    <w:p>
      <w:pPr>
        <w:pStyle w:val="BodyText"/>
        <w:spacing w:line="357" w:lineRule="auto" w:before="117"/>
        <w:ind w:left="514" w:right="1120" w:hanging="360"/>
        <w:jc w:val="left"/>
      </w:pPr>
      <w:r>
        <w:rPr/>
        <w:t>√ 适用 □ 不适用 公司分别于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13</w:t>
      </w:r>
      <w:r>
        <w:rPr/>
        <w:t>日和</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29</w:t>
      </w:r>
      <w:r>
        <w:rPr/>
        <w:t>日召开了公司董事会七届三次会议和</w:t>
      </w:r>
      <w:r>
        <w:rPr>
          <w:rFonts w:ascii="Times New Roman" w:hAnsi="Times New Roman" w:cs="Times New Roman" w:eastAsia="Times New Roman" w:hint="default"/>
        </w:rPr>
        <w:t>2018</w:t>
      </w:r>
      <w:r>
        <w:rPr/>
        <w:t>年第</w:t>
      </w:r>
      <w:r>
        <w:rPr>
          <w:rFonts w:ascii="Times New Roman" w:hAnsi="Times New Roman" w:cs="Times New Roman" w:eastAsia="Times New Roman" w:hint="default"/>
        </w:rPr>
        <w:t>4</w:t>
      </w:r>
      <w:r>
        <w:rPr/>
        <w:t>次临时股东大会，审议通过</w:t>
      </w:r>
    </w:p>
    <w:p>
      <w:pPr>
        <w:pStyle w:val="BodyText"/>
        <w:spacing w:line="201" w:lineRule="exact"/>
        <w:ind w:right="0"/>
        <w:jc w:val="both"/>
      </w:pPr>
      <w:r>
        <w:rPr/>
        <w:t>了《关于以集中竞价交易方式回购公司股份的议案》。</w:t>
      </w:r>
    </w:p>
    <w:p>
      <w:pPr>
        <w:spacing w:line="240" w:lineRule="auto" w:before="6"/>
        <w:rPr>
          <w:rFonts w:ascii="宋体" w:hAnsi="宋体" w:cs="宋体" w:eastAsia="宋体" w:hint="default"/>
          <w:sz w:val="22"/>
          <w:szCs w:val="22"/>
        </w:rPr>
      </w:pPr>
    </w:p>
    <w:p>
      <w:pPr>
        <w:pStyle w:val="BodyText"/>
        <w:spacing w:line="240" w:lineRule="auto"/>
        <w:ind w:right="0"/>
        <w:jc w:val="both"/>
      </w:pPr>
      <w:r>
        <w:rPr/>
        <w:t>股份变动的过户情况</w:t>
      </w:r>
    </w:p>
    <w:p>
      <w:pPr>
        <w:pStyle w:val="BodyText"/>
        <w:spacing w:line="338" w:lineRule="auto" w:before="117"/>
        <w:ind w:right="87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股份回购的实施进展情况</w:t>
      </w:r>
    </w:p>
    <w:p>
      <w:pPr>
        <w:pStyle w:val="BodyText"/>
        <w:spacing w:line="338" w:lineRule="auto" w:before="42"/>
        <w:ind w:left="563" w:right="1071" w:hanging="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公司董事会七届三次会议和</w:t>
      </w:r>
      <w:r>
        <w:rPr>
          <w:rFonts w:ascii="Times New Roman" w:hAnsi="Times New Roman" w:cs="Times New Roman" w:eastAsia="Times New Roman" w:hint="default"/>
        </w:rPr>
        <w:t>2018</w:t>
      </w:r>
      <w:r>
        <w:rPr/>
        <w:t>年第</w:t>
      </w:r>
      <w:r>
        <w:rPr>
          <w:rFonts w:ascii="Times New Roman" w:hAnsi="Times New Roman" w:cs="Times New Roman" w:eastAsia="Times New Roman" w:hint="default"/>
        </w:rPr>
        <w:t>4</w:t>
      </w:r>
      <w:r>
        <w:rPr/>
        <w:t>次临时股东大会审议通过了《关于以集中竞价交易方式回购公司股份的议案》。</w:t>
      </w:r>
    </w:p>
    <w:p>
      <w:pPr>
        <w:pStyle w:val="BodyText"/>
        <w:spacing w:line="230" w:lineRule="exact"/>
        <w:ind w:right="0"/>
        <w:jc w:val="both"/>
      </w:pPr>
      <w:r>
        <w:rPr/>
        <w:t>公司以自有或自筹资金不低于人民币</w:t>
      </w:r>
      <w:r>
        <w:rPr>
          <w:rFonts w:ascii="Times New Roman" w:hAnsi="Times New Roman" w:cs="Times New Roman" w:eastAsia="Times New Roman" w:hint="default"/>
        </w:rPr>
        <w:t>30,000</w:t>
      </w:r>
      <w:r>
        <w:rPr/>
        <w:t>万元，不超过人民币</w:t>
      </w:r>
      <w:r>
        <w:rPr>
          <w:rFonts w:ascii="Times New Roman" w:hAnsi="Times New Roman" w:cs="Times New Roman" w:eastAsia="Times New Roman" w:hint="default"/>
        </w:rPr>
        <w:t>60,000</w:t>
      </w:r>
      <w:r>
        <w:rPr/>
        <w:t>万元，以集中竞价交易方式回购公司股份并注销，回</w:t>
      </w:r>
    </w:p>
    <w:p>
      <w:pPr>
        <w:pStyle w:val="BodyText"/>
        <w:spacing w:line="300" w:lineRule="auto" w:before="63"/>
        <w:ind w:right="1183"/>
        <w:jc w:val="both"/>
      </w:pPr>
      <w:r>
        <w:rPr/>
        <w:t>购价格不超过</w:t>
      </w:r>
      <w:r>
        <w:rPr>
          <w:rFonts w:ascii="Times New Roman" w:hAnsi="Times New Roman" w:cs="Times New Roman" w:eastAsia="Times New Roman" w:hint="default"/>
        </w:rPr>
        <w:t>8.00</w:t>
      </w:r>
      <w:r>
        <w:rPr/>
        <w:t>元</w:t>
      </w:r>
      <w:r>
        <w:rPr>
          <w:rFonts w:ascii="Times New Roman" w:hAnsi="Times New Roman" w:cs="Times New Roman" w:eastAsia="Times New Roman" w:hint="default"/>
        </w:rPr>
        <w:t>/</w:t>
      </w:r>
      <w:r>
        <w:rPr/>
        <w:t>股（含</w:t>
      </w:r>
      <w:r>
        <w:rPr>
          <w:rFonts w:ascii="Times New Roman" w:hAnsi="Times New Roman" w:cs="Times New Roman" w:eastAsia="Times New Roman" w:hint="default"/>
        </w:rPr>
        <w:t>8.00</w:t>
      </w:r>
      <w:r>
        <w:rPr/>
        <w:t>元</w:t>
      </w:r>
      <w:r>
        <w:rPr>
          <w:rFonts w:ascii="Times New Roman" w:hAnsi="Times New Roman" w:cs="Times New Roman" w:eastAsia="Times New Roman" w:hint="default"/>
        </w:rPr>
        <w:t>/</w:t>
      </w:r>
      <w:r>
        <w:rPr/>
        <w:t>股）。截止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日，本次回购股份回购期限届满且已实施完毕，累计以集中竞 价方式回购股份</w:t>
      </w:r>
      <w:r>
        <w:rPr>
          <w:rFonts w:ascii="Times New Roman" w:hAnsi="Times New Roman" w:cs="Times New Roman" w:eastAsia="Times New Roman" w:hint="default"/>
        </w:rPr>
        <w:t>54,258,240</w:t>
      </w:r>
      <w:r>
        <w:rPr/>
        <w:t>股，占公司总股本的</w:t>
      </w:r>
      <w:r>
        <w:rPr>
          <w:rFonts w:ascii="Times New Roman" w:hAnsi="Times New Roman" w:cs="Times New Roman" w:eastAsia="Times New Roman" w:hint="default"/>
        </w:rPr>
        <w:t>3.28%</w:t>
      </w:r>
      <w:r>
        <w:rPr/>
        <w:t>，最高成交价格为</w:t>
      </w:r>
      <w:r>
        <w:rPr>
          <w:rFonts w:ascii="Times New Roman" w:hAnsi="Times New Roman" w:cs="Times New Roman" w:eastAsia="Times New Roman" w:hint="default"/>
        </w:rPr>
        <w:t>6.835</w:t>
      </w:r>
      <w:r>
        <w:rPr/>
        <w:t>元</w:t>
      </w:r>
      <w:r>
        <w:rPr>
          <w:rFonts w:ascii="Times New Roman" w:hAnsi="Times New Roman" w:cs="Times New Roman" w:eastAsia="Times New Roman" w:hint="default"/>
        </w:rPr>
        <w:t>/</w:t>
      </w:r>
      <w:r>
        <w:rPr/>
        <w:t>股，最低成交价格为</w:t>
      </w:r>
      <w:r>
        <w:rPr>
          <w:rFonts w:ascii="Times New Roman" w:hAnsi="Times New Roman" w:cs="Times New Roman" w:eastAsia="Times New Roman" w:hint="default"/>
        </w:rPr>
        <w:t>4.820</w:t>
      </w:r>
      <w:r>
        <w:rPr/>
        <w:t>元</w:t>
      </w:r>
      <w:r>
        <w:rPr>
          <w:rFonts w:ascii="Times New Roman" w:hAnsi="Times New Roman" w:cs="Times New Roman" w:eastAsia="Times New Roman" w:hint="default"/>
        </w:rPr>
        <w:t>/</w:t>
      </w:r>
      <w:r>
        <w:rPr/>
        <w:t>股，支付的总 金额为</w:t>
      </w:r>
      <w:r>
        <w:rPr>
          <w:rFonts w:ascii="Times New Roman" w:hAnsi="Times New Roman" w:cs="Times New Roman" w:eastAsia="Times New Roman" w:hint="default"/>
        </w:rPr>
        <w:t>300,003,538.78</w:t>
      </w:r>
      <w:r>
        <w:rPr/>
        <w:t>元（含交易费用）。上述已回购股份已于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日全部注销，本次注销完成后，公司总股本由 </w:t>
      </w:r>
      <w:r>
        <w:rPr>
          <w:rFonts w:ascii="Times New Roman" w:hAnsi="Times New Roman" w:cs="Times New Roman" w:eastAsia="Times New Roman" w:hint="default"/>
        </w:rPr>
        <w:t>1,652,874,961</w:t>
      </w:r>
      <w:r>
        <w:rPr/>
        <w:t>减少至</w:t>
      </w:r>
      <w:r>
        <w:rPr>
          <w:rFonts w:ascii="Times New Roman" w:hAnsi="Times New Roman" w:cs="Times New Roman" w:eastAsia="Times New Roman" w:hint="default"/>
        </w:rPr>
        <w:t>1,598,616,721</w:t>
      </w:r>
      <w:r>
        <w:rPr/>
        <w:t>股。</w:t>
      </w:r>
    </w:p>
    <w:p>
      <w:pPr>
        <w:pStyle w:val="BodyText"/>
        <w:spacing w:line="240" w:lineRule="auto" w:before="13"/>
        <w:ind w:left="444" w:right="0"/>
        <w:jc w:val="left"/>
      </w:pPr>
      <w:r>
        <w:rPr/>
        <w:t>本报告期，公司累计回购股份</w:t>
      </w:r>
      <w:r>
        <w:rPr>
          <w:rFonts w:ascii="Times New Roman" w:hAnsi="Times New Roman" w:cs="Times New Roman" w:eastAsia="Times New Roman" w:hint="default"/>
        </w:rPr>
        <w:t>49,001,540</w:t>
      </w:r>
      <w:r>
        <w:rPr/>
        <w:t>股，支付的总金额为</w:t>
      </w:r>
      <w:r>
        <w:rPr>
          <w:rFonts w:ascii="Times New Roman" w:hAnsi="Times New Roman" w:cs="Times New Roman" w:eastAsia="Times New Roman" w:hint="default"/>
        </w:rPr>
        <w:t>273,046,665.44</w:t>
      </w:r>
      <w:r>
        <w:rPr/>
        <w:t>元（含交易费用）。</w:t>
      </w:r>
    </w:p>
    <w:p>
      <w:pPr>
        <w:spacing w:after="0" w:line="240" w:lineRule="auto"/>
        <w:jc w:val="left"/>
        <w:sectPr>
          <w:pgSz w:w="11910" w:h="16840"/>
          <w:pgMar w:header="747" w:footer="982" w:top="1060" w:bottom="118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采用集中竞价方式减持回购股份的实施进展情况</w:t>
      </w:r>
    </w:p>
    <w:p>
      <w:pPr>
        <w:pStyle w:val="BodyText"/>
        <w:spacing w:line="360" w:lineRule="auto" w:before="116"/>
        <w:ind w:left="153" w:right="1391"/>
        <w:jc w:val="left"/>
      </w:pPr>
      <w:r>
        <w:rPr/>
        <w:t>□ 适用 √ 不适用 股份变动对最近一年和最近一期基本每股收益和稀释每股收益、归属于公司普通股股东的每股净资产等财务指标的影响</w:t>
      </w:r>
    </w:p>
    <w:p>
      <w:pPr>
        <w:pStyle w:val="BodyText"/>
        <w:spacing w:line="357" w:lineRule="auto" w:before="26"/>
        <w:ind w:left="153" w:right="6791"/>
        <w:jc w:val="left"/>
      </w:pPr>
      <w:r>
        <w:rPr/>
        <w:t>□ 适用 √ 不适用 公司认为必要或证券监管机构要求披露的其他内容</w:t>
      </w:r>
    </w:p>
    <w:p>
      <w:pPr>
        <w:pStyle w:val="BodyText"/>
        <w:spacing w:line="240" w:lineRule="auto" w:before="29"/>
        <w:ind w:left="153"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6"/>
        <w:ind w:left="0" w:right="1131"/>
        <w:jc w:val="right"/>
      </w:pP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80"/>
        <w:gridCol w:w="900"/>
        <w:gridCol w:w="900"/>
        <w:gridCol w:w="900"/>
        <w:gridCol w:w="900"/>
        <w:gridCol w:w="3060"/>
        <w:gridCol w:w="1800"/>
      </w:tblGrid>
      <w:tr>
        <w:trPr>
          <w:trHeight w:val="714" w:hRule="exact"/>
        </w:trPr>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63" w:right="84" w:hanging="180"/>
              <w:jc w:val="left"/>
              <w:rPr>
                <w:rFonts w:ascii="宋体" w:hAnsi="宋体" w:cs="宋体" w:eastAsia="宋体" w:hint="default"/>
                <w:sz w:val="18"/>
                <w:szCs w:val="18"/>
              </w:rPr>
            </w:pPr>
            <w:r>
              <w:rPr>
                <w:rFonts w:ascii="宋体" w:hAnsi="宋体" w:cs="宋体" w:eastAsia="宋体" w:hint="default"/>
                <w:sz w:val="18"/>
                <w:szCs w:val="18"/>
              </w:rPr>
              <w:t>期初限售 股数</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3" w:right="84"/>
              <w:jc w:val="left"/>
              <w:rPr>
                <w:rFonts w:ascii="宋体" w:hAnsi="宋体" w:cs="宋体" w:eastAsia="宋体" w:hint="default"/>
                <w:sz w:val="18"/>
                <w:szCs w:val="18"/>
              </w:rPr>
            </w:pPr>
            <w:r>
              <w:rPr>
                <w:rFonts w:ascii="宋体" w:hAnsi="宋体" w:cs="宋体" w:eastAsia="宋体" w:hint="default"/>
                <w:sz w:val="18"/>
                <w:szCs w:val="18"/>
              </w:rPr>
              <w:t>本期增加 限售股数</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3" w:right="84"/>
              <w:jc w:val="left"/>
              <w:rPr>
                <w:rFonts w:ascii="宋体" w:hAnsi="宋体" w:cs="宋体" w:eastAsia="宋体" w:hint="default"/>
                <w:sz w:val="18"/>
                <w:szCs w:val="18"/>
              </w:rPr>
            </w:pPr>
            <w:r>
              <w:rPr>
                <w:rFonts w:ascii="宋体" w:hAnsi="宋体" w:cs="宋体" w:eastAsia="宋体" w:hint="default"/>
                <w:sz w:val="18"/>
                <w:szCs w:val="18"/>
              </w:rPr>
              <w:t>本期解除 限售股数</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63" w:right="84" w:hanging="180"/>
              <w:jc w:val="left"/>
              <w:rPr>
                <w:rFonts w:ascii="宋体" w:hAnsi="宋体" w:cs="宋体" w:eastAsia="宋体" w:hint="default"/>
                <w:sz w:val="18"/>
                <w:szCs w:val="18"/>
              </w:rPr>
            </w:pPr>
            <w:r>
              <w:rPr>
                <w:rFonts w:ascii="宋体" w:hAnsi="宋体" w:cs="宋体" w:eastAsia="宋体" w:hint="default"/>
                <w:sz w:val="18"/>
                <w:szCs w:val="18"/>
              </w:rPr>
              <w:t>期末限售 股数</w:t>
            </w:r>
          </w:p>
        </w:tc>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邵光毅</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33,670</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33,670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离职监事锁定期已满解除锁定</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赵英涛</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36,140</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36,140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离职高管锁定期已满解除锁定</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童庆明</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61,950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61,950</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高管增持股份锁定</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石民</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200</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离职高管股份全部锁定</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403" w:hRule="exact"/>
        </w:trPr>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69,810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62,150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69,810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62,150</w:t>
            </w:r>
          </w:p>
        </w:tc>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0"/>
        <w:jc w:val="both"/>
        <w:rPr>
          <w:b w:val="0"/>
          <w:bCs w:val="0"/>
        </w:rPr>
      </w:pP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490" w:right="1144" w:hanging="336"/>
        <w:jc w:val="left"/>
      </w:pPr>
      <w:r>
        <w:rPr/>
        <w:t>√ 适用 □ 不适用 公司董事会七届三次会议和</w:t>
      </w:r>
      <w:r>
        <w:rPr>
          <w:rFonts w:ascii="Times New Roman" w:hAnsi="Times New Roman" w:cs="Times New Roman" w:eastAsia="Times New Roman" w:hint="default"/>
        </w:rPr>
        <w:t>2018</w:t>
      </w:r>
      <w:r>
        <w:rPr/>
        <w:t>年第</w:t>
      </w:r>
      <w:r>
        <w:rPr>
          <w:rFonts w:ascii="Times New Roman" w:hAnsi="Times New Roman" w:cs="Times New Roman" w:eastAsia="Times New Roman" w:hint="default"/>
        </w:rPr>
        <w:t>4</w:t>
      </w:r>
      <w:r>
        <w:rPr/>
        <w:t>次临时股东大会审议通过了《关于以集中竞价交易方式回购公司股份的议案》。</w:t>
      </w:r>
    </w:p>
    <w:p>
      <w:pPr>
        <w:pStyle w:val="BodyText"/>
        <w:spacing w:line="214" w:lineRule="exact"/>
        <w:ind w:right="0"/>
        <w:jc w:val="both"/>
      </w:pPr>
      <w:r>
        <w:rPr/>
        <w:t>公司以自有或自筹资金不低于人民币</w:t>
      </w:r>
      <w:r>
        <w:rPr>
          <w:rFonts w:ascii="Times New Roman" w:hAnsi="Times New Roman" w:cs="Times New Roman" w:eastAsia="Times New Roman" w:hint="default"/>
        </w:rPr>
        <w:t>30,000</w:t>
      </w:r>
      <w:r>
        <w:rPr/>
        <w:t>万元，不超过人民币</w:t>
      </w:r>
      <w:r>
        <w:rPr>
          <w:rFonts w:ascii="Times New Roman" w:hAnsi="Times New Roman" w:cs="Times New Roman" w:eastAsia="Times New Roman" w:hint="default"/>
        </w:rPr>
        <w:t>60,000</w:t>
      </w:r>
      <w:r>
        <w:rPr/>
        <w:t>万元，以集中竞价交易方式回购公司股份并注销，回</w:t>
      </w:r>
    </w:p>
    <w:p>
      <w:pPr>
        <w:pStyle w:val="BodyText"/>
        <w:spacing w:line="300" w:lineRule="auto" w:before="63"/>
        <w:ind w:right="1183"/>
        <w:jc w:val="both"/>
      </w:pPr>
      <w:r>
        <w:rPr/>
        <w:t>购价格不超过</w:t>
      </w:r>
      <w:r>
        <w:rPr>
          <w:rFonts w:ascii="Times New Roman" w:hAnsi="Times New Roman" w:cs="Times New Roman" w:eastAsia="Times New Roman" w:hint="default"/>
        </w:rPr>
        <w:t>8.00</w:t>
      </w:r>
      <w:r>
        <w:rPr/>
        <w:t>元</w:t>
      </w:r>
      <w:r>
        <w:rPr>
          <w:rFonts w:ascii="Times New Roman" w:hAnsi="Times New Roman" w:cs="Times New Roman" w:eastAsia="Times New Roman" w:hint="default"/>
        </w:rPr>
        <w:t>/</w:t>
      </w:r>
      <w:r>
        <w:rPr/>
        <w:t>股（含</w:t>
      </w:r>
      <w:r>
        <w:rPr>
          <w:rFonts w:ascii="Times New Roman" w:hAnsi="Times New Roman" w:cs="Times New Roman" w:eastAsia="Times New Roman" w:hint="default"/>
        </w:rPr>
        <w:t>8.00</w:t>
      </w:r>
      <w:r>
        <w:rPr/>
        <w:t>元</w:t>
      </w:r>
      <w:r>
        <w:rPr>
          <w:rFonts w:ascii="Times New Roman" w:hAnsi="Times New Roman" w:cs="Times New Roman" w:eastAsia="Times New Roman" w:hint="default"/>
        </w:rPr>
        <w:t>/</w:t>
      </w:r>
      <w:r>
        <w:rPr/>
        <w:t>股）。截止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日，本次回购股份回购期限届满且已实施完毕，累计以集中竞 价方式回购股份</w:t>
      </w:r>
      <w:r>
        <w:rPr>
          <w:rFonts w:ascii="Times New Roman" w:hAnsi="Times New Roman" w:cs="Times New Roman" w:eastAsia="Times New Roman" w:hint="default"/>
        </w:rPr>
        <w:t>54,258,240</w:t>
      </w:r>
      <w:r>
        <w:rPr/>
        <w:t>股，占公司总股本的</w:t>
      </w:r>
      <w:r>
        <w:rPr>
          <w:rFonts w:ascii="Times New Roman" w:hAnsi="Times New Roman" w:cs="Times New Roman" w:eastAsia="Times New Roman" w:hint="default"/>
        </w:rPr>
        <w:t>3.28%</w:t>
      </w:r>
      <w:r>
        <w:rPr/>
        <w:t>，最高成交价格为</w:t>
      </w:r>
      <w:r>
        <w:rPr>
          <w:rFonts w:ascii="Times New Roman" w:hAnsi="Times New Roman" w:cs="Times New Roman" w:eastAsia="Times New Roman" w:hint="default"/>
        </w:rPr>
        <w:t>6.835</w:t>
      </w:r>
      <w:r>
        <w:rPr/>
        <w:t>元</w:t>
      </w:r>
      <w:r>
        <w:rPr>
          <w:rFonts w:ascii="Times New Roman" w:hAnsi="Times New Roman" w:cs="Times New Roman" w:eastAsia="Times New Roman" w:hint="default"/>
        </w:rPr>
        <w:t>/</w:t>
      </w:r>
      <w:r>
        <w:rPr/>
        <w:t>股，最低成交价格为</w:t>
      </w:r>
      <w:r>
        <w:rPr>
          <w:rFonts w:ascii="Times New Roman" w:hAnsi="Times New Roman" w:cs="Times New Roman" w:eastAsia="Times New Roman" w:hint="default"/>
        </w:rPr>
        <w:t>4.820</w:t>
      </w:r>
      <w:r>
        <w:rPr/>
        <w:t>元</w:t>
      </w:r>
      <w:r>
        <w:rPr>
          <w:rFonts w:ascii="Times New Roman" w:hAnsi="Times New Roman" w:cs="Times New Roman" w:eastAsia="Times New Roman" w:hint="default"/>
        </w:rPr>
        <w:t>/</w:t>
      </w:r>
      <w:r>
        <w:rPr/>
        <w:t>股，支付的总 金额为</w:t>
      </w:r>
      <w:r>
        <w:rPr>
          <w:rFonts w:ascii="Times New Roman" w:hAnsi="Times New Roman" w:cs="Times New Roman" w:eastAsia="Times New Roman" w:hint="default"/>
        </w:rPr>
        <w:t>300,003,538.78</w:t>
      </w:r>
      <w:r>
        <w:rPr/>
        <w:t>元（含交易费用）。上述已回购股份已于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日全部注销，本次注销完成后，公司总股本由 </w:t>
      </w:r>
      <w:r>
        <w:rPr>
          <w:rFonts w:ascii="Times New Roman" w:hAnsi="Times New Roman" w:cs="Times New Roman" w:eastAsia="Times New Roman" w:hint="default"/>
        </w:rPr>
        <w:t>1,652,874,961</w:t>
      </w:r>
      <w:r>
        <w:rPr/>
        <w:t>减少至</w:t>
      </w:r>
      <w:r>
        <w:rPr>
          <w:rFonts w:ascii="Times New Roman" w:hAnsi="Times New Roman" w:cs="Times New Roman" w:eastAsia="Times New Roman" w:hint="default"/>
        </w:rPr>
        <w:t>1,598,616,721</w:t>
      </w:r>
      <w:r>
        <w:rPr/>
        <w:t>股。</w:t>
      </w:r>
    </w:p>
    <w:p>
      <w:pPr>
        <w:spacing w:line="240" w:lineRule="auto" w:before="1"/>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 适用 √ 不适用</w:t>
      </w:r>
    </w:p>
    <w:p>
      <w:pPr>
        <w:spacing w:after="0" w:line="240" w:lineRule="auto"/>
        <w:jc w:val="both"/>
        <w:sectPr>
          <w:pgSz w:w="11910" w:h="16840"/>
          <w:pgMar w:header="747" w:footer="982" w:top="1060" w:bottom="118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pict>
          <v:group style="position:absolute;margin-left:393.359985pt;margin-top:97.12204pt;width:60.2pt;height:20.75pt;mso-position-horizontal-relative:page;mso-position-vertical-relative:paragraph;z-index:-1362400" coordorigin="7867,1942" coordsize="1204,415">
            <v:group style="position:absolute;left:7879;top:1954;width:2;height:392" coordorigin="7879,1954" coordsize="2,392">
              <v:shape style="position:absolute;left:7879;top:1954;width:2;height:392" coordorigin="7879,1954" coordsize="0,392" path="m7879,1954l7879,2346e" filled="false" stroked="true" strokeweight="1.140pt" strokecolor="#ffffff">
                <v:path arrowok="t"/>
              </v:shape>
            </v:group>
            <v:group style="position:absolute;left:7890;top:1953;width:1181;height:393" coordorigin="7890,1953" coordsize="1181,393">
              <v:shape style="position:absolute;left:7890;top:1953;width:1181;height:393" coordorigin="7890,1953" coordsize="1181,393" path="m7890,2346l9071,2346,9071,1953,7890,1953,7890,2346xe" filled="true" fillcolor="#ffffff" stroked="false">
                <v:path arrowok="t"/>
                <v:fill type="solid"/>
              </v:shape>
            </v:group>
            <w10:wrap type="none"/>
          </v:group>
        </w:pict>
      </w: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31"/>
        <w:gridCol w:w="957"/>
        <w:gridCol w:w="512"/>
        <w:gridCol w:w="816"/>
        <w:gridCol w:w="983"/>
        <w:gridCol w:w="334"/>
        <w:gridCol w:w="746"/>
        <w:gridCol w:w="929"/>
        <w:gridCol w:w="221"/>
        <w:gridCol w:w="793"/>
        <w:gridCol w:w="455"/>
        <w:gridCol w:w="331"/>
        <w:gridCol w:w="412"/>
        <w:gridCol w:w="668"/>
      </w:tblGrid>
      <w:tr>
        <w:trPr>
          <w:trHeight w:val="1253" w:hRule="exact"/>
        </w:trPr>
        <w:tc>
          <w:tcPr>
            <w:tcW w:w="1231" w:type="dxa"/>
            <w:vMerge w:val="restart"/>
            <w:tcBorders>
              <w:top w:val="single" w:sz="4" w:space="0" w:color="000000"/>
              <w:left w:val="single" w:sz="4" w:space="0" w:color="000000"/>
              <w:right w:val="single" w:sz="4" w:space="0" w:color="000000"/>
            </w:tcBorders>
            <w:shd w:val="clear" w:color="auto" w:fill="D3D3D3"/>
          </w:tcPr>
          <w:p>
            <w:pPr/>
          </w:p>
        </w:tc>
        <w:tc>
          <w:tcPr>
            <w:tcW w:w="957" w:type="dxa"/>
            <w:vMerge w:val="restart"/>
            <w:tcBorders>
              <w:top w:val="single" w:sz="4" w:space="0" w:color="000000"/>
              <w:left w:val="single" w:sz="10" w:space="0" w:color="D3D3D3"/>
              <w:right w:val="single" w:sz="10"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21" w:right="0"/>
              <w:jc w:val="left"/>
              <w:rPr>
                <w:rFonts w:ascii="Times New Roman" w:hAnsi="Times New Roman" w:cs="Times New Roman" w:eastAsia="Times New Roman" w:hint="default"/>
                <w:sz w:val="18"/>
                <w:szCs w:val="18"/>
              </w:rPr>
            </w:pPr>
            <w:r>
              <w:rPr>
                <w:rFonts w:ascii="Times New Roman"/>
                <w:sz w:val="18"/>
              </w:rPr>
              <w:t>67,000</w:t>
            </w:r>
          </w:p>
        </w:tc>
        <w:tc>
          <w:tcPr>
            <w:tcW w:w="1328"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1316" w:type="dxa"/>
            <w:gridSpan w:val="2"/>
            <w:vMerge w:val="restart"/>
            <w:tcBorders>
              <w:top w:val="single" w:sz="4" w:space="0" w:color="000000"/>
              <w:left w:val="single" w:sz="9" w:space="0" w:color="D3D3D3"/>
              <w:right w:val="single" w:sz="9"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81" w:right="0"/>
              <w:jc w:val="left"/>
              <w:rPr>
                <w:rFonts w:ascii="Times New Roman" w:hAnsi="Times New Roman" w:cs="Times New Roman" w:eastAsia="Times New Roman" w:hint="default"/>
                <w:sz w:val="18"/>
                <w:szCs w:val="18"/>
              </w:rPr>
            </w:pPr>
            <w:r>
              <w:rPr>
                <w:rFonts w:ascii="Times New Roman"/>
                <w:sz w:val="18"/>
              </w:rPr>
              <w:t>87,059</w:t>
            </w:r>
          </w:p>
        </w:tc>
        <w:tc>
          <w:tcPr>
            <w:tcW w:w="1896" w:type="dxa"/>
            <w:gridSpan w:val="3"/>
            <w:tcBorders>
              <w:top w:val="single" w:sz="4" w:space="0" w:color="000000"/>
              <w:left w:val="single" w:sz="4" w:space="0" w:color="000000"/>
              <w:bottom w:val="nil" w:sz="6" w:space="0" w:color="auto"/>
              <w:right w:val="single" w:sz="4" w:space="0" w:color="000000"/>
            </w:tcBorders>
            <w:shd w:val="clear" w:color="auto" w:fill="D3D3D3"/>
          </w:tcPr>
          <w:p>
            <w:pPr/>
          </w:p>
        </w:tc>
        <w:tc>
          <w:tcPr>
            <w:tcW w:w="1249" w:type="dxa"/>
            <w:gridSpan w:val="2"/>
            <w:vMerge w:val="restart"/>
            <w:tcBorders>
              <w:top w:val="single" w:sz="4" w:space="0" w:color="000000"/>
              <w:left w:val="single" w:sz="10" w:space="0" w:color="D3D3D3"/>
              <w:right w:val="single" w:sz="13"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tabs>
                <w:tab w:pos="1106" w:val="left" w:leader="none"/>
              </w:tabs>
              <w:spacing w:line="240" w:lineRule="auto"/>
              <w:ind w:left="-13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0</w:t>
            </w:r>
          </w:p>
        </w:tc>
        <w:tc>
          <w:tcPr>
            <w:tcW w:w="74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1" w:right="45"/>
              <w:jc w:val="left"/>
              <w:rPr>
                <w:rFonts w:ascii="宋体" w:hAnsi="宋体" w:cs="宋体" w:eastAsia="宋体" w:hint="default"/>
                <w:sz w:val="18"/>
                <w:szCs w:val="18"/>
              </w:rPr>
            </w:pPr>
            <w:r>
              <w:rPr>
                <w:rFonts w:ascii="宋体" w:hAnsi="宋体" w:cs="宋体" w:eastAsia="宋体" w:hint="default"/>
                <w:sz w:val="18"/>
                <w:szCs w:val="18"/>
              </w:rPr>
              <w:t>年度报 告披露 日前上 一月末 表决权 恢复的 优先股 股东总 数（如 </w:t>
            </w:r>
            <w:r>
              <w:rPr>
                <w:rFonts w:ascii="宋体" w:hAnsi="宋体" w:cs="宋体" w:eastAsia="宋体" w:hint="default"/>
                <w:spacing w:val="-23"/>
                <w:sz w:val="18"/>
                <w:szCs w:val="18"/>
              </w:rPr>
              <w:t>有）（参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668" w:type="dxa"/>
            <w:vMerge w:val="restart"/>
            <w:tcBorders>
              <w:top w:val="single" w:sz="4" w:space="0" w:color="000000"/>
              <w:left w:val="single" w:sz="13"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231" w:type="dxa"/>
            <w:vMerge/>
            <w:tcBorders>
              <w:left w:val="single" w:sz="4" w:space="0" w:color="000000"/>
              <w:bottom w:val="nil" w:sz="6" w:space="0" w:color="auto"/>
              <w:right w:val="single" w:sz="4" w:space="0" w:color="000000"/>
            </w:tcBorders>
            <w:shd w:val="clear" w:color="auto" w:fill="D3D3D3"/>
          </w:tcPr>
          <w:p>
            <w:pPr/>
          </w:p>
        </w:tc>
        <w:tc>
          <w:tcPr>
            <w:tcW w:w="957" w:type="dxa"/>
            <w:vMerge/>
            <w:tcBorders>
              <w:left w:val="single" w:sz="10" w:space="0" w:color="D3D3D3"/>
              <w:right w:val="single" w:sz="10" w:space="0" w:color="D3D3D3"/>
            </w:tcBorders>
          </w:tcPr>
          <w:p>
            <w:pPr/>
          </w:p>
        </w:tc>
        <w:tc>
          <w:tcPr>
            <w:tcW w:w="1328"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23" w:right="32"/>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316" w:type="dxa"/>
            <w:gridSpan w:val="2"/>
            <w:vMerge/>
            <w:tcBorders>
              <w:left w:val="single" w:sz="9" w:space="0" w:color="D3D3D3"/>
              <w:right w:val="single" w:sz="9" w:space="0" w:color="D3D3D3"/>
            </w:tcBorders>
          </w:tcPr>
          <w:p>
            <w:pPr/>
          </w:p>
        </w:tc>
        <w:tc>
          <w:tcPr>
            <w:tcW w:w="1896" w:type="dxa"/>
            <w:gridSpan w:val="3"/>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报告期末表决权恢复的 </w:t>
            </w:r>
            <w:r>
              <w:rPr>
                <w:rFonts w:ascii="宋体" w:hAnsi="宋体" w:cs="宋体" w:eastAsia="宋体" w:hint="default"/>
                <w:spacing w:val="-6"/>
                <w:sz w:val="18"/>
                <w:szCs w:val="18"/>
              </w:rPr>
              <w:t>优先股股东总数（如有</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49" w:type="dxa"/>
            <w:gridSpan w:val="2"/>
            <w:vMerge/>
            <w:tcBorders>
              <w:left w:val="single" w:sz="10" w:space="0" w:color="D3D3D3"/>
              <w:right w:val="single" w:sz="13" w:space="0" w:color="D3D3D3"/>
            </w:tcBorders>
          </w:tcPr>
          <w:p>
            <w:pPr/>
          </w:p>
        </w:tc>
        <w:tc>
          <w:tcPr>
            <w:tcW w:w="743" w:type="dxa"/>
            <w:gridSpan w:val="2"/>
            <w:vMerge/>
            <w:tcBorders>
              <w:left w:val="single" w:sz="4" w:space="0" w:color="000000"/>
              <w:right w:val="single" w:sz="4" w:space="0" w:color="000000"/>
            </w:tcBorders>
            <w:shd w:val="clear" w:color="auto" w:fill="D3D3D3"/>
          </w:tcPr>
          <w:p>
            <w:pPr/>
          </w:p>
        </w:tc>
        <w:tc>
          <w:tcPr>
            <w:tcW w:w="668" w:type="dxa"/>
            <w:vMerge/>
            <w:tcBorders>
              <w:left w:val="single" w:sz="13" w:space="0" w:color="D3D3D3"/>
              <w:right w:val="single" w:sz="4" w:space="0" w:color="000000"/>
            </w:tcBorders>
          </w:tcPr>
          <w:p>
            <w:pPr/>
          </w:p>
        </w:tc>
      </w:tr>
      <w:tr>
        <w:trPr>
          <w:trHeight w:val="704" w:hRule="exact"/>
        </w:trPr>
        <w:tc>
          <w:tcPr>
            <w:tcW w:w="123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957" w:type="dxa"/>
            <w:vMerge/>
            <w:tcBorders>
              <w:left w:val="single" w:sz="10" w:space="0" w:color="D3D3D3"/>
              <w:right w:val="single" w:sz="10" w:space="0" w:color="D3D3D3"/>
            </w:tcBorders>
          </w:tcPr>
          <w:p>
            <w:pPr/>
          </w:p>
        </w:tc>
        <w:tc>
          <w:tcPr>
            <w:tcW w:w="1328" w:type="dxa"/>
            <w:gridSpan w:val="2"/>
            <w:vMerge/>
            <w:tcBorders>
              <w:left w:val="single" w:sz="4" w:space="0" w:color="000000"/>
              <w:right w:val="single" w:sz="4" w:space="0" w:color="000000"/>
            </w:tcBorders>
            <w:shd w:val="clear" w:color="auto" w:fill="D3D3D3"/>
          </w:tcPr>
          <w:p>
            <w:pPr/>
          </w:p>
        </w:tc>
        <w:tc>
          <w:tcPr>
            <w:tcW w:w="1316" w:type="dxa"/>
            <w:gridSpan w:val="2"/>
            <w:vMerge/>
            <w:tcBorders>
              <w:left w:val="single" w:sz="9" w:space="0" w:color="D3D3D3"/>
              <w:right w:val="single" w:sz="9" w:space="0" w:color="D3D3D3"/>
            </w:tcBorders>
          </w:tcPr>
          <w:p>
            <w:pPr/>
          </w:p>
        </w:tc>
        <w:tc>
          <w:tcPr>
            <w:tcW w:w="1896" w:type="dxa"/>
            <w:gridSpan w:val="3"/>
            <w:vMerge/>
            <w:tcBorders>
              <w:left w:val="single" w:sz="4" w:space="0" w:color="000000"/>
              <w:right w:val="single" w:sz="4" w:space="0" w:color="000000"/>
            </w:tcBorders>
            <w:shd w:val="clear" w:color="auto" w:fill="D3D3D3"/>
          </w:tcPr>
          <w:p>
            <w:pPr/>
          </w:p>
        </w:tc>
        <w:tc>
          <w:tcPr>
            <w:tcW w:w="1249" w:type="dxa"/>
            <w:gridSpan w:val="2"/>
            <w:vMerge/>
            <w:tcBorders>
              <w:left w:val="single" w:sz="10" w:space="0" w:color="D3D3D3"/>
              <w:right w:val="single" w:sz="13" w:space="0" w:color="D3D3D3"/>
            </w:tcBorders>
          </w:tcPr>
          <w:p>
            <w:pPr/>
          </w:p>
        </w:tc>
        <w:tc>
          <w:tcPr>
            <w:tcW w:w="743" w:type="dxa"/>
            <w:gridSpan w:val="2"/>
            <w:vMerge/>
            <w:tcBorders>
              <w:left w:val="single" w:sz="4" w:space="0" w:color="000000"/>
              <w:right w:val="single" w:sz="4" w:space="0" w:color="000000"/>
            </w:tcBorders>
            <w:shd w:val="clear" w:color="auto" w:fill="D3D3D3"/>
          </w:tcPr>
          <w:p>
            <w:pPr/>
          </w:p>
        </w:tc>
        <w:tc>
          <w:tcPr>
            <w:tcW w:w="668" w:type="dxa"/>
            <w:vMerge/>
            <w:tcBorders>
              <w:left w:val="single" w:sz="13" w:space="0" w:color="D3D3D3"/>
              <w:right w:val="single" w:sz="4" w:space="0" w:color="000000"/>
            </w:tcBorders>
          </w:tcPr>
          <w:p>
            <w:pPr/>
          </w:p>
        </w:tc>
      </w:tr>
      <w:tr>
        <w:trPr>
          <w:trHeight w:val="156" w:hRule="exact"/>
        </w:trPr>
        <w:tc>
          <w:tcPr>
            <w:tcW w:w="1231" w:type="dxa"/>
            <w:vMerge w:val="restart"/>
            <w:tcBorders>
              <w:top w:val="nil" w:sz="6" w:space="0" w:color="auto"/>
              <w:left w:val="single" w:sz="4" w:space="0" w:color="000000"/>
              <w:right w:val="single" w:sz="4" w:space="0" w:color="000000"/>
            </w:tcBorders>
            <w:shd w:val="clear" w:color="auto" w:fill="D3D3D3"/>
          </w:tcPr>
          <w:p>
            <w:pPr/>
          </w:p>
        </w:tc>
        <w:tc>
          <w:tcPr>
            <w:tcW w:w="957" w:type="dxa"/>
            <w:vMerge/>
            <w:tcBorders>
              <w:left w:val="single" w:sz="10" w:space="0" w:color="D3D3D3"/>
              <w:right w:val="single" w:sz="10" w:space="0" w:color="D3D3D3"/>
            </w:tcBorders>
          </w:tcPr>
          <w:p>
            <w:pPr/>
          </w:p>
        </w:tc>
        <w:tc>
          <w:tcPr>
            <w:tcW w:w="1328" w:type="dxa"/>
            <w:gridSpan w:val="2"/>
            <w:vMerge/>
            <w:tcBorders>
              <w:left w:val="single" w:sz="4" w:space="0" w:color="000000"/>
              <w:bottom w:val="nil" w:sz="6" w:space="0" w:color="auto"/>
              <w:right w:val="single" w:sz="4" w:space="0" w:color="000000"/>
            </w:tcBorders>
            <w:shd w:val="clear" w:color="auto" w:fill="D3D3D3"/>
          </w:tcPr>
          <w:p>
            <w:pPr/>
          </w:p>
        </w:tc>
        <w:tc>
          <w:tcPr>
            <w:tcW w:w="1316" w:type="dxa"/>
            <w:gridSpan w:val="2"/>
            <w:vMerge/>
            <w:tcBorders>
              <w:left w:val="single" w:sz="9" w:space="0" w:color="D3D3D3"/>
              <w:right w:val="single" w:sz="9" w:space="0" w:color="D3D3D3"/>
            </w:tcBorders>
          </w:tcPr>
          <w:p>
            <w:pPr/>
          </w:p>
        </w:tc>
        <w:tc>
          <w:tcPr>
            <w:tcW w:w="1896" w:type="dxa"/>
            <w:gridSpan w:val="3"/>
            <w:vMerge/>
            <w:tcBorders>
              <w:left w:val="single" w:sz="4" w:space="0" w:color="000000"/>
              <w:bottom w:val="nil" w:sz="6" w:space="0" w:color="auto"/>
              <w:right w:val="single" w:sz="4" w:space="0" w:color="000000"/>
            </w:tcBorders>
            <w:shd w:val="clear" w:color="auto" w:fill="D3D3D3"/>
          </w:tcPr>
          <w:p>
            <w:pPr/>
          </w:p>
        </w:tc>
        <w:tc>
          <w:tcPr>
            <w:tcW w:w="1249" w:type="dxa"/>
            <w:gridSpan w:val="2"/>
            <w:vMerge/>
            <w:tcBorders>
              <w:left w:val="single" w:sz="10" w:space="0" w:color="D3D3D3"/>
              <w:right w:val="single" w:sz="13" w:space="0" w:color="D3D3D3"/>
            </w:tcBorders>
          </w:tcPr>
          <w:p>
            <w:pPr/>
          </w:p>
        </w:tc>
        <w:tc>
          <w:tcPr>
            <w:tcW w:w="743" w:type="dxa"/>
            <w:gridSpan w:val="2"/>
            <w:vMerge/>
            <w:tcBorders>
              <w:left w:val="single" w:sz="4" w:space="0" w:color="000000"/>
              <w:right w:val="single" w:sz="4" w:space="0" w:color="000000"/>
            </w:tcBorders>
            <w:shd w:val="clear" w:color="auto" w:fill="D3D3D3"/>
          </w:tcPr>
          <w:p>
            <w:pPr/>
          </w:p>
        </w:tc>
        <w:tc>
          <w:tcPr>
            <w:tcW w:w="668" w:type="dxa"/>
            <w:vMerge/>
            <w:tcBorders>
              <w:left w:val="single" w:sz="13" w:space="0" w:color="D3D3D3"/>
              <w:right w:val="single" w:sz="4" w:space="0" w:color="000000"/>
            </w:tcBorders>
          </w:tcPr>
          <w:p>
            <w:pPr/>
          </w:p>
        </w:tc>
      </w:tr>
      <w:tr>
        <w:trPr>
          <w:trHeight w:val="1253" w:hRule="exact"/>
        </w:trPr>
        <w:tc>
          <w:tcPr>
            <w:tcW w:w="1231" w:type="dxa"/>
            <w:vMerge/>
            <w:tcBorders>
              <w:left w:val="single" w:sz="4" w:space="0" w:color="000000"/>
              <w:bottom w:val="single" w:sz="4" w:space="0" w:color="000000"/>
              <w:right w:val="single" w:sz="4" w:space="0" w:color="000000"/>
            </w:tcBorders>
            <w:shd w:val="clear" w:color="auto" w:fill="D3D3D3"/>
          </w:tcPr>
          <w:p>
            <w:pPr/>
          </w:p>
        </w:tc>
        <w:tc>
          <w:tcPr>
            <w:tcW w:w="957" w:type="dxa"/>
            <w:vMerge/>
            <w:tcBorders>
              <w:left w:val="single" w:sz="10" w:space="0" w:color="D3D3D3"/>
              <w:bottom w:val="single" w:sz="4" w:space="0" w:color="000000"/>
              <w:right w:val="single" w:sz="10" w:space="0" w:color="D3D3D3"/>
            </w:tcBorders>
          </w:tcPr>
          <w:p>
            <w:pPr/>
          </w:p>
        </w:tc>
        <w:tc>
          <w:tcPr>
            <w:tcW w:w="1328"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1316" w:type="dxa"/>
            <w:gridSpan w:val="2"/>
            <w:vMerge/>
            <w:tcBorders>
              <w:left w:val="single" w:sz="9" w:space="0" w:color="D3D3D3"/>
              <w:bottom w:val="single" w:sz="4" w:space="0" w:color="000000"/>
              <w:right w:val="single" w:sz="9" w:space="0" w:color="D3D3D3"/>
            </w:tcBorders>
          </w:tcPr>
          <w:p>
            <w:pPr/>
          </w:p>
        </w:tc>
        <w:tc>
          <w:tcPr>
            <w:tcW w:w="1896" w:type="dxa"/>
            <w:gridSpan w:val="3"/>
            <w:tcBorders>
              <w:top w:val="nil" w:sz="6" w:space="0" w:color="auto"/>
              <w:left w:val="single" w:sz="4" w:space="0" w:color="000000"/>
              <w:bottom w:val="single" w:sz="4" w:space="0" w:color="000000"/>
              <w:right w:val="single" w:sz="4" w:space="0" w:color="000000"/>
            </w:tcBorders>
            <w:shd w:val="clear" w:color="auto" w:fill="D3D3D3"/>
          </w:tcPr>
          <w:p>
            <w:pPr/>
          </w:p>
        </w:tc>
        <w:tc>
          <w:tcPr>
            <w:tcW w:w="1249" w:type="dxa"/>
            <w:gridSpan w:val="2"/>
            <w:vMerge/>
            <w:tcBorders>
              <w:left w:val="single" w:sz="10" w:space="0" w:color="D3D3D3"/>
              <w:bottom w:val="single" w:sz="4" w:space="0" w:color="000000"/>
              <w:right w:val="single" w:sz="13" w:space="0" w:color="D3D3D3"/>
            </w:tcBorders>
          </w:tcPr>
          <w:p>
            <w:pPr/>
          </w:p>
        </w:tc>
        <w:tc>
          <w:tcPr>
            <w:tcW w:w="743" w:type="dxa"/>
            <w:gridSpan w:val="2"/>
            <w:vMerge/>
            <w:tcBorders>
              <w:left w:val="single" w:sz="4" w:space="0" w:color="000000"/>
              <w:bottom w:val="single" w:sz="4" w:space="0" w:color="000000"/>
              <w:right w:val="single" w:sz="4" w:space="0" w:color="000000"/>
            </w:tcBorders>
            <w:shd w:val="clear" w:color="auto" w:fill="D3D3D3"/>
          </w:tcPr>
          <w:p>
            <w:pPr/>
          </w:p>
        </w:tc>
        <w:tc>
          <w:tcPr>
            <w:tcW w:w="668" w:type="dxa"/>
            <w:vMerge/>
            <w:tcBorders>
              <w:left w:val="single" w:sz="13" w:space="0" w:color="D3D3D3"/>
              <w:bottom w:val="single" w:sz="4" w:space="0" w:color="000000"/>
              <w:right w:val="single" w:sz="4" w:space="0" w:color="000000"/>
            </w:tcBorders>
          </w:tcPr>
          <w:p>
            <w:pPr/>
          </w:p>
        </w:tc>
      </w:tr>
      <w:tr>
        <w:trPr>
          <w:trHeight w:val="402" w:hRule="exact"/>
        </w:trPr>
        <w:tc>
          <w:tcPr>
            <w:tcW w:w="9388" w:type="dxa"/>
            <w:gridSpan w:val="1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7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55" w:hRule="exact"/>
        </w:trPr>
        <w:tc>
          <w:tcPr>
            <w:tcW w:w="1231" w:type="dxa"/>
            <w:vMerge w:val="restart"/>
            <w:tcBorders>
              <w:top w:val="single" w:sz="4" w:space="0" w:color="000000"/>
              <w:left w:val="single" w:sz="4" w:space="0" w:color="000000"/>
              <w:right w:val="single" w:sz="4" w:space="0" w:color="000000"/>
            </w:tcBorders>
            <w:shd w:val="clear" w:color="auto" w:fill="D3D3D3"/>
          </w:tcPr>
          <w:p>
            <w:pPr/>
          </w:p>
        </w:tc>
        <w:tc>
          <w:tcPr>
            <w:tcW w:w="1469" w:type="dxa"/>
            <w:gridSpan w:val="2"/>
            <w:vMerge w:val="restart"/>
            <w:tcBorders>
              <w:top w:val="single" w:sz="4" w:space="0" w:color="000000"/>
              <w:left w:val="single" w:sz="4" w:space="0" w:color="000000"/>
              <w:right w:val="single" w:sz="4" w:space="0" w:color="000000"/>
            </w:tcBorders>
            <w:shd w:val="clear" w:color="auto" w:fill="D3D3D3"/>
          </w:tcPr>
          <w:p>
            <w:pPr/>
          </w:p>
        </w:tc>
        <w:tc>
          <w:tcPr>
            <w:tcW w:w="816" w:type="dxa"/>
            <w:vMerge w:val="restart"/>
            <w:tcBorders>
              <w:top w:val="single" w:sz="4" w:space="0" w:color="000000"/>
              <w:left w:val="single" w:sz="4" w:space="0" w:color="000000"/>
              <w:right w:val="single" w:sz="4" w:space="0" w:color="000000"/>
            </w:tcBorders>
            <w:shd w:val="clear" w:color="auto" w:fill="D3D3D3"/>
          </w:tcPr>
          <w:p>
            <w:pPr/>
          </w:p>
        </w:tc>
        <w:tc>
          <w:tcPr>
            <w:tcW w:w="983" w:type="dxa"/>
            <w:tcBorders>
              <w:top w:val="single" w:sz="4" w:space="0" w:color="000000"/>
              <w:left w:val="single" w:sz="4" w:space="0" w:color="000000"/>
              <w:bottom w:val="nil" w:sz="6" w:space="0" w:color="auto"/>
              <w:right w:val="single" w:sz="4" w:space="0" w:color="000000"/>
            </w:tcBorders>
            <w:shd w:val="clear" w:color="auto" w:fill="D3D3D3"/>
          </w:tcPr>
          <w:p>
            <w:pPr/>
          </w:p>
        </w:tc>
        <w:tc>
          <w:tcPr>
            <w:tcW w:w="1080"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929"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99" w:right="97"/>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101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52" w:right="49"/>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866" w:type="dxa"/>
            <w:gridSpan w:val="4"/>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231" w:type="dxa"/>
            <w:vMerge/>
            <w:tcBorders>
              <w:left w:val="single" w:sz="4" w:space="0" w:color="000000"/>
              <w:bottom w:val="nil" w:sz="6" w:space="0" w:color="auto"/>
              <w:right w:val="single" w:sz="4" w:space="0" w:color="000000"/>
            </w:tcBorders>
            <w:shd w:val="clear" w:color="auto" w:fill="D3D3D3"/>
          </w:tcPr>
          <w:p>
            <w:pPr/>
          </w:p>
        </w:tc>
        <w:tc>
          <w:tcPr>
            <w:tcW w:w="1469" w:type="dxa"/>
            <w:gridSpan w:val="2"/>
            <w:vMerge/>
            <w:tcBorders>
              <w:left w:val="single" w:sz="4" w:space="0" w:color="000000"/>
              <w:bottom w:val="nil" w:sz="6" w:space="0" w:color="auto"/>
              <w:right w:val="single" w:sz="4" w:space="0" w:color="000000"/>
            </w:tcBorders>
            <w:shd w:val="clear" w:color="auto" w:fill="D3D3D3"/>
          </w:tcPr>
          <w:p>
            <w:pPr/>
          </w:p>
        </w:tc>
        <w:tc>
          <w:tcPr>
            <w:tcW w:w="816" w:type="dxa"/>
            <w:vMerge/>
            <w:tcBorders>
              <w:left w:val="single" w:sz="4" w:space="0" w:color="000000"/>
              <w:bottom w:val="nil" w:sz="6" w:space="0" w:color="auto"/>
              <w:right w:val="single" w:sz="4" w:space="0" w:color="000000"/>
            </w:tcBorders>
            <w:shd w:val="clear" w:color="auto" w:fill="D3D3D3"/>
          </w:tcPr>
          <w:p>
            <w:pPr/>
          </w:p>
        </w:tc>
        <w:tc>
          <w:tcPr>
            <w:tcW w:w="983"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202" w:right="48"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80"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85" w:right="83"/>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29" w:type="dxa"/>
            <w:vMerge/>
            <w:tcBorders>
              <w:left w:val="single" w:sz="4" w:space="0" w:color="000000"/>
              <w:right w:val="single" w:sz="4" w:space="0" w:color="000000"/>
            </w:tcBorders>
            <w:shd w:val="clear" w:color="auto" w:fill="D3D3D3"/>
          </w:tcPr>
          <w:p>
            <w:pPr/>
          </w:p>
        </w:tc>
        <w:tc>
          <w:tcPr>
            <w:tcW w:w="1014" w:type="dxa"/>
            <w:gridSpan w:val="2"/>
            <w:vMerge/>
            <w:tcBorders>
              <w:left w:val="single" w:sz="4" w:space="0" w:color="000000"/>
              <w:right w:val="single" w:sz="4" w:space="0" w:color="000000"/>
            </w:tcBorders>
            <w:shd w:val="clear" w:color="auto" w:fill="D3D3D3"/>
          </w:tcPr>
          <w:p>
            <w:pPr/>
          </w:p>
        </w:tc>
        <w:tc>
          <w:tcPr>
            <w:tcW w:w="1866" w:type="dxa"/>
            <w:gridSpan w:val="4"/>
            <w:vMerge/>
            <w:tcBorders>
              <w:left w:val="single" w:sz="4" w:space="0" w:color="000000"/>
              <w:right w:val="single" w:sz="4" w:space="0" w:color="000000"/>
            </w:tcBorders>
            <w:shd w:val="clear" w:color="auto" w:fill="D3D3D3"/>
          </w:tcPr>
          <w:p>
            <w:pPr/>
          </w:p>
        </w:tc>
      </w:tr>
      <w:tr>
        <w:trPr>
          <w:trHeight w:val="146" w:hRule="exact"/>
        </w:trPr>
        <w:tc>
          <w:tcPr>
            <w:tcW w:w="123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263"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69"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8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1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83" w:type="dxa"/>
            <w:vMerge/>
            <w:tcBorders>
              <w:left w:val="single" w:sz="4" w:space="0" w:color="000000"/>
              <w:right w:val="single" w:sz="4" w:space="0" w:color="000000"/>
            </w:tcBorders>
            <w:shd w:val="clear" w:color="auto" w:fill="D3D3D3"/>
          </w:tcPr>
          <w:p>
            <w:pPr/>
          </w:p>
        </w:tc>
        <w:tc>
          <w:tcPr>
            <w:tcW w:w="1080" w:type="dxa"/>
            <w:gridSpan w:val="2"/>
            <w:vMerge/>
            <w:tcBorders>
              <w:left w:val="single" w:sz="4" w:space="0" w:color="000000"/>
              <w:right w:val="single" w:sz="4" w:space="0" w:color="000000"/>
            </w:tcBorders>
            <w:shd w:val="clear" w:color="auto" w:fill="D3D3D3"/>
          </w:tcPr>
          <w:p>
            <w:pPr/>
          </w:p>
        </w:tc>
        <w:tc>
          <w:tcPr>
            <w:tcW w:w="929" w:type="dxa"/>
            <w:vMerge/>
            <w:tcBorders>
              <w:left w:val="single" w:sz="4" w:space="0" w:color="000000"/>
              <w:right w:val="single" w:sz="4" w:space="0" w:color="000000"/>
            </w:tcBorders>
            <w:shd w:val="clear" w:color="auto" w:fill="D3D3D3"/>
          </w:tcPr>
          <w:p>
            <w:pPr/>
          </w:p>
        </w:tc>
        <w:tc>
          <w:tcPr>
            <w:tcW w:w="1014" w:type="dxa"/>
            <w:gridSpan w:val="2"/>
            <w:vMerge/>
            <w:tcBorders>
              <w:left w:val="single" w:sz="4" w:space="0" w:color="000000"/>
              <w:right w:val="single" w:sz="4" w:space="0" w:color="000000"/>
            </w:tcBorders>
            <w:shd w:val="clear" w:color="auto" w:fill="D3D3D3"/>
          </w:tcPr>
          <w:p>
            <w:pPr/>
          </w:p>
        </w:tc>
        <w:tc>
          <w:tcPr>
            <w:tcW w:w="1866" w:type="dxa"/>
            <w:gridSpan w:val="4"/>
            <w:vMerge/>
            <w:tcBorders>
              <w:left w:val="single" w:sz="4" w:space="0" w:color="000000"/>
              <w:bottom w:val="single" w:sz="4" w:space="0" w:color="000000"/>
              <w:right w:val="single" w:sz="4" w:space="0" w:color="000000"/>
            </w:tcBorders>
            <w:shd w:val="clear" w:color="auto" w:fill="D3D3D3"/>
          </w:tcPr>
          <w:p>
            <w:pPr/>
          </w:p>
        </w:tc>
      </w:tr>
      <w:tr>
        <w:trPr>
          <w:trHeight w:val="248" w:hRule="exact"/>
        </w:trPr>
        <w:tc>
          <w:tcPr>
            <w:tcW w:w="1231" w:type="dxa"/>
            <w:vMerge/>
            <w:tcBorders>
              <w:left w:val="single" w:sz="4" w:space="0" w:color="000000"/>
              <w:bottom w:val="nil" w:sz="6" w:space="0" w:color="auto"/>
              <w:right w:val="single" w:sz="4" w:space="0" w:color="000000"/>
            </w:tcBorders>
            <w:shd w:val="clear" w:color="auto" w:fill="D3D3D3"/>
          </w:tcPr>
          <w:p>
            <w:pPr/>
          </w:p>
        </w:tc>
        <w:tc>
          <w:tcPr>
            <w:tcW w:w="1469" w:type="dxa"/>
            <w:gridSpan w:val="2"/>
            <w:vMerge/>
            <w:tcBorders>
              <w:left w:val="single" w:sz="4" w:space="0" w:color="000000"/>
              <w:bottom w:val="nil" w:sz="6" w:space="0" w:color="auto"/>
              <w:right w:val="single" w:sz="4" w:space="0" w:color="000000"/>
            </w:tcBorders>
            <w:shd w:val="clear" w:color="auto" w:fill="D3D3D3"/>
          </w:tcPr>
          <w:p>
            <w:pPr/>
          </w:p>
        </w:tc>
        <w:tc>
          <w:tcPr>
            <w:tcW w:w="816" w:type="dxa"/>
            <w:vMerge/>
            <w:tcBorders>
              <w:left w:val="single" w:sz="4" w:space="0" w:color="000000"/>
              <w:bottom w:val="nil" w:sz="6" w:space="0" w:color="auto"/>
              <w:right w:val="single" w:sz="4" w:space="0" w:color="000000"/>
            </w:tcBorders>
            <w:shd w:val="clear" w:color="auto" w:fill="D3D3D3"/>
          </w:tcPr>
          <w:p>
            <w:pPr/>
          </w:p>
        </w:tc>
        <w:tc>
          <w:tcPr>
            <w:tcW w:w="983" w:type="dxa"/>
            <w:vMerge/>
            <w:tcBorders>
              <w:left w:val="single" w:sz="4" w:space="0" w:color="000000"/>
              <w:right w:val="single" w:sz="4" w:space="0" w:color="000000"/>
            </w:tcBorders>
            <w:shd w:val="clear" w:color="auto" w:fill="D3D3D3"/>
          </w:tcPr>
          <w:p>
            <w:pPr/>
          </w:p>
        </w:tc>
        <w:tc>
          <w:tcPr>
            <w:tcW w:w="1080" w:type="dxa"/>
            <w:gridSpan w:val="2"/>
            <w:vMerge/>
            <w:tcBorders>
              <w:left w:val="single" w:sz="4" w:space="0" w:color="000000"/>
              <w:right w:val="single" w:sz="4" w:space="0" w:color="000000"/>
            </w:tcBorders>
            <w:shd w:val="clear" w:color="auto" w:fill="D3D3D3"/>
          </w:tcPr>
          <w:p>
            <w:pPr/>
          </w:p>
        </w:tc>
        <w:tc>
          <w:tcPr>
            <w:tcW w:w="929" w:type="dxa"/>
            <w:vMerge/>
            <w:tcBorders>
              <w:left w:val="single" w:sz="4" w:space="0" w:color="000000"/>
              <w:right w:val="single" w:sz="4" w:space="0" w:color="000000"/>
            </w:tcBorders>
            <w:shd w:val="clear" w:color="auto" w:fill="D3D3D3"/>
          </w:tcPr>
          <w:p>
            <w:pPr/>
          </w:p>
        </w:tc>
        <w:tc>
          <w:tcPr>
            <w:tcW w:w="1014" w:type="dxa"/>
            <w:gridSpan w:val="2"/>
            <w:vMerge/>
            <w:tcBorders>
              <w:left w:val="single" w:sz="4" w:space="0" w:color="000000"/>
              <w:right w:val="single" w:sz="4" w:space="0" w:color="000000"/>
            </w:tcBorders>
            <w:shd w:val="clear" w:color="auto" w:fill="D3D3D3"/>
          </w:tcPr>
          <w:p>
            <w:pPr/>
          </w:p>
        </w:tc>
        <w:tc>
          <w:tcPr>
            <w:tcW w:w="78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6"/>
              <w:ind w:left="2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8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6"/>
              <w:ind w:left="35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231" w:type="dxa"/>
            <w:vMerge w:val="restart"/>
            <w:tcBorders>
              <w:top w:val="nil" w:sz="6" w:space="0" w:color="auto"/>
              <w:left w:val="single" w:sz="4" w:space="0" w:color="000000"/>
              <w:right w:val="single" w:sz="4" w:space="0" w:color="000000"/>
            </w:tcBorders>
            <w:shd w:val="clear" w:color="auto" w:fill="D3D3D3"/>
          </w:tcPr>
          <w:p>
            <w:pPr/>
          </w:p>
        </w:tc>
        <w:tc>
          <w:tcPr>
            <w:tcW w:w="1469" w:type="dxa"/>
            <w:gridSpan w:val="2"/>
            <w:vMerge w:val="restart"/>
            <w:tcBorders>
              <w:top w:val="nil" w:sz="6" w:space="0" w:color="auto"/>
              <w:left w:val="single" w:sz="4" w:space="0" w:color="000000"/>
              <w:right w:val="single" w:sz="4" w:space="0" w:color="000000"/>
            </w:tcBorders>
            <w:shd w:val="clear" w:color="auto" w:fill="D3D3D3"/>
          </w:tcPr>
          <w:p>
            <w:pPr/>
          </w:p>
        </w:tc>
        <w:tc>
          <w:tcPr>
            <w:tcW w:w="816" w:type="dxa"/>
            <w:vMerge w:val="restart"/>
            <w:tcBorders>
              <w:top w:val="nil" w:sz="6" w:space="0" w:color="auto"/>
              <w:left w:val="single" w:sz="4" w:space="0" w:color="000000"/>
              <w:right w:val="single" w:sz="4" w:space="0" w:color="000000"/>
            </w:tcBorders>
            <w:shd w:val="clear" w:color="auto" w:fill="D3D3D3"/>
          </w:tcPr>
          <w:p>
            <w:pPr/>
          </w:p>
        </w:tc>
        <w:tc>
          <w:tcPr>
            <w:tcW w:w="983" w:type="dxa"/>
            <w:vMerge/>
            <w:tcBorders>
              <w:left w:val="single" w:sz="4" w:space="0" w:color="000000"/>
              <w:bottom w:val="nil" w:sz="6" w:space="0" w:color="auto"/>
              <w:right w:val="single" w:sz="4" w:space="0" w:color="000000"/>
            </w:tcBorders>
            <w:shd w:val="clear" w:color="auto" w:fill="D3D3D3"/>
          </w:tcPr>
          <w:p>
            <w:pPr/>
          </w:p>
        </w:tc>
        <w:tc>
          <w:tcPr>
            <w:tcW w:w="1080" w:type="dxa"/>
            <w:gridSpan w:val="2"/>
            <w:vMerge/>
            <w:tcBorders>
              <w:left w:val="single" w:sz="4" w:space="0" w:color="000000"/>
              <w:bottom w:val="nil" w:sz="6" w:space="0" w:color="auto"/>
              <w:right w:val="single" w:sz="4" w:space="0" w:color="000000"/>
            </w:tcBorders>
            <w:shd w:val="clear" w:color="auto" w:fill="D3D3D3"/>
          </w:tcPr>
          <w:p>
            <w:pPr/>
          </w:p>
        </w:tc>
        <w:tc>
          <w:tcPr>
            <w:tcW w:w="929" w:type="dxa"/>
            <w:vMerge/>
            <w:tcBorders>
              <w:left w:val="single" w:sz="4" w:space="0" w:color="000000"/>
              <w:right w:val="single" w:sz="4" w:space="0" w:color="000000"/>
            </w:tcBorders>
            <w:shd w:val="clear" w:color="auto" w:fill="D3D3D3"/>
          </w:tcPr>
          <w:p>
            <w:pPr/>
          </w:p>
        </w:tc>
        <w:tc>
          <w:tcPr>
            <w:tcW w:w="1014" w:type="dxa"/>
            <w:gridSpan w:val="2"/>
            <w:vMerge/>
            <w:tcBorders>
              <w:left w:val="single" w:sz="4" w:space="0" w:color="000000"/>
              <w:right w:val="single" w:sz="4" w:space="0" w:color="000000"/>
            </w:tcBorders>
            <w:shd w:val="clear" w:color="auto" w:fill="D3D3D3"/>
          </w:tcPr>
          <w:p>
            <w:pPr/>
          </w:p>
        </w:tc>
        <w:tc>
          <w:tcPr>
            <w:tcW w:w="786" w:type="dxa"/>
            <w:gridSpan w:val="2"/>
            <w:vMerge/>
            <w:tcBorders>
              <w:left w:val="single" w:sz="4" w:space="0" w:color="000000"/>
              <w:right w:val="single" w:sz="4" w:space="0" w:color="000000"/>
            </w:tcBorders>
            <w:shd w:val="clear" w:color="auto" w:fill="D3D3D3"/>
          </w:tcPr>
          <w:p>
            <w:pPr/>
          </w:p>
        </w:tc>
        <w:tc>
          <w:tcPr>
            <w:tcW w:w="1080" w:type="dxa"/>
            <w:gridSpan w:val="2"/>
            <w:vMerge/>
            <w:tcBorders>
              <w:left w:val="single" w:sz="4" w:space="0" w:color="000000"/>
              <w:right w:val="single" w:sz="4" w:space="0" w:color="000000"/>
            </w:tcBorders>
            <w:shd w:val="clear" w:color="auto" w:fill="D3D3D3"/>
          </w:tcPr>
          <w:p>
            <w:pPr/>
          </w:p>
        </w:tc>
      </w:tr>
      <w:tr>
        <w:trPr>
          <w:trHeight w:val="165" w:hRule="exact"/>
        </w:trPr>
        <w:tc>
          <w:tcPr>
            <w:tcW w:w="1231" w:type="dxa"/>
            <w:vMerge/>
            <w:tcBorders>
              <w:left w:val="single" w:sz="4" w:space="0" w:color="000000"/>
              <w:bottom w:val="single" w:sz="4" w:space="0" w:color="000000"/>
              <w:right w:val="single" w:sz="4" w:space="0" w:color="000000"/>
            </w:tcBorders>
            <w:shd w:val="clear" w:color="auto" w:fill="D3D3D3"/>
          </w:tcPr>
          <w:p>
            <w:pPr/>
          </w:p>
        </w:tc>
        <w:tc>
          <w:tcPr>
            <w:tcW w:w="1469" w:type="dxa"/>
            <w:gridSpan w:val="2"/>
            <w:vMerge/>
            <w:tcBorders>
              <w:left w:val="single" w:sz="4" w:space="0" w:color="000000"/>
              <w:bottom w:val="single" w:sz="4" w:space="0" w:color="000000"/>
              <w:right w:val="single" w:sz="4" w:space="0" w:color="000000"/>
            </w:tcBorders>
            <w:shd w:val="clear" w:color="auto" w:fill="D3D3D3"/>
          </w:tcPr>
          <w:p>
            <w:pPr/>
          </w:p>
        </w:tc>
        <w:tc>
          <w:tcPr>
            <w:tcW w:w="816" w:type="dxa"/>
            <w:vMerge/>
            <w:tcBorders>
              <w:left w:val="single" w:sz="4" w:space="0" w:color="000000"/>
              <w:bottom w:val="single" w:sz="4" w:space="0" w:color="000000"/>
              <w:right w:val="single" w:sz="4" w:space="0" w:color="000000"/>
            </w:tcBorders>
            <w:shd w:val="clear" w:color="auto" w:fill="D3D3D3"/>
          </w:tcPr>
          <w:p>
            <w:pPr/>
          </w:p>
        </w:tc>
        <w:tc>
          <w:tcPr>
            <w:tcW w:w="983" w:type="dxa"/>
            <w:tcBorders>
              <w:top w:val="nil" w:sz="6" w:space="0" w:color="auto"/>
              <w:left w:val="single" w:sz="4" w:space="0" w:color="000000"/>
              <w:bottom w:val="single" w:sz="4" w:space="0" w:color="000000"/>
              <w:right w:val="single" w:sz="4" w:space="0" w:color="000000"/>
            </w:tcBorders>
            <w:shd w:val="clear" w:color="auto" w:fill="D3D3D3"/>
          </w:tcPr>
          <w:p>
            <w:pPr/>
          </w:p>
        </w:tc>
        <w:tc>
          <w:tcPr>
            <w:tcW w:w="1080"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929" w:type="dxa"/>
            <w:vMerge/>
            <w:tcBorders>
              <w:left w:val="single" w:sz="4" w:space="0" w:color="000000"/>
              <w:bottom w:val="single" w:sz="4" w:space="0" w:color="000000"/>
              <w:right w:val="single" w:sz="4" w:space="0" w:color="000000"/>
            </w:tcBorders>
            <w:shd w:val="clear" w:color="auto" w:fill="D3D3D3"/>
          </w:tcPr>
          <w:p>
            <w:pPr/>
          </w:p>
        </w:tc>
        <w:tc>
          <w:tcPr>
            <w:tcW w:w="1014" w:type="dxa"/>
            <w:gridSpan w:val="2"/>
            <w:vMerge/>
            <w:tcBorders>
              <w:left w:val="single" w:sz="4" w:space="0" w:color="000000"/>
              <w:bottom w:val="single" w:sz="4" w:space="0" w:color="000000"/>
              <w:right w:val="single" w:sz="4" w:space="0" w:color="000000"/>
            </w:tcBorders>
            <w:shd w:val="clear" w:color="auto" w:fill="D3D3D3"/>
          </w:tcPr>
          <w:p>
            <w:pPr/>
          </w:p>
        </w:tc>
        <w:tc>
          <w:tcPr>
            <w:tcW w:w="786" w:type="dxa"/>
            <w:gridSpan w:val="2"/>
            <w:vMerge/>
            <w:tcBorders>
              <w:left w:val="single" w:sz="4" w:space="0" w:color="000000"/>
              <w:bottom w:val="single" w:sz="4" w:space="0" w:color="000000"/>
              <w:right w:val="single" w:sz="4" w:space="0" w:color="000000"/>
            </w:tcBorders>
            <w:shd w:val="clear" w:color="auto" w:fill="D3D3D3"/>
          </w:tcPr>
          <w:p>
            <w:pPr/>
          </w:p>
        </w:tc>
        <w:tc>
          <w:tcPr>
            <w:tcW w:w="1080" w:type="dxa"/>
            <w:gridSpan w:val="2"/>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6"/>
              <w:jc w:val="both"/>
              <w:rPr>
                <w:rFonts w:ascii="宋体" w:hAnsi="宋体" w:cs="宋体" w:eastAsia="宋体" w:hint="default"/>
                <w:sz w:val="18"/>
                <w:szCs w:val="18"/>
              </w:rPr>
            </w:pPr>
            <w:r>
              <w:rPr>
                <w:rFonts w:ascii="宋体" w:hAnsi="宋体" w:cs="宋体" w:eastAsia="宋体" w:hint="default"/>
                <w:sz w:val="18"/>
                <w:szCs w:val="18"/>
              </w:rPr>
              <w:t>石家庄常山纺 织集团有限责 任公司</w:t>
            </w:r>
          </w:p>
        </w:tc>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z w:val="18"/>
              </w:rPr>
              <w:t>28.48%</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455,296,184</w:t>
            </w:r>
          </w:p>
        </w:tc>
        <w:tc>
          <w:tcPr>
            <w:tcW w:w="1080" w:type="dxa"/>
            <w:gridSpan w:val="2"/>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0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455,296,184</w:t>
            </w:r>
          </w:p>
        </w:tc>
        <w:tc>
          <w:tcPr>
            <w:tcW w:w="786" w:type="dxa"/>
            <w:gridSpan w:val="2"/>
            <w:tcBorders>
              <w:top w:val="single" w:sz="49" w:space="0" w:color="D3D3D3"/>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80" w:type="dxa"/>
            <w:gridSpan w:val="2"/>
            <w:tcBorders>
              <w:top w:val="single" w:sz="49" w:space="0" w:color="D3D3D3"/>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103,000,000</w:t>
            </w:r>
          </w:p>
        </w:tc>
      </w:tr>
      <w:tr>
        <w:trPr>
          <w:trHeight w:val="714"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北京北明伟业 控股有限公司</w:t>
            </w:r>
          </w:p>
        </w:tc>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z w:val="18"/>
              </w:rPr>
              <w:t>13.85%</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221,481,187</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-42,028,443</w:t>
            </w:r>
          </w:p>
        </w:tc>
        <w:tc>
          <w:tcPr>
            <w:tcW w:w="929" w:type="dxa"/>
            <w:tcBorders>
              <w:top w:val="single" w:sz="4" w:space="0" w:color="000000"/>
              <w:left w:val="single" w:sz="4" w:space="0" w:color="000000"/>
              <w:bottom w:val="single" w:sz="4" w:space="0" w:color="000000"/>
              <w:right w:val="single" w:sz="4" w:space="0" w:color="000000"/>
            </w:tcBorders>
          </w:tcPr>
          <w:p>
            <w:pPr/>
          </w:p>
        </w:tc>
        <w:tc>
          <w:tcPr>
            <w:tcW w:w="10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221,481,187</w:t>
            </w:r>
          </w:p>
        </w:tc>
        <w:tc>
          <w:tcPr>
            <w:tcW w:w="7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105,270,000</w:t>
            </w: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北京万峰嘉晔 投资管理中心</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z w:val="18"/>
              </w:rPr>
              <w:t>3.44%</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54,953,805</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-27,690,556</w:t>
            </w:r>
          </w:p>
        </w:tc>
        <w:tc>
          <w:tcPr>
            <w:tcW w:w="929" w:type="dxa"/>
            <w:tcBorders>
              <w:top w:val="single" w:sz="4" w:space="0" w:color="000000"/>
              <w:left w:val="single" w:sz="4" w:space="0" w:color="000000"/>
              <w:bottom w:val="single" w:sz="4" w:space="0" w:color="000000"/>
              <w:right w:val="single" w:sz="4" w:space="0" w:color="000000"/>
            </w:tcBorders>
          </w:tcPr>
          <w:p>
            <w:pPr/>
          </w:p>
        </w:tc>
        <w:tc>
          <w:tcPr>
            <w:tcW w:w="10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54,953,805</w:t>
            </w:r>
          </w:p>
        </w:tc>
        <w:tc>
          <w:tcPr>
            <w:tcW w:w="7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6" w:right="0"/>
              <w:jc w:val="left"/>
              <w:rPr>
                <w:rFonts w:ascii="Times New Roman" w:hAnsi="Times New Roman" w:cs="Times New Roman" w:eastAsia="Times New Roman" w:hint="default"/>
                <w:sz w:val="18"/>
                <w:szCs w:val="18"/>
              </w:rPr>
            </w:pPr>
            <w:r>
              <w:rPr>
                <w:rFonts w:ascii="Times New Roman"/>
                <w:sz w:val="18"/>
              </w:rPr>
              <w:t>40,000,000</w:t>
            </w:r>
          </w:p>
        </w:tc>
      </w:tr>
      <w:tr>
        <w:trPr>
          <w:trHeight w:val="714"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林芝腾讯投资 管理有限公司</w:t>
            </w:r>
          </w:p>
        </w:tc>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z w:val="18"/>
              </w:rPr>
              <w:t>2.68%</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42,847,100</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42,847,100</w:t>
            </w:r>
          </w:p>
        </w:tc>
        <w:tc>
          <w:tcPr>
            <w:tcW w:w="929" w:type="dxa"/>
            <w:tcBorders>
              <w:top w:val="single" w:sz="4" w:space="0" w:color="000000"/>
              <w:left w:val="single" w:sz="4" w:space="0" w:color="000000"/>
              <w:bottom w:val="single" w:sz="4" w:space="0" w:color="000000"/>
              <w:right w:val="single" w:sz="4" w:space="0" w:color="000000"/>
            </w:tcBorders>
          </w:tcPr>
          <w:p>
            <w:pPr/>
          </w:p>
        </w:tc>
        <w:tc>
          <w:tcPr>
            <w:tcW w:w="10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42,847,100</w:t>
            </w:r>
          </w:p>
        </w:tc>
        <w:tc>
          <w:tcPr>
            <w:tcW w:w="786" w:type="dxa"/>
            <w:gridSpan w:val="2"/>
            <w:tcBorders>
              <w:top w:val="single" w:sz="4" w:space="0" w:color="000000"/>
              <w:left w:val="single" w:sz="4" w:space="0" w:color="000000"/>
              <w:bottom w:val="single" w:sz="4" w:space="0" w:color="000000"/>
              <w:right w:val="single" w:sz="4" w:space="0" w:color="000000"/>
            </w:tcBorders>
          </w:tcPr>
          <w:p>
            <w:pPr/>
          </w:p>
        </w:tc>
        <w:tc>
          <w:tcPr>
            <w:tcW w:w="1080"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6"/>
              <w:jc w:val="left"/>
              <w:rPr>
                <w:rFonts w:ascii="宋体" w:hAnsi="宋体" w:cs="宋体" w:eastAsia="宋体" w:hint="default"/>
                <w:sz w:val="18"/>
                <w:szCs w:val="18"/>
              </w:rPr>
            </w:pPr>
            <w:r>
              <w:rPr>
                <w:rFonts w:ascii="宋体" w:hAnsi="宋体" w:cs="宋体" w:eastAsia="宋体" w:hint="default"/>
                <w:sz w:val="18"/>
                <w:szCs w:val="18"/>
              </w:rPr>
              <w:t>北京万峰嘉华 投资管理中心</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z w:val="18"/>
              </w:rPr>
              <w:t>1.48%</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23,698,358</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-41,796,893</w:t>
            </w:r>
          </w:p>
        </w:tc>
        <w:tc>
          <w:tcPr>
            <w:tcW w:w="929" w:type="dxa"/>
            <w:tcBorders>
              <w:top w:val="single" w:sz="4" w:space="0" w:color="000000"/>
              <w:left w:val="single" w:sz="4" w:space="0" w:color="000000"/>
              <w:bottom w:val="single" w:sz="4" w:space="0" w:color="000000"/>
              <w:right w:val="single" w:sz="4" w:space="0" w:color="000000"/>
            </w:tcBorders>
          </w:tcPr>
          <w:p>
            <w:pPr/>
          </w:p>
        </w:tc>
        <w:tc>
          <w:tcPr>
            <w:tcW w:w="10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23,698,358</w:t>
            </w:r>
          </w:p>
        </w:tc>
        <w:tc>
          <w:tcPr>
            <w:tcW w:w="786" w:type="dxa"/>
            <w:gridSpan w:val="2"/>
            <w:tcBorders>
              <w:top w:val="single" w:sz="4" w:space="0" w:color="000000"/>
              <w:left w:val="single" w:sz="4" w:space="0" w:color="000000"/>
              <w:bottom w:val="single" w:sz="4" w:space="0" w:color="000000"/>
              <w:right w:val="single" w:sz="4" w:space="0" w:color="000000"/>
            </w:tcBorders>
          </w:tcPr>
          <w:p>
            <w:pPr/>
          </w:p>
        </w:tc>
        <w:tc>
          <w:tcPr>
            <w:tcW w:w="1080"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6"/>
              <w:jc w:val="both"/>
              <w:rPr>
                <w:rFonts w:ascii="宋体" w:hAnsi="宋体" w:cs="宋体" w:eastAsia="宋体" w:hint="default"/>
                <w:sz w:val="18"/>
                <w:szCs w:val="18"/>
              </w:rPr>
            </w:pPr>
            <w:r>
              <w:rPr>
                <w:rFonts w:ascii="宋体" w:hAnsi="宋体" w:cs="宋体" w:eastAsia="宋体" w:hint="default"/>
                <w:sz w:val="18"/>
                <w:szCs w:val="18"/>
              </w:rPr>
              <w:t>深圳市神华投 资集团有限公 司</w:t>
            </w:r>
          </w:p>
        </w:tc>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49"/>
              <w:jc w:val="right"/>
              <w:rPr>
                <w:rFonts w:ascii="Times New Roman" w:hAnsi="Times New Roman" w:cs="Times New Roman" w:eastAsia="Times New Roman" w:hint="default"/>
                <w:sz w:val="18"/>
                <w:szCs w:val="18"/>
              </w:rPr>
            </w:pPr>
            <w:r>
              <w:rPr>
                <w:rFonts w:ascii="Times New Roman"/>
                <w:sz w:val="18"/>
              </w:rPr>
              <w:t>1.00%</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15,940,370</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-18,653,555</w:t>
            </w:r>
          </w:p>
        </w:tc>
        <w:tc>
          <w:tcPr>
            <w:tcW w:w="929" w:type="dxa"/>
            <w:tcBorders>
              <w:top w:val="single" w:sz="4" w:space="0" w:color="000000"/>
              <w:left w:val="single" w:sz="4" w:space="0" w:color="000000"/>
              <w:bottom w:val="single" w:sz="4" w:space="0" w:color="000000"/>
              <w:right w:val="single" w:sz="4" w:space="0" w:color="000000"/>
            </w:tcBorders>
          </w:tcPr>
          <w:p>
            <w:pPr/>
          </w:p>
        </w:tc>
        <w:tc>
          <w:tcPr>
            <w:tcW w:w="10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15,940,370</w:t>
            </w:r>
          </w:p>
        </w:tc>
        <w:tc>
          <w:tcPr>
            <w:tcW w:w="786" w:type="dxa"/>
            <w:gridSpan w:val="2"/>
            <w:tcBorders>
              <w:top w:val="single" w:sz="4" w:space="0" w:color="000000"/>
              <w:left w:val="single" w:sz="4" w:space="0" w:color="000000"/>
              <w:bottom w:val="single" w:sz="4" w:space="0" w:color="000000"/>
              <w:right w:val="single" w:sz="4" w:space="0" w:color="000000"/>
            </w:tcBorders>
          </w:tcPr>
          <w:p>
            <w:pPr/>
          </w:p>
        </w:tc>
        <w:tc>
          <w:tcPr>
            <w:tcW w:w="1080"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李锋</w:t>
            </w:r>
          </w:p>
        </w:tc>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9"/>
              <w:jc w:val="right"/>
              <w:rPr>
                <w:rFonts w:ascii="Times New Roman" w:hAnsi="Times New Roman" w:cs="Times New Roman" w:eastAsia="Times New Roman" w:hint="default"/>
                <w:sz w:val="18"/>
                <w:szCs w:val="18"/>
              </w:rPr>
            </w:pPr>
            <w:r>
              <w:rPr>
                <w:rFonts w:ascii="Times New Roman"/>
                <w:sz w:val="18"/>
              </w:rPr>
              <w:t>1.00%</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15,922,053</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-2,000,000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13,441,540</w:t>
            </w:r>
          </w:p>
        </w:tc>
        <w:tc>
          <w:tcPr>
            <w:tcW w:w="10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0" w:right="0"/>
              <w:jc w:val="left"/>
              <w:rPr>
                <w:rFonts w:ascii="Times New Roman" w:hAnsi="Times New Roman" w:cs="Times New Roman" w:eastAsia="Times New Roman" w:hint="default"/>
                <w:sz w:val="18"/>
                <w:szCs w:val="18"/>
              </w:rPr>
            </w:pPr>
            <w:r>
              <w:rPr>
                <w:rFonts w:ascii="Times New Roman"/>
                <w:sz w:val="18"/>
              </w:rPr>
              <w:t>2,480,513</w:t>
            </w:r>
          </w:p>
        </w:tc>
        <w:tc>
          <w:tcPr>
            <w:tcW w:w="786" w:type="dxa"/>
            <w:gridSpan w:val="2"/>
            <w:tcBorders>
              <w:top w:val="single" w:sz="4" w:space="0" w:color="000000"/>
              <w:left w:val="single" w:sz="4" w:space="0" w:color="000000"/>
              <w:bottom w:val="single" w:sz="4" w:space="0" w:color="000000"/>
              <w:right w:val="single" w:sz="4" w:space="0" w:color="000000"/>
            </w:tcBorders>
          </w:tcPr>
          <w:p>
            <w:pPr/>
          </w:p>
        </w:tc>
        <w:tc>
          <w:tcPr>
            <w:tcW w:w="1080"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9"/>
              <w:jc w:val="right"/>
              <w:rPr>
                <w:rFonts w:ascii="Times New Roman" w:hAnsi="Times New Roman" w:cs="Times New Roman" w:eastAsia="Times New Roman" w:hint="default"/>
                <w:sz w:val="18"/>
                <w:szCs w:val="18"/>
              </w:rPr>
            </w:pPr>
            <w:r>
              <w:rPr>
                <w:rFonts w:ascii="Times New Roman"/>
                <w:sz w:val="18"/>
              </w:rPr>
              <w:t>0.94%</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15,004,096</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-6,530,000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12,753,072</w:t>
            </w:r>
          </w:p>
        </w:tc>
        <w:tc>
          <w:tcPr>
            <w:tcW w:w="10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0" w:right="0"/>
              <w:jc w:val="left"/>
              <w:rPr>
                <w:rFonts w:ascii="Times New Roman" w:hAnsi="Times New Roman" w:cs="Times New Roman" w:eastAsia="Times New Roman" w:hint="default"/>
                <w:sz w:val="18"/>
                <w:szCs w:val="18"/>
              </w:rPr>
            </w:pPr>
            <w:r>
              <w:rPr>
                <w:rFonts w:ascii="Times New Roman"/>
                <w:sz w:val="18"/>
              </w:rPr>
              <w:t>2,251,024</w:t>
            </w:r>
          </w:p>
        </w:tc>
        <w:tc>
          <w:tcPr>
            <w:tcW w:w="7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6" w:right="0"/>
              <w:jc w:val="left"/>
              <w:rPr>
                <w:rFonts w:ascii="Times New Roman" w:hAnsi="Times New Roman" w:cs="Times New Roman" w:eastAsia="Times New Roman" w:hint="default"/>
                <w:sz w:val="18"/>
                <w:szCs w:val="18"/>
              </w:rPr>
            </w:pPr>
            <w:r>
              <w:rPr>
                <w:rFonts w:ascii="Times New Roman"/>
                <w:sz w:val="18"/>
              </w:rPr>
              <w:t>7,961,022</w:t>
            </w:r>
          </w:p>
        </w:tc>
      </w:tr>
      <w:tr>
        <w:trPr>
          <w:trHeight w:val="402"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李秋桂</w:t>
            </w:r>
          </w:p>
        </w:tc>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9"/>
              <w:jc w:val="right"/>
              <w:rPr>
                <w:rFonts w:ascii="Times New Roman" w:hAnsi="Times New Roman" w:cs="Times New Roman" w:eastAsia="Times New Roman" w:hint="default"/>
                <w:sz w:val="18"/>
                <w:szCs w:val="18"/>
              </w:rPr>
            </w:pPr>
            <w:r>
              <w:rPr>
                <w:rFonts w:ascii="Times New Roman"/>
                <w:sz w:val="18"/>
              </w:rPr>
              <w:t>0.66%</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10,489,100</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10,489,100</w:t>
            </w:r>
          </w:p>
        </w:tc>
        <w:tc>
          <w:tcPr>
            <w:tcW w:w="929" w:type="dxa"/>
            <w:tcBorders>
              <w:top w:val="single" w:sz="4" w:space="0" w:color="000000"/>
              <w:left w:val="single" w:sz="4" w:space="0" w:color="000000"/>
              <w:bottom w:val="single" w:sz="4" w:space="0" w:color="000000"/>
              <w:right w:val="single" w:sz="4" w:space="0" w:color="000000"/>
            </w:tcBorders>
          </w:tcPr>
          <w:p>
            <w:pPr/>
          </w:p>
        </w:tc>
        <w:tc>
          <w:tcPr>
            <w:tcW w:w="10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9" w:right="0"/>
              <w:jc w:val="left"/>
              <w:rPr>
                <w:rFonts w:ascii="Times New Roman" w:hAnsi="Times New Roman" w:cs="Times New Roman" w:eastAsia="Times New Roman" w:hint="default"/>
                <w:sz w:val="18"/>
                <w:szCs w:val="18"/>
              </w:rPr>
            </w:pPr>
            <w:r>
              <w:rPr>
                <w:rFonts w:ascii="Times New Roman"/>
                <w:sz w:val="18"/>
              </w:rPr>
              <w:t>10,489,100</w:t>
            </w:r>
          </w:p>
        </w:tc>
        <w:tc>
          <w:tcPr>
            <w:tcW w:w="786" w:type="dxa"/>
            <w:gridSpan w:val="2"/>
            <w:tcBorders>
              <w:top w:val="single" w:sz="4" w:space="0" w:color="000000"/>
              <w:left w:val="single" w:sz="4" w:space="0" w:color="000000"/>
              <w:bottom w:val="single" w:sz="4" w:space="0" w:color="000000"/>
              <w:right w:val="single" w:sz="4" w:space="0" w:color="000000"/>
            </w:tcBorders>
          </w:tcPr>
          <w:p>
            <w:pPr/>
          </w:p>
        </w:tc>
        <w:tc>
          <w:tcPr>
            <w:tcW w:w="1080" w:type="dxa"/>
            <w:gridSpan w:val="2"/>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郑东信</w:t>
            </w:r>
          </w:p>
        </w:tc>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9"/>
              <w:jc w:val="right"/>
              <w:rPr>
                <w:rFonts w:ascii="Times New Roman" w:hAnsi="Times New Roman" w:cs="Times New Roman" w:eastAsia="Times New Roman" w:hint="default"/>
                <w:sz w:val="18"/>
                <w:szCs w:val="18"/>
              </w:rPr>
            </w:pPr>
            <w:r>
              <w:rPr>
                <w:rFonts w:ascii="Times New Roman"/>
                <w:sz w:val="18"/>
              </w:rPr>
              <w:t>0.58%</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9,201,449</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-2,406,200</w:t>
            </w:r>
          </w:p>
        </w:tc>
        <w:tc>
          <w:tcPr>
            <w:tcW w:w="929" w:type="dxa"/>
            <w:tcBorders>
              <w:top w:val="single" w:sz="4" w:space="0" w:color="000000"/>
              <w:left w:val="single" w:sz="4" w:space="0" w:color="000000"/>
              <w:bottom w:val="single" w:sz="4" w:space="0" w:color="000000"/>
              <w:right w:val="single" w:sz="4" w:space="0" w:color="000000"/>
            </w:tcBorders>
          </w:tcPr>
          <w:p>
            <w:pPr/>
          </w:p>
        </w:tc>
        <w:tc>
          <w:tcPr>
            <w:tcW w:w="10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0" w:right="0"/>
              <w:jc w:val="left"/>
              <w:rPr>
                <w:rFonts w:ascii="Times New Roman" w:hAnsi="Times New Roman" w:cs="Times New Roman" w:eastAsia="Times New Roman" w:hint="default"/>
                <w:sz w:val="18"/>
                <w:szCs w:val="18"/>
              </w:rPr>
            </w:pPr>
            <w:r>
              <w:rPr>
                <w:rFonts w:ascii="Times New Roman"/>
                <w:sz w:val="18"/>
              </w:rPr>
              <w:t>9,201,449</w:t>
            </w:r>
          </w:p>
        </w:tc>
        <w:tc>
          <w:tcPr>
            <w:tcW w:w="7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3" w:right="0"/>
              <w:jc w:val="left"/>
              <w:rPr>
                <w:rFonts w:ascii="Times New Roman" w:hAnsi="Times New Roman" w:cs="Times New Roman" w:eastAsia="Times New Roman" w:hint="default"/>
                <w:sz w:val="18"/>
                <w:szCs w:val="18"/>
              </w:rPr>
            </w:pPr>
            <w:r>
              <w:rPr>
                <w:rFonts w:ascii="Times New Roman"/>
                <w:sz w:val="18"/>
              </w:rPr>
              <w:t>4,704,110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r>
        <w:rPr/>
        <w:pict>
          <v:group style="position:absolute;margin-left:191.940002pt;margin-top:79.730003pt;width:337.15pt;height:36.35pt;mso-position-horizontal-relative:page;mso-position-vertical-relative:page;z-index:-1362352" coordorigin="3839,1595" coordsize="6743,727">
            <v:group style="position:absolute;left:3850;top:1606;width:2;height:704" coordorigin="3850,1606" coordsize="2,704">
              <v:shape style="position:absolute;left:3850;top:1606;width:2;height:704" coordorigin="3850,1606" coordsize="0,704" path="m3850,1606l3850,2310e" filled="false" stroked="true" strokeweight="1.140pt" strokecolor="#ffffff">
                <v:path arrowok="t"/>
              </v:shape>
            </v:group>
            <v:group style="position:absolute;left:3862;top:1606;width:6633;height:352" coordorigin="3862,1606" coordsize="6633,352">
              <v:shape style="position:absolute;left:3862;top:1606;width:6633;height:352" coordorigin="3862,1606" coordsize="6633,352" path="m3862,1957l10494,1957,10494,1606,3862,1606,3862,1957xe" filled="true" fillcolor="#ffffff" stroked="false">
                <v:path arrowok="t"/>
                <v:fill type="solid"/>
              </v:shape>
            </v:group>
            <v:group style="position:absolute;left:3862;top:1957;width:6633;height:353" coordorigin="3862,1957" coordsize="6633,353">
              <v:shape style="position:absolute;left:3862;top:1957;width:6633;height:353" coordorigin="3862,1957" coordsize="6633,353" path="m3862,2310l10494,2310,10494,1957,3862,1957,3862,2310xe" filled="true" fillcolor="#ffffff" stroked="false">
                <v:path arrowok="t"/>
                <v:fill type="solid"/>
              </v:shape>
              <v:shape style="position:absolute;left:10402;top:2025;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694"/>
        <w:gridCol w:w="4828"/>
        <w:gridCol w:w="786"/>
        <w:gridCol w:w="1080"/>
      </w:tblGrid>
      <w:tr>
        <w:trPr>
          <w:trHeight w:val="1026"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名股东的情况（如有</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94"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195" w:lineRule="exact"/>
              <w:ind w:left="381" w:right="0"/>
              <w:jc w:val="left"/>
              <w:rPr>
                <w:rFonts w:ascii="宋体" w:hAnsi="宋体" w:cs="宋体" w:eastAsia="宋体" w:hint="default"/>
                <w:sz w:val="18"/>
                <w:szCs w:val="18"/>
              </w:rPr>
            </w:pPr>
            <w:r>
              <w:rPr>
                <w:rFonts w:ascii="宋体" w:hAnsi="宋体" w:cs="宋体" w:eastAsia="宋体" w:hint="default"/>
                <w:sz w:val="18"/>
                <w:szCs w:val="18"/>
              </w:rPr>
              <w:t>深圳市神华投资集团有限公司通过认购公司发行股份购买资产并募集配套资金</w:t>
            </w:r>
          </w:p>
          <w:p>
            <w:pPr>
              <w:pStyle w:val="TableParagraph"/>
              <w:spacing w:line="156" w:lineRule="exact"/>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10" w:lineRule="exact"/>
              <w:ind w:left="21" w:right="0"/>
              <w:jc w:val="left"/>
              <w:rPr>
                <w:rFonts w:ascii="宋体" w:hAnsi="宋体" w:cs="宋体" w:eastAsia="宋体" w:hint="default"/>
                <w:sz w:val="18"/>
                <w:szCs w:val="18"/>
              </w:rPr>
            </w:pPr>
            <w:r>
              <w:rPr>
                <w:rFonts w:ascii="宋体" w:hAnsi="宋体" w:cs="宋体" w:eastAsia="宋体" w:hint="default"/>
                <w:sz w:val="18"/>
                <w:szCs w:val="18"/>
              </w:rPr>
              <w:t>成为公司前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pacing w:val="-3"/>
                <w:sz w:val="18"/>
                <w:szCs w:val="18"/>
              </w:rPr>
              <w:t>名股东，约定持股起止日期为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73" w:hRule="exact"/>
        </w:trPr>
        <w:tc>
          <w:tcPr>
            <w:tcW w:w="2694" w:type="dxa"/>
            <w:tcBorders>
              <w:top w:val="single" w:sz="4" w:space="0" w:color="000000"/>
              <w:left w:val="single" w:sz="4" w:space="0" w:color="000000"/>
              <w:bottom w:val="nil" w:sz="6" w:space="0" w:color="auto"/>
              <w:right w:val="single" w:sz="4" w:space="0" w:color="000000"/>
            </w:tcBorders>
            <w:shd w:val="clear" w:color="auto" w:fill="D3D3D3"/>
          </w:tcPr>
          <w:p>
            <w:pPr/>
          </w:p>
        </w:tc>
        <w:tc>
          <w:tcPr>
            <w:tcW w:w="6694" w:type="dxa"/>
            <w:gridSpan w:val="3"/>
            <w:vMerge w:val="restart"/>
            <w:tcBorders>
              <w:top w:val="single" w:sz="4" w:space="0" w:color="000000"/>
              <w:left w:val="single" w:sz="10" w:space="0" w:color="D3D3D3"/>
              <w:right w:val="single" w:sz="4" w:space="0" w:color="000000"/>
            </w:tcBorders>
          </w:tcPr>
          <w:p>
            <w:pPr>
              <w:pStyle w:val="TableParagraph"/>
              <w:spacing w:line="316" w:lineRule="auto" w:before="51"/>
              <w:ind w:left="21" w:right="20" w:firstLine="360"/>
              <w:jc w:val="both"/>
              <w:rPr>
                <w:rFonts w:ascii="宋体" w:hAnsi="宋体" w:cs="宋体" w:eastAsia="宋体" w:hint="default"/>
                <w:sz w:val="18"/>
                <w:szCs w:val="18"/>
              </w:rPr>
            </w:pPr>
            <w:r>
              <w:rPr>
                <w:rFonts w:ascii="宋体" w:hAnsi="宋体" w:cs="宋体" w:eastAsia="宋体" w:hint="default"/>
                <w:spacing w:val="-1"/>
                <w:sz w:val="18"/>
                <w:szCs w:val="18"/>
              </w:rPr>
              <w:t>石家庄常山纺织集团有限责任公司与其他股东之间无关联关系。北京万峰嘉晔投</w:t>
            </w:r>
            <w:r>
              <w:rPr>
                <w:rFonts w:ascii="宋体" w:hAnsi="宋体" w:cs="宋体" w:eastAsia="宋体" w:hint="default"/>
                <w:sz w:val="18"/>
                <w:szCs w:val="18"/>
              </w:rPr>
              <w:t> </w:t>
            </w:r>
            <w:r>
              <w:rPr>
                <w:rFonts w:ascii="宋体" w:hAnsi="宋体" w:cs="宋体" w:eastAsia="宋体" w:hint="default"/>
                <w:spacing w:val="-1"/>
                <w:sz w:val="18"/>
                <w:szCs w:val="18"/>
              </w:rPr>
              <w:t>资管理中心（有限合伙）与北京万峰嘉华投资管理中心（有限合伙）均系北明软件公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司员工持股。北京北明伟业控股有限公司、李锋与应华江为一致行动人。公司未知其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他股东之间是否存在关联关系或属于《上市公司股东持股变动信息披露管理办法》规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定的一致行动人。</w:t>
            </w:r>
          </w:p>
        </w:tc>
      </w:tr>
      <w:tr>
        <w:trPr>
          <w:trHeight w:val="704" w:hRule="exact"/>
        </w:trPr>
        <w:tc>
          <w:tcPr>
            <w:tcW w:w="26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22" w:right="139"/>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694" w:type="dxa"/>
            <w:gridSpan w:val="3"/>
            <w:vMerge/>
            <w:tcBorders>
              <w:left w:val="single" w:sz="10" w:space="0" w:color="D3D3D3"/>
              <w:right w:val="single" w:sz="4" w:space="0" w:color="000000"/>
            </w:tcBorders>
          </w:tcPr>
          <w:p>
            <w:pPr/>
          </w:p>
        </w:tc>
      </w:tr>
      <w:tr>
        <w:trPr>
          <w:trHeight w:val="473" w:hRule="exact"/>
        </w:trPr>
        <w:tc>
          <w:tcPr>
            <w:tcW w:w="2694" w:type="dxa"/>
            <w:tcBorders>
              <w:top w:val="nil" w:sz="6" w:space="0" w:color="auto"/>
              <w:left w:val="single" w:sz="4" w:space="0" w:color="000000"/>
              <w:bottom w:val="single" w:sz="4" w:space="0" w:color="000000"/>
              <w:right w:val="single" w:sz="4" w:space="0" w:color="000000"/>
            </w:tcBorders>
            <w:shd w:val="clear" w:color="auto" w:fill="D3D3D3"/>
          </w:tcPr>
          <w:p>
            <w:pPr/>
          </w:p>
        </w:tc>
        <w:tc>
          <w:tcPr>
            <w:tcW w:w="6694" w:type="dxa"/>
            <w:gridSpan w:val="3"/>
            <w:vMerge/>
            <w:tcBorders>
              <w:left w:val="single" w:sz="10" w:space="0" w:color="D3D3D3"/>
              <w:bottom w:val="single" w:sz="4" w:space="0" w:color="000000"/>
              <w:right w:val="single" w:sz="4" w:space="0" w:color="000000"/>
            </w:tcBorders>
          </w:tcPr>
          <w:p>
            <w:pPr/>
          </w:p>
        </w:tc>
      </w:tr>
      <w:tr>
        <w:trPr>
          <w:trHeight w:val="402" w:hRule="exact"/>
        </w:trPr>
        <w:tc>
          <w:tcPr>
            <w:tcW w:w="938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1" w:hRule="exact"/>
        </w:trPr>
        <w:tc>
          <w:tcPr>
            <w:tcW w:w="2694" w:type="dxa"/>
            <w:tcBorders>
              <w:top w:val="single" w:sz="4" w:space="0" w:color="000000"/>
              <w:left w:val="single" w:sz="4" w:space="0" w:color="000000"/>
              <w:bottom w:val="nil" w:sz="6" w:space="0" w:color="auto"/>
              <w:right w:val="single" w:sz="4" w:space="0" w:color="000000"/>
            </w:tcBorders>
            <w:shd w:val="clear" w:color="auto" w:fill="D3D3D3"/>
          </w:tcPr>
          <w:p>
            <w:pPr/>
          </w:p>
        </w:tc>
        <w:tc>
          <w:tcPr>
            <w:tcW w:w="4828" w:type="dxa"/>
            <w:tcBorders>
              <w:top w:val="single" w:sz="4" w:space="0" w:color="000000"/>
              <w:left w:val="single" w:sz="4" w:space="0" w:color="000000"/>
              <w:bottom w:val="nil" w:sz="6" w:space="0" w:color="auto"/>
              <w:right w:val="single" w:sz="4" w:space="0" w:color="000000"/>
            </w:tcBorders>
            <w:shd w:val="clear" w:color="auto" w:fill="D3D3D3"/>
          </w:tcPr>
          <w:p>
            <w:pPr/>
          </w:p>
        </w:tc>
        <w:tc>
          <w:tcPr>
            <w:tcW w:w="186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68"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201" w:hRule="exact"/>
        </w:trPr>
        <w:tc>
          <w:tcPr>
            <w:tcW w:w="269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82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062"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1866" w:type="dxa"/>
            <w:gridSpan w:val="2"/>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2694" w:type="dxa"/>
            <w:vMerge/>
            <w:tcBorders>
              <w:left w:val="single" w:sz="4" w:space="0" w:color="000000"/>
              <w:bottom w:val="nil" w:sz="6" w:space="0" w:color="auto"/>
              <w:right w:val="single" w:sz="4" w:space="0" w:color="000000"/>
            </w:tcBorders>
            <w:shd w:val="clear" w:color="auto" w:fill="D3D3D3"/>
          </w:tcPr>
          <w:p>
            <w:pPr/>
          </w:p>
        </w:tc>
        <w:tc>
          <w:tcPr>
            <w:tcW w:w="4828" w:type="dxa"/>
            <w:vMerge/>
            <w:tcBorders>
              <w:left w:val="single" w:sz="4" w:space="0" w:color="000000"/>
              <w:bottom w:val="nil" w:sz="6" w:space="0" w:color="auto"/>
              <w:right w:val="single" w:sz="4" w:space="0" w:color="000000"/>
            </w:tcBorders>
            <w:shd w:val="clear" w:color="auto" w:fill="D3D3D3"/>
          </w:tcPr>
          <w:p>
            <w:pPr/>
          </w:p>
        </w:tc>
        <w:tc>
          <w:tcPr>
            <w:tcW w:w="7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11" w:hRule="exact"/>
        </w:trPr>
        <w:tc>
          <w:tcPr>
            <w:tcW w:w="2694" w:type="dxa"/>
            <w:tcBorders>
              <w:top w:val="nil" w:sz="6" w:space="0" w:color="auto"/>
              <w:left w:val="single" w:sz="4" w:space="0" w:color="000000"/>
              <w:bottom w:val="single" w:sz="4" w:space="0" w:color="000000"/>
              <w:right w:val="single" w:sz="4" w:space="0" w:color="000000"/>
            </w:tcBorders>
            <w:shd w:val="clear" w:color="auto" w:fill="D3D3D3"/>
          </w:tcPr>
          <w:p>
            <w:pPr/>
          </w:p>
        </w:tc>
        <w:tc>
          <w:tcPr>
            <w:tcW w:w="4828" w:type="dxa"/>
            <w:tcBorders>
              <w:top w:val="nil" w:sz="6" w:space="0" w:color="auto"/>
              <w:left w:val="single" w:sz="4" w:space="0" w:color="000000"/>
              <w:bottom w:val="single" w:sz="4" w:space="0" w:color="000000"/>
              <w:right w:val="single" w:sz="4" w:space="0" w:color="000000"/>
            </w:tcBorders>
            <w:shd w:val="clear" w:color="auto" w:fill="D3D3D3"/>
          </w:tcPr>
          <w:p>
            <w:pPr/>
          </w:p>
        </w:tc>
        <w:tc>
          <w:tcPr>
            <w:tcW w:w="786" w:type="dxa"/>
            <w:vMerge/>
            <w:tcBorders>
              <w:left w:val="single" w:sz="4" w:space="0" w:color="000000"/>
              <w:bottom w:val="single" w:sz="4" w:space="0" w:color="000000"/>
              <w:right w:val="single" w:sz="4" w:space="0" w:color="000000"/>
            </w:tcBorders>
            <w:shd w:val="clear" w:color="auto" w:fill="D3D3D3"/>
          </w:tcPr>
          <w:p>
            <w:pPr/>
          </w:p>
        </w:tc>
        <w:tc>
          <w:tcPr>
            <w:tcW w:w="1080"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9"/>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 司</w:t>
            </w:r>
          </w:p>
        </w:tc>
        <w:tc>
          <w:tcPr>
            <w:tcW w:w="4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455,296,184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0"/>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455,296,184</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北京北明伟业控股有限公司</w:t>
            </w:r>
          </w:p>
        </w:tc>
        <w:tc>
          <w:tcPr>
            <w:tcW w:w="4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221,481,187</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0"/>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221,481,187</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pacing w:val="-4"/>
                <w:sz w:val="18"/>
                <w:szCs w:val="18"/>
              </w:rPr>
              <w:t>北京万峰嘉晔投资管理中心（有限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合伙）</w:t>
            </w:r>
          </w:p>
        </w:tc>
        <w:tc>
          <w:tcPr>
            <w:tcW w:w="4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54,953,805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0"/>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54,953,805</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林芝腾讯投资管理有限公司</w:t>
            </w:r>
          </w:p>
        </w:tc>
        <w:tc>
          <w:tcPr>
            <w:tcW w:w="4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42,847,100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0"/>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42,847,100</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pacing w:val="-4"/>
                <w:sz w:val="18"/>
                <w:szCs w:val="18"/>
              </w:rPr>
              <w:t>北京万峰嘉华投资管理中心（有限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合伙）</w:t>
            </w:r>
          </w:p>
        </w:tc>
        <w:tc>
          <w:tcPr>
            <w:tcW w:w="4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23,698,358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0"/>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23,698,358</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深圳市神华投资集团有限公司</w:t>
            </w:r>
          </w:p>
        </w:tc>
        <w:tc>
          <w:tcPr>
            <w:tcW w:w="4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15,940,370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0"/>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15,940,370</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李秋桂</w:t>
            </w:r>
          </w:p>
        </w:tc>
        <w:tc>
          <w:tcPr>
            <w:tcW w:w="4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10,489,100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0"/>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10,489,100</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郑东信</w:t>
            </w:r>
          </w:p>
        </w:tc>
        <w:tc>
          <w:tcPr>
            <w:tcW w:w="4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9,201,449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0"/>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9,201,449</w:t>
            </w:r>
          </w:p>
        </w:tc>
      </w:tr>
      <w:tr>
        <w:trPr>
          <w:trHeight w:val="1026"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39"/>
              <w:jc w:val="both"/>
              <w:rPr>
                <w:rFonts w:ascii="宋体" w:hAnsi="宋体" w:cs="宋体" w:eastAsia="宋体" w:hint="default"/>
                <w:sz w:val="18"/>
                <w:szCs w:val="18"/>
              </w:rPr>
            </w:pPr>
            <w:r>
              <w:rPr>
                <w:rFonts w:ascii="宋体" w:hAnsi="宋体" w:cs="宋体" w:eastAsia="宋体" w:hint="default"/>
                <w:sz w:val="18"/>
                <w:szCs w:val="18"/>
              </w:rPr>
              <w:t>中国农业银行股份有限公司－中 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交易型开放式指数证券投 资基金</w:t>
            </w:r>
          </w:p>
        </w:tc>
        <w:tc>
          <w:tcPr>
            <w:tcW w:w="4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8,100,905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30"/>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8,100,905</w:t>
            </w:r>
          </w:p>
        </w:tc>
      </w:tr>
      <w:tr>
        <w:trPr>
          <w:trHeight w:val="714"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严道平</w:t>
            </w:r>
          </w:p>
        </w:tc>
        <w:tc>
          <w:tcPr>
            <w:tcW w:w="4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7,343,492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30"/>
              <w:jc w:val="left"/>
              <w:rPr>
                <w:rFonts w:ascii="宋体" w:hAnsi="宋体" w:cs="宋体" w:eastAsia="宋体" w:hint="default"/>
                <w:sz w:val="18"/>
                <w:szCs w:val="18"/>
              </w:rPr>
            </w:pPr>
            <w:r>
              <w:rPr>
                <w:rFonts w:ascii="宋体" w:hAnsi="宋体" w:cs="宋体" w:eastAsia="宋体" w:hint="default"/>
                <w:sz w:val="18"/>
                <w:szCs w:val="18"/>
              </w:rPr>
              <w:t>人民币普 通股</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7,343,492</w:t>
            </w:r>
          </w:p>
        </w:tc>
      </w:tr>
      <w:tr>
        <w:trPr>
          <w:trHeight w:val="1338" w:hRule="exact"/>
        </w:trPr>
        <w:tc>
          <w:tcPr>
            <w:tcW w:w="2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2" w:lineRule="auto" w:before="63"/>
              <w:ind w:left="22" w:right="49"/>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694" w:type="dxa"/>
            <w:gridSpan w:val="3"/>
            <w:tcBorders>
              <w:top w:val="single" w:sz="4" w:space="0" w:color="000000"/>
              <w:left w:val="single" w:sz="10" w:space="0" w:color="D3D3D3"/>
              <w:bottom w:val="single" w:sz="4" w:space="0" w:color="000000"/>
              <w:right w:val="single" w:sz="4" w:space="0" w:color="000000"/>
            </w:tcBorders>
          </w:tcPr>
          <w:p>
            <w:pPr>
              <w:pStyle w:val="TableParagraph"/>
              <w:spacing w:line="316" w:lineRule="auto" w:before="51"/>
              <w:ind w:left="21" w:right="20" w:firstLine="360"/>
              <w:jc w:val="both"/>
              <w:rPr>
                <w:rFonts w:ascii="宋体" w:hAnsi="宋体" w:cs="宋体" w:eastAsia="宋体" w:hint="default"/>
                <w:sz w:val="18"/>
                <w:szCs w:val="18"/>
              </w:rPr>
            </w:pPr>
            <w:r>
              <w:rPr>
                <w:rFonts w:ascii="宋体" w:hAnsi="宋体" w:cs="宋体" w:eastAsia="宋体" w:hint="default"/>
                <w:spacing w:val="-1"/>
                <w:sz w:val="18"/>
                <w:szCs w:val="18"/>
              </w:rPr>
              <w:t>石家庄常山纺织集团有限责任公司与其他股东之间无关联关系。北京万峰嘉晔投</w:t>
            </w:r>
            <w:r>
              <w:rPr>
                <w:rFonts w:ascii="宋体" w:hAnsi="宋体" w:cs="宋体" w:eastAsia="宋体" w:hint="default"/>
                <w:sz w:val="18"/>
                <w:szCs w:val="18"/>
              </w:rPr>
              <w:t> </w:t>
            </w:r>
            <w:r>
              <w:rPr>
                <w:rFonts w:ascii="宋体" w:hAnsi="宋体" w:cs="宋体" w:eastAsia="宋体" w:hint="default"/>
                <w:spacing w:val="-1"/>
                <w:sz w:val="18"/>
                <w:szCs w:val="18"/>
              </w:rPr>
              <w:t>资管理中心（有限合伙）与北京万峰嘉华投资管理中心（有限合伙）均系北明软件公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司员工持股。公司未知其他股东之间是否存在关联关系或属于《上市公司股东持股变</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动信息披露管理办法》规定的一致行动人。</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t>□ 是 √ 否</w:t>
      </w:r>
    </w:p>
    <w:p>
      <w:pPr>
        <w:pStyle w:val="BodyText"/>
        <w:spacing w:line="240" w:lineRule="auto" w:before="116"/>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after="0" w:line="240" w:lineRule="auto"/>
        <w:jc w:val="left"/>
        <w:sectPr>
          <w:pgSz w:w="11910" w:h="16840"/>
          <w:pgMar w:header="747" w:footer="982" w:top="1060" w:bottom="118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8411"/>
        <w:jc w:val="left"/>
      </w:pPr>
      <w:r>
        <w:rPr/>
        <w:t>控股股东性质：地方国有控股 控股股东类型：法人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before="44"/>
        <w:ind w:left="0" w:right="1138"/>
        <w:jc w:val="right"/>
      </w:pPr>
      <w:r>
        <w:rPr/>
        <w:pict>
          <v:shape style="position:absolute;margin-left:56.459999pt;margin-top:-36.547909pt;width:479.1pt;height:123.2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4"/>
                    <w:gridCol w:w="1615"/>
                    <w:gridCol w:w="1722"/>
                    <w:gridCol w:w="1879"/>
                    <w:gridCol w:w="2087"/>
                  </w:tblGrid>
                  <w:tr>
                    <w:trPr>
                      <w:trHeight w:val="714" w:hRule="exact"/>
                    </w:trPr>
                    <w:tc>
                      <w:tcPr>
                        <w:tcW w:w="22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621" w:right="56" w:hanging="56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5"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94"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0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石家庄常山纺织集团有限责 任公司</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肖荣智</w:t>
                        </w:r>
                      </w:p>
                    </w:tc>
                    <w:tc>
                      <w:tcPr>
                        <w:tcW w:w="1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911301002360441730</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1"/>
                          <w:jc w:val="left"/>
                          <w:rPr>
                            <w:rFonts w:ascii="宋体" w:hAnsi="宋体" w:cs="宋体" w:eastAsia="宋体" w:hint="default"/>
                            <w:sz w:val="18"/>
                            <w:szCs w:val="18"/>
                          </w:rPr>
                        </w:pPr>
                        <w:r>
                          <w:rPr>
                            <w:rFonts w:ascii="宋体" w:hAnsi="宋体" w:cs="宋体" w:eastAsia="宋体" w:hint="default"/>
                            <w:spacing w:val="-4"/>
                            <w:sz w:val="18"/>
                            <w:szCs w:val="18"/>
                          </w:rPr>
                          <w:t>针纺织品开发、制造销售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纺织配件配材加工销售等</w:t>
                        </w:r>
                      </w:p>
                    </w:tc>
                  </w:tr>
                  <w:tr>
                    <w:trPr>
                      <w:trHeight w:val="1026" w:hRule="exact"/>
                    </w:trPr>
                    <w:tc>
                      <w:tcPr>
                        <w:tcW w:w="22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1"/>
                          <w:jc w:val="both"/>
                          <w:rPr>
                            <w:rFonts w:ascii="宋体" w:hAnsi="宋体" w:cs="宋体" w:eastAsia="宋体" w:hint="default"/>
                            <w:sz w:val="18"/>
                            <w:szCs w:val="18"/>
                          </w:rPr>
                        </w:pPr>
                        <w:r>
                          <w:rPr>
                            <w:rFonts w:ascii="宋体" w:hAnsi="宋体" w:cs="宋体" w:eastAsia="宋体" w:hint="default"/>
                            <w:sz w:val="18"/>
                            <w:szCs w:val="18"/>
                          </w:rPr>
                          <w:t>控股股东报告期内控股和参 股的其他境内外上市公司的 股权情况</w:t>
                        </w:r>
                      </w:p>
                    </w:tc>
                    <w:tc>
                      <w:tcPr>
                        <w:tcW w:w="730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ind w:right="0"/>
        <w:jc w:val="left"/>
      </w:pPr>
      <w:r>
        <w:rPr/>
        <w:t>控股股东报告期内变更</w:t>
      </w:r>
    </w:p>
    <w:p>
      <w:pPr>
        <w:pStyle w:val="BodyText"/>
        <w:spacing w:line="357" w:lineRule="auto" w:before="117"/>
        <w:ind w:left="153" w:right="6790"/>
        <w:jc w:val="left"/>
      </w:pPr>
      <w:r>
        <w:rPr/>
        <w:t>□ 适用 √ 不适用 公司报告期控股股东未发生变更。</w:t>
      </w:r>
    </w:p>
    <w:p>
      <w:pPr>
        <w:spacing w:line="240" w:lineRule="auto" w:before="13"/>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7871"/>
        <w:jc w:val="left"/>
      </w:pPr>
      <w:r>
        <w:rPr/>
        <w:t>实际控制人性质：地方国资管理机构 实际控制人类型：法人</w:t>
      </w:r>
    </w:p>
    <w:tbl>
      <w:tblPr>
        <w:tblW w:w="0" w:type="auto"/>
        <w:jc w:val="left"/>
        <w:tblInd w:w="149" w:type="dxa"/>
        <w:tblLayout w:type="fixed"/>
        <w:tblCellMar>
          <w:top w:w="0" w:type="dxa"/>
          <w:left w:w="0" w:type="dxa"/>
          <w:bottom w:w="0" w:type="dxa"/>
          <w:right w:w="0" w:type="dxa"/>
        </w:tblCellMar>
        <w:tblLook w:val="01E0"/>
      </w:tblPr>
      <w:tblGrid>
        <w:gridCol w:w="2880"/>
        <w:gridCol w:w="1382"/>
        <w:gridCol w:w="1261"/>
        <w:gridCol w:w="1829"/>
        <w:gridCol w:w="2131"/>
      </w:tblGrid>
      <w:tr>
        <w:trPr>
          <w:trHeight w:val="714" w:hRule="exact"/>
        </w:trPr>
        <w:tc>
          <w:tcPr>
            <w:tcW w:w="2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3" w:right="0"/>
              <w:jc w:val="left"/>
              <w:rPr>
                <w:rFonts w:ascii="宋体" w:hAnsi="宋体" w:cs="宋体" w:eastAsia="宋体" w:hint="default"/>
                <w:sz w:val="18"/>
                <w:szCs w:val="18"/>
              </w:rPr>
            </w:pPr>
            <w:r>
              <w:rPr>
                <w:rFonts w:ascii="宋体" w:hAnsi="宋体" w:cs="宋体" w:eastAsia="宋体" w:hint="default"/>
                <w:sz w:val="18"/>
                <w:szCs w:val="18"/>
              </w:rPr>
              <w:t>实际控制人名称</w:t>
            </w:r>
          </w:p>
        </w:tc>
        <w:tc>
          <w:tcPr>
            <w:tcW w:w="1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415" w:right="30" w:hanging="38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 负责人</w:t>
            </w:r>
          </w:p>
        </w:tc>
        <w:tc>
          <w:tcPr>
            <w:tcW w:w="1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68"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19"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石家庄市国有资产监督管理委员会</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张军卫</w:t>
            </w:r>
          </w:p>
        </w:tc>
        <w:tc>
          <w:tcPr>
            <w:tcW w:w="1261"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76205558-5</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国有资产管理</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实际控制人报告期内控制的其他境 内外上市公司的股权情况</w:t>
            </w:r>
          </w:p>
        </w:tc>
        <w:tc>
          <w:tcPr>
            <w:tcW w:w="660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0"/>
        <w:jc w:val="left"/>
      </w:pPr>
      <w:r>
        <w:rPr/>
        <w:t>实际控制人报告期内变更</w:t>
      </w:r>
    </w:p>
    <w:p>
      <w:pPr>
        <w:pStyle w:val="BodyText"/>
        <w:spacing w:line="357" w:lineRule="auto" w:before="117"/>
        <w:ind w:left="153" w:right="6791"/>
        <w:jc w:val="left"/>
      </w:pPr>
      <w:r>
        <w:rPr/>
        <w:t>□ 适用 √ 不适用 公司报告期实际控制人未发生变更。 公司与实际控制人之间的产权及控制关系的方框图</w:t>
      </w:r>
    </w:p>
    <w:p>
      <w:pPr>
        <w:spacing w:line="240" w:lineRule="auto" w:before="2"/>
        <w:rPr>
          <w:rFonts w:ascii="宋体" w:hAnsi="宋体" w:cs="宋体" w:eastAsia="宋体" w:hint="default"/>
          <w:sz w:val="20"/>
          <w:szCs w:val="20"/>
        </w:rPr>
      </w:pPr>
    </w:p>
    <w:p>
      <w:pPr>
        <w:spacing w:line="2010" w:lineRule="exact"/>
        <w:ind w:left="1356" w:right="0" w:firstLine="0"/>
        <w:rPr>
          <w:rFonts w:ascii="宋体" w:hAnsi="宋体" w:cs="宋体" w:eastAsia="宋体" w:hint="default"/>
          <w:sz w:val="20"/>
          <w:szCs w:val="20"/>
        </w:rPr>
      </w:pPr>
      <w:r>
        <w:rPr>
          <w:rFonts w:ascii="宋体" w:hAnsi="宋体" w:cs="宋体" w:eastAsia="宋体" w:hint="default"/>
          <w:position w:val="-39"/>
          <w:sz w:val="20"/>
          <w:szCs w:val="20"/>
        </w:rPr>
        <w:drawing>
          <wp:inline distT="0" distB="0" distL="0" distR="0">
            <wp:extent cx="4590595" cy="127635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6" cstate="print"/>
                    <a:stretch>
                      <a:fillRect/>
                    </a:stretch>
                  </pic:blipFill>
                  <pic:spPr>
                    <a:xfrm>
                      <a:off x="0" y="0"/>
                      <a:ext cx="4590595" cy="1276350"/>
                    </a:xfrm>
                    <a:prstGeom prst="rect">
                      <a:avLst/>
                    </a:prstGeom>
                  </pic:spPr>
                </pic:pic>
              </a:graphicData>
            </a:graphic>
          </wp:inline>
        </w:drawing>
      </w:r>
      <w:r>
        <w:rPr>
          <w:rFonts w:ascii="宋体" w:hAnsi="宋体" w:cs="宋体" w:eastAsia="宋体" w:hint="default"/>
          <w:position w:val="-39"/>
          <w:sz w:val="20"/>
          <w:szCs w:val="20"/>
        </w:rPr>
      </w:r>
    </w:p>
    <w:p>
      <w:pPr>
        <w:spacing w:line="240" w:lineRule="auto" w:before="0"/>
        <w:rPr>
          <w:rFonts w:ascii="宋体" w:hAnsi="宋体" w:cs="宋体" w:eastAsia="宋体" w:hint="default"/>
          <w:sz w:val="19"/>
          <w:szCs w:val="19"/>
        </w:rPr>
      </w:pPr>
    </w:p>
    <w:p>
      <w:pPr>
        <w:spacing w:before="0"/>
        <w:ind w:left="154"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2"/>
        <w:rPr>
          <w:rFonts w:ascii="宋体" w:hAnsi="宋体" w:cs="宋体" w:eastAsia="宋体" w:hint="default"/>
          <w:sz w:val="18"/>
          <w:szCs w:val="18"/>
        </w:rPr>
      </w:pPr>
    </w:p>
    <w:p>
      <w:pPr>
        <w:pStyle w:val="BodyText"/>
        <w:spacing w:line="240" w:lineRule="auto"/>
        <w:ind w:right="0"/>
        <w:jc w:val="left"/>
      </w:pPr>
      <w:r>
        <w:rPr/>
        <w:t>□ 适用 √ 不适用</w:t>
      </w:r>
    </w:p>
    <w:p>
      <w:pPr>
        <w:spacing w:after="0" w:line="240" w:lineRule="auto"/>
        <w:jc w:val="left"/>
        <w:sectPr>
          <w:pgSz w:w="11910" w:h="16840"/>
          <w:pgMar w:header="747" w:footer="982" w:top="1060" w:bottom="118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、其他持股在</w:t>
      </w:r>
      <w:r>
        <w:rPr>
          <w:spacing w:val="-58"/>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40"/>
        <w:gridCol w:w="1816"/>
        <w:gridCol w:w="1604"/>
        <w:gridCol w:w="1636"/>
        <w:gridCol w:w="2125"/>
      </w:tblGrid>
      <w:tr>
        <w:trPr>
          <w:trHeight w:val="714" w:hRule="exact"/>
        </w:trPr>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法人股东名称</w:t>
            </w:r>
          </w:p>
        </w:tc>
        <w:tc>
          <w:tcPr>
            <w:tcW w:w="18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812" w:right="66"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6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6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8"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358" w:hRule="exact"/>
        </w:trPr>
        <w:tc>
          <w:tcPr>
            <w:tcW w:w="2340" w:type="dxa"/>
            <w:tcBorders>
              <w:top w:val="single" w:sz="4" w:space="0" w:color="000000"/>
              <w:left w:val="single" w:sz="4" w:space="0" w:color="000000"/>
              <w:bottom w:val="nil" w:sz="6" w:space="0" w:color="auto"/>
              <w:right w:val="single" w:sz="4" w:space="0" w:color="000000"/>
            </w:tcBorders>
          </w:tcPr>
          <w:p>
            <w:pPr/>
          </w:p>
        </w:tc>
        <w:tc>
          <w:tcPr>
            <w:tcW w:w="1816" w:type="dxa"/>
            <w:tcBorders>
              <w:top w:val="single" w:sz="4" w:space="0" w:color="000000"/>
              <w:left w:val="single" w:sz="4" w:space="0" w:color="000000"/>
              <w:bottom w:val="nil" w:sz="6" w:space="0" w:color="auto"/>
              <w:right w:val="single" w:sz="4" w:space="0" w:color="000000"/>
            </w:tcBorders>
          </w:tcPr>
          <w:p>
            <w:pPr/>
          </w:p>
        </w:tc>
        <w:tc>
          <w:tcPr>
            <w:tcW w:w="1604" w:type="dxa"/>
            <w:tcBorders>
              <w:top w:val="single" w:sz="4" w:space="0" w:color="000000"/>
              <w:left w:val="single" w:sz="4" w:space="0" w:color="000000"/>
              <w:bottom w:val="nil" w:sz="6" w:space="0" w:color="auto"/>
              <w:right w:val="single" w:sz="4" w:space="0" w:color="000000"/>
            </w:tcBorders>
          </w:tcPr>
          <w:p>
            <w:pPr/>
          </w:p>
        </w:tc>
        <w:tc>
          <w:tcPr>
            <w:tcW w:w="1636" w:type="dxa"/>
            <w:tcBorders>
              <w:top w:val="single" w:sz="4" w:space="0" w:color="000000"/>
              <w:left w:val="single" w:sz="4" w:space="0" w:color="000000"/>
              <w:bottom w:val="nil" w:sz="6" w:space="0" w:color="auto"/>
              <w:right w:val="single" w:sz="4" w:space="0" w:color="000000"/>
            </w:tcBorders>
          </w:tcPr>
          <w:p>
            <w:pPr/>
          </w:p>
        </w:tc>
        <w:tc>
          <w:tcPr>
            <w:tcW w:w="21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项目投资；投资管理；资</w:t>
            </w:r>
          </w:p>
        </w:tc>
      </w:tr>
      <w:tr>
        <w:trPr>
          <w:trHeight w:val="312" w:hRule="exact"/>
        </w:trPr>
        <w:tc>
          <w:tcPr>
            <w:tcW w:w="2340" w:type="dxa"/>
            <w:tcBorders>
              <w:top w:val="nil" w:sz="6" w:space="0" w:color="auto"/>
              <w:left w:val="single" w:sz="4" w:space="0" w:color="000000"/>
              <w:bottom w:val="nil" w:sz="6" w:space="0" w:color="auto"/>
              <w:right w:val="single" w:sz="4" w:space="0" w:color="000000"/>
            </w:tcBorders>
          </w:tcPr>
          <w:p>
            <w:pPr/>
          </w:p>
        </w:tc>
        <w:tc>
          <w:tcPr>
            <w:tcW w:w="1816" w:type="dxa"/>
            <w:tcBorders>
              <w:top w:val="nil" w:sz="6" w:space="0" w:color="auto"/>
              <w:left w:val="single" w:sz="4" w:space="0" w:color="000000"/>
              <w:bottom w:val="nil" w:sz="6" w:space="0" w:color="auto"/>
              <w:right w:val="single" w:sz="4" w:space="0" w:color="000000"/>
            </w:tcBorders>
          </w:tcPr>
          <w:p>
            <w:pPr/>
          </w:p>
        </w:tc>
        <w:tc>
          <w:tcPr>
            <w:tcW w:w="1604" w:type="dxa"/>
            <w:tcBorders>
              <w:top w:val="nil" w:sz="6" w:space="0" w:color="auto"/>
              <w:left w:val="single" w:sz="4" w:space="0" w:color="000000"/>
              <w:bottom w:val="nil" w:sz="6" w:space="0" w:color="auto"/>
              <w:right w:val="single" w:sz="4" w:space="0" w:color="000000"/>
            </w:tcBorders>
          </w:tcPr>
          <w:p>
            <w:pPr/>
          </w:p>
        </w:tc>
        <w:tc>
          <w:tcPr>
            <w:tcW w:w="1636"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产管理；投资咨询</w:t>
            </w:r>
            <w:r>
              <w:rPr>
                <w:rFonts w:ascii="宋体" w:hAnsi="宋体" w:cs="宋体" w:eastAsia="宋体" w:hint="default"/>
                <w:spacing w:val="-90"/>
                <w:sz w:val="18"/>
                <w:szCs w:val="18"/>
              </w:rPr>
              <w:t>。</w:t>
            </w:r>
            <w:r>
              <w:rPr>
                <w:rFonts w:ascii="宋体" w:hAnsi="宋体" w:cs="宋体" w:eastAsia="宋体" w:hint="default"/>
                <w:sz w:val="18"/>
                <w:szCs w:val="18"/>
              </w:rPr>
              <w:t>（依法</w:t>
            </w:r>
          </w:p>
        </w:tc>
      </w:tr>
      <w:tr>
        <w:trPr>
          <w:trHeight w:val="317" w:hRule="exact"/>
        </w:trPr>
        <w:tc>
          <w:tcPr>
            <w:tcW w:w="23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22"/>
              <w:jc w:val="center"/>
              <w:rPr>
                <w:rFonts w:ascii="宋体" w:hAnsi="宋体" w:cs="宋体" w:eastAsia="宋体" w:hint="default"/>
                <w:sz w:val="18"/>
                <w:szCs w:val="18"/>
              </w:rPr>
            </w:pPr>
            <w:r>
              <w:rPr>
                <w:rFonts w:ascii="宋体" w:hAnsi="宋体" w:cs="宋体" w:eastAsia="宋体" w:hint="default"/>
                <w:sz w:val="18"/>
                <w:szCs w:val="18"/>
              </w:rPr>
              <w:t>北京北明伟业控股有限公司</w:t>
            </w:r>
          </w:p>
        </w:tc>
        <w:tc>
          <w:tcPr>
            <w:tcW w:w="181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李锋</w:t>
            </w:r>
          </w:p>
        </w:tc>
        <w:tc>
          <w:tcPr>
            <w:tcW w:w="16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6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须经批准的项目，经相关</w:t>
            </w:r>
          </w:p>
        </w:tc>
      </w:tr>
      <w:tr>
        <w:trPr>
          <w:trHeight w:val="308" w:hRule="exact"/>
        </w:trPr>
        <w:tc>
          <w:tcPr>
            <w:tcW w:w="2340" w:type="dxa"/>
            <w:tcBorders>
              <w:top w:val="nil" w:sz="6" w:space="0" w:color="auto"/>
              <w:left w:val="single" w:sz="4" w:space="0" w:color="000000"/>
              <w:bottom w:val="nil" w:sz="6" w:space="0" w:color="auto"/>
              <w:right w:val="single" w:sz="4" w:space="0" w:color="000000"/>
            </w:tcBorders>
          </w:tcPr>
          <w:p>
            <w:pPr/>
          </w:p>
        </w:tc>
        <w:tc>
          <w:tcPr>
            <w:tcW w:w="1816" w:type="dxa"/>
            <w:tcBorders>
              <w:top w:val="nil" w:sz="6" w:space="0" w:color="auto"/>
              <w:left w:val="single" w:sz="4" w:space="0" w:color="000000"/>
              <w:bottom w:val="nil" w:sz="6" w:space="0" w:color="auto"/>
              <w:right w:val="single" w:sz="4" w:space="0" w:color="000000"/>
            </w:tcBorders>
          </w:tcPr>
          <w:p>
            <w:pPr/>
          </w:p>
        </w:tc>
        <w:tc>
          <w:tcPr>
            <w:tcW w:w="1604" w:type="dxa"/>
            <w:tcBorders>
              <w:top w:val="nil" w:sz="6" w:space="0" w:color="auto"/>
              <w:left w:val="single" w:sz="4" w:space="0" w:color="000000"/>
              <w:bottom w:val="nil" w:sz="6" w:space="0" w:color="auto"/>
              <w:right w:val="single" w:sz="4" w:space="0" w:color="000000"/>
            </w:tcBorders>
          </w:tcPr>
          <w:p>
            <w:pPr/>
          </w:p>
        </w:tc>
        <w:tc>
          <w:tcPr>
            <w:tcW w:w="1636" w:type="dxa"/>
            <w:tcBorders>
              <w:top w:val="nil" w:sz="6" w:space="0" w:color="auto"/>
              <w:left w:val="single" w:sz="4" w:space="0" w:color="000000"/>
              <w:bottom w:val="nil" w:sz="6" w:space="0" w:color="auto"/>
              <w:right w:val="single" w:sz="4" w:space="0" w:color="000000"/>
            </w:tcBorders>
          </w:tcPr>
          <w:p>
            <w:pPr/>
          </w:p>
        </w:tc>
        <w:tc>
          <w:tcPr>
            <w:tcW w:w="21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部门批准后方可开展经营</w:t>
            </w:r>
          </w:p>
        </w:tc>
      </w:tr>
      <w:tr>
        <w:trPr>
          <w:trHeight w:val="357" w:hRule="exact"/>
        </w:trPr>
        <w:tc>
          <w:tcPr>
            <w:tcW w:w="2340" w:type="dxa"/>
            <w:tcBorders>
              <w:top w:val="nil" w:sz="6" w:space="0" w:color="auto"/>
              <w:left w:val="single" w:sz="4" w:space="0" w:color="000000"/>
              <w:bottom w:val="single" w:sz="4" w:space="0" w:color="000000"/>
              <w:right w:val="single" w:sz="4" w:space="0" w:color="000000"/>
            </w:tcBorders>
          </w:tcPr>
          <w:p>
            <w:pPr/>
          </w:p>
        </w:tc>
        <w:tc>
          <w:tcPr>
            <w:tcW w:w="1816" w:type="dxa"/>
            <w:tcBorders>
              <w:top w:val="nil" w:sz="6" w:space="0" w:color="auto"/>
              <w:left w:val="single" w:sz="4" w:space="0" w:color="000000"/>
              <w:bottom w:val="single" w:sz="4" w:space="0" w:color="000000"/>
              <w:right w:val="single" w:sz="4" w:space="0" w:color="000000"/>
            </w:tcBorders>
          </w:tcPr>
          <w:p>
            <w:pPr/>
          </w:p>
        </w:tc>
        <w:tc>
          <w:tcPr>
            <w:tcW w:w="1604" w:type="dxa"/>
            <w:tcBorders>
              <w:top w:val="nil" w:sz="6" w:space="0" w:color="auto"/>
              <w:left w:val="single" w:sz="4" w:space="0" w:color="000000"/>
              <w:bottom w:val="single" w:sz="4" w:space="0" w:color="000000"/>
              <w:right w:val="single" w:sz="4" w:space="0" w:color="000000"/>
            </w:tcBorders>
          </w:tcPr>
          <w:p>
            <w:pPr/>
          </w:p>
        </w:tc>
        <w:tc>
          <w:tcPr>
            <w:tcW w:w="1636" w:type="dxa"/>
            <w:tcBorders>
              <w:top w:val="nil" w:sz="6" w:space="0" w:color="auto"/>
              <w:left w:val="single" w:sz="4" w:space="0" w:color="000000"/>
              <w:bottom w:val="single" w:sz="4" w:space="0" w:color="000000"/>
              <w:right w:val="single" w:sz="4" w:space="0" w:color="000000"/>
            </w:tcBorders>
          </w:tcPr>
          <w:p>
            <w:pPr/>
          </w:p>
        </w:tc>
        <w:tc>
          <w:tcPr>
            <w:tcW w:w="212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活动）</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366" w:right="0"/>
        <w:jc w:val="left"/>
        <w:rPr>
          <w:b w:val="0"/>
          <w:bCs w:val="0"/>
        </w:rPr>
      </w:pPr>
      <w:bookmarkStart w:name="_TOC_250006" w:id="7"/>
      <w:r>
        <w:rPr/>
        <w:t>第七节优先股相关情况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pStyle w:val="BodyText"/>
        <w:spacing w:line="357" w:lineRule="auto" w:before="44"/>
        <w:ind w:left="153" w:right="8591"/>
        <w:jc w:val="left"/>
      </w:pPr>
      <w:r>
        <w:rPr/>
        <w:t>□ 适用 √ 不适用 报告期公司不存在优先股。</w:t>
      </w:r>
    </w:p>
    <w:p>
      <w:pPr>
        <w:spacing w:after="0" w:line="357"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724" w:right="0"/>
        <w:jc w:val="left"/>
        <w:rPr>
          <w:b w:val="0"/>
          <w:bCs w:val="0"/>
        </w:rPr>
      </w:pPr>
      <w:bookmarkStart w:name="_TOC_250005" w:id="8"/>
      <w:r>
        <w:rPr/>
        <w:t>第八节可转换公司债券相关情况</w:t>
      </w:r>
      <w:bookmarkEnd w:id="8"/>
      <w:r>
        <w:rPr>
          <w:b w:val="0"/>
          <w:bCs w:val="0"/>
        </w:rPr>
      </w:r>
    </w:p>
    <w:p>
      <w:pPr>
        <w:spacing w:line="240" w:lineRule="auto" w:before="8"/>
        <w:rPr>
          <w:rFonts w:ascii="宋体" w:hAnsi="宋体" w:cs="宋体" w:eastAsia="宋体" w:hint="default"/>
          <w:b/>
          <w:bCs/>
          <w:sz w:val="42"/>
          <w:szCs w:val="42"/>
        </w:rPr>
      </w:pPr>
    </w:p>
    <w:p>
      <w:pPr>
        <w:pStyle w:val="BodyText"/>
        <w:spacing w:line="357" w:lineRule="auto"/>
        <w:ind w:left="153" w:right="7871"/>
        <w:jc w:val="left"/>
      </w:pPr>
      <w:r>
        <w:rPr/>
        <w:t>□ 适用 √ 不适用 报告期公司不存在可转换公司债券。</w:t>
      </w:r>
    </w:p>
    <w:p>
      <w:pPr>
        <w:spacing w:after="0" w:line="357"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760" w:right="0"/>
        <w:jc w:val="left"/>
        <w:rPr>
          <w:b w:val="0"/>
          <w:bCs w:val="0"/>
        </w:rPr>
      </w:pPr>
      <w:bookmarkStart w:name="_TOC_250004" w:id="9"/>
      <w:r>
        <w:rPr/>
        <w:t>第九节董事、监事、高级管理人员和员工情况</w:t>
      </w:r>
      <w:bookmarkEnd w:id="9"/>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20"/>
        <w:gridCol w:w="1080"/>
        <w:gridCol w:w="797"/>
        <w:gridCol w:w="386"/>
        <w:gridCol w:w="360"/>
        <w:gridCol w:w="900"/>
        <w:gridCol w:w="900"/>
        <w:gridCol w:w="900"/>
        <w:gridCol w:w="798"/>
        <w:gridCol w:w="798"/>
        <w:gridCol w:w="798"/>
        <w:gridCol w:w="1026"/>
      </w:tblGrid>
      <w:tr>
        <w:trPr>
          <w:trHeight w:val="1026" w:hRule="exact"/>
        </w:trPr>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7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5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98" w:right="96"/>
              <w:jc w:val="left"/>
              <w:rPr>
                <w:rFonts w:ascii="宋体" w:hAnsi="宋体" w:cs="宋体" w:eastAsia="宋体" w:hint="default"/>
                <w:sz w:val="18"/>
                <w:szCs w:val="18"/>
              </w:rPr>
            </w:pPr>
            <w:r>
              <w:rPr>
                <w:rFonts w:ascii="宋体" w:hAnsi="宋体" w:cs="宋体" w:eastAsia="宋体" w:hint="default"/>
                <w:sz w:val="18"/>
                <w:szCs w:val="18"/>
              </w:rPr>
              <w:t>性 别</w:t>
            </w:r>
          </w:p>
        </w:tc>
        <w:tc>
          <w:tcPr>
            <w:tcW w:w="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83" w:right="84"/>
              <w:jc w:val="left"/>
              <w:rPr>
                <w:rFonts w:ascii="宋体" w:hAnsi="宋体" w:cs="宋体" w:eastAsia="宋体" w:hint="default"/>
                <w:sz w:val="18"/>
                <w:szCs w:val="18"/>
              </w:rPr>
            </w:pPr>
            <w:r>
              <w:rPr>
                <w:rFonts w:ascii="宋体" w:hAnsi="宋体" w:cs="宋体" w:eastAsia="宋体" w:hint="default"/>
                <w:sz w:val="18"/>
                <w:szCs w:val="18"/>
              </w:rPr>
              <w:t>年 龄</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63" w:right="84"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63" w:right="8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83" w:right="84"/>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32"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8"/>
                <w:sz w:val="18"/>
                <w:szCs w:val="18"/>
              </w:rPr>
              <w:t>变动（股</w:t>
            </w:r>
          </w:p>
        </w:tc>
        <w:tc>
          <w:tcPr>
            <w:tcW w:w="1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7"/>
              <w:ind w:left="-1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（股）</w:t>
            </w:r>
          </w:p>
        </w:tc>
      </w:tr>
      <w:tr>
        <w:trPr>
          <w:trHeight w:val="71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肖荣智</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57,070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57,070</w:t>
            </w:r>
          </w:p>
        </w:tc>
      </w:tr>
      <w:tr>
        <w:trPr>
          <w:trHeight w:val="71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李锋</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17,922,053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15,922,053</w:t>
            </w:r>
          </w:p>
        </w:tc>
      </w:tr>
      <w:tr>
        <w:trPr>
          <w:trHeight w:val="71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10"/>
                <w:sz w:val="18"/>
                <w:szCs w:val="18"/>
              </w:rPr>
              <w:t>董事、总经理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21,534,096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6,530,000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15,004,096</w:t>
            </w:r>
          </w:p>
        </w:tc>
      </w:tr>
      <w:tr>
        <w:trPr>
          <w:trHeight w:val="71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王惠君</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25,870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25,870</w:t>
            </w:r>
          </w:p>
        </w:tc>
      </w:tr>
      <w:tr>
        <w:trPr>
          <w:trHeight w:val="71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薛建昌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10"/>
                <w:sz w:val="18"/>
                <w:szCs w:val="18"/>
              </w:rPr>
              <w:t>董事、副总经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0"/>
                <w:sz w:val="18"/>
                <w:szCs w:val="18"/>
              </w:rPr>
              <w:t>理、总工程师</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31,590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31,590</w:t>
            </w:r>
          </w:p>
        </w:tc>
      </w:tr>
      <w:tr>
        <w:trPr>
          <w:trHeight w:val="71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徐卫波</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白彦春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袁宗琦</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李质仙</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李万军</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孟梓</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邓中斌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r>
      <w:tr>
        <w:trPr>
          <w:trHeight w:val="71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高俊岐</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22,490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22,490</w:t>
            </w:r>
          </w:p>
        </w:tc>
      </w:tr>
      <w:tr>
        <w:trPr>
          <w:trHeight w:val="71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tabs>
                <w:tab w:pos="472" w:val="left" w:leader="none"/>
              </w:tabs>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w:t>
              <w:tab/>
              <w:t>哲</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池俊平</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32,760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32,760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20"/>
        <w:gridCol w:w="1080"/>
        <w:gridCol w:w="797"/>
        <w:gridCol w:w="386"/>
        <w:gridCol w:w="360"/>
        <w:gridCol w:w="900"/>
        <w:gridCol w:w="900"/>
        <w:gridCol w:w="900"/>
        <w:gridCol w:w="798"/>
        <w:gridCol w:w="798"/>
        <w:gridCol w:w="798"/>
        <w:gridCol w:w="1026"/>
      </w:tblGrid>
      <w:tr>
        <w:trPr>
          <w:trHeight w:val="71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tabs>
                <w:tab w:pos="472" w:val="left" w:leader="none"/>
              </w:tabs>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w:t>
              <w:tab/>
              <w:t>辉</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02"/>
              <w:jc w:val="right"/>
              <w:rPr>
                <w:rFonts w:ascii="宋体" w:hAnsi="宋体" w:cs="宋体" w:eastAsia="宋体" w:hint="default"/>
                <w:sz w:val="18"/>
                <w:szCs w:val="18"/>
              </w:rPr>
            </w:pPr>
            <w:r>
              <w:rPr>
                <w:rFonts w:ascii="宋体" w:hAnsi="宋体" w:cs="宋体" w:eastAsia="宋体" w:hint="default"/>
                <w:sz w:val="18"/>
                <w:szCs w:val="18"/>
              </w:rPr>
              <w:t>现任</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55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25,220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25,220</w:t>
            </w:r>
          </w:p>
        </w:tc>
      </w:tr>
      <w:tr>
        <w:trPr>
          <w:trHeight w:val="71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何长青</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02"/>
              <w:jc w:val="right"/>
              <w:rPr>
                <w:rFonts w:ascii="宋体" w:hAnsi="宋体" w:cs="宋体" w:eastAsia="宋体" w:hint="default"/>
                <w:sz w:val="18"/>
                <w:szCs w:val="18"/>
              </w:rPr>
            </w:pPr>
            <w:r>
              <w:rPr>
                <w:rFonts w:ascii="宋体" w:hAnsi="宋体" w:cs="宋体" w:eastAsia="宋体" w:hint="default"/>
                <w:sz w:val="18"/>
                <w:szCs w:val="18"/>
              </w:rPr>
              <w:t>现任</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56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3,059,862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764,900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2,294,962</w:t>
            </w:r>
          </w:p>
        </w:tc>
      </w:tr>
      <w:tr>
        <w:trPr>
          <w:trHeight w:val="71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童庆明</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02"/>
              <w:jc w:val="right"/>
              <w:rPr>
                <w:rFonts w:ascii="宋体" w:hAnsi="宋体" w:cs="宋体" w:eastAsia="宋体" w:hint="default"/>
                <w:sz w:val="18"/>
                <w:szCs w:val="18"/>
              </w:rPr>
            </w:pPr>
            <w:r>
              <w:rPr>
                <w:rFonts w:ascii="宋体" w:hAnsi="宋体" w:cs="宋体" w:eastAsia="宋体" w:hint="default"/>
                <w:sz w:val="18"/>
                <w:szCs w:val="18"/>
              </w:rPr>
              <w:t>现任</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51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82,600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82,600</w:t>
            </w:r>
          </w:p>
        </w:tc>
      </w:tr>
      <w:tr>
        <w:trPr>
          <w:trHeight w:val="71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咸勇</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02"/>
              <w:jc w:val="right"/>
              <w:rPr>
                <w:rFonts w:ascii="宋体" w:hAnsi="宋体" w:cs="宋体" w:eastAsia="宋体" w:hint="default"/>
                <w:sz w:val="18"/>
                <w:szCs w:val="18"/>
              </w:rPr>
            </w:pPr>
            <w:r>
              <w:rPr>
                <w:rFonts w:ascii="宋体" w:hAnsi="宋体" w:cs="宋体" w:eastAsia="宋体" w:hint="default"/>
                <w:sz w:val="18"/>
                <w:szCs w:val="18"/>
              </w:rPr>
              <w:t>现任</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40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马晓峰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02"/>
              <w:jc w:val="right"/>
              <w:rPr>
                <w:rFonts w:ascii="宋体" w:hAnsi="宋体" w:cs="宋体" w:eastAsia="宋体" w:hint="default"/>
                <w:sz w:val="18"/>
                <w:szCs w:val="18"/>
              </w:rPr>
            </w:pPr>
            <w:r>
              <w:rPr>
                <w:rFonts w:ascii="宋体" w:hAnsi="宋体" w:cs="宋体" w:eastAsia="宋体" w:hint="default"/>
                <w:sz w:val="18"/>
                <w:szCs w:val="18"/>
              </w:rPr>
              <w:t>现任</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56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6,500</w:t>
            </w:r>
          </w:p>
        </w:tc>
      </w:tr>
      <w:tr>
        <w:trPr>
          <w:trHeight w:val="71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曹金霞</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02"/>
              <w:jc w:val="right"/>
              <w:rPr>
                <w:rFonts w:ascii="宋体" w:hAnsi="宋体" w:cs="宋体" w:eastAsia="宋体" w:hint="default"/>
                <w:sz w:val="18"/>
                <w:szCs w:val="18"/>
              </w:rPr>
            </w:pPr>
            <w:r>
              <w:rPr>
                <w:rFonts w:ascii="宋体" w:hAnsi="宋体" w:cs="宋体" w:eastAsia="宋体" w:hint="default"/>
                <w:sz w:val="18"/>
                <w:szCs w:val="18"/>
              </w:rPr>
              <w:t>现任</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女</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45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石民</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02"/>
              <w:jc w:val="right"/>
              <w:rPr>
                <w:rFonts w:ascii="宋体" w:hAnsi="宋体" w:cs="宋体" w:eastAsia="宋体" w:hint="default"/>
                <w:sz w:val="18"/>
                <w:szCs w:val="18"/>
              </w:rPr>
            </w:pPr>
            <w:r>
              <w:rPr>
                <w:rFonts w:ascii="宋体" w:hAnsi="宋体" w:cs="宋体" w:eastAsia="宋体" w:hint="default"/>
                <w:sz w:val="18"/>
                <w:szCs w:val="18"/>
              </w:rPr>
              <w:t>离任</w:t>
            </w:r>
          </w:p>
        </w:tc>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70"/>
              <w:jc w:val="right"/>
              <w:rPr>
                <w:rFonts w:ascii="宋体" w:hAnsi="宋体" w:cs="宋体" w:eastAsia="宋体" w:hint="default"/>
                <w:sz w:val="18"/>
                <w:szCs w:val="18"/>
              </w:rPr>
            </w:pPr>
            <w:r>
              <w:rPr>
                <w:rFonts w:ascii="宋体" w:hAnsi="宋体" w:cs="宋体" w:eastAsia="宋体" w:hint="default"/>
                <w:sz w:val="18"/>
                <w:szCs w:val="18"/>
              </w:rPr>
              <w:t>男</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51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31"/>
              <w:jc w:val="right"/>
              <w:rPr>
                <w:rFonts w:ascii="Times New Roman" w:hAnsi="Times New Roman" w:cs="Times New Roman" w:eastAsia="Times New Roman" w:hint="default"/>
                <w:sz w:val="18"/>
                <w:szCs w:val="18"/>
              </w:rPr>
            </w:pPr>
            <w:r>
              <w:rPr>
                <w:rFonts w:ascii="Times New Roman"/>
                <w:sz w:val="18"/>
              </w:rPr>
              <w:t>--</w:t>
            </w:r>
          </w:p>
        </w:tc>
        <w:tc>
          <w:tcPr>
            <w:tcW w:w="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26"/>
              <w:jc w:val="right"/>
              <w:rPr>
                <w:rFonts w:ascii="Times New Roman" w:hAnsi="Times New Roman" w:cs="Times New Roman" w:eastAsia="Times New Roman" w:hint="default"/>
                <w:sz w:val="18"/>
                <w:szCs w:val="18"/>
              </w:rPr>
            </w:pPr>
            <w:r>
              <w:rPr>
                <w:rFonts w:ascii="Times New Roman"/>
                <w:sz w:val="18"/>
              </w:rPr>
              <w:t>--</w:t>
            </w:r>
          </w:p>
        </w:tc>
        <w:tc>
          <w:tcPr>
            <w:tcW w:w="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42,722,711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82,600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9,294,900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33,510,411</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590"/>
        <w:gridCol w:w="3960"/>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石民</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主动辞职</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pStyle w:val="BodyText"/>
        <w:spacing w:line="338" w:lineRule="auto" w:before="116"/>
        <w:ind w:left="513" w:right="1121"/>
        <w:jc w:val="left"/>
      </w:pPr>
      <w:r>
        <w:rPr>
          <w:rFonts w:ascii="Times New Roman" w:hAnsi="Times New Roman" w:cs="Times New Roman" w:eastAsia="Times New Roman" w:hint="default"/>
        </w:rPr>
        <w:t>1</w:t>
      </w:r>
      <w:r>
        <w:rPr/>
        <w:t>、董事情况 肖荣智先生，</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4</w:t>
      </w:r>
      <w:r>
        <w:rPr/>
        <w:t>月出生，中共党员，研究生学历，正高级会计师，正高级经济师。曾任石家庄常山纺织集团有限</w:t>
      </w:r>
    </w:p>
    <w:p>
      <w:pPr>
        <w:pStyle w:val="BodyText"/>
        <w:spacing w:line="217" w:lineRule="exact"/>
        <w:ind w:left="153" w:right="0"/>
        <w:jc w:val="left"/>
      </w:pPr>
      <w:r>
        <w:rPr/>
        <w:t>责任公司财务部副部长，本公司财务部、证券部经理、副总经理、总经理、副董事长。现任石家庄常山纺织集团有限责任公</w:t>
      </w:r>
    </w:p>
    <w:p>
      <w:pPr>
        <w:pStyle w:val="BodyText"/>
        <w:spacing w:line="357" w:lineRule="auto" w:before="77"/>
        <w:ind w:left="513" w:right="1121" w:hanging="360"/>
        <w:jc w:val="left"/>
      </w:pPr>
      <w:r>
        <w:rPr/>
        <w:t>司董事长，石家庄常山恒新纺织有限公司董事、上海常纺恒友国际贸易有限公司执行董事，本公司董事长。 李锋先生，</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3</w:t>
      </w:r>
      <w:r>
        <w:rPr/>
        <w:t>月出生，中共党员，本科学历，曾任北大方正出版公司副总经理，北京天桥北大青鸟科技股份有限</w:t>
      </w:r>
    </w:p>
    <w:p>
      <w:pPr>
        <w:pStyle w:val="BodyText"/>
        <w:spacing w:line="201" w:lineRule="exact"/>
        <w:ind w:left="153" w:right="0"/>
        <w:jc w:val="left"/>
      </w:pPr>
      <w:r>
        <w:rPr/>
        <w:t>公司高级副总裁，青鸟软件股份有限公司董事长，本公司董事、总经理。现任北京北明伟业控股有限公司董事长，北明软件</w:t>
      </w:r>
    </w:p>
    <w:p>
      <w:pPr>
        <w:pStyle w:val="BodyText"/>
        <w:spacing w:line="357" w:lineRule="auto" w:before="77"/>
        <w:ind w:left="513" w:right="1121" w:hanging="360"/>
        <w:jc w:val="left"/>
      </w:pPr>
      <w:r>
        <w:rPr/>
        <w:t>有限公司董事长，本公司副董事长。 应华江先生，</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2</w:t>
      </w:r>
      <w:r>
        <w:rPr/>
        <w:t>月出生，本科学历。曾任山东省山泉石材有限公司总经理助理，广州瑞曼妮时装有限公司总经理</w:t>
      </w:r>
    </w:p>
    <w:p>
      <w:pPr>
        <w:pStyle w:val="BodyText"/>
        <w:spacing w:line="201" w:lineRule="exact"/>
        <w:ind w:left="153" w:right="0"/>
        <w:jc w:val="left"/>
      </w:pPr>
      <w:r>
        <w:rPr/>
        <w:t>助理，广州志海软件有限公司董事长，广州北大明天资源科技发展有限公司董事长，本公司副董事长。现任北京北明伟业控</w:t>
      </w:r>
    </w:p>
    <w:p>
      <w:pPr>
        <w:pStyle w:val="BodyText"/>
        <w:spacing w:line="357" w:lineRule="auto" w:before="77"/>
        <w:ind w:left="514" w:right="0" w:hanging="360"/>
        <w:jc w:val="left"/>
      </w:pPr>
      <w:r>
        <w:rPr/>
        <w:t>股有限公司董事，二六三网络通信股份有限公司监事，</w:t>
      </w:r>
      <w:r>
        <w:rPr>
          <w:spacing w:val="-18"/>
        </w:rPr>
        <w:t> </w:t>
      </w:r>
      <w:r>
        <w:rPr/>
        <w:t>北明软件有限公司董事、总裁，本公司董事、总经理。</w:t>
      </w:r>
      <w:r>
        <w:rPr/>
        <w:t> </w:t>
      </w:r>
      <w:r>
        <w:rPr>
          <w:spacing w:val="-2"/>
        </w:rPr>
        <w:t>王惠君先生，</w:t>
      </w:r>
      <w:r>
        <w:rPr>
          <w:rFonts w:ascii="Times New Roman" w:hAnsi="Times New Roman" w:cs="Times New Roman" w:eastAsia="Times New Roman" w:hint="default"/>
          <w:spacing w:val="-2"/>
        </w:rPr>
        <w:t>1964</w:t>
      </w:r>
      <w:r>
        <w:rPr>
          <w:spacing w:val="-2"/>
        </w:rPr>
        <w:t>年</w:t>
      </w:r>
      <w:r>
        <w:rPr>
          <w:rFonts w:ascii="Times New Roman" w:hAnsi="Times New Roman" w:cs="Times New Roman" w:eastAsia="Times New Roman" w:hint="default"/>
          <w:spacing w:val="-2"/>
        </w:rPr>
        <w:t>12</w:t>
      </w:r>
      <w:r>
        <w:rPr>
          <w:spacing w:val="-2"/>
        </w:rPr>
        <w:t>月出生，中共党员，本科学历。曾任石家庄纺织经编厂办公室干事，石家庄常山纺织集团有限责</w:t>
      </w:r>
    </w:p>
    <w:p>
      <w:pPr>
        <w:pStyle w:val="BodyText"/>
        <w:spacing w:line="201" w:lineRule="exact"/>
        <w:ind w:right="0"/>
        <w:jc w:val="left"/>
      </w:pPr>
      <w:r>
        <w:rPr/>
        <w:t>任公司办公室秘书、科长、副主任、主任，石家庄常山纺织集团经编实业有限公司董事长、总经理。现任石家庄常山纺织集</w:t>
      </w:r>
    </w:p>
    <w:p>
      <w:pPr>
        <w:pStyle w:val="BodyText"/>
        <w:spacing w:line="357" w:lineRule="auto" w:before="77"/>
        <w:ind w:left="514" w:right="0" w:hanging="360"/>
        <w:jc w:val="left"/>
      </w:pPr>
      <w:r>
        <w:rPr/>
        <w:t>团有限责任公司副董事长、副总裁，本公司董事。 </w:t>
      </w:r>
      <w:r>
        <w:rPr>
          <w:spacing w:val="-2"/>
        </w:rPr>
        <w:t>薛建昌先生，</w:t>
      </w:r>
      <w:r>
        <w:rPr>
          <w:rFonts w:ascii="Times New Roman" w:hAnsi="Times New Roman" w:cs="Times New Roman" w:eastAsia="Times New Roman" w:hint="default"/>
          <w:spacing w:val="-2"/>
        </w:rPr>
        <w:t>1964</w:t>
      </w:r>
      <w:r>
        <w:rPr>
          <w:spacing w:val="-2"/>
        </w:rPr>
        <w:t>年</w:t>
      </w:r>
      <w:r>
        <w:rPr>
          <w:rFonts w:ascii="Times New Roman" w:hAnsi="Times New Roman" w:cs="Times New Roman" w:eastAsia="Times New Roman" w:hint="default"/>
          <w:spacing w:val="-2"/>
        </w:rPr>
        <w:t>10</w:t>
      </w:r>
      <w:r>
        <w:rPr>
          <w:spacing w:val="-2"/>
        </w:rPr>
        <w:t>月出生，中共党员，本科学历，正高级工程师。曾任石家庄棉二锦宏纺织有限公司生产技术部主</w:t>
      </w:r>
    </w:p>
    <w:p>
      <w:pPr>
        <w:pStyle w:val="BodyText"/>
        <w:spacing w:line="201" w:lineRule="exact"/>
        <w:ind w:right="0"/>
        <w:jc w:val="left"/>
      </w:pPr>
      <w:r>
        <w:rPr/>
        <w:t>任工程师，本公司生产技术部部长、副总工程师。现任石家庄常山恒新纺织有限公司董事长、总经理，本公司董事、副总经</w:t>
      </w:r>
    </w:p>
    <w:p>
      <w:pPr>
        <w:pStyle w:val="BodyText"/>
        <w:spacing w:line="240" w:lineRule="auto" w:before="77"/>
        <w:ind w:right="0"/>
        <w:jc w:val="left"/>
      </w:pPr>
      <w:r>
        <w:rPr/>
        <w:t>理、总工程师。</w:t>
      </w:r>
    </w:p>
    <w:p>
      <w:pPr>
        <w:spacing w:after="0" w:line="240"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02" w:lineRule="auto" w:before="44"/>
        <w:ind w:left="153" w:right="1131" w:firstLine="360"/>
        <w:jc w:val="both"/>
      </w:pPr>
      <w:r>
        <w:rPr>
          <w:spacing w:val="-2"/>
        </w:rPr>
        <w:t>徐卫波先生，</w:t>
      </w:r>
      <w:r>
        <w:rPr>
          <w:rFonts w:ascii="Times New Roman" w:hAnsi="Times New Roman" w:cs="Times New Roman" w:eastAsia="Times New Roman" w:hint="default"/>
          <w:spacing w:val="-2"/>
        </w:rPr>
        <w:t>1972</w:t>
      </w:r>
      <w:r>
        <w:rPr>
          <w:spacing w:val="-2"/>
        </w:rPr>
        <w:t>年</w:t>
      </w:r>
      <w:r>
        <w:rPr>
          <w:rFonts w:ascii="Times New Roman" w:hAnsi="Times New Roman" w:cs="Times New Roman" w:eastAsia="Times New Roman" w:hint="default"/>
          <w:spacing w:val="-2"/>
        </w:rPr>
        <w:t>11</w:t>
      </w:r>
      <w:r>
        <w:rPr>
          <w:spacing w:val="-2"/>
        </w:rPr>
        <w:t>月出生，本科学历。曾任杭州中远电子工程有限公司总经理，杭州源合有限公司董事长。现任北</w:t>
      </w:r>
      <w:r>
        <w:rPr/>
        <w:t> 明软件有限公司高级副总裁，北京北明伟业控股有限公司董事，本公司董事。</w:t>
      </w:r>
    </w:p>
    <w:p>
      <w:pPr>
        <w:pStyle w:val="BodyText"/>
        <w:spacing w:line="309" w:lineRule="auto" w:before="68"/>
        <w:ind w:left="153" w:right="1048" w:firstLine="360"/>
        <w:jc w:val="both"/>
      </w:pPr>
      <w:r>
        <w:rPr/>
        <w:t>白彦春先生，男、汉族，</w:t>
      </w:r>
      <w:r>
        <w:rPr>
          <w:rFonts w:ascii="Times New Roman" w:hAnsi="Times New Roman" w:cs="Times New Roman" w:eastAsia="Times New Roman" w:hint="default"/>
        </w:rPr>
        <w:t>1966</w:t>
      </w:r>
      <w:r>
        <w:rPr/>
        <w:t>年</w:t>
      </w:r>
      <w:r>
        <w:rPr>
          <w:rFonts w:ascii="Times New Roman" w:hAnsi="Times New Roman" w:cs="Times New Roman" w:eastAsia="Times New Roman" w:hint="default"/>
        </w:rPr>
        <w:t>8</w:t>
      </w:r>
      <w:r>
        <w:rPr/>
        <w:t>月出生，硕士学历。曾任中国国际贸易促进委员会律师、北京市金杜律师事务所合伙 </w:t>
      </w:r>
      <w:r>
        <w:rPr>
          <w:spacing w:val="-2"/>
        </w:rPr>
        <w:t>人，中国证监会第九届发行审核委员会委员。现任北京市通商律师事务所律师，兼任深圳市朗科科技股份有限公司董事、宝</w:t>
      </w:r>
      <w:r>
        <w:rPr>
          <w:spacing w:val="-66"/>
        </w:rPr>
        <w:t> </w:t>
      </w:r>
      <w:r>
        <w:rPr>
          <w:spacing w:val="-66"/>
        </w:rPr>
      </w:r>
      <w:r>
        <w:rPr/>
        <w:t>山钢铁股份有限公司独立董事、领孚（上海）网络科技有限公司监事、北京通商君睿投资管理有限公司董事，本公司董事。</w:t>
      </w:r>
    </w:p>
    <w:p>
      <w:pPr>
        <w:pStyle w:val="BodyText"/>
        <w:spacing w:line="302" w:lineRule="auto" w:before="65"/>
        <w:ind w:left="153" w:right="1131" w:firstLine="360"/>
        <w:jc w:val="both"/>
      </w:pPr>
      <w:r>
        <w:rPr>
          <w:spacing w:val="-2"/>
        </w:rPr>
        <w:t>袁宗琦先生，</w:t>
      </w:r>
      <w:r>
        <w:rPr>
          <w:rFonts w:ascii="Times New Roman" w:hAnsi="Times New Roman" w:cs="Times New Roman" w:eastAsia="Times New Roman" w:hint="default"/>
          <w:spacing w:val="-2"/>
        </w:rPr>
        <w:t>1955</w:t>
      </w:r>
      <w:r>
        <w:rPr>
          <w:spacing w:val="-2"/>
        </w:rPr>
        <w:t>年</w:t>
      </w:r>
      <w:r>
        <w:rPr>
          <w:rFonts w:ascii="Times New Roman" w:hAnsi="Times New Roman" w:cs="Times New Roman" w:eastAsia="Times New Roman" w:hint="default"/>
          <w:spacing w:val="-2"/>
        </w:rPr>
        <w:t>10</w:t>
      </w:r>
      <w:r>
        <w:rPr>
          <w:spacing w:val="-2"/>
        </w:rPr>
        <w:t>月出生，大专学历。曾任职于建设部信息中心，清华紫光集团紫光锐影有限公司副董事长，浙大</w:t>
      </w:r>
      <w:r>
        <w:rPr/>
        <w:t> 网新集团新轨道交通有限公司副董事长。现任本公司独立董事。</w:t>
      </w:r>
    </w:p>
    <w:p>
      <w:pPr>
        <w:pStyle w:val="BodyText"/>
        <w:spacing w:line="309" w:lineRule="auto" w:before="68"/>
        <w:ind w:left="153" w:right="1128" w:firstLine="360"/>
        <w:jc w:val="both"/>
      </w:pPr>
      <w:r>
        <w:rPr/>
        <w:t>李质仙先生，</w:t>
      </w:r>
      <w:r>
        <w:rPr>
          <w:rFonts w:ascii="Times New Roman" w:hAnsi="Times New Roman" w:cs="Times New Roman" w:eastAsia="Times New Roman" w:hint="default"/>
        </w:rPr>
        <w:t>1956</w:t>
      </w:r>
      <w:r>
        <w:rPr/>
        <w:t>年</w:t>
      </w:r>
      <w:r>
        <w:rPr>
          <w:rFonts w:ascii="Times New Roman" w:hAnsi="Times New Roman" w:cs="Times New Roman" w:eastAsia="Times New Roman" w:hint="default"/>
        </w:rPr>
        <w:t>6</w:t>
      </w:r>
      <w:r>
        <w:rPr/>
        <w:t>月出生，研究生学历。曾任中国纺织总会经济贸易部副部长、国泰证券公司信息研究中心行业部 </w:t>
      </w:r>
      <w:r>
        <w:rPr>
          <w:spacing w:val="-2"/>
        </w:rPr>
        <w:t>经理、国泰君安证券公司研究所董事、总经理、首席研究员、中国纺织工业联合会信息统计部首席研究员。现任本公司独立</w:t>
      </w:r>
      <w:r>
        <w:rPr>
          <w:spacing w:val="-66"/>
        </w:rPr>
        <w:t> </w:t>
      </w:r>
      <w:r>
        <w:rPr>
          <w:spacing w:val="-66"/>
        </w:rPr>
      </w:r>
      <w:r>
        <w:rPr/>
        <w:t>董事。</w:t>
      </w:r>
    </w:p>
    <w:p>
      <w:pPr>
        <w:pStyle w:val="BodyText"/>
        <w:spacing w:line="300" w:lineRule="auto" w:before="62"/>
        <w:ind w:left="153" w:right="1131" w:firstLine="360"/>
        <w:jc w:val="both"/>
      </w:pPr>
      <w:r>
        <w:rPr/>
        <w:t>李万军先生，</w:t>
      </w:r>
      <w:r>
        <w:rPr>
          <w:rFonts w:ascii="Times New Roman" w:hAnsi="Times New Roman" w:cs="Times New Roman" w:eastAsia="Times New Roman" w:hint="default"/>
        </w:rPr>
        <w:t>1964 </w:t>
      </w:r>
      <w:r>
        <w:rPr/>
        <w:t>年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月出生，中共党员，管理学硕士，高级会计师、注册会计师。曾任河北省注册会计师协会副秘 书长，曾于</w:t>
      </w: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11 </w:t>
      </w:r>
      <w:r>
        <w:rPr/>
        <w:t>月至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月任本公司独立董事。现任亚太（集团）会计师事务所合伙人，兼长城汽车股份有 限公司、北京中关村科技发展（控股）股份有限公司独立董事。本公司独立董事。</w:t>
      </w:r>
    </w:p>
    <w:p>
      <w:pPr>
        <w:pStyle w:val="BodyText"/>
        <w:spacing w:line="240" w:lineRule="auto" w:before="72"/>
        <w:ind w:left="516" w:right="0"/>
        <w:jc w:val="left"/>
      </w:pPr>
      <w:r>
        <w:rPr/>
        <w:t>孟梓女士，</w:t>
      </w:r>
      <w:r>
        <w:rPr>
          <w:rFonts w:ascii="Times New Roman" w:hAnsi="Times New Roman" w:cs="Times New Roman" w:eastAsia="Times New Roman" w:hint="default"/>
        </w:rPr>
        <w:t>1985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月出生，法学硕士。现任北京市金杜律师事务所顾问，本公司独立董事。</w:t>
      </w:r>
    </w:p>
    <w:p>
      <w:pPr>
        <w:pStyle w:val="BodyText"/>
        <w:spacing w:line="338" w:lineRule="auto" w:before="102"/>
        <w:ind w:left="513" w:right="1121"/>
        <w:jc w:val="left"/>
      </w:pPr>
      <w:r>
        <w:rPr>
          <w:rFonts w:ascii="Times New Roman" w:hAnsi="Times New Roman" w:cs="Times New Roman" w:eastAsia="Times New Roman" w:hint="default"/>
        </w:rPr>
        <w:t>2</w:t>
      </w:r>
      <w:r>
        <w:rPr/>
        <w:t>、监事 邓中斌先生，</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4</w:t>
      </w:r>
      <w:r>
        <w:rPr/>
        <w:t>月出生，本科学历，助理工程师，中共党员。曾任棉四分公司经理助理、经理，现任本公司监事</w:t>
      </w:r>
    </w:p>
    <w:p>
      <w:pPr>
        <w:pStyle w:val="BodyText"/>
        <w:spacing w:line="218" w:lineRule="exact"/>
        <w:ind w:left="153" w:right="0"/>
        <w:jc w:val="left"/>
      </w:pPr>
      <w:r>
        <w:rPr/>
        <w:t>会主席，棉四分公司经理。</w:t>
      </w:r>
    </w:p>
    <w:p>
      <w:pPr>
        <w:pStyle w:val="BodyText"/>
        <w:spacing w:line="309" w:lineRule="auto" w:before="116"/>
        <w:ind w:left="153" w:right="1131" w:firstLine="360"/>
        <w:jc w:val="both"/>
      </w:pPr>
      <w:r>
        <w:rPr/>
        <w:t>高俊岐先生，</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4</w:t>
      </w:r>
      <w:r>
        <w:rPr/>
        <w:t>月出生，本科学历，正高级会计师，中共党员。曾任石家庄市纺织工业局党校会计、党校行政科 </w:t>
      </w:r>
      <w:r>
        <w:rPr>
          <w:spacing w:val="-2"/>
        </w:rPr>
        <w:t>副科长、财务处科员，石家庄常山纺织集团财务审计部副部长、部长，石家庄常山纺织股份有限公司总会计师。现任石家庄</w:t>
      </w:r>
      <w:r>
        <w:rPr>
          <w:spacing w:val="-66"/>
        </w:rPr>
        <w:t> </w:t>
      </w:r>
      <w:r>
        <w:rPr>
          <w:spacing w:val="-66"/>
        </w:rPr>
      </w:r>
      <w:r>
        <w:rPr/>
        <w:t>常山纺织集团有限责任公司总会计师，本公司监事。</w:t>
      </w:r>
    </w:p>
    <w:p>
      <w:pPr>
        <w:pStyle w:val="BodyText"/>
        <w:spacing w:line="309" w:lineRule="auto" w:before="62"/>
        <w:ind w:left="153" w:right="1131" w:firstLine="360"/>
        <w:jc w:val="both"/>
      </w:pPr>
      <w:r>
        <w:rPr/>
        <w:t>王哲先生，</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3</w:t>
      </w:r>
      <w:r>
        <w:rPr/>
        <w:t>月出生，本科学历，会计师。曾任北京燕山石油化工公司会计，北京北大青鸟商用信息系统有限公 </w:t>
      </w:r>
      <w:r>
        <w:rPr>
          <w:spacing w:val="-2"/>
        </w:rPr>
        <w:t>司、北京天桥北大青鸟科技股份有限公司财务经理，麦科特光电股份有限公司财务部经理，领锐资产管理股份有限公司财务</w:t>
      </w:r>
      <w:r>
        <w:rPr>
          <w:spacing w:val="-66"/>
        </w:rPr>
        <w:t> </w:t>
      </w:r>
      <w:r>
        <w:rPr>
          <w:spacing w:val="-66"/>
        </w:rPr>
      </w:r>
      <w:r>
        <w:rPr/>
        <w:t>部总经理，青鸟软件股份有限公司财务总监。现任北明软件有限公司财务总监，本公司监事。</w:t>
      </w:r>
    </w:p>
    <w:p>
      <w:pPr>
        <w:pStyle w:val="BodyText"/>
        <w:spacing w:line="340" w:lineRule="auto" w:before="64"/>
        <w:ind w:left="513" w:right="8051" w:firstLine="2"/>
        <w:jc w:val="left"/>
      </w:pPr>
      <w:r>
        <w:rPr>
          <w:rFonts w:ascii="Times New Roman" w:hAnsi="Times New Roman" w:cs="Times New Roman" w:eastAsia="Times New Roman" w:hint="default"/>
        </w:rPr>
        <w:t>3</w:t>
      </w:r>
      <w:r>
        <w:rPr/>
        <w:t>、高级管理人员 薛建昌先生，详见董事履历。</w:t>
      </w:r>
    </w:p>
    <w:p>
      <w:pPr>
        <w:pStyle w:val="BodyText"/>
        <w:spacing w:line="309" w:lineRule="auto" w:before="39"/>
        <w:ind w:left="153" w:right="1130" w:firstLine="360"/>
        <w:jc w:val="both"/>
      </w:pPr>
      <w:r>
        <w:rPr/>
        <w:t>池俊平先生，</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5</w:t>
      </w:r>
      <w:r>
        <w:rPr/>
        <w:t>月出生，本科学历，中共党员。曾任石家庄宝石电子玻璃股份有限公司证券部职员，华夏证券公 </w:t>
      </w:r>
      <w:r>
        <w:rPr>
          <w:spacing w:val="-2"/>
        </w:rPr>
        <w:t>司石家庄营业部职员，华夏证券公司保定营业部职员，本公司证券部职员、证券事务代表。现任河北常山恒云数据科技有限</w:t>
      </w:r>
      <w:r>
        <w:rPr>
          <w:spacing w:val="-66"/>
        </w:rPr>
        <w:t> </w:t>
      </w:r>
      <w:r>
        <w:rPr>
          <w:spacing w:val="-66"/>
        </w:rPr>
      </w:r>
      <w:r>
        <w:rPr/>
        <w:t>公司监事、北明软件有限公司董事，本公司董事会秘书。</w:t>
      </w:r>
    </w:p>
    <w:p>
      <w:pPr>
        <w:pStyle w:val="BodyText"/>
        <w:spacing w:line="309" w:lineRule="auto" w:before="62"/>
        <w:ind w:left="153" w:right="1128" w:firstLine="360"/>
        <w:jc w:val="both"/>
      </w:pPr>
      <w:r>
        <w:rPr/>
        <w:t>刘辉先生，</w:t>
      </w:r>
      <w:r>
        <w:rPr>
          <w:rFonts w:ascii="Times New Roman" w:hAnsi="Times New Roman" w:cs="Times New Roman" w:eastAsia="Times New Roman" w:hint="default"/>
        </w:rPr>
        <w:t>1964</w:t>
      </w:r>
      <w:r>
        <w:rPr/>
        <w:t>年</w:t>
      </w:r>
      <w:r>
        <w:rPr>
          <w:rFonts w:ascii="Times New Roman" w:hAnsi="Times New Roman" w:cs="Times New Roman" w:eastAsia="Times New Roman" w:hint="default"/>
        </w:rPr>
        <w:t>7</w:t>
      </w:r>
      <w:r>
        <w:rPr/>
        <w:t>月出生，本科学历，高级工程师，中共党员。曾任石家庄第二棉纺织厂织造车间技术员、劳动人事 </w:t>
      </w:r>
      <w:r>
        <w:rPr>
          <w:spacing w:val="-2"/>
        </w:rPr>
        <w:t>部职员，石家庄常山纺织股份有限公司劳动人事部职员、副部长，新疆库尔勒香梨股份有限公司副总裁（援疆干部），石家</w:t>
      </w:r>
      <w:r>
        <w:rPr>
          <w:spacing w:val="-68"/>
        </w:rPr>
        <w:t> </w:t>
      </w:r>
      <w:r>
        <w:rPr>
          <w:spacing w:val="-68"/>
        </w:rPr>
      </w:r>
      <w:r>
        <w:rPr/>
        <w:t>庄常山纺织股份有限公司总经理助理。现任本公司副总经理。</w:t>
      </w:r>
    </w:p>
    <w:p>
      <w:pPr>
        <w:pStyle w:val="BodyText"/>
        <w:spacing w:line="309" w:lineRule="auto" w:before="64"/>
        <w:ind w:left="153" w:right="1129" w:firstLine="359"/>
        <w:jc w:val="both"/>
      </w:pPr>
      <w:r>
        <w:rPr/>
        <w:t>何长青先生，</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5</w:t>
      </w:r>
      <w:r>
        <w:rPr/>
        <w:t>月出生，本科学历。曾任北京市软件技术开发中心高级工程师，西科姆（中国）有限公司计算机 </w:t>
      </w:r>
      <w:r>
        <w:rPr>
          <w:spacing w:val="-2"/>
        </w:rPr>
        <w:t>事业部副总经理，北京湘计立德科技有限公司副董事长、总经理，宇信易诚科技有限公司高级副总裁，北明软件有限公司董</w:t>
      </w:r>
      <w:r>
        <w:rPr>
          <w:spacing w:val="-66"/>
        </w:rPr>
        <w:t> </w:t>
      </w:r>
      <w:r>
        <w:rPr>
          <w:spacing w:val="-66"/>
        </w:rPr>
      </w:r>
      <w:r>
        <w:rPr/>
        <w:t>事、高级副总裁。现任本公司副总经理。</w:t>
      </w:r>
    </w:p>
    <w:p>
      <w:pPr>
        <w:pStyle w:val="BodyText"/>
        <w:spacing w:line="312" w:lineRule="auto" w:before="62"/>
        <w:ind w:left="153" w:right="1129" w:firstLine="360"/>
        <w:jc w:val="both"/>
      </w:pPr>
      <w:r>
        <w:rPr/>
        <w:t>童庆明先生，男，</w:t>
      </w:r>
      <w:r>
        <w:rPr>
          <w:rFonts w:ascii="Times New Roman" w:hAnsi="Times New Roman" w:cs="Times New Roman" w:eastAsia="Times New Roman" w:hint="default"/>
        </w:rPr>
        <w:t>1968</w:t>
      </w:r>
      <w:r>
        <w:rPr/>
        <w:t>年</w:t>
      </w:r>
      <w:r>
        <w:rPr>
          <w:rFonts w:ascii="Times New Roman" w:hAnsi="Times New Roman" w:cs="Times New Roman" w:eastAsia="Times New Roman" w:hint="default"/>
        </w:rPr>
        <w:t>3</w:t>
      </w:r>
      <w:r>
        <w:rPr/>
        <w:t>月出生，</w:t>
      </w:r>
      <w:r>
        <w:rPr>
          <w:rFonts w:ascii="Times New Roman" w:hAnsi="Times New Roman" w:cs="Times New Roman" w:eastAsia="Times New Roman" w:hint="default"/>
        </w:rPr>
        <w:t>EMBA</w:t>
      </w:r>
      <w:r>
        <w:rPr/>
        <w:t>硕士。曾任北大方正集团计算机公司副总经理、南京分公司总经理、华东区 </w:t>
      </w:r>
      <w:r>
        <w:rPr>
          <w:spacing w:val="-2"/>
        </w:rPr>
        <w:t>总经理、方正电脑公司董事、副总经理、总经理，北京高阳万为电力信息技术有限公司总经理，北大青鸟集团北京青鸟华光</w:t>
      </w:r>
      <w:r>
        <w:rPr>
          <w:spacing w:val="-66"/>
        </w:rPr>
        <w:t> </w:t>
      </w:r>
      <w:r>
        <w:rPr>
          <w:spacing w:val="-66"/>
        </w:rPr>
      </w:r>
      <w:r>
        <w:rPr>
          <w:spacing w:val="-2"/>
        </w:rPr>
        <w:t>科技有限公司总经理、潍坊青鸟华光电池有限公司总经理、潍坊青鸟华光科技股份有限公司副总裁、总裁、青鸟软件股份有</w:t>
      </w:r>
      <w:r>
        <w:rPr>
          <w:spacing w:val="-66"/>
        </w:rPr>
        <w:t> </w:t>
      </w:r>
      <w:r>
        <w:rPr>
          <w:spacing w:val="-66"/>
        </w:rPr>
      </w:r>
      <w:r>
        <w:rPr/>
        <w:t>限公司高级副总裁。现任北明软件有限公司高级副总裁，本公司副总经理。</w:t>
      </w:r>
    </w:p>
    <w:p>
      <w:pPr>
        <w:pStyle w:val="BodyText"/>
        <w:spacing w:line="309" w:lineRule="auto" w:before="61"/>
        <w:ind w:left="153" w:right="1131" w:firstLine="388"/>
        <w:jc w:val="both"/>
      </w:pPr>
      <w:r>
        <w:rPr/>
        <w:t>咸勇先生，</w:t>
      </w:r>
      <w:r>
        <w:rPr>
          <w:rFonts w:ascii="Times New Roman" w:hAnsi="Times New Roman" w:cs="Times New Roman" w:eastAsia="Times New Roman" w:hint="default"/>
        </w:rPr>
        <w:t>1979 </w:t>
      </w:r>
      <w:r>
        <w:rPr/>
        <w:t>年</w:t>
      </w:r>
      <w:r>
        <w:rPr>
          <w:rFonts w:ascii="Times New Roman" w:hAnsi="Times New Roman" w:cs="Times New Roman" w:eastAsia="Times New Roman" w:hint="default"/>
        </w:rPr>
        <w:t>8</w:t>
      </w:r>
      <w:r>
        <w:rPr>
          <w:rFonts w:ascii="Times New Roman" w:hAnsi="Times New Roman" w:cs="Times New Roman" w:eastAsia="Times New Roman" w:hint="default"/>
          <w:spacing w:val="20"/>
        </w:rPr>
        <w:t> </w:t>
      </w:r>
      <w:r>
        <w:rPr/>
        <w:t>月出生，本科学历。曾任青鸟软件思科事业部总经理，北明软件有限公司副总裁。兼任河北北明 </w:t>
      </w:r>
      <w:r>
        <w:rPr>
          <w:spacing w:val="-2"/>
        </w:rPr>
        <w:t>兴云互联网科技有限责任公司董事长、河北常山恒云数据科技有限公司董事长。现任北明软件有限公司高级副总裁、本公司</w:t>
      </w:r>
      <w:r>
        <w:rPr>
          <w:spacing w:val="-66"/>
        </w:rPr>
        <w:t> </w:t>
      </w:r>
      <w:r>
        <w:rPr>
          <w:spacing w:val="-66"/>
        </w:rPr>
      </w:r>
      <w:r>
        <w:rPr/>
        <w:t>副总经理。</w:t>
      </w:r>
    </w:p>
    <w:p>
      <w:pPr>
        <w:pStyle w:val="BodyText"/>
        <w:spacing w:line="240" w:lineRule="auto" w:before="64"/>
        <w:ind w:left="513" w:right="0"/>
        <w:jc w:val="left"/>
      </w:pPr>
      <w:r>
        <w:rPr/>
        <w:t>马晓峰先生，</w:t>
      </w:r>
      <w:r>
        <w:rPr>
          <w:rFonts w:ascii="Times New Roman" w:hAnsi="Times New Roman" w:cs="Times New Roman" w:eastAsia="Times New Roman" w:hint="default"/>
        </w:rPr>
        <w:t>1963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41"/>
        </w:rPr>
        <w:t> </w:t>
      </w:r>
      <w:r>
        <w:rPr/>
        <w:t>月出生，中共党员，本科学历，高级工程师。曾任本公司董事、副总经理，华光纺织有限公</w:t>
      </w:r>
    </w:p>
    <w:p>
      <w:pPr>
        <w:spacing w:after="0" w:line="240"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19" w:lineRule="auto" w:before="44"/>
        <w:ind w:left="153" w:right="0"/>
        <w:jc w:val="left"/>
      </w:pPr>
      <w:r>
        <w:rPr>
          <w:spacing w:val="-2"/>
        </w:rPr>
        <w:t>司总经理，河北正定华润纺织有限公司董事、总经理，华润纺织（集团）有限公司运营副总监兼生产管理部经理，现任本公</w:t>
      </w:r>
      <w:r>
        <w:rPr>
          <w:spacing w:val="-67"/>
        </w:rPr>
        <w:t> </w:t>
      </w:r>
      <w:r>
        <w:rPr>
          <w:spacing w:val="-67"/>
        </w:rPr>
      </w:r>
      <w:r>
        <w:rPr/>
        <w:t>司副总经理、棉二分公司经理、恒盛分公司经理。</w:t>
      </w:r>
    </w:p>
    <w:p>
      <w:pPr>
        <w:pStyle w:val="BodyText"/>
        <w:spacing w:line="309" w:lineRule="auto" w:before="55"/>
        <w:ind w:right="1030" w:firstLine="360"/>
        <w:jc w:val="left"/>
      </w:pPr>
      <w:r>
        <w:rPr>
          <w:spacing w:val="-3"/>
        </w:rPr>
        <w:t>曹金霞女士，汉族，</w:t>
      </w:r>
      <w:r>
        <w:rPr>
          <w:rFonts w:ascii="Times New Roman" w:hAnsi="Times New Roman" w:cs="Times New Roman" w:eastAsia="Times New Roman" w:hint="default"/>
          <w:spacing w:val="-3"/>
        </w:rPr>
        <w:t>1974 </w:t>
      </w:r>
      <w:r>
        <w:rPr/>
        <w:t>年 </w:t>
      </w:r>
      <w:r>
        <w:rPr>
          <w:rFonts w:ascii="Times New Roman" w:hAnsi="Times New Roman" w:cs="Times New Roman" w:eastAsia="Times New Roman" w:hint="default"/>
        </w:rPr>
        <w:t>9 </w:t>
      </w:r>
      <w:r>
        <w:rPr>
          <w:spacing w:val="-3"/>
        </w:rPr>
        <w:t>月出生，大专学历，</w:t>
      </w:r>
      <w:r>
        <w:rPr>
          <w:rFonts w:ascii="Times New Roman" w:hAnsi="Times New Roman" w:cs="Times New Roman" w:eastAsia="Times New Roman" w:hint="default"/>
          <w:spacing w:val="-3"/>
        </w:rPr>
        <w:t>1995</w:t>
      </w:r>
      <w:r>
        <w:rPr>
          <w:spacing w:val="-3"/>
        </w:rPr>
        <w:t>年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月参加工作，会计师职称。曾任石家庄常山纺织集团有限 责任公司财务部会计，石家庄常山纺织股份有限公司财务部职员、核算中心主任，现任石家庄常山恒新纺织有限公司监事、 本公司财务部经理、贸易发展部部长、总会计师。</w:t>
      </w:r>
    </w:p>
    <w:p>
      <w:pPr>
        <w:pStyle w:val="BodyText"/>
        <w:spacing w:line="300" w:lineRule="auto" w:before="64"/>
        <w:ind w:right="1129" w:firstLine="360"/>
        <w:jc w:val="both"/>
      </w:pPr>
      <w:r>
        <w:rPr/>
        <w:t>赵立新先生，汉族，</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8</w:t>
      </w:r>
      <w:r>
        <w:rPr/>
        <w:t>月出生，研究生学历。曾任中国教育电子公司程序员，</w:t>
      </w:r>
      <w:r>
        <w:rPr>
          <w:rFonts w:ascii="Times New Roman" w:hAnsi="Times New Roman" w:cs="Times New Roman" w:eastAsia="Times New Roman" w:hint="default"/>
        </w:rPr>
        <w:t>Compaq</w:t>
      </w:r>
      <w:r>
        <w:rPr/>
        <w:t>公司客户经理，</w:t>
      </w:r>
      <w:r>
        <w:rPr>
          <w:spacing w:val="23"/>
        </w:rPr>
        <w:t> </w:t>
      </w:r>
      <w:r>
        <w:rPr>
          <w:rFonts w:ascii="Times New Roman" w:hAnsi="Times New Roman" w:cs="Times New Roman" w:eastAsia="Times New Roman" w:hint="default"/>
        </w:rPr>
        <w:t>IBM</w:t>
      </w:r>
      <w:r>
        <w:rPr/>
        <w:t>公司</w:t>
      </w:r>
      <w:r>
        <w:rPr>
          <w:spacing w:val="1"/>
        </w:rPr>
        <w:t> </w:t>
      </w:r>
      <w:r>
        <w:rPr/>
        <w:t>行业代表，</w:t>
      </w:r>
      <w:r>
        <w:rPr>
          <w:spacing w:val="-41"/>
        </w:rPr>
        <w:t> </w:t>
      </w:r>
      <w:r>
        <w:rPr>
          <w:rFonts w:ascii="Times New Roman" w:hAnsi="Times New Roman" w:cs="Times New Roman" w:eastAsia="Times New Roman" w:hint="default"/>
        </w:rPr>
        <w:t>HP</w:t>
      </w:r>
      <w:r>
        <w:rPr/>
        <w:t>公司行业总监，青鸟软件股份有限公司事业部总经理，现任北明软件有限公司高级副总裁、河北北明鼎云信 息技术有限公司总经理、本公司副总经理。</w:t>
      </w:r>
    </w:p>
    <w:p>
      <w:pPr>
        <w:pStyle w:val="BodyText"/>
        <w:spacing w:line="240" w:lineRule="auto" w:before="71"/>
        <w:ind w:right="0"/>
        <w:jc w:val="left"/>
      </w:pPr>
      <w:r>
        <w:rPr/>
        <w:t>在股东单位任职情况</w:t>
      </w:r>
    </w:p>
    <w:p>
      <w:pPr>
        <w:pStyle w:val="BodyText"/>
        <w:spacing w:line="240" w:lineRule="auto" w:before="116"/>
        <w:ind w:right="0"/>
        <w:jc w:val="left"/>
      </w:pPr>
      <w:r>
        <w:rPr/>
        <w:t>√ 适用 □ 不适用</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17"/>
        <w:gridCol w:w="2923"/>
        <w:gridCol w:w="1078"/>
        <w:gridCol w:w="1622"/>
        <w:gridCol w:w="1260"/>
        <w:gridCol w:w="1440"/>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16"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73" w:right="84"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肖荣智</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李锋</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北京北明伟业控股有限公司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北京北明伟业控股有限公司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徐卫波</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北京北明伟业控股有限公司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王惠君</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王惠君</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高俊岐</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0"/>
        <w:jc w:val="left"/>
      </w:pPr>
      <w:r>
        <w:rPr/>
        <w:t>在其他单位任职情况</w:t>
      </w:r>
    </w:p>
    <w:p>
      <w:pPr>
        <w:pStyle w:val="BodyText"/>
        <w:spacing w:line="240" w:lineRule="auto" w:before="117"/>
        <w:ind w:left="153"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34"/>
        <w:gridCol w:w="2546"/>
        <w:gridCol w:w="1092"/>
        <w:gridCol w:w="1608"/>
        <w:gridCol w:w="162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5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28"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0" w:right="90"/>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6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肖荣智</w:t>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李锋</w:t>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二六三网络通信股份有限公司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监事长</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薛建昌</w:t>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6"/>
              <w:jc w:val="center"/>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薛建昌</w:t>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徐卫波</w:t>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白彦春</w:t>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深圳市朗科科技股份有限公司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白彦春</w:t>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北京市通商律师事务所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白彦春</w:t>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宝山钢铁股份有限公司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袁宗琦</w:t>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北京华通联合投资有限公司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李万军</w:t>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亚太（集团）会计师事务所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李万军</w:t>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长城汽车股份有限公司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34"/>
        <w:gridCol w:w="2546"/>
        <w:gridCol w:w="1092"/>
        <w:gridCol w:w="1608"/>
        <w:gridCol w:w="162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李万军</w:t>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3"/>
                <w:sz w:val="18"/>
                <w:szCs w:val="18"/>
              </w:rPr>
              <w:t>北京中关村科技发展（控股）股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王哲</w:t>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池俊平</w:t>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河北常山恒云数据科技有限公 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池俊平</w:t>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童庆明</w:t>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北京爱意生活电子商务有限公 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咸勇</w:t>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高级副总裁</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曹金霞</w:t>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舞钢智慧城市科技发展有限公 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曹金霞</w:t>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河北常山恒云数据科技有限公 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曹金霞</w:t>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马晓峰</w:t>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3"/>
              <w:jc w:val="left"/>
              <w:rPr>
                <w:rFonts w:ascii="宋体" w:hAnsi="宋体" w:cs="宋体" w:eastAsia="宋体" w:hint="default"/>
                <w:sz w:val="18"/>
                <w:szCs w:val="18"/>
              </w:rPr>
            </w:pPr>
            <w:r>
              <w:rPr>
                <w:rFonts w:ascii="宋体" w:hAnsi="宋体" w:cs="宋体" w:eastAsia="宋体" w:hint="default"/>
                <w:sz w:val="18"/>
                <w:szCs w:val="18"/>
              </w:rPr>
              <w:t>北京爱意生活电子商务有限公 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孟梓</w:t>
            </w:r>
          </w:p>
        </w:tc>
        <w:tc>
          <w:tcPr>
            <w:tcW w:w="2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北京市金杜律师事务所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顾问</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24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公司现任及报告期内离任董事、监事和高级管理人员近三年证券监管机构处罚的情况</w:t>
      </w:r>
    </w:p>
    <w:p>
      <w:pPr>
        <w:pStyle w:val="BodyText"/>
        <w:spacing w:line="240" w:lineRule="auto" w:before="117"/>
        <w:ind w:left="153"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444" w:right="0" w:hanging="291"/>
        <w:jc w:val="left"/>
      </w:pPr>
      <w:r>
        <w:rPr/>
        <w:t>董事、监事、高级管理人员报酬的决策程序、确定依据、实际支付情况 </w:t>
      </w:r>
      <w:r>
        <w:rPr>
          <w:spacing w:val="-1"/>
        </w:rPr>
        <w:t>公司独立董事的津贴由董事会审议后，经股东大会批准执行；公司非独立董事、监事、高级管理人员报酬按《董事监事</w:t>
      </w:r>
    </w:p>
    <w:p>
      <w:pPr>
        <w:pStyle w:val="BodyText"/>
        <w:spacing w:line="237" w:lineRule="exact"/>
        <w:ind w:left="153" w:right="0"/>
        <w:jc w:val="left"/>
      </w:pPr>
      <w:r>
        <w:rPr/>
        <w:t>高级管理人员薪酬管理制度》、《董事、监事、高级管理人员薪酬与绩效考核方案</w:t>
      </w:r>
      <w:r>
        <w:rPr>
          <w:spacing w:val="-18"/>
        </w:rPr>
        <w:t> </w:t>
      </w:r>
      <w:r>
        <w:rPr/>
        <w:t>（</w:t>
      </w:r>
      <w:r>
        <w:rPr>
          <w:rFonts w:ascii="Times New Roman" w:hAnsi="Times New Roman" w:cs="Times New Roman" w:eastAsia="Times New Roman" w:hint="default"/>
        </w:rPr>
        <w:t>2018</w:t>
      </w:r>
      <w:r>
        <w:rPr/>
        <w:t>年度）》执行。</w:t>
      </w:r>
    </w:p>
    <w:p>
      <w:pPr>
        <w:pStyle w:val="BodyText"/>
        <w:spacing w:line="240" w:lineRule="auto" w:before="103"/>
        <w:ind w:right="0"/>
        <w:jc w:val="left"/>
      </w:pPr>
      <w:r>
        <w:rPr/>
        <w:t>公司报告期内董事、监事和高级管理人员报酬情况</w:t>
      </w:r>
    </w:p>
    <w:p>
      <w:pPr>
        <w:pStyle w:val="BodyText"/>
        <w:spacing w:line="240" w:lineRule="auto" w:before="117"/>
        <w:ind w:left="0" w:right="1131"/>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80"/>
        <w:gridCol w:w="3240"/>
        <w:gridCol w:w="720"/>
        <w:gridCol w:w="720"/>
        <w:gridCol w:w="1080"/>
        <w:gridCol w:w="1367"/>
        <w:gridCol w:w="1333"/>
      </w:tblGrid>
      <w:tr>
        <w:trPr>
          <w:trHeight w:val="714" w:hRule="exact"/>
        </w:trPr>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4"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4"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8"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12" w:right="29"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肖荣智</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34.67</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李锋</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92.61</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董事、副董事长</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84.67</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王惠君</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薛建昌</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董事、副总经理、总工程师</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46.09</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徐卫波</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68.79</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白彦春</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80"/>
        <w:gridCol w:w="3240"/>
        <w:gridCol w:w="720"/>
        <w:gridCol w:w="720"/>
        <w:gridCol w:w="1080"/>
        <w:gridCol w:w="1367"/>
        <w:gridCol w:w="1333"/>
      </w:tblGrid>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李万军</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袁宗琦</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李质仙</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孟梓</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高俊岐</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王哲</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72.81</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池俊平</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45.52</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刘辉</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46.4</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何长青</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60.01</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童庆明</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72.08</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咸勇</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84.28</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马晓峰</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33.81</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赵立新</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50.77</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曹金霞</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总会计师</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29.95</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邓中斌</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27.32</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石民</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50.03</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947.81</w:t>
            </w:r>
          </w:p>
        </w:tc>
        <w:tc>
          <w:tcPr>
            <w:tcW w:w="13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公司董事、高级管理人员报告期内被授予的股权激励情况</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1"/>
        <w:gridCol w:w="4795"/>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2,021</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3,063</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5,084</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5,088</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395</w:t>
            </w:r>
          </w:p>
        </w:tc>
      </w:tr>
      <w:tr>
        <w:trPr>
          <w:trHeight w:val="402"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88"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2,262</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2,348</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78"/>
        <w:gridCol w:w="4789"/>
      </w:tblGrid>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5,084</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2,032</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674</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中专、中技及高中</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1,174</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初中及以下</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1,043</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5,084</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1129" w:firstLine="360"/>
        <w:jc w:val="both"/>
      </w:pPr>
      <w:r>
        <w:rPr>
          <w:spacing w:val="-2"/>
        </w:rPr>
        <w:t>公司采用结构薪酬制，严格薪酬的计划预算管理，执行统一的薪酬结构。公司不断进行薪酬改革，逐步将岗位价值、工</w:t>
      </w:r>
      <w:r>
        <w:rPr/>
        <w:t> </w:t>
      </w:r>
      <w:r>
        <w:rPr>
          <w:spacing w:val="-2"/>
        </w:rPr>
        <w:t>作饱和度、任职能力等因素引入薪酬分配体系，倡导</w:t>
      </w:r>
      <w:r>
        <w:rPr>
          <w:rFonts w:ascii="Times New Roman" w:hAnsi="Times New Roman" w:cs="Times New Roman" w:eastAsia="Times New Roman" w:hint="default"/>
          <w:spacing w:val="-2"/>
        </w:rPr>
        <w:t>“</w:t>
      </w:r>
      <w:r>
        <w:rPr>
          <w:spacing w:val="-2"/>
        </w:rPr>
        <w:t>岗位标准看价值，绩效考核看指标</w:t>
      </w:r>
      <w:r>
        <w:rPr>
          <w:rFonts w:ascii="Times New Roman" w:hAnsi="Times New Roman" w:cs="Times New Roman" w:eastAsia="Times New Roman" w:hint="default"/>
          <w:spacing w:val="-2"/>
        </w:rPr>
        <w:t>”</w:t>
      </w:r>
      <w:r>
        <w:rPr>
          <w:spacing w:val="-2"/>
        </w:rPr>
        <w:t>理念，将员工收入与个人业绩、个</w:t>
      </w:r>
      <w:r>
        <w:rPr>
          <w:spacing w:val="-43"/>
        </w:rPr>
        <w:t> </w:t>
      </w:r>
      <w:r>
        <w:rPr>
          <w:spacing w:val="-43"/>
        </w:rPr>
      </w:r>
      <w:r>
        <w:rPr>
          <w:spacing w:val="-2"/>
        </w:rPr>
        <w:t>人能力相挂钩。并不断通过绩效管理的持续改进，有效促进员工不断提升工作能力、职业素养与工作业绩，推动员工自我成</w:t>
      </w:r>
      <w:r>
        <w:rPr>
          <w:spacing w:val="-66"/>
        </w:rPr>
        <w:t> </w:t>
      </w:r>
      <w:r>
        <w:rPr>
          <w:spacing w:val="-66"/>
        </w:rPr>
      </w:r>
      <w:r>
        <w:rPr/>
        <w:t>长，实现自我价值。保持公司健康持续的发展的同时，实现公司价值与员工价值的同步成长。</w:t>
      </w:r>
    </w:p>
    <w:p>
      <w:pPr>
        <w:pStyle w:val="BodyText"/>
        <w:spacing w:line="338" w:lineRule="auto" w:before="63"/>
        <w:ind w:left="514" w:right="1180" w:hanging="360"/>
        <w:jc w:val="left"/>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报告期内，职工薪酬总额（计入成本部分）占公司总成本的比例为</w:t>
      </w:r>
      <w:r>
        <w:rPr>
          <w:rFonts w:ascii="Times New Roman" w:hAnsi="Times New Roman" w:cs="Times New Roman" w:eastAsia="Times New Roman" w:hint="default"/>
        </w:rPr>
        <w:t>4.29%</w:t>
      </w:r>
      <w:r>
        <w:rPr/>
        <w:t>，上年同期为</w:t>
      </w:r>
      <w:r>
        <w:rPr>
          <w:rFonts w:ascii="Times New Roman" w:hAnsi="Times New Roman" w:cs="Times New Roman" w:eastAsia="Times New Roman" w:hint="default"/>
        </w:rPr>
        <w:t>3.63%</w:t>
      </w:r>
      <w:r>
        <w:rPr/>
        <w:t>，公司利润对职工薪酬总</w:t>
      </w:r>
    </w:p>
    <w:p>
      <w:pPr>
        <w:pStyle w:val="BodyText"/>
        <w:spacing w:line="230" w:lineRule="exact"/>
        <w:ind w:right="0"/>
        <w:jc w:val="left"/>
      </w:pPr>
      <w:r>
        <w:rPr>
          <w:spacing w:val="-4"/>
        </w:rPr>
        <w:t>额变化敏感度较低。公司软件板块职工薪酬（计入成本部分）占软件板块营业成本的比重为</w:t>
      </w:r>
      <w:r>
        <w:rPr>
          <w:rFonts w:ascii="Times New Roman" w:hAnsi="Times New Roman" w:cs="Times New Roman" w:eastAsia="Times New Roman" w:hint="default"/>
          <w:spacing w:val="-4"/>
        </w:rPr>
        <w:t>5.52%</w:t>
      </w:r>
      <w:r>
        <w:rPr>
          <w:spacing w:val="-4"/>
        </w:rPr>
        <w:t>，较上年同期增加了</w:t>
      </w:r>
      <w:r>
        <w:rPr>
          <w:rFonts w:ascii="Times New Roman" w:hAnsi="Times New Roman" w:cs="Times New Roman" w:eastAsia="Times New Roman" w:hint="default"/>
          <w:spacing w:val="-4"/>
        </w:rPr>
        <w:t>1.16%</w:t>
      </w:r>
      <w:r>
        <w:rPr>
          <w:spacing w:val="-4"/>
        </w:rPr>
        <w:t>，</w:t>
      </w:r>
    </w:p>
    <w:p>
      <w:pPr>
        <w:pStyle w:val="BodyText"/>
        <w:spacing w:line="240" w:lineRule="auto" w:before="63"/>
        <w:ind w:right="0"/>
        <w:jc w:val="left"/>
      </w:pPr>
      <w:r>
        <w:rPr/>
        <w:t>对公司当期利润产生了一定影响</w:t>
      </w:r>
      <w:r>
        <w:rPr>
          <w:spacing w:val="-77"/>
        </w:rPr>
        <w:t>。</w:t>
      </w:r>
      <w:r>
        <w:rPr/>
        <w:t>报告期内</w:t>
      </w:r>
      <w:r>
        <w:rPr>
          <w:spacing w:val="-77"/>
        </w:rPr>
        <w:t>，</w:t>
      </w:r>
      <w:r>
        <w:rPr/>
        <w:t>公司核心技术人员数量及薪酬占比分别为</w:t>
      </w:r>
      <w:r>
        <w:rPr>
          <w:rFonts w:ascii="Times New Roman" w:hAnsi="Times New Roman" w:cs="Times New Roman" w:eastAsia="Times New Roman" w:hint="default"/>
          <w:spacing w:val="-1"/>
        </w:rPr>
        <w:t>3.20%</w:t>
      </w:r>
      <w:r>
        <w:rPr>
          <w:spacing w:val="-77"/>
        </w:rPr>
        <w:t>、</w:t>
      </w:r>
      <w:r>
        <w:rPr>
          <w:rFonts w:ascii="Times New Roman" w:hAnsi="Times New Roman" w:cs="Times New Roman" w:eastAsia="Times New Roman" w:hint="default"/>
        </w:rPr>
        <w:t>7.35%</w:t>
      </w:r>
      <w:r>
        <w:rPr>
          <w:spacing w:val="-77"/>
        </w:rPr>
        <w:t>，</w:t>
      </w:r>
      <w:r>
        <w:rPr/>
        <w:t>上年同期分别为</w:t>
      </w:r>
      <w:r>
        <w:rPr>
          <w:rFonts w:ascii="Times New Roman" w:hAnsi="Times New Roman" w:cs="Times New Roman" w:eastAsia="Times New Roman" w:hint="default"/>
          <w:spacing w:val="-1"/>
        </w:rPr>
        <w:t>2.83%</w:t>
      </w:r>
      <w:r>
        <w:rPr/>
        <w:t>、</w:t>
      </w:r>
    </w:p>
    <w:p>
      <w:pPr>
        <w:pStyle w:val="BodyText"/>
        <w:spacing w:line="240" w:lineRule="auto" w:before="63"/>
        <w:ind w:right="0"/>
        <w:jc w:val="left"/>
      </w:pPr>
      <w:r>
        <w:rPr>
          <w:rFonts w:ascii="Times New Roman" w:hAnsi="Times New Roman" w:cs="Times New Roman" w:eastAsia="Times New Roman" w:hint="default"/>
        </w:rPr>
        <w:t>4.78%</w:t>
      </w:r>
      <w:r>
        <w:rPr/>
        <w:t>，分别增加了</w:t>
      </w:r>
      <w:r>
        <w:rPr>
          <w:rFonts w:ascii="Times New Roman" w:hAnsi="Times New Roman" w:cs="Times New Roman" w:eastAsia="Times New Roman" w:hint="default"/>
        </w:rPr>
        <w:t>0.37%</w:t>
      </w:r>
      <w:r>
        <w:rPr/>
        <w:t>、</w:t>
      </w:r>
      <w:r>
        <w:rPr>
          <w:rFonts w:ascii="Times New Roman" w:hAnsi="Times New Roman" w:cs="Times New Roman" w:eastAsia="Times New Roman" w:hint="default"/>
        </w:rPr>
        <w:t>2.57%</w:t>
      </w:r>
      <w:r>
        <w:rPr/>
        <w:t>。</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依据公司战略规划和发展目标，公司坚持完善中高层管理团队能力修炼计划、关键岗位继任者计划、管理培训生培养及</w:t>
      </w:r>
      <w:r>
        <w:rPr/>
        <w:t> </w:t>
      </w:r>
      <w:r>
        <w:rPr>
          <w:spacing w:val="-2"/>
        </w:rPr>
        <w:t>员工日常技能培训四个模块的人员培训体系，形成由低到高的人才培养衔接机制，完善能力素质培养与专业技能培养结合机</w:t>
      </w:r>
      <w:r>
        <w:rPr>
          <w:spacing w:val="-64"/>
        </w:rPr>
        <w:t> </w:t>
      </w:r>
      <w:r>
        <w:rPr>
          <w:spacing w:val="-64"/>
        </w:rPr>
      </w:r>
      <w:r>
        <w:rPr>
          <w:spacing w:val="-4"/>
        </w:rPr>
        <w:t>制。其中，中高层管理团队能力修炼计划，通过先进的管理理念培训和指导，提升核心管理团队素质。关键岗位继任者计划，</w:t>
      </w:r>
      <w:r>
        <w:rPr>
          <w:spacing w:val="-44"/>
        </w:rPr>
        <w:t> </w:t>
      </w:r>
      <w:r>
        <w:rPr>
          <w:spacing w:val="-44"/>
        </w:rPr>
      </w:r>
      <w:r>
        <w:rPr>
          <w:spacing w:val="-2"/>
        </w:rPr>
        <w:t>主要是针对经理以上级岗位选拔和培养后备梯队，以保证公司快速发展中中层管理干部的人员供给。同时，继续完善管理培</w:t>
      </w:r>
      <w:r>
        <w:rPr>
          <w:spacing w:val="-66"/>
        </w:rPr>
        <w:t> </w:t>
      </w:r>
      <w:r>
        <w:rPr>
          <w:spacing w:val="-66"/>
        </w:rPr>
      </w:r>
      <w:r>
        <w:rPr>
          <w:spacing w:val="-2"/>
        </w:rPr>
        <w:t>训生招聘和培养体系，每年向企业各个岗位输送优秀的新鲜血液。在日常培训方面，把外部培训课程内化，丰富和完善公司</w:t>
      </w:r>
      <w:r>
        <w:rPr>
          <w:spacing w:val="-66"/>
        </w:rPr>
        <w:t> </w:t>
      </w:r>
      <w:r>
        <w:rPr>
          <w:spacing w:val="-66"/>
        </w:rPr>
      </w:r>
      <w:r>
        <w:rPr/>
        <w:t>内部网络培训资源，定期组织开展内部专业理理论和技能培训，使员工在企业始终得到能力的提升和锻炼。</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after="0" w:line="240"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976"/>
        <w:jc w:val="center"/>
        <w:rPr>
          <w:b w:val="0"/>
          <w:bCs w:val="0"/>
        </w:rPr>
      </w:pPr>
      <w:bookmarkStart w:name="_TOC_250003" w:id="10"/>
      <w:r>
        <w:rPr/>
        <w:t>第十节公司治理</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4" w:lineRule="auto"/>
        <w:ind w:right="1131" w:firstLine="360"/>
        <w:jc w:val="both"/>
      </w:pPr>
      <w:r>
        <w:rPr>
          <w:spacing w:val="-2"/>
        </w:rPr>
        <w:t>公司严格按照《公司法》、《证券法》、《上市公司治理准则》、《深圳证券交易所股票上市规则》、《深圳证券交易</w:t>
      </w:r>
      <w:r>
        <w:rPr/>
        <w:t> </w:t>
      </w:r>
      <w:r>
        <w:rPr>
          <w:spacing w:val="-2"/>
        </w:rPr>
        <w:t>所上市公司规范运作指引》等法律法规及有关上市公司治理规范性文件的要求，结合本公司实际情况，建立了完善的法人治</w:t>
      </w:r>
      <w:r>
        <w:rPr>
          <w:spacing w:val="-66"/>
        </w:rPr>
        <w:t> </w:t>
      </w:r>
      <w:r>
        <w:rPr>
          <w:spacing w:val="-66"/>
        </w:rPr>
      </w:r>
      <w:r>
        <w:rPr/>
        <w:t>理结构并不断完善，建立健全公司内部管理和控制制度，持续深入开展公司治理活动，促进公司规范运作。经</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 </w:t>
      </w:r>
      <w:r>
        <w:rPr>
          <w:spacing w:val="-2"/>
        </w:rPr>
        <w:t>日召开的董事会七届四次会议批准，公司根据实际运行情况对《董事、监事、高级管理人员薪酬管理制度》的部分条款进行</w:t>
      </w:r>
      <w:r>
        <w:rPr>
          <w:spacing w:val="-66"/>
        </w:rPr>
        <w:t> </w:t>
      </w:r>
      <w:r>
        <w:rPr>
          <w:spacing w:val="-66"/>
        </w:rPr>
      </w:r>
      <w:r>
        <w:rPr/>
        <w:t>了修订。</w:t>
      </w:r>
    </w:p>
    <w:p>
      <w:pPr>
        <w:pStyle w:val="BodyText"/>
        <w:spacing w:line="240" w:lineRule="auto" w:before="61"/>
        <w:ind w:right="0"/>
        <w:jc w:val="left"/>
      </w:pPr>
      <w:r>
        <w:rPr/>
        <w:t>公司治理的实际状况与中国证监会发布的有关上市公司治理的规范性文件是否存在重大差异</w:t>
      </w:r>
    </w:p>
    <w:p>
      <w:pPr>
        <w:pStyle w:val="BodyText"/>
        <w:spacing w:line="338" w:lineRule="auto" w:before="117"/>
        <w:ind w:right="35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02" w:lineRule="auto"/>
        <w:ind w:right="0" w:firstLine="360"/>
        <w:jc w:val="left"/>
      </w:pPr>
      <w:r>
        <w:rPr>
          <w:spacing w:val="-2"/>
        </w:rPr>
        <w:t>公司与控股股东在业务、人员、资产、机构、财务等方面做到了</w:t>
      </w:r>
      <w:r>
        <w:rPr>
          <w:rFonts w:ascii="Times New Roman" w:hAnsi="Times New Roman" w:cs="Times New Roman" w:eastAsia="Times New Roman" w:hint="default"/>
          <w:spacing w:val="-2"/>
        </w:rPr>
        <w:t>“</w:t>
      </w:r>
      <w:r>
        <w:rPr>
          <w:spacing w:val="-2"/>
        </w:rPr>
        <w:t>五分开</w:t>
      </w:r>
      <w:r>
        <w:rPr>
          <w:rFonts w:ascii="Times New Roman" w:hAnsi="Times New Roman" w:cs="Times New Roman" w:eastAsia="Times New Roman" w:hint="default"/>
          <w:spacing w:val="-2"/>
        </w:rPr>
        <w:t>”</w:t>
      </w:r>
      <w:r>
        <w:rPr>
          <w:spacing w:val="-2"/>
        </w:rPr>
        <w:t>，公司独立核算、独立纳税、独立承担责任和</w:t>
      </w:r>
      <w:r>
        <w:rPr/>
        <w:t> 风险，具有独立完整的业务与自主经营能力。</w:t>
      </w:r>
    </w:p>
    <w:p>
      <w:pPr>
        <w:pStyle w:val="BodyText"/>
        <w:spacing w:line="240" w:lineRule="auto" w:before="70"/>
        <w:ind w:left="514" w:right="0"/>
        <w:jc w:val="left"/>
      </w:pPr>
      <w:r>
        <w:rPr>
          <w:rFonts w:ascii="Times New Roman" w:hAnsi="Times New Roman" w:cs="Times New Roman" w:eastAsia="Times New Roman" w:hint="default"/>
        </w:rPr>
        <w:t>1</w:t>
      </w:r>
      <w:r>
        <w:rPr/>
        <w:t>、业务方面：公司在业务上与控股股东完全分开，具有完全独立的产、供、销系统和自主独立的经营能力。</w:t>
      </w:r>
    </w:p>
    <w:p>
      <w:pPr>
        <w:pStyle w:val="BodyText"/>
        <w:spacing w:line="240" w:lineRule="auto" w:before="102"/>
        <w:ind w:left="514" w:right="0"/>
        <w:jc w:val="left"/>
      </w:pPr>
      <w:r>
        <w:rPr>
          <w:rFonts w:ascii="Times New Roman" w:hAnsi="Times New Roman" w:cs="Times New Roman" w:eastAsia="Times New Roman" w:hint="default"/>
        </w:rPr>
        <w:t>2</w:t>
      </w:r>
      <w:r>
        <w:rPr/>
        <w:t>、财务方面：公司具有独立的财务部门，有规范的财务核算体系和财务管理制度、内控制度，有独立的银行账户。</w:t>
      </w:r>
    </w:p>
    <w:p>
      <w:pPr>
        <w:pStyle w:val="BodyText"/>
        <w:spacing w:line="240" w:lineRule="auto" w:before="102"/>
        <w:ind w:left="514" w:right="0"/>
        <w:jc w:val="left"/>
      </w:pPr>
      <w:r>
        <w:rPr>
          <w:rFonts w:ascii="Times New Roman" w:hAnsi="Times New Roman" w:cs="Times New Roman" w:eastAsia="Times New Roman" w:hint="default"/>
        </w:rPr>
        <w:t>3</w:t>
      </w:r>
      <w:r>
        <w:rPr/>
        <w:t>、人员方面：公司在劳动、人事、工资等人力资源方面完全独立，具有独立完整的自主能力。</w:t>
      </w:r>
    </w:p>
    <w:p>
      <w:pPr>
        <w:pStyle w:val="BodyText"/>
        <w:spacing w:line="302" w:lineRule="auto" w:before="102"/>
        <w:ind w:right="1120" w:firstLine="360"/>
        <w:jc w:val="left"/>
      </w:pPr>
      <w:r>
        <w:rPr>
          <w:rFonts w:ascii="Times New Roman" w:hAnsi="Times New Roman" w:cs="Times New Roman" w:eastAsia="Times New Roman" w:hint="default"/>
        </w:rPr>
        <w:t>4</w:t>
      </w:r>
      <w:r>
        <w:rPr/>
        <w:t>、资产方面：公司具有完整的、独立的法人财产权，拥有独立、完善的生产、辅助生产和配套设施；对商标、专利技 术等无形资产具有独立所有权。</w:t>
      </w:r>
    </w:p>
    <w:p>
      <w:pPr>
        <w:pStyle w:val="BodyText"/>
        <w:spacing w:line="240" w:lineRule="auto" w:before="69"/>
        <w:ind w:left="516" w:right="0"/>
        <w:jc w:val="left"/>
      </w:pPr>
      <w:r>
        <w:rPr>
          <w:rFonts w:ascii="Times New Roman" w:hAnsi="Times New Roman" w:cs="Times New Roman" w:eastAsia="Times New Roman" w:hint="default"/>
        </w:rPr>
        <w:t>5</w:t>
      </w:r>
      <w:r>
        <w:rPr/>
        <w:t>、机构方面：公司组织机构独立、完善，不存在与控股股东合署办公的情况。</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三、同业竞争情况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900"/>
        <w:gridCol w:w="900"/>
        <w:gridCol w:w="900"/>
        <w:gridCol w:w="1594"/>
        <w:gridCol w:w="1595"/>
        <w:gridCol w:w="3652"/>
      </w:tblGrid>
      <w:tr>
        <w:trPr>
          <w:trHeight w:val="714"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73" w:right="84" w:hanging="90"/>
              <w:jc w:val="left"/>
              <w:rPr>
                <w:rFonts w:ascii="宋体" w:hAnsi="宋体" w:cs="宋体" w:eastAsia="宋体" w:hint="default"/>
                <w:sz w:val="18"/>
                <w:szCs w:val="18"/>
              </w:rPr>
            </w:pPr>
            <w:r>
              <w:rPr>
                <w:rFonts w:ascii="宋体" w:hAnsi="宋体" w:cs="宋体" w:eastAsia="宋体" w:hint="default"/>
                <w:sz w:val="18"/>
                <w:szCs w:val="18"/>
              </w:rPr>
              <w:t>投资者参 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3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5"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股东大会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年度股东 大会</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10" w:right="0"/>
              <w:jc w:val="left"/>
              <w:rPr>
                <w:rFonts w:ascii="Times New Roman" w:hAnsi="Times New Roman" w:cs="Times New Roman" w:eastAsia="Times New Roman" w:hint="default"/>
                <w:sz w:val="18"/>
                <w:szCs w:val="18"/>
              </w:rPr>
            </w:pPr>
            <w:r>
              <w:rPr>
                <w:rFonts w:ascii="Times New Roman"/>
                <w:sz w:val="18"/>
              </w:rPr>
              <w:t>45.65%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65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巨潮资讯</w:t>
            </w:r>
            <w:r>
              <w:rPr>
                <w:rFonts w:ascii="宋体" w:hAnsi="宋体" w:cs="宋体" w:eastAsia="宋体" w:hint="default"/>
                <w:spacing w:val="-24"/>
                <w:sz w:val="18"/>
                <w:szCs w:val="18"/>
              </w:rPr>
              <w:t>网</w:t>
            </w:r>
            <w:r>
              <w:rPr>
                <w:rFonts w:ascii="宋体" w:hAnsi="宋体" w:cs="宋体" w:eastAsia="宋体" w:hint="default"/>
                <w:sz w:val="18"/>
                <w:szCs w:val="18"/>
              </w:rPr>
              <w:t>（</w:t>
            </w:r>
            <w:hyperlink r:id="rId9">
              <w:r>
                <w:rPr>
                  <w:rFonts w:ascii="Times New Roman" w:hAnsi="Times New Roman" w:cs="Times New Roman" w:eastAsia="Times New Roman" w:hint="default"/>
                  <w:sz w:val="18"/>
                  <w:szCs w:val="18"/>
                </w:rPr>
                <w:t>http://ww</w:t>
              </w:r>
              <w:r>
                <w:rPr>
                  <w:rFonts w:ascii="Times New Roman" w:hAnsi="Times New Roman" w:cs="Times New Roman" w:eastAsia="Times New Roman" w:hint="default"/>
                  <w:spacing w:val="-13"/>
                  <w:sz w:val="18"/>
                  <w:szCs w:val="18"/>
                </w:rPr>
                <w:t>w</w:t>
              </w:r>
              <w:r>
                <w:rPr>
                  <w:rFonts w:ascii="Times New Roman" w:hAnsi="Times New Roman" w:cs="Times New Roman" w:eastAsia="Times New Roman" w:hint="default"/>
                  <w:sz w:val="18"/>
                  <w:szCs w:val="18"/>
                </w:rPr>
                <w:t>.cninf</w:t>
              </w:r>
              <w:r>
                <w:rPr>
                  <w:rFonts w:ascii="Times New Roman" w:hAnsi="Times New Roman" w:cs="Times New Roman" w:eastAsia="Times New Roman" w:hint="default"/>
                  <w:spacing w:val="-2"/>
                  <w:sz w:val="18"/>
                  <w:szCs w:val="18"/>
                </w:rPr>
                <w:t>o</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co</w:t>
              </w:r>
              <w:r>
                <w:rPr>
                  <w:rFonts w:ascii="Times New Roman" w:hAnsi="Times New Roman" w:cs="Times New Roman" w:eastAsia="Times New Roman" w:hint="default"/>
                  <w:spacing w:val="-1"/>
                  <w:sz w:val="18"/>
                  <w:szCs w:val="18"/>
                </w:rPr>
                <w:t>m</w:t>
              </w:r>
              <w:r>
                <w:rPr>
                  <w:rFonts w:ascii="Times New Roman" w:hAnsi="Times New Roman" w:cs="Times New Roman" w:eastAsia="Times New Roman" w:hint="default"/>
                  <w:sz w:val="18"/>
                  <w:szCs w:val="18"/>
                </w:rPr>
                <w:t>.cn/</w:t>
              </w:r>
            </w:hyperlink>
            <w:r>
              <w:rPr>
                <w:rFonts w:ascii="宋体" w:hAnsi="宋体" w:cs="宋体" w:eastAsia="宋体" w:hint="default"/>
                <w:spacing w:val="-114"/>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年度股东大会决议公告</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2019-029</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7"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7"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7"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6"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袁宗琦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李质仙</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李万军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孟梓</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0"/>
        <w:jc w:val="left"/>
      </w:pPr>
      <w:r>
        <w:rPr/>
        <w:t>连续两次未亲自出席董事会的说明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40" w:lineRule="auto" w:before="116"/>
        <w:ind w:right="697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38" w:lineRule="auto" w:before="116"/>
        <w:ind w:right="67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42"/>
        <w:ind w:right="1129" w:firstLine="360"/>
        <w:jc w:val="both"/>
      </w:pPr>
      <w:r>
        <w:rPr>
          <w:spacing w:val="-2"/>
        </w:rPr>
        <w:t>公司独立董事经常通过询问或实地考察的方式了解公司日常生产经营情况。同时，关注报纸、网络等媒体有关公司的宣</w:t>
      </w:r>
      <w:r>
        <w:rPr/>
        <w:t> </w:t>
      </w:r>
      <w:r>
        <w:rPr>
          <w:spacing w:val="-2"/>
        </w:rPr>
        <w:t>传和报道，及时获悉公司的运行动态。报告期内，公司独立董事对公司的重大决策提供了专业性意见，对公司财务及日常经</w:t>
      </w:r>
      <w:r>
        <w:rPr>
          <w:spacing w:val="-66"/>
        </w:rPr>
        <w:t> </w:t>
      </w:r>
      <w:r>
        <w:rPr>
          <w:spacing w:val="-66"/>
        </w:rPr>
      </w:r>
      <w:r>
        <w:rPr>
          <w:spacing w:val="-2"/>
        </w:rPr>
        <w:t>营活动进行了有效监督，对报告期内公司发生的各项需要独立董事发表意见的事项出具了独立、公正的独立董事意见，提高</w:t>
      </w:r>
      <w:r>
        <w:rPr>
          <w:spacing w:val="-66"/>
        </w:rPr>
        <w:t> </w:t>
      </w:r>
      <w:r>
        <w:rPr>
          <w:spacing w:val="-66"/>
        </w:rPr>
      </w:r>
      <w:r>
        <w:rPr/>
        <w:t>了公司决策的能力，对完善公司管理和监督机制发挥应有的作用。</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4" w:lineRule="auto"/>
        <w:ind w:left="153" w:right="1031" w:firstLine="360"/>
        <w:jc w:val="left"/>
      </w:pPr>
      <w:r>
        <w:rPr>
          <w:spacing w:val="-2"/>
        </w:rPr>
        <w:t>报告期内，董事会专门委员会共召开五次会议。其中，薪酬与考核委员会召开一次会议，审议通过了公司《</w:t>
      </w:r>
      <w:r>
        <w:rPr>
          <w:rFonts w:ascii="Times New Roman" w:hAnsi="Times New Roman" w:cs="Times New Roman" w:eastAsia="Times New Roman" w:hint="default"/>
          <w:spacing w:val="-2"/>
        </w:rPr>
        <w:t>2019</w:t>
      </w:r>
      <w:r>
        <w:rPr>
          <w:spacing w:val="-2"/>
        </w:rPr>
        <w:t>年度董</w:t>
      </w:r>
      <w:r>
        <w:rPr/>
        <w:t> </w:t>
      </w:r>
      <w:r>
        <w:rPr>
          <w:spacing w:val="-2"/>
        </w:rPr>
        <w:t>事、监事、高级管理人员薪酬与绩效考核方案》；提名委员会召开一次会议，推荐了公司副总经理候选人人选。审计委员会</w:t>
      </w:r>
      <w:r>
        <w:rPr>
          <w:spacing w:val="-70"/>
        </w:rPr>
        <w:t> </w:t>
      </w:r>
      <w:r>
        <w:rPr>
          <w:spacing w:val="-70"/>
        </w:rPr>
      </w:r>
      <w:r>
        <w:rPr/>
        <w:t>召开三次会议，审议了包括计提资产减值准备、定期报告、内部控制评价报告、关联交易、对外担保、聘任会计师事务所、 </w:t>
      </w:r>
      <w:r>
        <w:rPr>
          <w:spacing w:val="-2"/>
        </w:rPr>
        <w:t>募集资金存放与使用情况、会计政策变更等事项，出具了审计委员会意见。在年度审计过程中，审计委员会能够认真履行督</w:t>
      </w:r>
      <w:r>
        <w:rPr>
          <w:spacing w:val="-66"/>
        </w:rPr>
        <w:t> </w:t>
      </w:r>
      <w:r>
        <w:rPr>
          <w:spacing w:val="-66"/>
        </w:rPr>
      </w:r>
      <w:r>
        <w:rPr>
          <w:spacing w:val="-2"/>
        </w:rPr>
        <w:t>导职责，采用电话和书面方式通知年审会计师事务所项目负责人，督促其提交初步审计意见和审计报告，确保了公司审计报</w:t>
      </w:r>
      <w:r>
        <w:rPr>
          <w:spacing w:val="-66"/>
        </w:rPr>
        <w:t> </w:t>
      </w:r>
      <w:r>
        <w:rPr>
          <w:spacing w:val="-66"/>
        </w:rPr>
      </w:r>
      <w:r>
        <w:rPr/>
        <w:t>告的按时完成。充分发挥了审计委员会在定期报告编制、财务风险和信息披露方面的监督作用。</w:t>
      </w:r>
    </w:p>
    <w:p>
      <w:pPr>
        <w:spacing w:line="240" w:lineRule="auto" w:before="12"/>
        <w:rPr>
          <w:rFonts w:ascii="宋体" w:hAnsi="宋体" w:cs="宋体" w:eastAsia="宋体" w:hint="default"/>
          <w:sz w:val="20"/>
          <w:szCs w:val="20"/>
        </w:rPr>
      </w:pPr>
    </w:p>
    <w:p>
      <w:pPr>
        <w:pStyle w:val="Heading2"/>
        <w:spacing w:line="240" w:lineRule="auto"/>
        <w:ind w:right="0"/>
        <w:jc w:val="left"/>
        <w:rPr>
          <w:b w:val="0"/>
          <w:bCs w:val="0"/>
        </w:rPr>
      </w:pP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spacing w:after="0" w:line="240" w:lineRule="auto"/>
        <w:jc w:val="left"/>
        <w:sectPr>
          <w:pgSz w:w="11910" w:h="16840"/>
          <w:pgMar w:header="747" w:footer="982" w:top="1060" w:bottom="1180" w:left="980" w:right="0"/>
        </w:sectPr>
      </w:pPr>
    </w:p>
    <w:p>
      <w:pPr>
        <w:spacing w:line="240" w:lineRule="auto" w:before="13"/>
        <w:rPr>
          <w:rFonts w:ascii="宋体" w:hAnsi="宋体" w:cs="宋体" w:eastAsia="宋体" w:hint="default"/>
          <w:sz w:val="25"/>
          <w:szCs w:val="25"/>
        </w:rPr>
      </w:pPr>
    </w:p>
    <w:p>
      <w:pPr>
        <w:pStyle w:val="BodyText"/>
        <w:spacing w:line="357" w:lineRule="auto" w:before="44"/>
        <w:ind w:left="153" w:right="7691"/>
        <w:jc w:val="left"/>
      </w:pPr>
      <w:r>
        <w:rPr/>
        <w:t>□ 是 √ 否 监事会对报告期内的监督事项无异议。</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0" w:firstLine="362"/>
        <w:jc w:val="both"/>
      </w:pPr>
      <w:r>
        <w:rPr>
          <w:spacing w:val="-2"/>
        </w:rPr>
        <w:t>公司高度重视对高级管理人员的绩效考评工作，制定并不断修订《董事、监事和高级管理人员薪酬管理制度》，逐步完</w:t>
      </w:r>
      <w:r>
        <w:rPr/>
        <w:t> </w:t>
      </w:r>
      <w:r>
        <w:rPr>
          <w:spacing w:val="-2"/>
        </w:rPr>
        <w:t>善高级管理人员的考评与激励机制。公司董事会根据下达的年度经营业绩指标，对高级管理人员实行收入与公司利润指标和</w:t>
      </w:r>
      <w:r>
        <w:rPr>
          <w:spacing w:val="-64"/>
        </w:rPr>
        <w:t> </w:t>
      </w:r>
      <w:r>
        <w:rPr>
          <w:spacing w:val="-64"/>
        </w:rPr>
      </w:r>
      <w:r>
        <w:rPr/>
        <w:t>销售收入双挂钩的考核激励办法，并按一定比例交纳风险抵押金，按年度进行考核。</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r>
        <w:rPr/>
        <w:t>九、内部控制情况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是 √ 否</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pStyle w:val="BodyText"/>
        <w:spacing w:line="240" w:lineRule="auto" w:before="44"/>
        <w:ind w:left="0" w:right="1139"/>
        <w:jc w:val="right"/>
      </w:pPr>
      <w:r>
        <w:rPr/>
        <w:pict>
          <v:shape style="position:absolute;margin-left:57.029995pt;margin-top:-253.987991pt;width:478.55pt;height:426.5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77"/>
                    <w:gridCol w:w="3329"/>
                    <w:gridCol w:w="3050"/>
                  </w:tblGrid>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9"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9"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年度内部控制评价报告》详见</w:t>
                        </w:r>
                        <w:r>
                          <w:rPr>
                            <w:rFonts w:ascii="宋体" w:hAnsi="宋体" w:cs="宋体" w:eastAsia="宋体" w:hint="default"/>
                            <w:spacing w:val="-14"/>
                            <w:sz w:val="18"/>
                            <w:szCs w:val="18"/>
                          </w:rPr>
                          <w:t> </w:t>
                        </w: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95"/>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9"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95"/>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9"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r>
                  <w:tr>
                    <w:trPr>
                      <w:trHeight w:val="401"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346" w:hRule="exact"/>
                    </w:trPr>
                    <w:tc>
                      <w:tcPr>
                        <w:tcW w:w="3177" w:type="dxa"/>
                        <w:tcBorders>
                          <w:top w:val="single" w:sz="4" w:space="0" w:color="000000"/>
                          <w:left w:val="single" w:sz="4" w:space="0" w:color="000000"/>
                          <w:bottom w:val="nil" w:sz="6" w:space="0" w:color="auto"/>
                          <w:right w:val="single" w:sz="4" w:space="0" w:color="000000"/>
                        </w:tcBorders>
                        <w:shd w:val="clear" w:color="auto" w:fill="D3D3D3"/>
                      </w:tcPr>
                      <w:p>
                        <w:pPr/>
                      </w:p>
                    </w:tc>
                    <w:tc>
                      <w:tcPr>
                        <w:tcW w:w="3329" w:type="dxa"/>
                        <w:vMerge w:val="restart"/>
                        <w:tcBorders>
                          <w:top w:val="single" w:sz="4" w:space="0" w:color="000000"/>
                          <w:left w:val="single" w:sz="10" w:space="0" w:color="D3D3D3"/>
                          <w:right w:val="single" w:sz="4" w:space="0" w:color="000000"/>
                        </w:tcBorders>
                      </w:tcPr>
                      <w:p>
                        <w:pPr>
                          <w:pStyle w:val="TableParagraph"/>
                          <w:spacing w:line="309" w:lineRule="auto" w:before="52"/>
                          <w:ind w:left="21" w:right="48" w:firstLine="360"/>
                          <w:jc w:val="both"/>
                          <w:rPr>
                            <w:rFonts w:ascii="宋体" w:hAnsi="宋体" w:cs="宋体" w:eastAsia="宋体" w:hint="default"/>
                            <w:sz w:val="18"/>
                            <w:szCs w:val="18"/>
                          </w:rPr>
                        </w:pPr>
                        <w:r>
                          <w:rPr>
                            <w:rFonts w:ascii="宋体" w:hAnsi="宋体" w:cs="宋体" w:eastAsia="宋体" w:hint="default"/>
                            <w:spacing w:val="-6"/>
                            <w:sz w:val="18"/>
                            <w:szCs w:val="18"/>
                          </w:rPr>
                          <w:t>重大缺陷：（</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）董事、监事和高级管</w:t>
                        </w:r>
                        <w:r>
                          <w:rPr>
                            <w:rFonts w:ascii="宋体" w:hAnsi="宋体" w:cs="宋体" w:eastAsia="宋体" w:hint="default"/>
                            <w:sz w:val="18"/>
                            <w:szCs w:val="18"/>
                          </w:rPr>
                          <w:t> </w:t>
                        </w:r>
                        <w:r>
                          <w:rPr>
                            <w:rFonts w:ascii="宋体" w:hAnsi="宋体" w:cs="宋体" w:eastAsia="宋体" w:hint="default"/>
                            <w:spacing w:val="-5"/>
                            <w:sz w:val="18"/>
                            <w:szCs w:val="18"/>
                          </w:rPr>
                          <w:t>理人员舞弊；（</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）企业更正已公布的财务</w:t>
                        </w:r>
                        <w:r>
                          <w:rPr>
                            <w:rFonts w:ascii="宋体" w:hAnsi="宋体" w:cs="宋体" w:eastAsia="宋体" w:hint="default"/>
                            <w:spacing w:val="-85"/>
                            <w:sz w:val="18"/>
                            <w:szCs w:val="18"/>
                          </w:rPr>
                          <w:t> </w:t>
                        </w:r>
                        <w:r>
                          <w:rPr>
                            <w:rFonts w:ascii="宋体" w:hAnsi="宋体" w:cs="宋体" w:eastAsia="宋体" w:hint="default"/>
                            <w:spacing w:val="-5"/>
                            <w:sz w:val="18"/>
                            <w:szCs w:val="18"/>
                          </w:rPr>
                          <w:t>报告；（</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）注册会计师发现当期财务报告</w:t>
                        </w:r>
                        <w:r>
                          <w:rPr>
                            <w:rFonts w:ascii="宋体" w:hAnsi="宋体" w:cs="宋体" w:eastAsia="宋体" w:hint="default"/>
                            <w:spacing w:val="-85"/>
                            <w:sz w:val="18"/>
                            <w:szCs w:val="18"/>
                          </w:rPr>
                          <w:t> </w:t>
                        </w:r>
                        <w:r>
                          <w:rPr>
                            <w:rFonts w:ascii="宋体" w:hAnsi="宋体" w:cs="宋体" w:eastAsia="宋体" w:hint="default"/>
                            <w:sz w:val="18"/>
                            <w:szCs w:val="18"/>
                          </w:rPr>
                          <w:t>存在重大错报而内部控制在运行过程中未 </w:t>
                        </w:r>
                        <w:r>
                          <w:rPr>
                            <w:rFonts w:ascii="宋体" w:hAnsi="宋体" w:cs="宋体" w:eastAsia="宋体" w:hint="default"/>
                            <w:spacing w:val="-5"/>
                            <w:sz w:val="18"/>
                            <w:szCs w:val="18"/>
                          </w:rPr>
                          <w:t>能发现该错报；（</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）企业审计委员会和内</w:t>
                        </w:r>
                        <w:r>
                          <w:rPr>
                            <w:rFonts w:ascii="宋体" w:hAnsi="宋体" w:cs="宋体" w:eastAsia="宋体" w:hint="default"/>
                            <w:spacing w:val="-85"/>
                            <w:sz w:val="18"/>
                            <w:szCs w:val="18"/>
                          </w:rPr>
                          <w:t> </w:t>
                        </w:r>
                        <w:r>
                          <w:rPr>
                            <w:rFonts w:ascii="宋体" w:hAnsi="宋体" w:cs="宋体" w:eastAsia="宋体" w:hint="default"/>
                            <w:sz w:val="18"/>
                            <w:szCs w:val="18"/>
                          </w:rPr>
                          <w:t>部审计机构对内部控制的监督无效。重要 缺陷： （</w:t>
                        </w:r>
                        <w:r>
                          <w:rPr>
                            <w:rFonts w:ascii="Times New Roman" w:hAnsi="Times New Roman" w:cs="Times New Roman" w:eastAsia="Times New Roman" w:hint="default"/>
                            <w:sz w:val="18"/>
                            <w:szCs w:val="18"/>
                          </w:rPr>
                          <w:t>1</w:t>
                        </w:r>
                        <w:r>
                          <w:rPr>
                            <w:rFonts w:ascii="宋体" w:hAnsi="宋体" w:cs="宋体" w:eastAsia="宋体" w:hint="default"/>
                            <w:sz w:val="18"/>
                            <w:szCs w:val="18"/>
                          </w:rPr>
                          <w:t>）未依照公认会计准则选择和 应用会计政策； （</w:t>
                        </w:r>
                        <w:r>
                          <w:rPr>
                            <w:rFonts w:ascii="Times New Roman" w:hAnsi="Times New Roman" w:cs="Times New Roman" w:eastAsia="Times New Roman" w:hint="default"/>
                            <w:sz w:val="18"/>
                            <w:szCs w:val="18"/>
                          </w:rPr>
                          <w:t>2</w:t>
                        </w:r>
                        <w:r>
                          <w:rPr>
                            <w:rFonts w:ascii="宋体" w:hAnsi="宋体" w:cs="宋体" w:eastAsia="宋体" w:hint="default"/>
                            <w:sz w:val="18"/>
                            <w:szCs w:val="18"/>
                          </w:rPr>
                          <w:t>）未建立反舞弊程序 </w:t>
                        </w:r>
                        <w:r>
                          <w:rPr>
                            <w:rFonts w:ascii="宋体" w:hAnsi="宋体" w:cs="宋体" w:eastAsia="宋体" w:hint="default"/>
                            <w:spacing w:val="-5"/>
                            <w:sz w:val="18"/>
                            <w:szCs w:val="18"/>
                          </w:rPr>
                          <w:t>和控制措施；（</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）对于非常规或特殊交易</w:t>
                        </w:r>
                        <w:r>
                          <w:rPr>
                            <w:rFonts w:ascii="宋体" w:hAnsi="宋体" w:cs="宋体" w:eastAsia="宋体" w:hint="default"/>
                            <w:spacing w:val="-85"/>
                            <w:sz w:val="18"/>
                            <w:szCs w:val="18"/>
                          </w:rPr>
                          <w:t> </w:t>
                        </w:r>
                        <w:r>
                          <w:rPr>
                            <w:rFonts w:ascii="宋体" w:hAnsi="宋体" w:cs="宋体" w:eastAsia="宋体" w:hint="default"/>
                            <w:sz w:val="18"/>
                            <w:szCs w:val="18"/>
                          </w:rPr>
                          <w:t>的账务处理没有建立相应的控制机制或没 </w:t>
                        </w:r>
                        <w:r>
                          <w:rPr>
                            <w:rFonts w:ascii="宋体" w:hAnsi="宋体" w:cs="宋体" w:eastAsia="宋体" w:hint="default"/>
                            <w:spacing w:val="-5"/>
                            <w:sz w:val="18"/>
                            <w:szCs w:val="18"/>
                          </w:rPr>
                          <w:t>有实施且没有相应的补偿性控制；（</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）对</w:t>
                        </w:r>
                        <w:r>
                          <w:rPr>
                            <w:rFonts w:ascii="宋体" w:hAnsi="宋体" w:cs="宋体" w:eastAsia="宋体" w:hint="default"/>
                            <w:spacing w:val="-85"/>
                            <w:sz w:val="18"/>
                            <w:szCs w:val="18"/>
                          </w:rPr>
                          <w:t> </w:t>
                        </w:r>
                        <w:r>
                          <w:rPr>
                            <w:rFonts w:ascii="宋体" w:hAnsi="宋体" w:cs="宋体" w:eastAsia="宋体" w:hint="default"/>
                            <w:sz w:val="18"/>
                            <w:szCs w:val="18"/>
                          </w:rPr>
                          <w:t>于期末财务报告过程的控制存在一项或多 项缺陷且不能合理保证编制的财务报表达 到真实、准确的目标。一般缺陷：未构成 重大缺陷、重要缺陷标准的其他内部控制 缺陷。</w:t>
                        </w:r>
                      </w:p>
                    </w:tc>
                    <w:tc>
                      <w:tcPr>
                        <w:tcW w:w="30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20" w:firstLine="360"/>
                          <w:jc w:val="left"/>
                          <w:rPr>
                            <w:rFonts w:ascii="宋体" w:hAnsi="宋体" w:cs="宋体" w:eastAsia="宋体" w:hint="default"/>
                            <w:sz w:val="18"/>
                            <w:szCs w:val="18"/>
                          </w:rPr>
                        </w:pPr>
                        <w:r>
                          <w:rPr>
                            <w:rFonts w:ascii="宋体" w:hAnsi="宋体" w:cs="宋体" w:eastAsia="宋体" w:hint="default"/>
                            <w:spacing w:val="-5"/>
                            <w:sz w:val="18"/>
                            <w:szCs w:val="18"/>
                          </w:rPr>
                          <w:t>重大缺陷：违犯国家法律法规或规</w:t>
                        </w:r>
                        <w:r>
                          <w:rPr>
                            <w:rFonts w:ascii="宋体" w:hAnsi="宋体" w:cs="宋体" w:eastAsia="宋体" w:hint="default"/>
                            <w:sz w:val="18"/>
                            <w:szCs w:val="18"/>
                          </w:rPr>
                          <w:t> </w:t>
                        </w:r>
                        <w:r>
                          <w:rPr>
                            <w:rFonts w:ascii="宋体" w:hAnsi="宋体" w:cs="宋体" w:eastAsia="宋体" w:hint="default"/>
                            <w:spacing w:val="-4"/>
                            <w:sz w:val="18"/>
                            <w:szCs w:val="18"/>
                          </w:rPr>
                          <w:t>范性文件、重大决策程序不科学、制度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缺失可能导致系统性失效、关键岗位人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员流失严重、被媒体频频曝光负面新 </w:t>
                        </w:r>
                        <w:r>
                          <w:rPr>
                            <w:rFonts w:ascii="宋体" w:hAnsi="宋体" w:cs="宋体" w:eastAsia="宋体" w:hint="default"/>
                            <w:spacing w:val="-10"/>
                            <w:sz w:val="18"/>
                            <w:szCs w:val="18"/>
                          </w:rPr>
                          <w:t>闻、重大缺陷不能得到整改。重要缺陷</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违反企业内部规章、重要业务缺乏制度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控制、被媒体曝光负面新闻、较重要业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务缺乏制度控制或制度系统性失效、重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要缺陷的事项未得到整改。一般缺陷 </w:t>
                        </w:r>
                        <w:r>
                          <w:rPr>
                            <w:rFonts w:ascii="宋体" w:hAnsi="宋体" w:cs="宋体" w:eastAsia="宋体" w:hint="default"/>
                            <w:spacing w:val="-4"/>
                            <w:sz w:val="18"/>
                            <w:szCs w:val="18"/>
                          </w:rPr>
                          <w:t>未构成重大缺陷、重要缺陷标准的其他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内部控制缺陷。</w:t>
                        </w:r>
                      </w:p>
                    </w:tc>
                  </w:tr>
                  <w:tr>
                    <w:trPr>
                      <w:trHeight w:val="391" w:hRule="exact"/>
                    </w:trPr>
                    <w:tc>
                      <w:tcPr>
                        <w:tcW w:w="317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10" w:space="0" w:color="D3D3D3"/>
                          <w:right w:val="single" w:sz="4" w:space="0" w:color="000000"/>
                        </w:tcBorders>
                      </w:tcPr>
                      <w:p>
                        <w:pPr/>
                      </w:p>
                    </w:tc>
                    <w:tc>
                      <w:tcPr>
                        <w:tcW w:w="3050" w:type="dxa"/>
                        <w:vMerge/>
                        <w:tcBorders>
                          <w:left w:val="single" w:sz="4" w:space="0" w:color="000000"/>
                          <w:right w:val="single" w:sz="4" w:space="0" w:color="000000"/>
                        </w:tcBorders>
                      </w:tcPr>
                      <w:p>
                        <w:pPr/>
                      </w:p>
                    </w:tc>
                  </w:tr>
                  <w:tr>
                    <w:trPr>
                      <w:trHeight w:val="2346" w:hRule="exact"/>
                    </w:trPr>
                    <w:tc>
                      <w:tcPr>
                        <w:tcW w:w="3177" w:type="dxa"/>
                        <w:tcBorders>
                          <w:top w:val="nil" w:sz="6" w:space="0" w:color="auto"/>
                          <w:left w:val="single" w:sz="4" w:space="0" w:color="000000"/>
                          <w:bottom w:val="single" w:sz="4" w:space="0" w:color="000000"/>
                          <w:right w:val="single" w:sz="4" w:space="0" w:color="000000"/>
                        </w:tcBorders>
                        <w:shd w:val="clear" w:color="auto" w:fill="D3D3D3"/>
                      </w:tcPr>
                      <w:p>
                        <w:pPr/>
                      </w:p>
                    </w:tc>
                    <w:tc>
                      <w:tcPr>
                        <w:tcW w:w="3329" w:type="dxa"/>
                        <w:vMerge/>
                        <w:tcBorders>
                          <w:left w:val="single" w:sz="10" w:space="0" w:color="D3D3D3"/>
                          <w:bottom w:val="single" w:sz="4" w:space="0" w:color="000000"/>
                          <w:right w:val="single" w:sz="4" w:space="0" w:color="000000"/>
                        </w:tcBorders>
                      </w:tcPr>
                      <w:p>
                        <w:pPr/>
                      </w:p>
                    </w:tc>
                    <w:tc>
                      <w:tcPr>
                        <w:tcW w:w="3050" w:type="dxa"/>
                        <w:vMerge/>
                        <w:tcBorders>
                          <w:left w:val="single" w:sz="4" w:space="0" w:color="000000"/>
                          <w:bottom w:val="single" w:sz="4" w:space="0" w:color="000000"/>
                          <w:right w:val="single" w:sz="4" w:space="0" w:color="000000"/>
                        </w:tcBorders>
                      </w:tcPr>
                      <w:p>
                        <w:pP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1"/>
                          <w:ind w:left="376" w:right="0"/>
                          <w:jc w:val="left"/>
                          <w:rPr>
                            <w:rFonts w:ascii="宋体" w:hAnsi="宋体" w:cs="宋体" w:eastAsia="宋体" w:hint="default"/>
                            <w:sz w:val="18"/>
                            <w:szCs w:val="18"/>
                          </w:rPr>
                        </w:pPr>
                        <w:r>
                          <w:rPr>
                            <w:rFonts w:ascii="宋体" w:hAnsi="宋体" w:cs="宋体" w:eastAsia="宋体" w:hint="default"/>
                            <w:sz w:val="18"/>
                            <w:szCs w:val="18"/>
                          </w:rPr>
                          <w:t>定量标准以税前利润、所有者权益总</w:t>
                        </w:r>
                      </w:p>
                    </w:tc>
                    <w:tc>
                      <w:tcPr>
                        <w:tcW w:w="3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38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w:t>
                        </w:r>
                        <w:r>
                          <w:rPr>
                            <w:rFonts w:ascii="宋体" w:hAnsi="宋体" w:cs="宋体" w:eastAsia="宋体" w:hint="default"/>
                            <w:sz w:val="18"/>
                            <w:szCs w:val="18"/>
                          </w:rPr>
                          <w:t>≥所有者权益总额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240" w:lineRule="auto" w:before="44"/>
        <w:ind w:left="0" w:right="1163"/>
        <w:jc w:val="right"/>
      </w:pPr>
      <w:r>
        <w:rPr/>
        <w:t>：</w:t>
      </w:r>
    </w:p>
    <w:p>
      <w:pPr>
        <w:spacing w:after="0" w:line="240" w:lineRule="auto"/>
        <w:jc w:val="right"/>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3323"/>
        <w:gridCol w:w="3050"/>
      </w:tblGrid>
      <w:tr>
        <w:trPr>
          <w:trHeight w:val="317" w:hRule="exact"/>
        </w:trPr>
        <w:tc>
          <w:tcPr>
            <w:tcW w:w="3194" w:type="dxa"/>
            <w:vMerge w:val="restart"/>
            <w:tcBorders>
              <w:top w:val="single" w:sz="4" w:space="0" w:color="000000"/>
              <w:left w:val="single" w:sz="4" w:space="0" w:color="000000"/>
              <w:right w:val="single" w:sz="4" w:space="0" w:color="000000"/>
            </w:tcBorders>
            <w:shd w:val="clear" w:color="auto" w:fill="D3D3D3"/>
          </w:tcPr>
          <w:p>
            <w:pPr/>
          </w:p>
        </w:tc>
        <w:tc>
          <w:tcPr>
            <w:tcW w:w="332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额作为衡量指标。内部控制缺陷可能导致</w:t>
            </w:r>
          </w:p>
        </w:tc>
        <w:tc>
          <w:tcPr>
            <w:tcW w:w="30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或已经对外正式披露并对公司定期报</w:t>
            </w: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或导致的损失与利润表相关的，以税前利</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告披露造成负面影响；企业关键岗位人</w:t>
            </w: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润指标衡量。如果该缺陷单独或连同其他</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员流失严重；被媒体频频曝光负面新</w:t>
            </w:r>
          </w:p>
        </w:tc>
      </w:tr>
      <w:tr>
        <w:trPr>
          <w:trHeight w:val="317"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缺陷可能导致的财务报告错报金额小于税</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闻。重要缺陷：所有者权益总额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前利润的</w:t>
            </w:r>
            <w:r>
              <w:rPr>
                <w:rFonts w:ascii="宋体" w:hAnsi="宋体" w:cs="宋体" w:eastAsia="宋体" w:hint="default"/>
                <w:spacing w:val="-34"/>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，则认定为一般缺陷；如果超</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≤直接损失＜所有者权益总额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宋体" w:hAnsi="宋体" w:cs="宋体" w:eastAsia="宋体" w:hint="default"/>
                <w:sz w:val="18"/>
                <w:szCs w:val="18"/>
              </w:rPr>
              <w:t>或</w:t>
            </w: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过税前利润的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但小于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，则为重要缺</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受到国家政府部门处罚，但未对公司定</w:t>
            </w: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陷；如果超过税前利润的</w:t>
            </w:r>
            <w:r>
              <w:rPr>
                <w:rFonts w:ascii="宋体" w:hAnsi="宋体" w:cs="宋体" w:eastAsia="宋体" w:hint="default"/>
                <w:spacing w:val="-42"/>
                <w:sz w:val="18"/>
                <w:szCs w:val="18"/>
              </w:rPr>
              <w:t> </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，则认定为重</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期报告披露造成负面影响；被媒体曝光</w:t>
            </w:r>
          </w:p>
        </w:tc>
      </w:tr>
      <w:tr>
        <w:trPr>
          <w:trHeight w:val="307"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大缺陷。内部控制缺陷可能导致或导致的</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4"/>
                <w:sz w:val="18"/>
                <w:szCs w:val="18"/>
              </w:rPr>
              <w:t>且产生负面影响。一般缺陷：＜所有者</w:t>
            </w:r>
          </w:p>
        </w:tc>
      </w:tr>
      <w:tr>
        <w:trPr>
          <w:trHeight w:val="317"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损失与资产管理相关的，以所有者权益总</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权益总额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或受到省级（含省级）</w:t>
            </w:r>
          </w:p>
        </w:tc>
      </w:tr>
      <w:tr>
        <w:trPr>
          <w:trHeight w:val="307"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额指标衡量。如果该缺陷单独或连同其他</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以下政府部门处罚但未对公司定期报</w:t>
            </w:r>
          </w:p>
        </w:tc>
      </w:tr>
      <w:tr>
        <w:trPr>
          <w:trHeight w:val="313"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缺陷可能导致的财务报告错报金额小于所</w:t>
            </w:r>
          </w:p>
        </w:tc>
        <w:tc>
          <w:tcPr>
            <w:tcW w:w="305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告披露造成负面影响。</w:t>
            </w:r>
          </w:p>
        </w:tc>
      </w:tr>
      <w:tr>
        <w:trPr>
          <w:trHeight w:val="316"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有者权益总额的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，则认定为一般缺</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陷；如果超过所有者权益总额的</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但小</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3194" w:type="dxa"/>
            <w:vMerge/>
            <w:tcBorders>
              <w:left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1"/>
                <w:sz w:val="18"/>
                <w:szCs w:val="18"/>
              </w:rPr>
              <w:t> </w:t>
            </w:r>
            <w:r>
              <w:rPr>
                <w:rFonts w:ascii="Times New Roman" w:hAnsi="Times New Roman" w:cs="Times New Roman" w:eastAsia="Times New Roman" w:hint="default"/>
                <w:spacing w:val="-2"/>
                <w:sz w:val="18"/>
                <w:szCs w:val="18"/>
              </w:rPr>
              <w:t>0.4%</w:t>
            </w:r>
            <w:r>
              <w:rPr>
                <w:rFonts w:ascii="宋体" w:hAnsi="宋体" w:cs="宋体" w:eastAsia="宋体" w:hint="default"/>
                <w:spacing w:val="-2"/>
                <w:sz w:val="18"/>
                <w:szCs w:val="18"/>
              </w:rPr>
              <w:t>认定为重要缺陷；如果超过所有者</w:t>
            </w:r>
          </w:p>
        </w:tc>
        <w:tc>
          <w:tcPr>
            <w:tcW w:w="3050"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3194" w:type="dxa"/>
            <w:vMerge/>
            <w:tcBorders>
              <w:left w:val="single" w:sz="4" w:space="0" w:color="000000"/>
              <w:bottom w:val="single" w:sz="4" w:space="0" w:color="000000"/>
              <w:right w:val="single" w:sz="4" w:space="0" w:color="000000"/>
            </w:tcBorders>
            <w:shd w:val="clear" w:color="auto" w:fill="D3D3D3"/>
          </w:tcPr>
          <w:p>
            <w:pPr/>
          </w:p>
        </w:tc>
        <w:tc>
          <w:tcPr>
            <w:tcW w:w="332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权益总额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宋体" w:hAnsi="宋体" w:cs="宋体" w:eastAsia="宋体" w:hint="default"/>
                <w:sz w:val="18"/>
                <w:szCs w:val="18"/>
              </w:rPr>
              <w:t>，则认定为重大缺陷。</w:t>
            </w:r>
          </w:p>
        </w:tc>
        <w:tc>
          <w:tcPr>
            <w:tcW w:w="3050"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十、内部控制审计报告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34"/>
        <w:gridCol w:w="6934"/>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4" w:firstLine="360"/>
              <w:jc w:val="left"/>
              <w:rPr>
                <w:rFonts w:ascii="宋体" w:hAnsi="宋体" w:cs="宋体" w:eastAsia="宋体" w:hint="default"/>
                <w:sz w:val="18"/>
                <w:szCs w:val="18"/>
              </w:rPr>
            </w:pPr>
            <w:r>
              <w:rPr>
                <w:rFonts w:ascii="宋体" w:hAnsi="宋体" w:cs="宋体" w:eastAsia="宋体" w:hint="default"/>
                <w:sz w:val="18"/>
                <w:szCs w:val="18"/>
              </w:rPr>
              <w:t>我们认为，常山北明于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日按照《企业内部控制基本规范》和相关规定在所有重大方面保持了有效的 财务报告内部控制。</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年度内部控制评价报告》详见</w:t>
            </w:r>
            <w:r>
              <w:rPr>
                <w:rFonts w:ascii="宋体" w:hAnsi="宋体" w:cs="宋体" w:eastAsia="宋体" w:hint="default"/>
                <w:spacing w:val="-14"/>
                <w:sz w:val="18"/>
                <w:szCs w:val="18"/>
              </w:rPr>
              <w:t> </w:t>
            </w:r>
            <w:r>
              <w:rPr>
                <w:rFonts w:ascii="宋体" w:hAnsi="宋体" w:cs="宋体" w:eastAsia="宋体" w:hint="default"/>
                <w:sz w:val="18"/>
                <w:szCs w:val="18"/>
              </w:rPr>
              <w:t>巨潮资讯网（</w:t>
            </w:r>
            <w:hyperlink r:id="rId9">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会计师事务所是否出具非标准意见的内部控制审计报告</w:t>
      </w:r>
    </w:p>
    <w:p>
      <w:pPr>
        <w:pStyle w:val="BodyText"/>
        <w:spacing w:line="360" w:lineRule="auto" w:before="116"/>
        <w:ind w:left="153" w:right="4631"/>
        <w:jc w:val="left"/>
      </w:pPr>
      <w:r>
        <w:rPr/>
        <w:t>□ 是 √ 否 会计师事务所出具的内部控制审计报告与董事会的自我评价报告意见是否一致</w:t>
      </w:r>
    </w:p>
    <w:p>
      <w:pPr>
        <w:pStyle w:val="BodyText"/>
        <w:spacing w:line="240" w:lineRule="auto" w:before="26"/>
        <w:ind w:left="153" w:right="0"/>
        <w:jc w:val="left"/>
      </w:pPr>
      <w:r>
        <w:rPr/>
        <w:t>√ 是 □ 否</w:t>
      </w:r>
    </w:p>
    <w:p>
      <w:pPr>
        <w:spacing w:after="0" w:line="240"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044" w:right="0"/>
        <w:jc w:val="left"/>
        <w:rPr>
          <w:b w:val="0"/>
          <w:bCs w:val="0"/>
        </w:rPr>
      </w:pPr>
      <w:bookmarkStart w:name="_TOC_250002" w:id="11"/>
      <w:r>
        <w:rPr/>
        <w:t>第十一节公司债券相关情况</w:t>
      </w:r>
      <w:bookmarkEnd w:id="11"/>
      <w:r>
        <w:rPr>
          <w:b w:val="0"/>
          <w:bCs w:val="0"/>
        </w:rPr>
      </w:r>
    </w:p>
    <w:p>
      <w:pPr>
        <w:spacing w:line="240" w:lineRule="auto" w:before="8"/>
        <w:rPr>
          <w:rFonts w:ascii="宋体" w:hAnsi="宋体" w:cs="宋体" w:eastAsia="宋体" w:hint="default"/>
          <w:b/>
          <w:bCs/>
          <w:sz w:val="42"/>
          <w:szCs w:val="42"/>
        </w:rPr>
      </w:pPr>
    </w:p>
    <w:p>
      <w:pPr>
        <w:pStyle w:val="BodyText"/>
        <w:spacing w:line="357" w:lineRule="auto"/>
        <w:ind w:left="153" w:right="2111"/>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7" w:right="0"/>
        <w:jc w:val="left"/>
        <w:rPr>
          <w:b w:val="0"/>
          <w:bCs w:val="0"/>
        </w:rPr>
      </w:pPr>
      <w:bookmarkStart w:name="_TOC_250001" w:id="12"/>
      <w:r>
        <w:rPr/>
        <w:t>第十二节</w:t>
      </w:r>
      <w:r>
        <w:rPr>
          <w:spacing w:val="-7"/>
        </w:rPr>
        <w:t> </w:t>
      </w:r>
      <w:r>
        <w:rPr/>
        <w:t>财务报告</w:t>
      </w:r>
      <w:bookmarkEnd w:id="1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中兴财光华会计师事务所（特殊普通合伙）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中兴财光华审会字（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103015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王飞、秦卫国</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12"/>
          <w:szCs w:val="12"/>
        </w:rPr>
      </w:pPr>
    </w:p>
    <w:p>
      <w:pPr>
        <w:spacing w:line="360" w:lineRule="auto" w:before="0"/>
        <w:ind w:left="514" w:right="-20" w:firstLine="0"/>
        <w:jc w:val="left"/>
        <w:rPr>
          <w:rFonts w:ascii="宋体" w:hAnsi="宋体" w:cs="宋体" w:eastAsia="宋体" w:hint="default"/>
          <w:sz w:val="18"/>
          <w:szCs w:val="18"/>
        </w:rPr>
      </w:pPr>
      <w:r>
        <w:rPr>
          <w:rFonts w:ascii="宋体" w:hAnsi="宋体" w:cs="宋体" w:eastAsia="宋体" w:hint="default"/>
          <w:sz w:val="18"/>
          <w:szCs w:val="18"/>
        </w:rPr>
        <w:t>石家庄常山北明科技股份有限公司全体股东： </w:t>
      </w:r>
      <w:r>
        <w:rPr>
          <w:rFonts w:ascii="宋体" w:hAnsi="宋体" w:cs="宋体" w:eastAsia="宋体" w:hint="default"/>
          <w:b/>
          <w:bCs/>
          <w:sz w:val="18"/>
          <w:szCs w:val="18"/>
        </w:rPr>
        <w:t>一、审计意见</w:t>
      </w:r>
      <w:r>
        <w:rPr>
          <w:rFonts w:ascii="宋体" w:hAnsi="宋体" w:cs="宋体" w:eastAsia="宋体" w:hint="default"/>
          <w:sz w:val="18"/>
          <w:szCs w:val="18"/>
        </w:rPr>
      </w:r>
    </w:p>
    <w:p>
      <w:pPr>
        <w:pStyle w:val="BodyText"/>
        <w:spacing w:line="240" w:lineRule="auto" w:before="51"/>
        <w:ind w:left="279" w:right="0"/>
        <w:jc w:val="left"/>
      </w:pPr>
      <w:r>
        <w:rPr/>
        <w:br w:type="column"/>
      </w:r>
      <w:r>
        <w:rPr/>
        <w:t>审计报告正文</w:t>
      </w:r>
    </w:p>
    <w:p>
      <w:pPr>
        <w:spacing w:after="0" w:line="240" w:lineRule="auto"/>
        <w:jc w:val="left"/>
        <w:sectPr>
          <w:type w:val="continuous"/>
          <w:pgSz w:w="11910" w:h="16840"/>
          <w:pgMar w:top="1060" w:bottom="1180" w:left="980" w:right="0"/>
          <w:cols w:num="2" w:equalWidth="0">
            <w:col w:w="4115" w:space="40"/>
            <w:col w:w="6775"/>
          </w:cols>
        </w:sectPr>
      </w:pPr>
    </w:p>
    <w:p>
      <w:pPr>
        <w:pStyle w:val="BodyText"/>
        <w:spacing w:line="319" w:lineRule="auto" w:before="25"/>
        <w:ind w:right="1128" w:firstLine="360"/>
        <w:jc w:val="both"/>
      </w:pPr>
      <w:r>
        <w:rPr>
          <w:spacing w:val="-3"/>
        </w:rPr>
        <w:t>我们审计了石家庄常山北明科技股份有限公司（以下简称“常山北明”）财务报表，包括 </w:t>
      </w:r>
      <w:r>
        <w:rPr/>
        <w:t>2019 年 12 月 31</w:t>
      </w:r>
      <w:r>
        <w:rPr>
          <w:spacing w:val="36"/>
        </w:rPr>
        <w:t> </w:t>
      </w:r>
      <w:r>
        <w:rPr/>
        <w:t>日的合并</w:t>
      </w:r>
      <w:r>
        <w:rPr/>
        <w:t> 及公司资产负债表，2019</w:t>
      </w:r>
      <w:r>
        <w:rPr>
          <w:spacing w:val="7"/>
        </w:rPr>
        <w:t> </w:t>
      </w:r>
      <w:r>
        <w:rPr/>
        <w:t>年度的合并及公司利润表、合并及公司现金流量表、合并及公司股东权益变动表以及财务报表附</w:t>
      </w:r>
      <w:r>
        <w:rPr/>
        <w:t> 注。</w:t>
      </w:r>
    </w:p>
    <w:p>
      <w:pPr>
        <w:pStyle w:val="BodyText"/>
        <w:spacing w:line="319" w:lineRule="auto" w:before="55"/>
        <w:ind w:right="1130" w:firstLine="360"/>
        <w:jc w:val="both"/>
      </w:pPr>
      <w:r>
        <w:rPr/>
        <w:t>我们认为，后附的财务报表在所有重大方面按照企业会计准则的规定编制，公允反映了常山北明</w:t>
      </w:r>
      <w:r>
        <w:rPr>
          <w:spacing w:val="-14"/>
        </w:rPr>
        <w:t> </w:t>
      </w:r>
      <w:r>
        <w:rPr/>
        <w:t>2019</w:t>
      </w:r>
      <w:r>
        <w:rPr>
          <w:spacing w:val="-14"/>
        </w:rPr>
        <w:t> </w:t>
      </w:r>
      <w:r>
        <w:rPr/>
        <w:t>年</w:t>
      </w:r>
      <w:r>
        <w:rPr>
          <w:spacing w:val="-14"/>
        </w:rPr>
        <w:t> </w:t>
      </w:r>
      <w:r>
        <w:rPr/>
        <w:t>12</w:t>
      </w:r>
      <w:r>
        <w:rPr>
          <w:spacing w:val="-14"/>
        </w:rPr>
        <w:t> </w:t>
      </w:r>
      <w:r>
        <w:rPr/>
        <w:t>月</w:t>
      </w:r>
      <w:r>
        <w:rPr>
          <w:spacing w:val="-14"/>
        </w:rPr>
        <w:t> </w:t>
      </w:r>
      <w:r>
        <w:rPr/>
        <w:t>31</w:t>
      </w:r>
      <w:r>
        <w:rPr>
          <w:spacing w:val="-14"/>
        </w:rPr>
        <w:t> </w:t>
      </w:r>
      <w:r>
        <w:rPr/>
        <w:t>日</w:t>
      </w:r>
      <w:r>
        <w:rPr/>
        <w:t> 的合并及公司财务状况以及 2019年度的合并及公司经营成果和现金流量。</w:t>
      </w:r>
    </w:p>
    <w:p>
      <w:pPr>
        <w:pStyle w:val="BodyText"/>
        <w:spacing w:line="357" w:lineRule="auto" w:before="58"/>
        <w:ind w:left="514" w:right="0"/>
        <w:jc w:val="left"/>
      </w:pPr>
      <w:r>
        <w:rPr>
          <w:rFonts w:ascii="宋体" w:hAnsi="宋体" w:cs="宋体" w:eastAsia="宋体" w:hint="default"/>
          <w:b/>
          <w:bCs/>
        </w:rPr>
        <w:t>二、形成审计意见的基础</w:t>
      </w:r>
      <w:r>
        <w:rPr>
          <w:rFonts w:ascii="宋体" w:hAnsi="宋体" w:cs="宋体" w:eastAsia="宋体" w:hint="default"/>
          <w:b/>
          <w:bCs/>
          <w:spacing w:val="1"/>
          <w:w w:val="99"/>
        </w:rPr>
        <w:t> </w:t>
      </w:r>
      <w:r>
        <w:rPr>
          <w:spacing w:val="-2"/>
        </w:rPr>
        <w:t>我们按照中国注册会计师审计准则的规定执行了审计工作。审计报告的“注册会计师对财务报表审计的责任”部分进一</w:t>
      </w:r>
    </w:p>
    <w:p>
      <w:pPr>
        <w:pStyle w:val="BodyText"/>
        <w:spacing w:line="224" w:lineRule="exact"/>
        <w:ind w:right="0"/>
        <w:jc w:val="left"/>
      </w:pPr>
      <w:r>
        <w:rPr/>
        <w:t>步阐述了我们在这些准则下的责任。按照中国注册会计师职业道德守则，我们独立于常山北明，并履行了职业道德方面的其</w:t>
      </w:r>
    </w:p>
    <w:p>
      <w:pPr>
        <w:pStyle w:val="BodyText"/>
        <w:spacing w:line="357" w:lineRule="auto" w:before="77"/>
        <w:ind w:left="514" w:right="3730" w:hanging="360"/>
        <w:jc w:val="left"/>
        <w:rPr>
          <w:rFonts w:ascii="宋体" w:hAnsi="宋体" w:cs="宋体" w:eastAsia="宋体" w:hint="default"/>
        </w:rPr>
      </w:pPr>
      <w:r>
        <w:rPr/>
        <w:t>他责任。我们相信，我们获取的审计证据是充分、适当的，为发表审计意见提供了基础。 </w:t>
      </w:r>
      <w:r>
        <w:rPr>
          <w:rFonts w:ascii="宋体" w:hAnsi="宋体" w:cs="宋体" w:eastAsia="宋体" w:hint="default"/>
          <w:b/>
          <w:bCs/>
        </w:rPr>
        <w:t>三、关键审计事项</w:t>
      </w:r>
      <w:r>
        <w:rPr>
          <w:rFonts w:ascii="宋体" w:hAnsi="宋体" w:cs="宋体" w:eastAsia="宋体" w:hint="default"/>
        </w:rPr>
      </w:r>
    </w:p>
    <w:p>
      <w:pPr>
        <w:pStyle w:val="BodyText"/>
        <w:spacing w:line="319" w:lineRule="auto" w:before="28"/>
        <w:ind w:right="1041" w:firstLine="360"/>
        <w:jc w:val="both"/>
      </w:pPr>
      <w:r>
        <w:rPr>
          <w:spacing w:val="-2"/>
        </w:rPr>
        <w:t>关键审计事项是我们根据职业判断，认为对本期财务报表审计最为重要的事项。这些事项的应对以对财务报表整体进行</w:t>
      </w:r>
      <w:r>
        <w:rPr/>
        <w:t> </w:t>
      </w:r>
      <w:r>
        <w:rPr>
          <w:spacing w:val="-4"/>
        </w:rPr>
        <w:t>审计并形成审计意见为背景，我们不对这些事项单独发表意见。我们确定下列事项是需要在审计报告中沟通的关键审计事项。</w:t>
      </w:r>
    </w:p>
    <w:p>
      <w:pPr>
        <w:pStyle w:val="BodyText"/>
        <w:spacing w:line="357" w:lineRule="auto" w:before="56"/>
        <w:ind w:left="514" w:right="8590"/>
        <w:jc w:val="left"/>
      </w:pPr>
      <w:r>
        <w:rPr/>
        <w:t>（一）商誉的减值测试 1、事项描述</w:t>
      </w:r>
    </w:p>
    <w:p>
      <w:pPr>
        <w:pStyle w:val="BodyText"/>
        <w:spacing w:line="319" w:lineRule="auto" w:before="28"/>
        <w:ind w:right="1128" w:firstLine="360"/>
        <w:jc w:val="both"/>
      </w:pPr>
      <w:r>
        <w:rPr/>
        <w:t>截至</w:t>
      </w:r>
      <w:r>
        <w:rPr>
          <w:spacing w:val="-40"/>
        </w:rPr>
        <w:t> </w:t>
      </w:r>
      <w:r>
        <w:rPr/>
        <w:t>2019</w:t>
      </w:r>
      <w:r>
        <w:rPr>
          <w:spacing w:val="-40"/>
        </w:rPr>
        <w:t> </w:t>
      </w:r>
      <w:r>
        <w:rPr/>
        <w:t>年</w:t>
      </w:r>
      <w:r>
        <w:rPr>
          <w:spacing w:val="-40"/>
        </w:rPr>
        <w:t> </w:t>
      </w:r>
      <w:r>
        <w:rPr/>
        <w:t>12</w:t>
      </w:r>
      <w:r>
        <w:rPr>
          <w:spacing w:val="-40"/>
        </w:rPr>
        <w:t> </w:t>
      </w:r>
      <w:r>
        <w:rPr/>
        <w:t>月</w:t>
      </w:r>
      <w:r>
        <w:rPr>
          <w:spacing w:val="-40"/>
        </w:rPr>
        <w:t> </w:t>
      </w:r>
      <w:r>
        <w:rPr/>
        <w:t>31</w:t>
      </w:r>
      <w:r>
        <w:rPr>
          <w:spacing w:val="-40"/>
        </w:rPr>
        <w:t> </w:t>
      </w:r>
      <w:r>
        <w:rPr/>
        <w:t>日，常山北明合并财务报表中商誉的账面余额为</w:t>
      </w:r>
      <w:r>
        <w:rPr>
          <w:spacing w:val="-40"/>
        </w:rPr>
        <w:t> </w:t>
      </w:r>
      <w:r>
        <w:rPr/>
        <w:t>217,224.13</w:t>
      </w:r>
      <w:r>
        <w:rPr>
          <w:spacing w:val="-40"/>
        </w:rPr>
        <w:t> </w:t>
      </w:r>
      <w:r>
        <w:rPr/>
        <w:t>万元，商誉减值准备余额</w:t>
      </w:r>
      <w:r>
        <w:rPr>
          <w:spacing w:val="-40"/>
        </w:rPr>
        <w:t> </w:t>
      </w:r>
      <w:r>
        <w:rPr/>
        <w:t>6,406.50</w:t>
      </w:r>
      <w:r>
        <w:rPr/>
        <w:t> 万元，相关信息披露详见财务报表附注五</w:t>
      </w:r>
      <w:r>
        <w:rPr>
          <w:spacing w:val="-57"/>
        </w:rPr>
        <w:t> </w:t>
      </w:r>
      <w:r>
        <w:rPr/>
        <w:t>22、附注七</w:t>
      </w:r>
      <w:r>
        <w:rPr>
          <w:spacing w:val="-57"/>
        </w:rPr>
        <w:t> </w:t>
      </w:r>
      <w:r>
        <w:rPr/>
        <w:t>16</w:t>
      </w:r>
      <w:r>
        <w:rPr>
          <w:spacing w:val="-57"/>
        </w:rPr>
        <w:t> </w:t>
      </w:r>
      <w:r>
        <w:rPr/>
        <w:t>描述。管理层确定资产组的可回收金额时对其中涉及的关键假设做</w:t>
      </w:r>
      <w:r>
        <w:rPr/>
        <w:t> </w:t>
      </w:r>
      <w:r>
        <w:rPr>
          <w:spacing w:val="-2"/>
        </w:rPr>
        <w:t>出了重大判断，包括：五年期预算、永续年收入增长率、毛利率及折现率等。由于商誉金额重大，且管理层需要做出重大判</w:t>
      </w:r>
      <w:r>
        <w:rPr>
          <w:spacing w:val="-68"/>
        </w:rPr>
        <w:t> </w:t>
      </w:r>
      <w:r>
        <w:rPr>
          <w:spacing w:val="-68"/>
        </w:rPr>
      </w:r>
      <w:r>
        <w:rPr/>
        <w:t>断，因此我们将商誉减值测试确定为关键审计事项。</w:t>
      </w:r>
    </w:p>
    <w:p>
      <w:pPr>
        <w:pStyle w:val="BodyText"/>
        <w:spacing w:line="357" w:lineRule="auto" w:before="56"/>
        <w:ind w:left="514" w:right="4450"/>
        <w:jc w:val="left"/>
      </w:pPr>
      <w:r>
        <w:rPr/>
        <w:t>2、审计应对 我们针对商誉减值测试相关的上述关键审计事项执行的主要审计程序如下：</w:t>
      </w:r>
    </w:p>
    <w:p>
      <w:pPr>
        <w:pStyle w:val="BodyText"/>
        <w:spacing w:line="240" w:lineRule="auto" w:before="29"/>
        <w:ind w:left="514" w:right="0"/>
        <w:jc w:val="left"/>
      </w:pPr>
      <w:r>
        <w:rPr/>
        <w:t>（1）对常山北明商誉减值测试相关内部控制的设计和执行进行评估。</w:t>
      </w:r>
    </w:p>
    <w:p>
      <w:pPr>
        <w:pStyle w:val="BodyText"/>
        <w:spacing w:line="319" w:lineRule="auto" w:before="115"/>
        <w:ind w:right="1039" w:firstLine="360"/>
        <w:jc w:val="both"/>
      </w:pPr>
      <w:r>
        <w:rPr>
          <w:spacing w:val="-2"/>
        </w:rPr>
        <w:t>（2）我们对管理层对商誉减值测试中的关键假设进行评估，包括五年期预算、永续年收入增长率、毛利率及折现率等。</w:t>
      </w:r>
      <w:r>
        <w:rPr/>
        <w:t> 我们也评估管理层的商誉减值测试方法的合理性。</w:t>
      </w:r>
    </w:p>
    <w:p>
      <w:pPr>
        <w:pStyle w:val="BodyText"/>
        <w:spacing w:line="240" w:lineRule="auto" w:before="56"/>
        <w:ind w:left="514" w:right="0"/>
        <w:jc w:val="left"/>
      </w:pPr>
      <w:r>
        <w:rPr>
          <w:spacing w:val="-3"/>
        </w:rPr>
        <w:t>（3）我们通过参考行业惯例，评估管理层对包含商誉的相关资产组进行未来现金流量预测时使用的估值方法的适当性；</w:t>
      </w:r>
    </w:p>
    <w:p>
      <w:pPr>
        <w:pStyle w:val="BodyText"/>
        <w:spacing w:line="240" w:lineRule="auto" w:before="116"/>
        <w:ind w:left="514" w:right="0"/>
        <w:jc w:val="left"/>
      </w:pPr>
      <w:r>
        <w:rPr/>
        <w:t>（4）我们取得管理层聘请的外部评估机构出具的对合并形成的商誉进行减值测试的资产评估报告；</w:t>
      </w:r>
    </w:p>
    <w:p>
      <w:pPr>
        <w:pStyle w:val="BodyText"/>
        <w:spacing w:line="240" w:lineRule="auto" w:before="117"/>
        <w:ind w:left="514" w:right="0"/>
        <w:jc w:val="left"/>
      </w:pPr>
      <w:r>
        <w:rPr/>
        <w:t>（5）我们检查未来现金流量净现值的计算是否准确。</w:t>
      </w:r>
    </w:p>
    <w:p>
      <w:pPr>
        <w:spacing w:after="0" w:line="240" w:lineRule="auto"/>
        <w:jc w:val="left"/>
        <w:sectPr>
          <w:type w:val="continuous"/>
          <w:pgSz w:w="11910" w:h="16840"/>
          <w:pgMar w:top="1060" w:bottom="1180" w:left="980" w:right="0"/>
        </w:sectPr>
      </w:pPr>
    </w:p>
    <w:p>
      <w:pPr>
        <w:spacing w:line="240" w:lineRule="auto" w:before="13"/>
        <w:rPr>
          <w:rFonts w:ascii="宋体" w:hAnsi="宋体" w:cs="宋体" w:eastAsia="宋体" w:hint="default"/>
          <w:sz w:val="25"/>
          <w:szCs w:val="25"/>
        </w:rPr>
      </w:pPr>
    </w:p>
    <w:p>
      <w:pPr>
        <w:pStyle w:val="BodyText"/>
        <w:spacing w:line="357" w:lineRule="auto" w:before="44"/>
        <w:ind w:left="513" w:right="8411"/>
        <w:jc w:val="left"/>
      </w:pPr>
      <w:r>
        <w:rPr/>
        <w:t>（二）存货跌价准备计提 1、事项描述</w:t>
      </w:r>
    </w:p>
    <w:p>
      <w:pPr>
        <w:pStyle w:val="BodyText"/>
        <w:spacing w:line="240" w:lineRule="auto" w:before="28"/>
        <w:ind w:left="513" w:right="0"/>
        <w:jc w:val="left"/>
      </w:pPr>
      <w:r>
        <w:rPr/>
        <w:t>截至</w:t>
      </w:r>
      <w:r>
        <w:rPr>
          <w:spacing w:val="-11"/>
        </w:rPr>
        <w:t> </w:t>
      </w:r>
      <w:r>
        <w:rPr/>
        <w:t>2019</w:t>
      </w:r>
      <w:r>
        <w:rPr>
          <w:spacing w:val="-11"/>
        </w:rPr>
        <w:t> </w:t>
      </w:r>
      <w:r>
        <w:rPr/>
        <w:t>年</w:t>
      </w:r>
      <w:r>
        <w:rPr>
          <w:spacing w:val="-10"/>
        </w:rPr>
        <w:t> </w:t>
      </w:r>
      <w:r>
        <w:rPr/>
        <w:t>12</w:t>
      </w:r>
      <w:r>
        <w:rPr>
          <w:spacing w:val="-11"/>
        </w:rPr>
        <w:t> </w:t>
      </w:r>
      <w:r>
        <w:rPr/>
        <w:t>月</w:t>
      </w:r>
      <w:r>
        <w:rPr>
          <w:spacing w:val="-11"/>
        </w:rPr>
        <w:t> </w:t>
      </w:r>
      <w:r>
        <w:rPr/>
        <w:t>31</w:t>
      </w:r>
      <w:r>
        <w:rPr>
          <w:spacing w:val="-11"/>
        </w:rPr>
        <w:t> </w:t>
      </w:r>
      <w:r>
        <w:rPr/>
        <w:t>日，常山北明合并财务报表中存货的账面余额为</w:t>
      </w:r>
      <w:r>
        <w:rPr>
          <w:spacing w:val="-11"/>
        </w:rPr>
        <w:t> </w:t>
      </w:r>
      <w:r>
        <w:rPr/>
        <w:t>220,914.26</w:t>
      </w:r>
      <w:r>
        <w:rPr>
          <w:spacing w:val="-11"/>
        </w:rPr>
        <w:t> </w:t>
      </w:r>
      <w:r>
        <w:rPr/>
        <w:t>万元，存货跌价准备账面余额为</w:t>
      </w:r>
    </w:p>
    <w:p>
      <w:pPr>
        <w:pStyle w:val="BodyText"/>
        <w:spacing w:line="319" w:lineRule="auto" w:before="76"/>
        <w:ind w:left="153" w:right="1131"/>
        <w:jc w:val="both"/>
      </w:pPr>
      <w:r>
        <w:rPr/>
        <w:t>2,310.16</w:t>
      </w:r>
      <w:r>
        <w:rPr>
          <w:spacing w:val="-44"/>
        </w:rPr>
        <w:t> </w:t>
      </w:r>
      <w:r>
        <w:rPr/>
        <w:t>万元，相关信息披露详见财务报表附注五</w:t>
      </w:r>
      <w:r>
        <w:rPr>
          <w:spacing w:val="-44"/>
        </w:rPr>
        <w:t> </w:t>
      </w:r>
      <w:r>
        <w:rPr/>
        <w:t>13、附注七</w:t>
      </w:r>
      <w:r>
        <w:rPr>
          <w:spacing w:val="-44"/>
        </w:rPr>
        <w:t> </w:t>
      </w:r>
      <w:r>
        <w:rPr/>
        <w:t>6</w:t>
      </w:r>
      <w:r>
        <w:rPr>
          <w:spacing w:val="-44"/>
        </w:rPr>
        <w:t> </w:t>
      </w:r>
      <w:r>
        <w:rPr/>
        <w:t>描述。管理层在预测中需要做出重大判断和假设，特别是</w:t>
      </w:r>
      <w:r>
        <w:rPr/>
        <w:t> </w:t>
      </w:r>
      <w:r>
        <w:rPr>
          <w:spacing w:val="-2"/>
        </w:rPr>
        <w:t>对于未来售价、销售费用以及相关税费等方面。由于存货账面价值较高，存货跌价准备计提对财务报表影响较为重大，且管</w:t>
      </w:r>
      <w:r>
        <w:rPr>
          <w:spacing w:val="-66"/>
        </w:rPr>
        <w:t> </w:t>
      </w:r>
      <w:r>
        <w:rPr>
          <w:spacing w:val="-66"/>
        </w:rPr>
      </w:r>
      <w:r>
        <w:rPr/>
        <w:t>理层需要做出重大判断，因此我们将存货跌价准备计提确定为关键审计事项。</w:t>
      </w:r>
    </w:p>
    <w:p>
      <w:pPr>
        <w:pStyle w:val="BodyText"/>
        <w:spacing w:line="357" w:lineRule="auto" w:before="56"/>
        <w:ind w:left="513" w:right="4091"/>
        <w:jc w:val="left"/>
      </w:pPr>
      <w:r>
        <w:rPr/>
        <w:t>2、审计应对 我们针对存货跌价准备计提相关的上述关键审计事项执行的主要审计程序如下：</w:t>
      </w:r>
    </w:p>
    <w:p>
      <w:pPr>
        <w:pStyle w:val="BodyText"/>
        <w:spacing w:line="240" w:lineRule="auto" w:before="29"/>
        <w:ind w:left="513" w:right="0"/>
        <w:jc w:val="left"/>
      </w:pPr>
      <w:r>
        <w:rPr/>
        <w:t>（1）对常山北明存货跌价准备相关的内部控制的设计与执行进行了评估；</w:t>
      </w:r>
    </w:p>
    <w:p>
      <w:pPr>
        <w:pStyle w:val="BodyText"/>
        <w:spacing w:line="240" w:lineRule="auto" w:before="116"/>
        <w:ind w:left="513" w:right="0"/>
        <w:jc w:val="left"/>
      </w:pPr>
      <w:r>
        <w:rPr/>
        <w:t>（2）对常山北明存货实施监盘，检查存货的数量、品质状况等；</w:t>
      </w:r>
    </w:p>
    <w:p>
      <w:pPr>
        <w:pStyle w:val="BodyText"/>
        <w:spacing w:line="319" w:lineRule="auto" w:before="115"/>
        <w:ind w:left="153" w:right="1128" w:firstLine="360"/>
        <w:jc w:val="both"/>
      </w:pPr>
      <w:r>
        <w:rPr/>
        <w:t>（3）获取常山北明存货跌价准备明细表，执行存货减值测试。检查是否按常山北明相关会计政策执行；通过与市场售 </w:t>
      </w:r>
      <w:r>
        <w:rPr>
          <w:spacing w:val="-2"/>
        </w:rPr>
        <w:t>价及企业审计年度售价比较，检查减值测试中的预计售价是否合理；通过与审计年度销售收入、销售费用、税金及附加的比</w:t>
      </w:r>
      <w:r>
        <w:rPr>
          <w:spacing w:val="-66"/>
        </w:rPr>
        <w:t> </w:t>
      </w:r>
      <w:r>
        <w:rPr>
          <w:spacing w:val="-66"/>
        </w:rPr>
      </w:r>
      <w:r>
        <w:rPr>
          <w:spacing w:val="-2"/>
        </w:rPr>
        <w:t>较，检查减值测试中的预计销售费用、税金及附加是否合理；检查以前年度计提的存货跌价本期的变化情况等，分析存货跌</w:t>
      </w:r>
      <w:r>
        <w:rPr>
          <w:spacing w:val="-66"/>
        </w:rPr>
        <w:t> </w:t>
      </w:r>
      <w:r>
        <w:rPr>
          <w:spacing w:val="-66"/>
        </w:rPr>
      </w:r>
      <w:r>
        <w:rPr/>
        <w:t>价准备计提是否充分。</w:t>
      </w:r>
    </w:p>
    <w:p>
      <w:pPr>
        <w:pStyle w:val="BodyText"/>
        <w:spacing w:line="357" w:lineRule="auto" w:before="58"/>
        <w:ind w:left="513" w:right="9131"/>
        <w:jc w:val="left"/>
      </w:pPr>
      <w:r>
        <w:rPr/>
        <w:t>（三）政府补助 1、事项描述</w:t>
      </w:r>
    </w:p>
    <w:p>
      <w:pPr>
        <w:pStyle w:val="BodyText"/>
        <w:spacing w:line="319" w:lineRule="auto" w:before="26"/>
        <w:ind w:left="153" w:right="1128" w:firstLine="360"/>
        <w:jc w:val="both"/>
      </w:pPr>
      <w:r>
        <w:rPr>
          <w:spacing w:val="-3"/>
        </w:rPr>
        <w:t>根据政府补助准则的规定，常山北明</w:t>
      </w:r>
      <w:r>
        <w:rPr>
          <w:spacing w:val="-43"/>
        </w:rPr>
        <w:t> </w:t>
      </w:r>
      <w:r>
        <w:rPr/>
        <w:t>2019</w:t>
      </w:r>
      <w:r>
        <w:rPr>
          <w:spacing w:val="-43"/>
        </w:rPr>
        <w:t> </w:t>
      </w:r>
      <w:r>
        <w:rPr>
          <w:spacing w:val="-3"/>
        </w:rPr>
        <w:t>年度计入其他收益、营业外收入、冲减成本费用的政府补助分别为</w:t>
      </w:r>
      <w:r>
        <w:rPr>
          <w:spacing w:val="-43"/>
        </w:rPr>
        <w:t> </w:t>
      </w:r>
      <w:r>
        <w:rPr/>
        <w:t>30,217.94</w:t>
      </w:r>
      <w:r>
        <w:rPr/>
        <w:t> 万元、375.71</w:t>
      </w:r>
      <w:r>
        <w:rPr>
          <w:spacing w:val="-38"/>
        </w:rPr>
        <w:t> </w:t>
      </w:r>
      <w:r>
        <w:rPr/>
        <w:t>万元、100.00</w:t>
      </w:r>
      <w:r>
        <w:rPr>
          <w:spacing w:val="-38"/>
        </w:rPr>
        <w:t> </w:t>
      </w:r>
      <w:r>
        <w:rPr/>
        <w:t>万元，合计影响</w:t>
      </w:r>
      <w:r>
        <w:rPr>
          <w:spacing w:val="-38"/>
        </w:rPr>
        <w:t> </w:t>
      </w:r>
      <w:r>
        <w:rPr/>
        <w:t>2019</w:t>
      </w:r>
      <w:r>
        <w:rPr>
          <w:spacing w:val="-38"/>
        </w:rPr>
        <w:t> </w:t>
      </w:r>
      <w:r>
        <w:rPr/>
        <w:t>年度损益</w:t>
      </w:r>
      <w:r>
        <w:rPr>
          <w:spacing w:val="-38"/>
        </w:rPr>
        <w:t> </w:t>
      </w:r>
      <w:r>
        <w:rPr/>
        <w:t>30,693.65</w:t>
      </w:r>
      <w:r>
        <w:rPr>
          <w:spacing w:val="-38"/>
        </w:rPr>
        <w:t> </w:t>
      </w:r>
      <w:r>
        <w:rPr/>
        <w:t>万元，相关信息披露详见财务报表附注五</w:t>
      </w:r>
      <w:r>
        <w:rPr>
          <w:spacing w:val="-38"/>
        </w:rPr>
        <w:t> </w:t>
      </w:r>
      <w:r>
        <w:rPr/>
        <w:t>28、附注</w:t>
      </w:r>
      <w:r>
        <w:rPr/>
        <w:t> 七</w:t>
      </w:r>
      <w:r>
        <w:rPr>
          <w:spacing w:val="-45"/>
        </w:rPr>
        <w:t> </w:t>
      </w:r>
      <w:r>
        <w:rPr/>
        <w:t>30、附注七</w:t>
      </w:r>
      <w:r>
        <w:rPr>
          <w:spacing w:val="-44"/>
        </w:rPr>
        <w:t> </w:t>
      </w:r>
      <w:r>
        <w:rPr/>
        <w:t>48、附注七</w:t>
      </w:r>
      <w:r>
        <w:rPr>
          <w:spacing w:val="-45"/>
        </w:rPr>
        <w:t> </w:t>
      </w:r>
      <w:r>
        <w:rPr/>
        <w:t>56</w:t>
      </w:r>
      <w:r>
        <w:rPr>
          <w:spacing w:val="-44"/>
        </w:rPr>
        <w:t> </w:t>
      </w:r>
      <w:r>
        <w:rPr/>
        <w:t>描述。常山北明当年利润总额为</w:t>
      </w:r>
      <w:r>
        <w:rPr>
          <w:spacing w:val="-45"/>
        </w:rPr>
        <w:t> </w:t>
      </w:r>
      <w:r>
        <w:rPr/>
        <w:t>12,390.41</w:t>
      </w:r>
      <w:r>
        <w:rPr>
          <w:spacing w:val="-45"/>
        </w:rPr>
        <w:t> </w:t>
      </w:r>
      <w:r>
        <w:rPr/>
        <w:t>万元，通过政府补助计入当期损益金额对</w:t>
      </w:r>
      <w:r>
        <w:rPr>
          <w:spacing w:val="-45"/>
        </w:rPr>
        <w:t> </w:t>
      </w:r>
      <w:r>
        <w:rPr/>
        <w:t>2019</w:t>
      </w:r>
      <w:r>
        <w:rPr>
          <w:spacing w:val="-45"/>
        </w:rPr>
        <w:t> </w:t>
      </w:r>
      <w:r>
        <w:rPr/>
        <w:t>年</w:t>
      </w:r>
      <w:r>
        <w:rPr/>
        <w:t> 度利润总额影响重大，因此我们将政府补助列为关键审计事项。</w:t>
      </w:r>
    </w:p>
    <w:p>
      <w:pPr>
        <w:pStyle w:val="BodyText"/>
        <w:spacing w:line="357" w:lineRule="auto" w:before="58"/>
        <w:ind w:left="513" w:right="4811"/>
        <w:jc w:val="left"/>
      </w:pPr>
      <w:r>
        <w:rPr/>
        <w:t>2、审计应对 我们针对政府补助相关的上述关键审计事项执行的主要审计程序如下：</w:t>
      </w:r>
    </w:p>
    <w:p>
      <w:pPr>
        <w:pStyle w:val="BodyText"/>
        <w:spacing w:line="240" w:lineRule="auto" w:before="28"/>
        <w:ind w:left="513" w:right="0"/>
        <w:jc w:val="left"/>
      </w:pPr>
      <w:r>
        <w:rPr/>
        <w:t>（1）对常山北明政府补助相关内部控制的设计和执行进行了评估；</w:t>
      </w:r>
    </w:p>
    <w:p>
      <w:pPr>
        <w:pStyle w:val="BodyText"/>
        <w:spacing w:line="319" w:lineRule="auto" w:before="116"/>
        <w:ind w:left="153" w:right="1128" w:firstLine="360"/>
        <w:jc w:val="both"/>
      </w:pPr>
      <w:r>
        <w:rPr/>
        <w:t>（2）检查政府拨款文件、收款凭证、银行回单等支持性文件，以评价政府补助的真实性以及是否记录于恰当的会计期 间；</w:t>
      </w:r>
    </w:p>
    <w:p>
      <w:pPr>
        <w:pStyle w:val="BodyText"/>
        <w:spacing w:line="240" w:lineRule="auto" w:before="56"/>
        <w:ind w:left="513" w:right="0"/>
        <w:jc w:val="left"/>
      </w:pPr>
      <w:r>
        <w:rPr/>
        <w:t>（3）分析补助款项的用途，判断政府补助与资产相关还是与收益相关；</w:t>
      </w:r>
    </w:p>
    <w:p>
      <w:pPr>
        <w:pStyle w:val="BodyText"/>
        <w:spacing w:line="319" w:lineRule="auto" w:before="115"/>
        <w:ind w:left="153" w:right="1128" w:firstLine="360"/>
        <w:jc w:val="both"/>
      </w:pPr>
      <w:r>
        <w:rPr/>
        <w:t>（4）复核常山北明计入递延收益、其他收益、营业外收入的政府补助明细表及摊销计算表，以确认本期结转收益的金 额是否正确。</w:t>
      </w:r>
    </w:p>
    <w:p>
      <w:pPr>
        <w:spacing w:before="58"/>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四、其他信息</w:t>
      </w:r>
      <w:r>
        <w:rPr>
          <w:rFonts w:ascii="宋体" w:hAnsi="宋体" w:cs="宋体" w:eastAsia="宋体" w:hint="default"/>
          <w:sz w:val="18"/>
          <w:szCs w:val="18"/>
        </w:rPr>
      </w:r>
    </w:p>
    <w:p>
      <w:pPr>
        <w:pStyle w:val="BodyText"/>
        <w:spacing w:line="319" w:lineRule="auto" w:before="115"/>
        <w:ind w:left="153" w:right="1131" w:firstLine="360"/>
        <w:jc w:val="both"/>
      </w:pPr>
      <w:r>
        <w:rPr/>
        <w:t>常山北明管理层（以下简称管理层）对其他信息负责。其他信息包括常山北明</w:t>
      </w:r>
      <w:r>
        <w:rPr>
          <w:spacing w:val="-40"/>
        </w:rPr>
        <w:t> </w:t>
      </w:r>
      <w:r>
        <w:rPr/>
        <w:t>2019</w:t>
      </w:r>
      <w:r>
        <w:rPr>
          <w:spacing w:val="-40"/>
        </w:rPr>
        <w:t> </w:t>
      </w:r>
      <w:r>
        <w:rPr/>
        <w:t>年年度报告中涵盖的信息，但不包</w:t>
      </w:r>
      <w:r>
        <w:rPr/>
        <w:t> 括财务报表和我们的审计报告。</w:t>
      </w:r>
    </w:p>
    <w:p>
      <w:pPr>
        <w:pStyle w:val="BodyText"/>
        <w:spacing w:line="357" w:lineRule="auto" w:before="56"/>
        <w:ind w:left="513" w:right="0"/>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57" w:lineRule="auto"/>
        <w:ind w:left="513" w:right="0" w:hanging="360"/>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25" w:lineRule="exact"/>
        <w:ind w:left="153" w:right="0"/>
        <w:jc w:val="left"/>
      </w:pPr>
      <w:r>
        <w:rPr/>
        <w:t>报告。</w:t>
      </w:r>
    </w:p>
    <w:p>
      <w:pPr>
        <w:spacing w:line="357" w:lineRule="auto" w:before="116"/>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spacing w:val="1"/>
          <w:w w:val="99"/>
          <w:sz w:val="18"/>
          <w:szCs w:val="18"/>
        </w:rPr>
        <w:t> </w:t>
      </w:r>
      <w:r>
        <w:rPr>
          <w:rFonts w:ascii="宋体" w:hAnsi="宋体" w:cs="宋体" w:eastAsia="宋体" w:hint="default"/>
          <w:spacing w:val="-2"/>
          <w:sz w:val="18"/>
          <w:szCs w:val="18"/>
        </w:rPr>
        <w:t>管理层负责按照企业会计准则的规定编制财务报表，使其实现公允反映，并设计、执行和维护必要的内部控制，以使财</w:t>
      </w:r>
    </w:p>
    <w:p>
      <w:pPr>
        <w:pStyle w:val="BodyText"/>
        <w:spacing w:line="357" w:lineRule="auto"/>
        <w:ind w:left="513" w:right="0" w:hanging="360"/>
        <w:jc w:val="left"/>
      </w:pPr>
      <w:r>
        <w:rPr/>
        <w:t>务报表不存在由于舞弊或错误导致的重大错报。 </w:t>
      </w:r>
      <w:r>
        <w:rPr>
          <w:spacing w:val="-2"/>
        </w:rPr>
        <w:t>在编制财务报表时，管理层负责评估常山北明的持续经营能力，披露与持续经营相关的事项（如适用），并运用持续经</w:t>
      </w:r>
    </w:p>
    <w:p>
      <w:pPr>
        <w:pStyle w:val="BodyText"/>
        <w:spacing w:line="225" w:lineRule="exact"/>
        <w:ind w:left="153" w:right="0"/>
        <w:jc w:val="left"/>
      </w:pPr>
      <w:r>
        <w:rPr/>
        <w:t>营假设，除非管理层计划清算常山北明、终止运营或别无其他现实的选择。</w:t>
      </w:r>
    </w:p>
    <w:p>
      <w:pPr>
        <w:spacing w:after="0" w:line="225" w:lineRule="exact"/>
        <w:jc w:val="left"/>
        <w:sectPr>
          <w:pgSz w:w="11910" w:h="16840"/>
          <w:pgMar w:header="747" w:footer="982" w:top="1060" w:bottom="1180" w:left="980" w:right="0"/>
        </w:sectPr>
      </w:pPr>
    </w:p>
    <w:p>
      <w:pPr>
        <w:spacing w:line="240" w:lineRule="auto" w:before="13"/>
        <w:rPr>
          <w:rFonts w:ascii="宋体" w:hAnsi="宋体" w:cs="宋体" w:eastAsia="宋体" w:hint="default"/>
          <w:sz w:val="25"/>
          <w:szCs w:val="25"/>
        </w:rPr>
      </w:pPr>
    </w:p>
    <w:p>
      <w:pPr>
        <w:spacing w:line="357" w:lineRule="auto" w:before="44"/>
        <w:ind w:left="513" w:right="6971" w:firstLine="0"/>
        <w:jc w:val="left"/>
        <w:rPr>
          <w:rFonts w:ascii="宋体" w:hAnsi="宋体" w:cs="宋体" w:eastAsia="宋体" w:hint="default"/>
          <w:sz w:val="18"/>
          <w:szCs w:val="18"/>
        </w:rPr>
      </w:pPr>
      <w:r>
        <w:rPr>
          <w:rFonts w:ascii="宋体" w:hAnsi="宋体" w:cs="宋体" w:eastAsia="宋体" w:hint="default"/>
          <w:sz w:val="18"/>
          <w:szCs w:val="18"/>
        </w:rPr>
        <w:t>治理层负责监督常山北明的财务报告过程。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19" w:lineRule="auto" w:before="28"/>
        <w:ind w:left="153" w:right="1130"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6"/>
        </w:rPr>
        <w:t> </w:t>
      </w:r>
      <w:r>
        <w:rPr>
          <w:spacing w:val="-66"/>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56"/>
        <w:ind w:left="513" w:right="0"/>
        <w:jc w:val="left"/>
      </w:pPr>
      <w:r>
        <w:rPr/>
        <w:t>在按照审计准则执行审计工作的过程中，我们运用职业判断，并保持职业怀疑。 同时，我们也执行以下工作：</w:t>
      </w:r>
    </w:p>
    <w:p>
      <w:pPr>
        <w:pStyle w:val="BodyText"/>
        <w:spacing w:line="319" w:lineRule="auto" w:before="115"/>
        <w:ind w:left="153" w:right="1031" w:firstLine="360"/>
        <w:jc w:val="left"/>
      </w:pPr>
      <w:r>
        <w:rPr/>
        <w:t>（1）识别和评估由于舞弊或错误导致的财务报表重大错报风险，设计和实施审计程序以应对这些风险，并获取充分、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58"/>
        <w:ind w:left="513" w:right="0"/>
        <w:jc w:val="left"/>
      </w:pPr>
      <w:r>
        <w:rPr/>
        <w:t>（2）了解与审计相关的内部控制，以设计恰当的审计程序。</w:t>
      </w:r>
    </w:p>
    <w:p>
      <w:pPr>
        <w:pStyle w:val="BodyText"/>
        <w:spacing w:line="240" w:lineRule="auto" w:before="116"/>
        <w:ind w:left="513" w:right="0"/>
        <w:jc w:val="left"/>
      </w:pPr>
      <w:r>
        <w:rPr/>
        <w:t>（3）评价管理层选用会计政策的恰当性和作出会计估计及相关披露的合理性。</w:t>
      </w:r>
    </w:p>
    <w:p>
      <w:pPr>
        <w:pStyle w:val="BodyText"/>
        <w:spacing w:line="319" w:lineRule="auto" w:before="115"/>
        <w:ind w:left="153" w:right="1128" w:firstLine="360"/>
        <w:jc w:val="both"/>
      </w:pPr>
      <w:r>
        <w:rPr/>
        <w:t>（4）对管理层使用持续经营假设的恰当性得出结论。同时，根据获取的审计证据，就可能导致对常山北明持续经营能 </w:t>
      </w:r>
      <w:r>
        <w:rPr>
          <w:spacing w:val="-2"/>
        </w:rPr>
        <w:t>力产生重大疑虑的事项或情况是否存在重大不确定性得出结论。如果我们得出结论认为存在重大不确定性，审计准则要求我</w:t>
      </w:r>
      <w:r>
        <w:rPr>
          <w:spacing w:val="-64"/>
        </w:rPr>
        <w:t> </w:t>
      </w:r>
      <w:r>
        <w:rPr>
          <w:spacing w:val="-64"/>
        </w:rPr>
      </w:r>
      <w:r>
        <w:rPr>
          <w:spacing w:val="-2"/>
        </w:rPr>
        <w:t>们在审计报告中提请报表使用者注意财务报表中的相关披露；如果披露不充分，我们应当发表非无保留意见。我们的结论基</w:t>
      </w:r>
      <w:r>
        <w:rPr>
          <w:spacing w:val="-66"/>
        </w:rPr>
        <w:t> </w:t>
      </w:r>
      <w:r>
        <w:rPr>
          <w:spacing w:val="-66"/>
        </w:rPr>
      </w:r>
      <w:r>
        <w:rPr/>
        <w:t>于截至审计报告日可获得的信息。然而，未来的事项或情况可能导致常山北明不能持续经营。</w:t>
      </w:r>
    </w:p>
    <w:p>
      <w:pPr>
        <w:pStyle w:val="BodyText"/>
        <w:spacing w:line="240" w:lineRule="auto" w:before="58"/>
        <w:ind w:left="513" w:right="0"/>
        <w:jc w:val="left"/>
      </w:pPr>
      <w:r>
        <w:rPr/>
        <w:t>（5）评价财务报表的总体列报、结构和内容，并评价财务报表是否公允反映相关交易和事项。</w:t>
      </w:r>
    </w:p>
    <w:p>
      <w:pPr>
        <w:pStyle w:val="BodyText"/>
        <w:spacing w:line="319" w:lineRule="auto" w:before="115"/>
        <w:ind w:left="153" w:right="1131" w:firstLine="360"/>
        <w:jc w:val="both"/>
      </w:pPr>
      <w:r>
        <w:rPr>
          <w:spacing w:val="-2"/>
        </w:rPr>
        <w:t>（6）就常山北明中实体或业务活动的财务信息获取充分、适当的审计证据，以对财</w:t>
      </w:r>
      <w:r>
        <w:rPr>
          <w:spacing w:val="18"/>
        </w:rPr>
        <w:t> </w:t>
      </w:r>
      <w:r>
        <w:rPr>
          <w:spacing w:val="-2"/>
        </w:rPr>
        <w:t>务报表发表审计意见。我们负责指</w:t>
      </w:r>
      <w:r>
        <w:rPr/>
        <w:t> 导、监督和执行集团审计，并对审计意见承担全部责任。</w:t>
      </w:r>
    </w:p>
    <w:p>
      <w:pPr>
        <w:pStyle w:val="BodyText"/>
        <w:spacing w:line="319" w:lineRule="auto" w:before="55"/>
        <w:ind w:left="153" w:right="1130"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19" w:lineRule="auto" w:before="56"/>
        <w:ind w:left="153" w:right="1130" w:firstLine="360"/>
        <w:jc w:val="both"/>
      </w:pPr>
      <w:r>
        <w:rPr>
          <w:spacing w:val="-2"/>
        </w:rPr>
        <w:t>我们还就遵守与独立性相关的职业道德要求向治理层提供声明，并与治理层沟通可能被合理认为影响我们独立性的所有</w:t>
      </w:r>
      <w:r>
        <w:rPr/>
        <w:t> 关系和其他事项，以及相关的防范措施（如适用）。</w:t>
      </w:r>
    </w:p>
    <w:p>
      <w:pPr>
        <w:pStyle w:val="BodyText"/>
        <w:spacing w:line="319" w:lineRule="auto" w:before="55"/>
        <w:ind w:left="153" w:right="1131"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6"/>
        </w:rPr>
        <w:t> </w:t>
      </w:r>
      <w:r>
        <w:rPr>
          <w:spacing w:val="-66"/>
        </w:rPr>
      </w:r>
      <w:r>
        <w:rPr/>
        <w:t>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3"/>
          <w:szCs w:val="13"/>
        </w:rPr>
      </w:pPr>
    </w:p>
    <w:p>
      <w:pPr>
        <w:pStyle w:val="BodyText"/>
        <w:tabs>
          <w:tab w:pos="5433" w:val="left" w:leader="none"/>
        </w:tabs>
        <w:spacing w:line="240" w:lineRule="auto"/>
        <w:ind w:left="513" w:right="0"/>
        <w:jc w:val="left"/>
      </w:pPr>
      <w:r>
        <w:rPr/>
        <w:t>中兴财光华会计师事务所</w:t>
        <w:tab/>
        <w:t>中国注册会计师：王飞</w:t>
      </w:r>
    </w:p>
    <w:p>
      <w:pPr>
        <w:pStyle w:val="BodyText"/>
        <w:tabs>
          <w:tab w:pos="5436" w:val="left" w:leader="none"/>
        </w:tabs>
        <w:spacing w:line="240" w:lineRule="auto" w:before="117"/>
        <w:ind w:left="513" w:right="0"/>
        <w:jc w:val="left"/>
      </w:pPr>
      <w:r>
        <w:rPr/>
        <w:t>（特殊普通合伙）</w:t>
        <w:tab/>
        <w:t>（项目合伙人）</w:t>
      </w:r>
    </w:p>
    <w:p>
      <w:pPr>
        <w:pStyle w:val="BodyText"/>
        <w:spacing w:line="240" w:lineRule="auto" w:before="116"/>
        <w:ind w:left="5424" w:right="0"/>
        <w:jc w:val="left"/>
      </w:pPr>
      <w:r>
        <w:rPr/>
        <w:t>中国注册会计师：秦卫国</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pStyle w:val="BodyText"/>
        <w:tabs>
          <w:tab w:pos="4927" w:val="left" w:leader="none"/>
        </w:tabs>
        <w:spacing w:line="240" w:lineRule="auto"/>
        <w:ind w:left="0" w:right="3077"/>
        <w:jc w:val="center"/>
      </w:pPr>
      <w:r>
        <w:rPr>
          <w:spacing w:val="-1"/>
        </w:rPr>
        <w:t>中国</w:t>
      </w:r>
      <w:r>
        <w:rPr>
          <w:rFonts w:ascii="Times New Roman" w:hAnsi="Times New Roman" w:cs="Times New Roman" w:eastAsia="Times New Roman" w:hint="default"/>
          <w:spacing w:val="-1"/>
        </w:rPr>
        <w:t>•</w:t>
      </w:r>
      <w:r>
        <w:rPr>
          <w:spacing w:val="-1"/>
        </w:rPr>
        <w:t>北京</w:t>
        <w:tab/>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24</w:t>
      </w:r>
      <w:r>
        <w:rPr>
          <w:spacing w:val="-1"/>
        </w:rPr>
        <w:t>日</w:t>
      </w:r>
    </w:p>
    <w:p>
      <w:pPr>
        <w:spacing w:after="0" w:line="240" w:lineRule="auto"/>
        <w:jc w:val="center"/>
        <w:sectPr>
          <w:pgSz w:w="11910" w:h="16840"/>
          <w:pgMar w:header="747" w:footer="982" w:top="1060" w:bottom="118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编制单位：石家庄常山北明科技股份有限公司</w:t>
      </w:r>
    </w:p>
    <w:p>
      <w:pPr>
        <w:pStyle w:val="BodyText"/>
        <w:spacing w:line="240" w:lineRule="auto" w:before="116"/>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477"/>
        <w:gridCol w:w="2532"/>
        <w:gridCol w:w="2520"/>
      </w:tblGrid>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3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1,807,150,344.91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2,017,099,006.92</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290,164,163.91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219,857,833.38</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2,544,000,353.79</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2,519,619,666.19</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1,130,137,979.89</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1,255,956,527.38</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234,120,607.31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177,798,512.65</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2,186,041,012.28</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2,204,253,459.52</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66,351,591.32</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74,288,269.55</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8,257,966,053.41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8,468,873,275.59</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3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477"/>
        <w:gridCol w:w="2532"/>
        <w:gridCol w:w="2520"/>
      </w:tblGrid>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30,194,928.13</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12,745,302.63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2,811,408.56</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14,190,753.73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26,501,436.31</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30,194,928.13</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152,143,555.53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157,014,698.61</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2,439,199,321.18</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2,227,945,503.31</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377,435,457.21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583,884,575.89</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404,276,327.05</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332,273,424.56</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126,298,006.60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94,108,890.38</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2,108,176,338.00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2,128,660,219.57</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29,277,440.67</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25,996,921.57</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62,735,838.64</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64,345,636.18</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141,776,555.31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134,101.21</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5,898,449,824.68</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5,673,871,744.28</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14,156,415,878.09</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14,142,745,019.87</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3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2,860,313,595.07</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2,861,501,687.06</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799,728,038.21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879,539,659.15</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1,620,853,209.68</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1,680,021,294.50</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378,742,131.88</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375,989,591.47</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477"/>
        <w:gridCol w:w="2532"/>
        <w:gridCol w:w="2520"/>
      </w:tblGrid>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20,692,252.78</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15,176,196.83</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139,641,198.30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168,332,546.05</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158,688,720.73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276,107,083.30</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5,642,118.74</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29,968,422.13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29,968,422.13</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1,035,059,355.21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164,019,901.11</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7,013,718,501.86</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6,420,687,959.47</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3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521,733,520.00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1,175,000,000.00</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328,118,047.16</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167,214,716.54</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369,366,017.01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283,031,909.46</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2,920,448.12</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4,380,563.48</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1,222,138,032.29</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1,629,627,189.48</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8,235,856,534.15</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8,050,315,148.95</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53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1,598,616,721.00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1,652,874,961.00</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2,651,375,774.01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2,897,090,367.86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500"/>
        <w:gridCol w:w="2520"/>
        <w:gridCol w:w="2520"/>
      </w:tblGrid>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5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26,954,164.03</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-16,171,512.65</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5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257,828,715.24</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246,855,939.63</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520"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1,420,893,614.91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1,314,594,063.13</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5,912,543,312.51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6,084,461,167.59</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8,016,031.43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7,968,703.33</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5,920,559,343.94</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6,092,429,870.92</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14,156,415,878.09</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14,142,745,019.87</w:t>
            </w:r>
          </w:p>
        </w:tc>
      </w:tr>
    </w:tbl>
    <w:p>
      <w:pPr>
        <w:spacing w:line="240" w:lineRule="auto" w:before="3"/>
        <w:rPr>
          <w:rFonts w:ascii="Times New Roman" w:hAnsi="Times New Roman" w:cs="Times New Roman" w:eastAsia="Times New Roman" w:hint="default"/>
          <w:sz w:val="23"/>
          <w:szCs w:val="23"/>
        </w:rPr>
      </w:pPr>
    </w:p>
    <w:p>
      <w:pPr>
        <w:pStyle w:val="BodyText"/>
        <w:tabs>
          <w:tab w:pos="3419" w:val="left" w:leader="none"/>
          <w:tab w:pos="7559" w:val="left" w:leader="none"/>
        </w:tabs>
        <w:spacing w:line="240" w:lineRule="auto" w:before="44"/>
        <w:ind w:left="0" w:right="1228"/>
        <w:jc w:val="right"/>
      </w:pPr>
      <w:r>
        <w:rPr/>
        <w:t>法定代表人：肖荣智</w:t>
        <w:tab/>
        <w:t>主管会计工作负责人：曹金霞</w:t>
        <w:tab/>
        <w:t>会计机构负责人：曹金霞</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477"/>
        <w:gridCol w:w="2532"/>
        <w:gridCol w:w="2520"/>
      </w:tblGrid>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3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670,611,389.00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698,470,968.97</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17,798,794.00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54,668,124.21</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353,978,575.06</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226,106,512.25</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964,451,911.04</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1,199,724,650.13</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17,911,909.77</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5,570,513.83</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842,996.72</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842,996.72</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637,055,822.62</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695,683,675.20</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59,149,554.82</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52,821,261.75</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2,720,957,956.31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2,933,045,706.34</w:t>
            </w:r>
          </w:p>
        </w:tc>
      </w:tr>
      <w:tr>
        <w:trPr>
          <w:trHeight w:val="401"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3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477"/>
        <w:gridCol w:w="2532"/>
        <w:gridCol w:w="2520"/>
      </w:tblGrid>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28,654,928.13</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3,218,441,000.37</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3,234,907,550.82</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28,654,928.13</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152,143,555.53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157,014,698.61</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1,885,280,429.65</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1,639,220,455.52</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377,435,457.21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580,160,467.01</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134,723,892.67</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138,136,780.39</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568,676.13</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35,252,206.61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35,889,047.33</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119,940,574.10</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5,952,440,720.40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5,813,983,927.81</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8,673,398,676.71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8,747,029,634.15</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3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1,496,964,038.89</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1,687,700,000.00</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230,000,000.00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230,000,000.00</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140,437,873.33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273,065,941.15</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22,808,855.32</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50,852,605.73</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53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5,491,118.77</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4,636,848.87</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5,885,271.06</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4,668,203.16</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80,355,243.33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178,136,177.95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472"/>
        <w:gridCol w:w="2537"/>
        <w:gridCol w:w="2520"/>
      </w:tblGrid>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107,137.82</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107,137.82</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466,854,225.48</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51,359,378.38</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2,448,796,626.18</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2,480,419,155.24</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3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521,733,520.00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660,000,000.00</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310,833,351.24</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97,205,613.70</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322,526,551.86</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240,029,405.34</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1,155,093,423.10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997,235,019.04</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3,603,890,049.28</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3,477,654,174.28</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53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1,598,616,721.00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1,652,874,961.00</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2,638,811,805.47</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2,884,526,399.32</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26,954,164.03</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-16,171,512.65</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537"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251,585,761.98</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240,612,986.37</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596,665,851.63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518,315,277.21</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5,069,508,627.43</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5,269,375,459.87</w:t>
            </w:r>
          </w:p>
        </w:tc>
      </w:tr>
      <w:tr>
        <w:trPr>
          <w:trHeight w:val="402" w:hRule="exact"/>
        </w:trPr>
        <w:tc>
          <w:tcPr>
            <w:tcW w:w="44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8,673,398,676.71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8,747,029,634.15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6277"/>
        <w:gridCol w:w="1632"/>
        <w:gridCol w:w="1620"/>
      </w:tblGrid>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9,446,620,387.05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9,656,109,155.27</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9,446,620,387.05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9,656,109,155.27</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9,589,853,091.62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9,648,543,975.78</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8,639,818,739.54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8,764,152,039.41</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提取保险责任合同准备金净额</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51,816,507.16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56,916,127.44</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221,155,239.82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227,904,951.31</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292,406,842.18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292,797,506.34</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115,315,688.95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46,048,176.15</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269,340,073.97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260,725,175.13</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227,884,211.77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211,564,568.56</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3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11,445,760.34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7,099,070.57</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302,607,077.34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298,754,692.00</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-1,032,820.91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2,026,262.66</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-5,102,958.51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-8,806.14</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以摊余成本计量的金融资产终止确认收益</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净敞口套期收益（损失以“－”号填列）</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公允价值变动收益（损失以“－”号填列）</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-70,465,259.34</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-38,360,592.32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-88,288,040.74</w:t>
            </w:r>
          </w:p>
        </w:tc>
      </w:tr>
      <w:tr>
        <w:trPr>
          <w:trHeight w:val="403"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49,635,276.81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-4,186,397.14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6277"/>
        <w:gridCol w:w="1632"/>
        <w:gridCol w:w="1620"/>
      </w:tblGrid>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99,150,977.01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215,871,696.27</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41,047,753.88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63,628,938.32</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16,294,661.84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4,108,267.70</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四、利润总额（亏损总额以“－”号填列）</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123,904,069.05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275,392,366.89</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28,694,980.26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92,456,515.91</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95,209,088.79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182,935,850.98</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持续经营净利润（净亏损以“－”号填列）</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95,209,088.79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182,935,850.98</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终止经营净利润（净亏损以“－”号填列）</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101,100,814.74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185,972,590.91</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-5,891,725.95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-3,036,739.93</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其他权益工具投资公允价值变动</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企业自身信用风险公允价值变动</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可供出售金融资产公允价值变动损益</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金融资产重分类计入其他综合收益的金额</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持有至到期投资重分类为可供出售金融资产损益</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95,209,088.79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182,935,850.98</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101,100,814.74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185,972,590.91</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-5,891,725.95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-3,036,739.93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6277"/>
        <w:gridCol w:w="1632"/>
        <w:gridCol w:w="1620"/>
      </w:tblGrid>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273"/>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w w:val="95"/>
                <w:sz w:val="18"/>
              </w:rPr>
              <w:t>0.11</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273"/>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w w:val="95"/>
                <w:sz w:val="18"/>
              </w:rPr>
              <w:t>0.11</w:t>
            </w:r>
          </w:p>
        </w:tc>
      </w:tr>
    </w:tbl>
    <w:p>
      <w:pPr>
        <w:pStyle w:val="BodyText"/>
        <w:tabs>
          <w:tab w:pos="3573" w:val="left" w:leader="none"/>
          <w:tab w:pos="7713" w:val="left" w:leader="none"/>
        </w:tabs>
        <w:spacing w:line="624" w:lineRule="auto" w:before="51"/>
        <w:ind w:left="153" w:right="1228"/>
        <w:jc w:val="left"/>
      </w:pPr>
      <w:r>
        <w:rPr/>
        <w:t>本期发生同一控制下企业合并的，被合并方在合并前实现的净利润为：元，上期被合并方实现的净利润为：元。 法定代表人：肖荣智</w:t>
        <w:tab/>
        <w:t>主管会计工作负责人：曹金霞</w:t>
        <w:tab/>
        <w:t>会计机构负责人：曹金霞</w:t>
      </w:r>
    </w:p>
    <w:p>
      <w:pPr>
        <w:pStyle w:val="Heading3"/>
        <w:spacing w:line="240" w:lineRule="auto" w:before="63"/>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6277"/>
        <w:gridCol w:w="1632"/>
        <w:gridCol w:w="1620"/>
      </w:tblGrid>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4,357,324,945.27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4,201,182,168.10</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4,379,192,087.26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4,182,690,985.97</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31,180,411.18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34,665,460.53</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7,004,395.10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10,280,206.54</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100,741,226.14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90,377,735.44</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148,753,868.51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134,134,564.05</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134,785,555.60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119,968,031.00</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5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8,461,654.28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4,629,779.19</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289,376,199.77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284,502,062.14</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186,929,884.04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131,381,894.81</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-7,140,253.56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-653,173.99</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以摊余成本计量的金融资产终止确认收益（损失以“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净敞口套期收益（损失以“－”号填列）</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公允价值变动收益（损失以“－”号填列）</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-64,646,047.77</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-17,634,126.04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-24,144,691.21</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-1,398,633.83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-3,961,079.23</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83,080,233.25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136,811,402.08</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211,689.54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278,917.98</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9,503,244.69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636,583.73</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三、利润总额（亏损总额以“－”号填列）</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73,788,678.10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136,453,736.33</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636,840.72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59,352,020.69</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73,151,837.38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77,101,715.64</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（一）持续经营净利润（净亏损以“－”号填列）</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73,151,837.38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77,101,715.64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6277"/>
        <w:gridCol w:w="1632"/>
        <w:gridCol w:w="1620"/>
      </w:tblGrid>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（二）终止经营净利润（净亏损以“－”号填列）</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其他权益工具投资公允价值变动</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企业自身信用风险公允价值变动</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可供出售金融资产公允价值变动损益</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金融资产重分类计入其他综合收益的金额</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持有至到期投资重分类为可供出售金融资产损益</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555" w:right="0"/>
              <w:jc w:val="left"/>
              <w:rPr>
                <w:rFonts w:ascii="Times New Roman" w:hAnsi="Times New Roman" w:cs="Times New Roman" w:eastAsia="Times New Roman" w:hint="default"/>
                <w:sz w:val="18"/>
                <w:szCs w:val="18"/>
              </w:rPr>
            </w:pPr>
            <w:r>
              <w:rPr>
                <w:rFonts w:ascii="Times New Roman"/>
                <w:sz w:val="18"/>
              </w:rPr>
              <w:t>73,151,837.38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0" w:right="0"/>
              <w:jc w:val="left"/>
              <w:rPr>
                <w:rFonts w:ascii="Times New Roman" w:hAnsi="Times New Roman" w:cs="Times New Roman" w:eastAsia="Times New Roman" w:hint="default"/>
                <w:sz w:val="18"/>
                <w:szCs w:val="18"/>
              </w:rPr>
            </w:pPr>
            <w:r>
              <w:rPr>
                <w:rFonts w:ascii="Times New Roman"/>
                <w:sz w:val="18"/>
              </w:rPr>
              <w:t>77,101,715.64</w:t>
            </w: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377"/>
        <w:gridCol w:w="2086"/>
        <w:gridCol w:w="2066"/>
      </w:tblGrid>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08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06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08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696" w:right="0"/>
              <w:jc w:val="left"/>
              <w:rPr>
                <w:rFonts w:ascii="Times New Roman" w:hAnsi="Times New Roman" w:cs="Times New Roman" w:eastAsia="Times New Roman" w:hint="default"/>
                <w:sz w:val="18"/>
                <w:szCs w:val="18"/>
              </w:rPr>
            </w:pPr>
            <w:r>
              <w:rPr>
                <w:rFonts w:ascii="Times New Roman"/>
                <w:sz w:val="18"/>
              </w:rPr>
              <w:t>10,038,204,586.83</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3" w:right="0"/>
              <w:jc w:val="left"/>
              <w:rPr>
                <w:rFonts w:ascii="Times New Roman" w:hAnsi="Times New Roman" w:cs="Times New Roman" w:eastAsia="Times New Roman" w:hint="default"/>
                <w:sz w:val="18"/>
                <w:szCs w:val="18"/>
              </w:rPr>
            </w:pPr>
            <w:r>
              <w:rPr>
                <w:rFonts w:ascii="Times New Roman"/>
                <w:sz w:val="18"/>
              </w:rPr>
              <w:t>10,840,651,354.69</w:t>
            </w: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293"/>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086" w:type="dxa"/>
            <w:tcBorders>
              <w:top w:val="single" w:sz="4" w:space="0" w:color="000000"/>
              <w:left w:val="single" w:sz="10" w:space="0" w:color="D3D3D3"/>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086" w:type="dxa"/>
            <w:tcBorders>
              <w:top w:val="single" w:sz="4" w:space="0" w:color="000000"/>
              <w:left w:val="single" w:sz="10" w:space="0" w:color="D3D3D3"/>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293"/>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086" w:type="dxa"/>
            <w:tcBorders>
              <w:top w:val="single" w:sz="4" w:space="0" w:color="000000"/>
              <w:left w:val="single" w:sz="10" w:space="0" w:color="D3D3D3"/>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086" w:type="dxa"/>
            <w:tcBorders>
              <w:top w:val="single" w:sz="4" w:space="0" w:color="000000"/>
              <w:left w:val="single" w:sz="10" w:space="0" w:color="D3D3D3"/>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2086" w:type="dxa"/>
            <w:tcBorders>
              <w:top w:val="single" w:sz="4" w:space="0" w:color="000000"/>
              <w:left w:val="single" w:sz="10" w:space="0" w:color="D3D3D3"/>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086" w:type="dxa"/>
            <w:tcBorders>
              <w:top w:val="single" w:sz="4" w:space="0" w:color="000000"/>
              <w:left w:val="single" w:sz="10" w:space="0" w:color="D3D3D3"/>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5377"/>
        <w:gridCol w:w="2086"/>
        <w:gridCol w:w="2066"/>
      </w:tblGrid>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086" w:type="dxa"/>
            <w:tcBorders>
              <w:top w:val="single" w:sz="4" w:space="0" w:color="000000"/>
              <w:left w:val="single" w:sz="10" w:space="0" w:color="D3D3D3"/>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086" w:type="dxa"/>
            <w:tcBorders>
              <w:top w:val="single" w:sz="4" w:space="0" w:color="000000"/>
              <w:left w:val="single" w:sz="10" w:space="0" w:color="D3D3D3"/>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086" w:type="dxa"/>
            <w:tcBorders>
              <w:top w:val="single" w:sz="4" w:space="0" w:color="000000"/>
              <w:left w:val="single" w:sz="10" w:space="0" w:color="D3D3D3"/>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2086" w:type="dxa"/>
            <w:tcBorders>
              <w:top w:val="single" w:sz="4" w:space="0" w:color="000000"/>
              <w:left w:val="single" w:sz="10" w:space="0" w:color="D3D3D3"/>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08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7,841,396.55</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16,768,529.10</w:t>
            </w: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08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399,417,490.58</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322,788,931.41</w:t>
            </w: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08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10,445,463,473.96</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11,180,208,815.20</w:t>
            </w: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08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9,156,467,726.50</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9,354,494,079.42</w:t>
            </w: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086" w:type="dxa"/>
            <w:tcBorders>
              <w:top w:val="single" w:sz="4" w:space="0" w:color="000000"/>
              <w:left w:val="single" w:sz="10" w:space="0" w:color="D3D3D3"/>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086" w:type="dxa"/>
            <w:tcBorders>
              <w:top w:val="single" w:sz="4" w:space="0" w:color="000000"/>
              <w:left w:val="single" w:sz="10" w:space="0" w:color="D3D3D3"/>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086" w:type="dxa"/>
            <w:tcBorders>
              <w:top w:val="single" w:sz="4" w:space="0" w:color="000000"/>
              <w:left w:val="single" w:sz="10" w:space="0" w:color="D3D3D3"/>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2086" w:type="dxa"/>
            <w:tcBorders>
              <w:top w:val="single" w:sz="4" w:space="0" w:color="000000"/>
              <w:left w:val="single" w:sz="10" w:space="0" w:color="D3D3D3"/>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086" w:type="dxa"/>
            <w:tcBorders>
              <w:top w:val="single" w:sz="4" w:space="0" w:color="000000"/>
              <w:left w:val="single" w:sz="10" w:space="0" w:color="D3D3D3"/>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086" w:type="dxa"/>
            <w:tcBorders>
              <w:top w:val="single" w:sz="4" w:space="0" w:color="000000"/>
              <w:left w:val="single" w:sz="10" w:space="0" w:color="D3D3D3"/>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08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482,590,806.79</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473,739,330.40</w:t>
            </w: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08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207,378,832.81</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205,580,738.60</w:t>
            </w: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08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298,406,644.28</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278,684,332.17</w:t>
            </w: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08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10,144,844,010.38</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10,312,498,480.59</w:t>
            </w: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08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300,619,463.58</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867,710,334.61</w:t>
            </w: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08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06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086" w:type="dxa"/>
            <w:tcBorders>
              <w:top w:val="single" w:sz="4" w:space="0" w:color="000000"/>
              <w:left w:val="single" w:sz="10" w:space="0" w:color="D3D3D3"/>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08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4,470,137.60</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2,035,068.80</w:t>
            </w: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08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11,926,683.83</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9,356,640.76</w:t>
            </w: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086" w:type="dxa"/>
            <w:tcBorders>
              <w:top w:val="single" w:sz="4" w:space="0" w:color="000000"/>
              <w:left w:val="single" w:sz="10" w:space="0" w:color="D3D3D3"/>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086" w:type="dxa"/>
            <w:tcBorders>
              <w:top w:val="single" w:sz="4" w:space="0" w:color="000000"/>
              <w:left w:val="single" w:sz="10" w:space="0" w:color="D3D3D3"/>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08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16,396,821.43</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11,391,709.56</w:t>
            </w: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08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346,135,049.61</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438,320,168.56</w:t>
            </w: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086" w:type="dxa"/>
            <w:tcBorders>
              <w:top w:val="single" w:sz="4" w:space="0" w:color="000000"/>
              <w:left w:val="single" w:sz="10" w:space="0" w:color="D3D3D3"/>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086" w:type="dxa"/>
            <w:tcBorders>
              <w:top w:val="single" w:sz="4" w:space="0" w:color="000000"/>
              <w:left w:val="single" w:sz="10" w:space="0" w:color="D3D3D3"/>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08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67,916,678.54</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49,607,000.00</w:t>
            </w: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086" w:type="dxa"/>
            <w:tcBorders>
              <w:top w:val="single" w:sz="4" w:space="0" w:color="000000"/>
              <w:left w:val="single" w:sz="10" w:space="0" w:color="D3D3D3"/>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08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414,051,728.15</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495,927,168.56</w:t>
            </w: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08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-397,654,906.72</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-484,535,459.00</w:t>
            </w: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08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066"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400"/>
        <w:gridCol w:w="2074"/>
        <w:gridCol w:w="2066"/>
      </w:tblGrid>
      <w:tr>
        <w:trPr>
          <w:trHeight w:val="402" w:hRule="exact"/>
        </w:trPr>
        <w:tc>
          <w:tcPr>
            <w:tcW w:w="54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7,645,000.00</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6,501,000.00</w:t>
            </w:r>
          </w:p>
        </w:tc>
      </w:tr>
      <w:tr>
        <w:trPr>
          <w:trHeight w:val="402" w:hRule="exact"/>
        </w:trPr>
        <w:tc>
          <w:tcPr>
            <w:tcW w:w="54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585"/>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7,645,000.00</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6,501,000.00</w:t>
            </w:r>
          </w:p>
        </w:tc>
      </w:tr>
      <w:tr>
        <w:trPr>
          <w:trHeight w:val="402" w:hRule="exact"/>
        </w:trPr>
        <w:tc>
          <w:tcPr>
            <w:tcW w:w="54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3,390,331,460.90</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4,049,319,687.06</w:t>
            </w:r>
          </w:p>
        </w:tc>
      </w:tr>
      <w:tr>
        <w:trPr>
          <w:trHeight w:val="402" w:hRule="exact"/>
        </w:trPr>
        <w:tc>
          <w:tcPr>
            <w:tcW w:w="54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425,640,000.00</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271,800,000.00</w:t>
            </w:r>
          </w:p>
        </w:tc>
      </w:tr>
      <w:tr>
        <w:trPr>
          <w:trHeight w:val="402" w:hRule="exact"/>
        </w:trPr>
        <w:tc>
          <w:tcPr>
            <w:tcW w:w="54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3,823,616,460.90</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4,327,620,687.06</w:t>
            </w:r>
          </w:p>
        </w:tc>
      </w:tr>
      <w:tr>
        <w:trPr>
          <w:trHeight w:val="402" w:hRule="exact"/>
        </w:trPr>
        <w:tc>
          <w:tcPr>
            <w:tcW w:w="54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3,322,747,876.51</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3,716,189,812.99</w:t>
            </w:r>
          </w:p>
        </w:tc>
      </w:tr>
      <w:tr>
        <w:trPr>
          <w:trHeight w:val="402" w:hRule="exact"/>
        </w:trPr>
        <w:tc>
          <w:tcPr>
            <w:tcW w:w="54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221,589,882.98</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285,635,709.44</w:t>
            </w:r>
          </w:p>
        </w:tc>
      </w:tr>
      <w:tr>
        <w:trPr>
          <w:trHeight w:val="402" w:hRule="exact"/>
        </w:trPr>
        <w:tc>
          <w:tcPr>
            <w:tcW w:w="54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585"/>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074" w:type="dxa"/>
            <w:tcBorders>
              <w:top w:val="single" w:sz="4" w:space="0" w:color="000000"/>
              <w:left w:val="single" w:sz="4" w:space="0" w:color="000000"/>
              <w:bottom w:val="single" w:sz="4" w:space="0" w:color="000000"/>
              <w:right w:val="single" w:sz="4" w:space="0" w:color="000000"/>
            </w:tcBorders>
          </w:tcPr>
          <w:p>
            <w:pPr/>
          </w:p>
        </w:tc>
        <w:tc>
          <w:tcPr>
            <w:tcW w:w="20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413,554,531.64</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173,856,006.78</w:t>
            </w:r>
          </w:p>
        </w:tc>
      </w:tr>
      <w:tr>
        <w:trPr>
          <w:trHeight w:val="402" w:hRule="exact"/>
        </w:trPr>
        <w:tc>
          <w:tcPr>
            <w:tcW w:w="54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3,957,892,291.13</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4,175,681,529.21</w:t>
            </w:r>
          </w:p>
        </w:tc>
      </w:tr>
      <w:tr>
        <w:trPr>
          <w:trHeight w:val="402" w:hRule="exact"/>
        </w:trPr>
        <w:tc>
          <w:tcPr>
            <w:tcW w:w="54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-134,275,830.23</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151,939,157.85</w:t>
            </w:r>
          </w:p>
        </w:tc>
      </w:tr>
      <w:tr>
        <w:trPr>
          <w:trHeight w:val="402" w:hRule="exact"/>
        </w:trPr>
        <w:tc>
          <w:tcPr>
            <w:tcW w:w="54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-626,813.19</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274,784.68</w:t>
            </w:r>
          </w:p>
        </w:tc>
      </w:tr>
      <w:tr>
        <w:trPr>
          <w:trHeight w:val="402" w:hRule="exact"/>
        </w:trPr>
        <w:tc>
          <w:tcPr>
            <w:tcW w:w="54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-231,938,086.56</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535,388,818.14</w:t>
            </w:r>
          </w:p>
        </w:tc>
      </w:tr>
      <w:tr>
        <w:trPr>
          <w:trHeight w:val="402" w:hRule="exact"/>
        </w:trPr>
        <w:tc>
          <w:tcPr>
            <w:tcW w:w="54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1,793,943,347.16</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1,258,554,529.02</w:t>
            </w:r>
          </w:p>
        </w:tc>
      </w:tr>
      <w:tr>
        <w:trPr>
          <w:trHeight w:val="402" w:hRule="exact"/>
        </w:trPr>
        <w:tc>
          <w:tcPr>
            <w:tcW w:w="54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1,562,005,260.60</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1,793,943,347.16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5377"/>
        <w:gridCol w:w="2172"/>
        <w:gridCol w:w="1980"/>
      </w:tblGrid>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17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4,221,776,218.08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4,447,991,089.51</w:t>
            </w: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172"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387,302,803.74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347,727,891.20</w:t>
            </w: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4,609,079,021.82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4,795,718,980.71</w:t>
            </w: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4,218,442,529.03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4,372,931,264.74</w:t>
            </w: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148,575,407.66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163,633,582.52</w:t>
            </w: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46,220,276.25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59,994,223.42</w:t>
            </w: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37,439,189.25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19,420,696.67</w:t>
            </w: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4,450,677,402.19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4,615,979,767.35</w:t>
            </w: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158,401,619.63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179,739,213.36</w:t>
            </w: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17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172"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4,070,137.60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2,035,068.80</w:t>
            </w:r>
          </w:p>
        </w:tc>
      </w:tr>
      <w:tr>
        <w:trPr>
          <w:trHeight w:val="401"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1,637,293.83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9,278,708.00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5377"/>
        <w:gridCol w:w="2172"/>
        <w:gridCol w:w="1980"/>
      </w:tblGrid>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172"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172"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5,707,431.43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11,313,776.80</w:t>
            </w: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166,567,448.85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292,759,178.18</w:t>
            </w: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1,173,703.11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77,418,200.00</w:t>
            </w: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172"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170,741,151.96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370,177,378.18</w:t>
            </w: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-165,033,720.53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-358,863,601.38</w:t>
            </w: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17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172" w:type="dxa"/>
            <w:tcBorders>
              <w:top w:val="single" w:sz="4" w:space="0" w:color="000000"/>
              <w:left w:val="single" w:sz="10" w:space="0" w:color="D3D3D3"/>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1,633,847,760.00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2,147,700,000.00</w:t>
            </w: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524,017,750.80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623,814,942.35</w:t>
            </w: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2,157,865,510.80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2,771,514,942.35</w:t>
            </w: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1,690,584,240.00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2,303,932,727.00</w:t>
            </w: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135,473,264.75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204,152,249.82</w:t>
            </w: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354,591,427.94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133,716,664.03</w:t>
            </w: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2,180,648,932.69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2,641,801,640.85</w:t>
            </w: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-22,783,421.89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129,713,301.50</w:t>
            </w: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-570,642.42</w:t>
            </w:r>
          </w:p>
        </w:tc>
        <w:tc>
          <w:tcPr>
            <w:tcW w:w="19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-29,986,165.21</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-49,411,086.52</w:t>
            </w: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652,855,509.37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702,266,595.89</w:t>
            </w:r>
          </w:p>
        </w:tc>
      </w:tr>
      <w:tr>
        <w:trPr>
          <w:trHeight w:val="402" w:hRule="exact"/>
        </w:trPr>
        <w:tc>
          <w:tcPr>
            <w:tcW w:w="53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1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622,869,344.16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652,855,509.37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00"/>
        <w:gridCol w:w="708"/>
        <w:gridCol w:w="466"/>
        <w:gridCol w:w="468"/>
        <w:gridCol w:w="326"/>
        <w:gridCol w:w="760"/>
        <w:gridCol w:w="680"/>
        <w:gridCol w:w="584"/>
        <w:gridCol w:w="502"/>
        <w:gridCol w:w="583"/>
        <w:gridCol w:w="584"/>
        <w:gridCol w:w="583"/>
        <w:gridCol w:w="409"/>
        <w:gridCol w:w="584"/>
        <w:gridCol w:w="583"/>
        <w:gridCol w:w="806"/>
      </w:tblGrid>
      <w:tr>
        <w:trPr>
          <w:trHeight w:val="402" w:hRule="exact"/>
        </w:trPr>
        <w:tc>
          <w:tcPr>
            <w:tcW w:w="900" w:type="dxa"/>
            <w:vMerge w:val="restart"/>
            <w:tcBorders>
              <w:top w:val="single" w:sz="4" w:space="0" w:color="000000"/>
              <w:left w:val="single" w:sz="4" w:space="0" w:color="000000"/>
              <w:right w:val="single" w:sz="4" w:space="0" w:color="000000"/>
            </w:tcBorders>
            <w:shd w:val="clear" w:color="auto" w:fill="D3D3D3"/>
          </w:tcPr>
          <w:p>
            <w:pPr/>
          </w:p>
        </w:tc>
        <w:tc>
          <w:tcPr>
            <w:tcW w:w="8629" w:type="dxa"/>
            <w:gridSpan w:val="1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246" w:hRule="exact"/>
        </w:trPr>
        <w:tc>
          <w:tcPr>
            <w:tcW w:w="900" w:type="dxa"/>
            <w:vMerge/>
            <w:tcBorders>
              <w:left w:val="single" w:sz="4" w:space="0" w:color="000000"/>
              <w:right w:val="single" w:sz="4" w:space="0" w:color="000000"/>
            </w:tcBorders>
            <w:shd w:val="clear" w:color="auto" w:fill="D3D3D3"/>
          </w:tcPr>
          <w:p>
            <w:pPr/>
          </w:p>
        </w:tc>
        <w:tc>
          <w:tcPr>
            <w:tcW w:w="7239" w:type="dxa"/>
            <w:gridSpan w:val="1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3" w:type="dxa"/>
            <w:tcBorders>
              <w:top w:val="single" w:sz="4" w:space="0" w:color="000000"/>
              <w:left w:val="single" w:sz="4" w:space="0" w:color="000000"/>
              <w:bottom w:val="nil" w:sz="6" w:space="0" w:color="auto"/>
              <w:right w:val="single" w:sz="4" w:space="0" w:color="000000"/>
            </w:tcBorders>
            <w:shd w:val="clear" w:color="auto" w:fill="D3D3D3"/>
          </w:tcPr>
          <w:p>
            <w:pPr/>
          </w:p>
        </w:tc>
        <w:tc>
          <w:tcPr>
            <w:tcW w:w="806" w:type="dxa"/>
            <w:vMerge w:val="restart"/>
            <w:tcBorders>
              <w:top w:val="single" w:sz="4" w:space="0" w:color="000000"/>
              <w:left w:val="single" w:sz="4" w:space="0" w:color="000000"/>
              <w:right w:val="single" w:sz="4" w:space="0" w:color="000000"/>
            </w:tcBorders>
            <w:shd w:val="clear" w:color="auto" w:fill="D3D3D3"/>
          </w:tcPr>
          <w:p>
            <w:pPr/>
          </w:p>
        </w:tc>
      </w:tr>
      <w:tr>
        <w:trPr>
          <w:trHeight w:val="156" w:hRule="exact"/>
        </w:trPr>
        <w:tc>
          <w:tcPr>
            <w:tcW w:w="900" w:type="dxa"/>
            <w:vMerge/>
            <w:tcBorders>
              <w:left w:val="single" w:sz="4" w:space="0" w:color="000000"/>
              <w:bottom w:val="nil" w:sz="6" w:space="0" w:color="auto"/>
              <w:right w:val="single" w:sz="4" w:space="0" w:color="000000"/>
            </w:tcBorders>
            <w:shd w:val="clear" w:color="auto" w:fill="D3D3D3"/>
          </w:tcPr>
          <w:p>
            <w:pPr/>
          </w:p>
        </w:tc>
        <w:tc>
          <w:tcPr>
            <w:tcW w:w="7239" w:type="dxa"/>
            <w:gridSpan w:val="13"/>
            <w:vMerge/>
            <w:tcBorders>
              <w:left w:val="single" w:sz="4" w:space="0" w:color="000000"/>
              <w:bottom w:val="single" w:sz="4" w:space="0" w:color="000000"/>
              <w:right w:val="single" w:sz="4" w:space="0" w:color="000000"/>
            </w:tcBorders>
            <w:shd w:val="clear" w:color="auto" w:fill="D3D3D3"/>
          </w:tcPr>
          <w:p>
            <w:pPr/>
          </w:p>
        </w:tc>
        <w:tc>
          <w:tcPr>
            <w:tcW w:w="583"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106" w:right="104"/>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806" w:type="dxa"/>
            <w:vMerge/>
            <w:tcBorders>
              <w:left w:val="single" w:sz="4" w:space="0" w:color="000000"/>
              <w:bottom w:val="nil" w:sz="6" w:space="0" w:color="auto"/>
              <w:right w:val="single" w:sz="4" w:space="0" w:color="000000"/>
            </w:tcBorders>
            <w:shd w:val="clear" w:color="auto" w:fill="D3D3D3"/>
          </w:tcPr>
          <w:p>
            <w:pPr/>
          </w:p>
        </w:tc>
      </w:tr>
      <w:tr>
        <w:trPr>
          <w:trHeight w:val="200" w:hRule="exact"/>
        </w:trPr>
        <w:tc>
          <w:tcPr>
            <w:tcW w:w="90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25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08" w:type="dxa"/>
            <w:vMerge w:val="restart"/>
            <w:tcBorders>
              <w:top w:val="single" w:sz="4" w:space="0" w:color="000000"/>
              <w:left w:val="single" w:sz="4" w:space="0" w:color="000000"/>
              <w:right w:val="single" w:sz="4" w:space="0" w:color="000000"/>
            </w:tcBorders>
            <w:shd w:val="clear" w:color="auto" w:fill="D3D3D3"/>
          </w:tcPr>
          <w:p>
            <w:pPr/>
          </w:p>
        </w:tc>
        <w:tc>
          <w:tcPr>
            <w:tcW w:w="1261"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60" w:type="dxa"/>
            <w:tcBorders>
              <w:top w:val="single" w:sz="4" w:space="0" w:color="000000"/>
              <w:left w:val="single" w:sz="4" w:space="0" w:color="000000"/>
              <w:bottom w:val="nil" w:sz="6" w:space="0" w:color="auto"/>
              <w:right w:val="single" w:sz="4" w:space="0" w:color="000000"/>
            </w:tcBorders>
            <w:shd w:val="clear" w:color="auto" w:fill="D3D3D3"/>
          </w:tcPr>
          <w:p>
            <w:pPr/>
          </w:p>
        </w:tc>
        <w:tc>
          <w:tcPr>
            <w:tcW w:w="680" w:type="dxa"/>
            <w:tcBorders>
              <w:top w:val="single" w:sz="4" w:space="0" w:color="000000"/>
              <w:left w:val="single" w:sz="4" w:space="0" w:color="000000"/>
              <w:bottom w:val="nil" w:sz="6" w:space="0" w:color="auto"/>
              <w:right w:val="single" w:sz="4" w:space="0" w:color="000000"/>
            </w:tcBorders>
            <w:shd w:val="clear" w:color="auto" w:fill="D3D3D3"/>
          </w:tcPr>
          <w:p>
            <w:pPr/>
          </w:p>
        </w:tc>
        <w:tc>
          <w:tcPr>
            <w:tcW w:w="58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1"/>
              <w:ind w:left="106" w:right="107"/>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02" w:type="dxa"/>
            <w:tcBorders>
              <w:top w:val="single" w:sz="4" w:space="0" w:color="000000"/>
              <w:left w:val="single" w:sz="4" w:space="0" w:color="000000"/>
              <w:bottom w:val="nil" w:sz="6" w:space="0" w:color="auto"/>
              <w:right w:val="single" w:sz="4" w:space="0" w:color="000000"/>
            </w:tcBorders>
            <w:shd w:val="clear" w:color="auto" w:fill="D3D3D3"/>
          </w:tcPr>
          <w:p>
            <w:pPr/>
          </w:p>
        </w:tc>
        <w:tc>
          <w:tcPr>
            <w:tcW w:w="583" w:type="dxa"/>
            <w:tcBorders>
              <w:top w:val="single" w:sz="4" w:space="0" w:color="000000"/>
              <w:left w:val="single" w:sz="4" w:space="0" w:color="000000"/>
              <w:bottom w:val="nil" w:sz="6" w:space="0" w:color="auto"/>
              <w:right w:val="single" w:sz="4" w:space="0" w:color="000000"/>
            </w:tcBorders>
            <w:shd w:val="clear" w:color="auto" w:fill="D3D3D3"/>
          </w:tcPr>
          <w:p>
            <w:pPr/>
          </w:p>
        </w:tc>
        <w:tc>
          <w:tcPr>
            <w:tcW w:w="58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1"/>
              <w:ind w:left="106" w:right="107"/>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1"/>
              <w:ind w:left="106" w:right="104"/>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409" w:type="dxa"/>
            <w:tcBorders>
              <w:top w:val="single" w:sz="4" w:space="0" w:color="000000"/>
              <w:left w:val="single" w:sz="4" w:space="0" w:color="000000"/>
              <w:bottom w:val="nil" w:sz="6" w:space="0" w:color="auto"/>
              <w:right w:val="single" w:sz="4" w:space="0" w:color="000000"/>
            </w:tcBorders>
            <w:shd w:val="clear" w:color="auto" w:fill="D3D3D3"/>
          </w:tcPr>
          <w:p>
            <w:pPr/>
          </w:p>
        </w:tc>
        <w:tc>
          <w:tcPr>
            <w:tcW w:w="584" w:type="dxa"/>
            <w:vMerge w:val="restart"/>
            <w:tcBorders>
              <w:top w:val="single" w:sz="4" w:space="0" w:color="000000"/>
              <w:left w:val="single" w:sz="4" w:space="0" w:color="000000"/>
              <w:right w:val="single" w:sz="4" w:space="0" w:color="000000"/>
            </w:tcBorders>
            <w:shd w:val="clear" w:color="auto" w:fill="D3D3D3"/>
          </w:tcPr>
          <w:p>
            <w:pPr/>
          </w:p>
        </w:tc>
        <w:tc>
          <w:tcPr>
            <w:tcW w:w="583" w:type="dxa"/>
            <w:vMerge/>
            <w:tcBorders>
              <w:left w:val="single" w:sz="4" w:space="0" w:color="000000"/>
              <w:right w:val="single" w:sz="4" w:space="0" w:color="000000"/>
            </w:tcBorders>
            <w:shd w:val="clear" w:color="auto" w:fill="D3D3D3"/>
          </w:tcPr>
          <w:p>
            <w:pPr/>
          </w:p>
        </w:tc>
        <w:tc>
          <w:tcPr>
            <w:tcW w:w="80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128" w:right="36"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66" w:hRule="exact"/>
        </w:trPr>
        <w:tc>
          <w:tcPr>
            <w:tcW w:w="900" w:type="dxa"/>
            <w:vMerge/>
            <w:tcBorders>
              <w:left w:val="single" w:sz="4" w:space="0" w:color="000000"/>
              <w:bottom w:val="nil" w:sz="6" w:space="0" w:color="auto"/>
              <w:right w:val="single" w:sz="4" w:space="0" w:color="000000"/>
            </w:tcBorders>
            <w:shd w:val="clear" w:color="auto" w:fill="D3D3D3"/>
          </w:tcPr>
          <w:p>
            <w:pPr/>
          </w:p>
        </w:tc>
        <w:tc>
          <w:tcPr>
            <w:tcW w:w="708" w:type="dxa"/>
            <w:vMerge/>
            <w:tcBorders>
              <w:left w:val="single" w:sz="4" w:space="0" w:color="000000"/>
              <w:bottom w:val="nil" w:sz="6" w:space="0" w:color="auto"/>
              <w:right w:val="single" w:sz="4" w:space="0" w:color="000000"/>
            </w:tcBorders>
            <w:shd w:val="clear" w:color="auto" w:fill="D3D3D3"/>
          </w:tcPr>
          <w:p>
            <w:pPr/>
          </w:p>
        </w:tc>
        <w:tc>
          <w:tcPr>
            <w:tcW w:w="1261" w:type="dxa"/>
            <w:gridSpan w:val="3"/>
            <w:vMerge/>
            <w:tcBorders>
              <w:left w:val="single" w:sz="4" w:space="0" w:color="000000"/>
              <w:bottom w:val="single" w:sz="4" w:space="0" w:color="000000"/>
              <w:right w:val="single" w:sz="4" w:space="0" w:color="000000"/>
            </w:tcBorders>
            <w:shd w:val="clear" w:color="auto" w:fill="D3D3D3"/>
          </w:tcPr>
          <w:p>
            <w:pPr/>
          </w:p>
        </w:tc>
        <w:tc>
          <w:tcPr>
            <w:tcW w:w="760"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84" w:right="103"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0"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154" w:right="65"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584" w:type="dxa"/>
            <w:vMerge/>
            <w:tcBorders>
              <w:left w:val="single" w:sz="4" w:space="0" w:color="000000"/>
              <w:right w:val="single" w:sz="4" w:space="0" w:color="000000"/>
            </w:tcBorders>
            <w:shd w:val="clear" w:color="auto" w:fill="D3D3D3"/>
          </w:tcPr>
          <w:p>
            <w:pPr/>
          </w:p>
        </w:tc>
        <w:tc>
          <w:tcPr>
            <w:tcW w:w="502"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65" w:right="6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105" w:right="107"/>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4" w:type="dxa"/>
            <w:vMerge/>
            <w:tcBorders>
              <w:left w:val="single" w:sz="4" w:space="0" w:color="000000"/>
              <w:right w:val="single" w:sz="4" w:space="0" w:color="000000"/>
            </w:tcBorders>
            <w:shd w:val="clear" w:color="auto" w:fill="D3D3D3"/>
          </w:tcPr>
          <w:p>
            <w:pPr/>
          </w:p>
        </w:tc>
        <w:tc>
          <w:tcPr>
            <w:tcW w:w="583" w:type="dxa"/>
            <w:vMerge/>
            <w:tcBorders>
              <w:left w:val="single" w:sz="4" w:space="0" w:color="000000"/>
              <w:right w:val="single" w:sz="4" w:space="0" w:color="000000"/>
            </w:tcBorders>
            <w:shd w:val="clear" w:color="auto" w:fill="D3D3D3"/>
          </w:tcPr>
          <w:p>
            <w:pPr/>
          </w:p>
        </w:tc>
        <w:tc>
          <w:tcPr>
            <w:tcW w:w="409"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110" w:right="107"/>
              <w:jc w:val="left"/>
              <w:rPr>
                <w:rFonts w:ascii="宋体" w:hAnsi="宋体" w:cs="宋体" w:eastAsia="宋体" w:hint="default"/>
                <w:sz w:val="18"/>
                <w:szCs w:val="18"/>
              </w:rPr>
            </w:pPr>
            <w:r>
              <w:rPr>
                <w:rFonts w:ascii="宋体" w:hAnsi="宋体" w:cs="宋体" w:eastAsia="宋体" w:hint="default"/>
                <w:sz w:val="18"/>
                <w:szCs w:val="18"/>
              </w:rPr>
              <w:t>其 他</w:t>
            </w:r>
          </w:p>
        </w:tc>
        <w:tc>
          <w:tcPr>
            <w:tcW w:w="584" w:type="dxa"/>
            <w:vMerge/>
            <w:tcBorders>
              <w:left w:val="single" w:sz="4" w:space="0" w:color="000000"/>
              <w:bottom w:val="nil" w:sz="6" w:space="0" w:color="auto"/>
              <w:right w:val="single" w:sz="4" w:space="0" w:color="000000"/>
            </w:tcBorders>
            <w:shd w:val="clear" w:color="auto" w:fill="D3D3D3"/>
          </w:tcPr>
          <w:p>
            <w:pPr/>
          </w:p>
        </w:tc>
        <w:tc>
          <w:tcPr>
            <w:tcW w:w="583" w:type="dxa"/>
            <w:vMerge/>
            <w:tcBorders>
              <w:left w:val="single" w:sz="4" w:space="0" w:color="000000"/>
              <w:right w:val="single" w:sz="4" w:space="0" w:color="000000"/>
            </w:tcBorders>
            <w:shd w:val="clear" w:color="auto" w:fill="D3D3D3"/>
          </w:tcPr>
          <w:p>
            <w:pPr/>
          </w:p>
        </w:tc>
        <w:tc>
          <w:tcPr>
            <w:tcW w:w="806" w:type="dxa"/>
            <w:vMerge/>
            <w:tcBorders>
              <w:left w:val="single" w:sz="4" w:space="0" w:color="000000"/>
              <w:right w:val="single" w:sz="4" w:space="0" w:color="000000"/>
            </w:tcBorders>
            <w:shd w:val="clear" w:color="auto" w:fill="D3D3D3"/>
          </w:tcPr>
          <w:p>
            <w:pPr/>
          </w:p>
        </w:tc>
      </w:tr>
      <w:tr>
        <w:trPr>
          <w:trHeight w:val="360" w:hRule="exact"/>
        </w:trPr>
        <w:tc>
          <w:tcPr>
            <w:tcW w:w="900" w:type="dxa"/>
            <w:vMerge w:val="restart"/>
            <w:tcBorders>
              <w:top w:val="nil" w:sz="6" w:space="0" w:color="auto"/>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1"/>
              <w:ind w:left="1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87"/>
              <w:ind w:left="138" w:right="47"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87"/>
              <w:ind w:left="139" w:right="4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32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87"/>
              <w:ind w:left="68" w:right="66"/>
              <w:jc w:val="left"/>
              <w:rPr>
                <w:rFonts w:ascii="宋体" w:hAnsi="宋体" w:cs="宋体" w:eastAsia="宋体" w:hint="default"/>
                <w:sz w:val="18"/>
                <w:szCs w:val="18"/>
              </w:rPr>
            </w:pPr>
            <w:r>
              <w:rPr>
                <w:rFonts w:ascii="宋体" w:hAnsi="宋体" w:cs="宋体" w:eastAsia="宋体" w:hint="default"/>
                <w:sz w:val="18"/>
                <w:szCs w:val="18"/>
              </w:rPr>
              <w:t>其 他</w:t>
            </w:r>
          </w:p>
        </w:tc>
        <w:tc>
          <w:tcPr>
            <w:tcW w:w="760" w:type="dxa"/>
            <w:vMerge/>
            <w:tcBorders>
              <w:left w:val="single" w:sz="4" w:space="0" w:color="000000"/>
              <w:right w:val="single" w:sz="4" w:space="0" w:color="000000"/>
            </w:tcBorders>
            <w:shd w:val="clear" w:color="auto" w:fill="D3D3D3"/>
          </w:tcPr>
          <w:p>
            <w:pPr/>
          </w:p>
        </w:tc>
        <w:tc>
          <w:tcPr>
            <w:tcW w:w="680" w:type="dxa"/>
            <w:vMerge/>
            <w:tcBorders>
              <w:left w:val="single" w:sz="4" w:space="0" w:color="000000"/>
              <w:right w:val="single" w:sz="4" w:space="0" w:color="000000"/>
            </w:tcBorders>
            <w:shd w:val="clear" w:color="auto" w:fill="D3D3D3"/>
          </w:tcPr>
          <w:p>
            <w:pPr/>
          </w:p>
        </w:tc>
        <w:tc>
          <w:tcPr>
            <w:tcW w:w="584" w:type="dxa"/>
            <w:vMerge/>
            <w:tcBorders>
              <w:left w:val="single" w:sz="4" w:space="0" w:color="000000"/>
              <w:right w:val="single" w:sz="4" w:space="0" w:color="000000"/>
            </w:tcBorders>
            <w:shd w:val="clear" w:color="auto" w:fill="D3D3D3"/>
          </w:tcPr>
          <w:p>
            <w:pPr/>
          </w:p>
        </w:tc>
        <w:tc>
          <w:tcPr>
            <w:tcW w:w="502" w:type="dxa"/>
            <w:vMerge/>
            <w:tcBorders>
              <w:left w:val="single" w:sz="4" w:space="0" w:color="000000"/>
              <w:right w:val="single" w:sz="4" w:space="0" w:color="000000"/>
            </w:tcBorders>
            <w:shd w:val="clear" w:color="auto" w:fill="D3D3D3"/>
          </w:tcPr>
          <w:p>
            <w:pPr/>
          </w:p>
        </w:tc>
        <w:tc>
          <w:tcPr>
            <w:tcW w:w="583" w:type="dxa"/>
            <w:vMerge/>
            <w:tcBorders>
              <w:left w:val="single" w:sz="4" w:space="0" w:color="000000"/>
              <w:right w:val="single" w:sz="4" w:space="0" w:color="000000"/>
            </w:tcBorders>
            <w:shd w:val="clear" w:color="auto" w:fill="D3D3D3"/>
          </w:tcPr>
          <w:p>
            <w:pPr/>
          </w:p>
        </w:tc>
        <w:tc>
          <w:tcPr>
            <w:tcW w:w="584" w:type="dxa"/>
            <w:vMerge/>
            <w:tcBorders>
              <w:left w:val="single" w:sz="4" w:space="0" w:color="000000"/>
              <w:right w:val="single" w:sz="4" w:space="0" w:color="000000"/>
            </w:tcBorders>
            <w:shd w:val="clear" w:color="auto" w:fill="D3D3D3"/>
          </w:tcPr>
          <w:p>
            <w:pPr/>
          </w:p>
        </w:tc>
        <w:tc>
          <w:tcPr>
            <w:tcW w:w="583" w:type="dxa"/>
            <w:vMerge/>
            <w:tcBorders>
              <w:left w:val="single" w:sz="4" w:space="0" w:color="000000"/>
              <w:right w:val="single" w:sz="4" w:space="0" w:color="000000"/>
            </w:tcBorders>
            <w:shd w:val="clear" w:color="auto" w:fill="D3D3D3"/>
          </w:tcPr>
          <w:p>
            <w:pPr/>
          </w:p>
        </w:tc>
        <w:tc>
          <w:tcPr>
            <w:tcW w:w="409" w:type="dxa"/>
            <w:vMerge/>
            <w:tcBorders>
              <w:left w:val="single" w:sz="4" w:space="0" w:color="000000"/>
              <w:right w:val="single" w:sz="4" w:space="0" w:color="000000"/>
            </w:tcBorders>
            <w:shd w:val="clear" w:color="auto" w:fill="D3D3D3"/>
          </w:tcPr>
          <w:p>
            <w:pPr/>
          </w:p>
        </w:tc>
        <w:tc>
          <w:tcPr>
            <w:tcW w:w="5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1"/>
              <w:ind w:left="10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3" w:type="dxa"/>
            <w:vMerge/>
            <w:tcBorders>
              <w:left w:val="single" w:sz="4" w:space="0" w:color="000000"/>
              <w:right w:val="single" w:sz="4" w:space="0" w:color="000000"/>
            </w:tcBorders>
            <w:shd w:val="clear" w:color="auto" w:fill="D3D3D3"/>
          </w:tcPr>
          <w:p>
            <w:pPr/>
          </w:p>
        </w:tc>
        <w:tc>
          <w:tcPr>
            <w:tcW w:w="806" w:type="dxa"/>
            <w:vMerge/>
            <w:tcBorders>
              <w:left w:val="single" w:sz="4" w:space="0" w:color="000000"/>
              <w:bottom w:val="nil" w:sz="6" w:space="0" w:color="auto"/>
              <w:right w:val="single" w:sz="4" w:space="0" w:color="000000"/>
            </w:tcBorders>
            <w:shd w:val="clear" w:color="auto" w:fill="D3D3D3"/>
          </w:tcPr>
          <w:p>
            <w:pPr/>
          </w:p>
        </w:tc>
      </w:tr>
      <w:tr>
        <w:trPr>
          <w:trHeight w:val="145" w:hRule="exact"/>
        </w:trPr>
        <w:tc>
          <w:tcPr>
            <w:tcW w:w="900" w:type="dxa"/>
            <w:vMerge/>
            <w:tcBorders>
              <w:left w:val="single" w:sz="4" w:space="0" w:color="000000"/>
              <w:right w:val="single" w:sz="4" w:space="0" w:color="000000"/>
            </w:tcBorders>
            <w:shd w:val="clear" w:color="auto" w:fill="D3D3D3"/>
          </w:tcPr>
          <w:p>
            <w:pPr/>
          </w:p>
        </w:tc>
        <w:tc>
          <w:tcPr>
            <w:tcW w:w="708" w:type="dxa"/>
            <w:vMerge w:val="restart"/>
            <w:tcBorders>
              <w:top w:val="nil" w:sz="6" w:space="0" w:color="auto"/>
              <w:left w:val="single" w:sz="4" w:space="0" w:color="000000"/>
              <w:right w:val="single" w:sz="4" w:space="0" w:color="000000"/>
            </w:tcBorders>
            <w:shd w:val="clear" w:color="auto" w:fill="D3D3D3"/>
          </w:tcPr>
          <w:p>
            <w:pPr/>
          </w:p>
        </w:tc>
        <w:tc>
          <w:tcPr>
            <w:tcW w:w="466" w:type="dxa"/>
            <w:vMerge/>
            <w:tcBorders>
              <w:left w:val="single" w:sz="4" w:space="0" w:color="000000"/>
              <w:right w:val="single" w:sz="4" w:space="0" w:color="000000"/>
            </w:tcBorders>
            <w:shd w:val="clear" w:color="auto" w:fill="D3D3D3"/>
          </w:tcPr>
          <w:p>
            <w:pPr/>
          </w:p>
        </w:tc>
        <w:tc>
          <w:tcPr>
            <w:tcW w:w="468" w:type="dxa"/>
            <w:vMerge/>
            <w:tcBorders>
              <w:left w:val="single" w:sz="4" w:space="0" w:color="000000"/>
              <w:right w:val="single" w:sz="4" w:space="0" w:color="000000"/>
            </w:tcBorders>
            <w:shd w:val="clear" w:color="auto" w:fill="D3D3D3"/>
          </w:tcPr>
          <w:p>
            <w:pPr/>
          </w:p>
        </w:tc>
        <w:tc>
          <w:tcPr>
            <w:tcW w:w="326" w:type="dxa"/>
            <w:vMerge/>
            <w:tcBorders>
              <w:left w:val="single" w:sz="4" w:space="0" w:color="000000"/>
              <w:right w:val="single" w:sz="4" w:space="0" w:color="000000"/>
            </w:tcBorders>
            <w:shd w:val="clear" w:color="auto" w:fill="D3D3D3"/>
          </w:tcPr>
          <w:p>
            <w:pPr/>
          </w:p>
        </w:tc>
        <w:tc>
          <w:tcPr>
            <w:tcW w:w="760" w:type="dxa"/>
            <w:vMerge/>
            <w:tcBorders>
              <w:left w:val="single" w:sz="4" w:space="0" w:color="000000"/>
              <w:bottom w:val="nil" w:sz="6" w:space="0" w:color="auto"/>
              <w:right w:val="single" w:sz="4" w:space="0" w:color="000000"/>
            </w:tcBorders>
            <w:shd w:val="clear" w:color="auto" w:fill="D3D3D3"/>
          </w:tcPr>
          <w:p>
            <w:pPr/>
          </w:p>
        </w:tc>
        <w:tc>
          <w:tcPr>
            <w:tcW w:w="680" w:type="dxa"/>
            <w:vMerge/>
            <w:tcBorders>
              <w:left w:val="single" w:sz="4" w:space="0" w:color="000000"/>
              <w:bottom w:val="nil" w:sz="6" w:space="0" w:color="auto"/>
              <w:right w:val="single" w:sz="4" w:space="0" w:color="000000"/>
            </w:tcBorders>
            <w:shd w:val="clear" w:color="auto" w:fill="D3D3D3"/>
          </w:tcPr>
          <w:p>
            <w:pPr/>
          </w:p>
        </w:tc>
        <w:tc>
          <w:tcPr>
            <w:tcW w:w="584" w:type="dxa"/>
            <w:vMerge/>
            <w:tcBorders>
              <w:left w:val="single" w:sz="4" w:space="0" w:color="000000"/>
              <w:right w:val="single" w:sz="4" w:space="0" w:color="000000"/>
            </w:tcBorders>
            <w:shd w:val="clear" w:color="auto" w:fill="D3D3D3"/>
          </w:tcPr>
          <w:p>
            <w:pPr/>
          </w:p>
        </w:tc>
        <w:tc>
          <w:tcPr>
            <w:tcW w:w="502" w:type="dxa"/>
            <w:vMerge/>
            <w:tcBorders>
              <w:left w:val="single" w:sz="4" w:space="0" w:color="000000"/>
              <w:bottom w:val="nil" w:sz="6" w:space="0" w:color="auto"/>
              <w:right w:val="single" w:sz="4" w:space="0" w:color="000000"/>
            </w:tcBorders>
            <w:shd w:val="clear" w:color="auto" w:fill="D3D3D3"/>
          </w:tcPr>
          <w:p>
            <w:pPr/>
          </w:p>
        </w:tc>
        <w:tc>
          <w:tcPr>
            <w:tcW w:w="583" w:type="dxa"/>
            <w:vMerge/>
            <w:tcBorders>
              <w:left w:val="single" w:sz="4" w:space="0" w:color="000000"/>
              <w:bottom w:val="nil" w:sz="6" w:space="0" w:color="auto"/>
              <w:right w:val="single" w:sz="4" w:space="0" w:color="000000"/>
            </w:tcBorders>
            <w:shd w:val="clear" w:color="auto" w:fill="D3D3D3"/>
          </w:tcPr>
          <w:p>
            <w:pPr/>
          </w:p>
        </w:tc>
        <w:tc>
          <w:tcPr>
            <w:tcW w:w="584" w:type="dxa"/>
            <w:vMerge/>
            <w:tcBorders>
              <w:left w:val="single" w:sz="4" w:space="0" w:color="000000"/>
              <w:right w:val="single" w:sz="4" w:space="0" w:color="000000"/>
            </w:tcBorders>
            <w:shd w:val="clear" w:color="auto" w:fill="D3D3D3"/>
          </w:tcPr>
          <w:p>
            <w:pPr/>
          </w:p>
        </w:tc>
        <w:tc>
          <w:tcPr>
            <w:tcW w:w="583" w:type="dxa"/>
            <w:vMerge/>
            <w:tcBorders>
              <w:left w:val="single" w:sz="4" w:space="0" w:color="000000"/>
              <w:right w:val="single" w:sz="4" w:space="0" w:color="000000"/>
            </w:tcBorders>
            <w:shd w:val="clear" w:color="auto" w:fill="D3D3D3"/>
          </w:tcPr>
          <w:p>
            <w:pPr/>
          </w:p>
        </w:tc>
        <w:tc>
          <w:tcPr>
            <w:tcW w:w="409" w:type="dxa"/>
            <w:vMerge/>
            <w:tcBorders>
              <w:left w:val="single" w:sz="4" w:space="0" w:color="000000"/>
              <w:bottom w:val="nil" w:sz="6" w:space="0" w:color="auto"/>
              <w:right w:val="single" w:sz="4" w:space="0" w:color="000000"/>
            </w:tcBorders>
            <w:shd w:val="clear" w:color="auto" w:fill="D3D3D3"/>
          </w:tcPr>
          <w:p>
            <w:pPr/>
          </w:p>
        </w:tc>
        <w:tc>
          <w:tcPr>
            <w:tcW w:w="584" w:type="dxa"/>
            <w:vMerge w:val="restart"/>
            <w:tcBorders>
              <w:top w:val="nil" w:sz="6" w:space="0" w:color="auto"/>
              <w:left w:val="single" w:sz="4" w:space="0" w:color="000000"/>
              <w:right w:val="single" w:sz="4" w:space="0" w:color="000000"/>
            </w:tcBorders>
            <w:shd w:val="clear" w:color="auto" w:fill="D3D3D3"/>
          </w:tcPr>
          <w:p>
            <w:pPr/>
          </w:p>
        </w:tc>
        <w:tc>
          <w:tcPr>
            <w:tcW w:w="583" w:type="dxa"/>
            <w:vMerge/>
            <w:tcBorders>
              <w:left w:val="single" w:sz="4" w:space="0" w:color="000000"/>
              <w:bottom w:val="nil" w:sz="6" w:space="0" w:color="auto"/>
              <w:right w:val="single" w:sz="4" w:space="0" w:color="000000"/>
            </w:tcBorders>
            <w:shd w:val="clear" w:color="auto" w:fill="D3D3D3"/>
          </w:tcPr>
          <w:p>
            <w:pPr/>
          </w:p>
        </w:tc>
        <w:tc>
          <w:tcPr>
            <w:tcW w:w="806" w:type="dxa"/>
            <w:vMerge w:val="restart"/>
            <w:tcBorders>
              <w:top w:val="nil" w:sz="6" w:space="0" w:color="auto"/>
              <w:left w:val="single" w:sz="4" w:space="0" w:color="000000"/>
              <w:right w:val="single" w:sz="4" w:space="0" w:color="000000"/>
            </w:tcBorders>
            <w:shd w:val="clear" w:color="auto" w:fill="D3D3D3"/>
          </w:tcPr>
          <w:p>
            <w:pPr/>
          </w:p>
        </w:tc>
      </w:tr>
      <w:tr>
        <w:trPr>
          <w:trHeight w:val="217" w:hRule="exact"/>
        </w:trPr>
        <w:tc>
          <w:tcPr>
            <w:tcW w:w="900" w:type="dxa"/>
            <w:vMerge/>
            <w:tcBorders>
              <w:left w:val="single" w:sz="4" w:space="0" w:color="000000"/>
              <w:bottom w:val="single" w:sz="4" w:space="0" w:color="000000"/>
              <w:right w:val="single" w:sz="4" w:space="0" w:color="000000"/>
            </w:tcBorders>
            <w:shd w:val="clear" w:color="auto" w:fill="D3D3D3"/>
          </w:tcPr>
          <w:p>
            <w:pPr/>
          </w:p>
        </w:tc>
        <w:tc>
          <w:tcPr>
            <w:tcW w:w="708" w:type="dxa"/>
            <w:vMerge/>
            <w:tcBorders>
              <w:left w:val="single" w:sz="4" w:space="0" w:color="000000"/>
              <w:bottom w:val="single" w:sz="4" w:space="0" w:color="000000"/>
              <w:right w:val="single" w:sz="4" w:space="0" w:color="000000"/>
            </w:tcBorders>
            <w:shd w:val="clear" w:color="auto" w:fill="D3D3D3"/>
          </w:tcPr>
          <w:p>
            <w:pPr/>
          </w:p>
        </w:tc>
        <w:tc>
          <w:tcPr>
            <w:tcW w:w="466" w:type="dxa"/>
            <w:vMerge/>
            <w:tcBorders>
              <w:left w:val="single" w:sz="4" w:space="0" w:color="000000"/>
              <w:bottom w:val="single" w:sz="4" w:space="0" w:color="000000"/>
              <w:right w:val="single" w:sz="4" w:space="0" w:color="000000"/>
            </w:tcBorders>
            <w:shd w:val="clear" w:color="auto" w:fill="D3D3D3"/>
          </w:tcPr>
          <w:p>
            <w:pPr/>
          </w:p>
        </w:tc>
        <w:tc>
          <w:tcPr>
            <w:tcW w:w="468" w:type="dxa"/>
            <w:vMerge/>
            <w:tcBorders>
              <w:left w:val="single" w:sz="4" w:space="0" w:color="000000"/>
              <w:bottom w:val="single" w:sz="4" w:space="0" w:color="000000"/>
              <w:right w:val="single" w:sz="4" w:space="0" w:color="000000"/>
            </w:tcBorders>
            <w:shd w:val="clear" w:color="auto" w:fill="D3D3D3"/>
          </w:tcPr>
          <w:p>
            <w:pPr/>
          </w:p>
        </w:tc>
        <w:tc>
          <w:tcPr>
            <w:tcW w:w="326" w:type="dxa"/>
            <w:vMerge/>
            <w:tcBorders>
              <w:left w:val="single" w:sz="4" w:space="0" w:color="000000"/>
              <w:bottom w:val="single" w:sz="4" w:space="0" w:color="000000"/>
              <w:right w:val="single" w:sz="4" w:space="0" w:color="000000"/>
            </w:tcBorders>
            <w:shd w:val="clear" w:color="auto" w:fill="D3D3D3"/>
          </w:tcPr>
          <w:p>
            <w:pPr/>
          </w:p>
        </w:tc>
        <w:tc>
          <w:tcPr>
            <w:tcW w:w="760" w:type="dxa"/>
            <w:tcBorders>
              <w:top w:val="nil" w:sz="6" w:space="0" w:color="auto"/>
              <w:left w:val="single" w:sz="4" w:space="0" w:color="000000"/>
              <w:bottom w:val="single" w:sz="4" w:space="0" w:color="000000"/>
              <w:right w:val="single" w:sz="4" w:space="0" w:color="000000"/>
            </w:tcBorders>
            <w:shd w:val="clear" w:color="auto" w:fill="D3D3D3"/>
          </w:tcPr>
          <w:p>
            <w:pPr/>
          </w:p>
        </w:tc>
        <w:tc>
          <w:tcPr>
            <w:tcW w:w="680" w:type="dxa"/>
            <w:tcBorders>
              <w:top w:val="nil" w:sz="6" w:space="0" w:color="auto"/>
              <w:left w:val="single" w:sz="4" w:space="0" w:color="000000"/>
              <w:bottom w:val="single" w:sz="4" w:space="0" w:color="000000"/>
              <w:right w:val="single" w:sz="4" w:space="0" w:color="000000"/>
            </w:tcBorders>
            <w:shd w:val="clear" w:color="auto" w:fill="D3D3D3"/>
          </w:tcPr>
          <w:p>
            <w:pPr/>
          </w:p>
        </w:tc>
        <w:tc>
          <w:tcPr>
            <w:tcW w:w="584" w:type="dxa"/>
            <w:vMerge/>
            <w:tcBorders>
              <w:left w:val="single" w:sz="4" w:space="0" w:color="000000"/>
              <w:bottom w:val="single" w:sz="4" w:space="0" w:color="000000"/>
              <w:right w:val="single" w:sz="4" w:space="0" w:color="000000"/>
            </w:tcBorders>
            <w:shd w:val="clear" w:color="auto" w:fill="D3D3D3"/>
          </w:tcPr>
          <w:p>
            <w:pPr/>
          </w:p>
        </w:tc>
        <w:tc>
          <w:tcPr>
            <w:tcW w:w="502" w:type="dxa"/>
            <w:tcBorders>
              <w:top w:val="nil" w:sz="6" w:space="0" w:color="auto"/>
              <w:left w:val="single" w:sz="4" w:space="0" w:color="000000"/>
              <w:bottom w:val="single" w:sz="4" w:space="0" w:color="000000"/>
              <w:right w:val="single" w:sz="4" w:space="0" w:color="000000"/>
            </w:tcBorders>
            <w:shd w:val="clear" w:color="auto" w:fill="D3D3D3"/>
          </w:tcPr>
          <w:p>
            <w:pPr/>
          </w:p>
        </w:tc>
        <w:tc>
          <w:tcPr>
            <w:tcW w:w="583" w:type="dxa"/>
            <w:tcBorders>
              <w:top w:val="nil" w:sz="6" w:space="0" w:color="auto"/>
              <w:left w:val="single" w:sz="4" w:space="0" w:color="000000"/>
              <w:bottom w:val="single" w:sz="4" w:space="0" w:color="000000"/>
              <w:right w:val="single" w:sz="4" w:space="0" w:color="000000"/>
            </w:tcBorders>
            <w:shd w:val="clear" w:color="auto" w:fill="D3D3D3"/>
          </w:tcPr>
          <w:p>
            <w:pPr/>
          </w:p>
        </w:tc>
        <w:tc>
          <w:tcPr>
            <w:tcW w:w="584" w:type="dxa"/>
            <w:vMerge/>
            <w:tcBorders>
              <w:left w:val="single" w:sz="4" w:space="0" w:color="000000"/>
              <w:bottom w:val="single" w:sz="4" w:space="0" w:color="000000"/>
              <w:right w:val="single" w:sz="4" w:space="0" w:color="000000"/>
            </w:tcBorders>
            <w:shd w:val="clear" w:color="auto" w:fill="D3D3D3"/>
          </w:tcPr>
          <w:p>
            <w:pPr/>
          </w:p>
        </w:tc>
        <w:tc>
          <w:tcPr>
            <w:tcW w:w="583" w:type="dxa"/>
            <w:vMerge/>
            <w:tcBorders>
              <w:left w:val="single" w:sz="4" w:space="0" w:color="000000"/>
              <w:bottom w:val="single" w:sz="4" w:space="0" w:color="000000"/>
              <w:right w:val="single" w:sz="4" w:space="0" w:color="000000"/>
            </w:tcBorders>
            <w:shd w:val="clear" w:color="auto" w:fill="D3D3D3"/>
          </w:tcPr>
          <w:p>
            <w:pPr/>
          </w:p>
        </w:tc>
        <w:tc>
          <w:tcPr>
            <w:tcW w:w="409" w:type="dxa"/>
            <w:tcBorders>
              <w:top w:val="nil" w:sz="6" w:space="0" w:color="auto"/>
              <w:left w:val="single" w:sz="4" w:space="0" w:color="000000"/>
              <w:bottom w:val="single" w:sz="4" w:space="0" w:color="000000"/>
              <w:right w:val="single" w:sz="4" w:space="0" w:color="000000"/>
            </w:tcBorders>
            <w:shd w:val="clear" w:color="auto" w:fill="D3D3D3"/>
          </w:tcPr>
          <w:p>
            <w:pPr/>
          </w:p>
        </w:tc>
        <w:tc>
          <w:tcPr>
            <w:tcW w:w="584" w:type="dxa"/>
            <w:vMerge/>
            <w:tcBorders>
              <w:left w:val="single" w:sz="4" w:space="0" w:color="000000"/>
              <w:bottom w:val="single" w:sz="4" w:space="0" w:color="000000"/>
              <w:right w:val="single" w:sz="4" w:space="0" w:color="000000"/>
            </w:tcBorders>
            <w:shd w:val="clear" w:color="auto" w:fill="D3D3D3"/>
          </w:tcPr>
          <w:p>
            <w:pPr/>
          </w:p>
        </w:tc>
        <w:tc>
          <w:tcPr>
            <w:tcW w:w="583" w:type="dxa"/>
            <w:tcBorders>
              <w:top w:val="nil" w:sz="6" w:space="0" w:color="auto"/>
              <w:left w:val="single" w:sz="4" w:space="0" w:color="000000"/>
              <w:bottom w:val="single" w:sz="4" w:space="0" w:color="000000"/>
              <w:right w:val="single" w:sz="4" w:space="0" w:color="000000"/>
            </w:tcBorders>
            <w:shd w:val="clear" w:color="auto" w:fill="D3D3D3"/>
          </w:tcPr>
          <w:p>
            <w:pPr/>
          </w:p>
        </w:tc>
        <w:tc>
          <w:tcPr>
            <w:tcW w:w="806" w:type="dxa"/>
            <w:vMerge/>
            <w:tcBorders>
              <w:left w:val="single" w:sz="4" w:space="0" w:color="000000"/>
              <w:bottom w:val="single" w:sz="4" w:space="0" w:color="000000"/>
              <w:right w:val="single" w:sz="4" w:space="0" w:color="000000"/>
            </w:tcBorders>
            <w:shd w:val="clear" w:color="auto" w:fill="D3D3D3"/>
          </w:tcPr>
          <w:p>
            <w:pPr/>
          </w:p>
        </w:tc>
      </w:tr>
      <w:tr>
        <w:trPr>
          <w:trHeight w:val="160" w:hRule="exact"/>
        </w:trPr>
        <w:tc>
          <w:tcPr>
            <w:tcW w:w="900" w:type="dxa"/>
            <w:tcBorders>
              <w:top w:val="single" w:sz="4" w:space="0" w:color="000000"/>
              <w:left w:val="single" w:sz="4" w:space="0" w:color="000000"/>
              <w:bottom w:val="nil" w:sz="6" w:space="0" w:color="auto"/>
              <w:right w:val="single" w:sz="4" w:space="0" w:color="000000"/>
            </w:tcBorders>
            <w:shd w:val="clear" w:color="auto" w:fill="D3D3D3"/>
          </w:tcPr>
          <w:p>
            <w:pPr/>
          </w:p>
        </w:tc>
        <w:tc>
          <w:tcPr>
            <w:tcW w:w="708"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1,652,87</w:t>
            </w:r>
          </w:p>
          <w:p>
            <w:pPr>
              <w:pStyle w:val="TableParagraph"/>
              <w:spacing w:line="240" w:lineRule="auto" w:before="105"/>
              <w:ind w:left="36" w:right="0"/>
              <w:jc w:val="left"/>
              <w:rPr>
                <w:rFonts w:ascii="Times New Roman" w:hAnsi="Times New Roman" w:cs="Times New Roman" w:eastAsia="Times New Roman" w:hint="default"/>
                <w:sz w:val="18"/>
                <w:szCs w:val="18"/>
              </w:rPr>
            </w:pPr>
            <w:r>
              <w:rPr>
                <w:rFonts w:ascii="Times New Roman"/>
                <w:sz w:val="18"/>
              </w:rPr>
              <w:t>4,961.00</w:t>
            </w: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326" w:type="dxa"/>
            <w:vMerge w:val="restart"/>
            <w:tcBorders>
              <w:top w:val="single" w:sz="4" w:space="0" w:color="000000"/>
              <w:left w:val="single" w:sz="4" w:space="0" w:color="000000"/>
              <w:right w:val="single" w:sz="4" w:space="0" w:color="000000"/>
            </w:tcBorders>
          </w:tcPr>
          <w:p>
            <w:pPr/>
          </w:p>
        </w:tc>
        <w:tc>
          <w:tcPr>
            <w:tcW w:w="7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2,897,09</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0,367.86</w:t>
            </w: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26,954,</w:t>
            </w:r>
          </w:p>
          <w:p>
            <w:pPr>
              <w:pStyle w:val="TableParagraph"/>
              <w:spacing w:line="240" w:lineRule="auto" w:before="105"/>
              <w:ind w:left="152" w:right="0"/>
              <w:jc w:val="left"/>
              <w:rPr>
                <w:rFonts w:ascii="Times New Roman" w:hAnsi="Times New Roman" w:cs="Times New Roman" w:eastAsia="Times New Roman" w:hint="default"/>
                <w:sz w:val="18"/>
                <w:szCs w:val="18"/>
              </w:rPr>
            </w:pPr>
            <w:r>
              <w:rPr>
                <w:rFonts w:ascii="Times New Roman"/>
                <w:sz w:val="18"/>
              </w:rPr>
              <w:t>164.03</w:t>
            </w:r>
          </w:p>
        </w:tc>
        <w:tc>
          <w:tcPr>
            <w:tcW w:w="584" w:type="dxa"/>
            <w:vMerge w:val="restart"/>
            <w:tcBorders>
              <w:top w:val="single" w:sz="21" w:space="0" w:color="D3D3D3"/>
              <w:left w:val="single" w:sz="4" w:space="0" w:color="000000"/>
              <w:right w:val="single" w:sz="4" w:space="0" w:color="000000"/>
            </w:tcBorders>
          </w:tcPr>
          <w:p>
            <w:pPr/>
          </w:p>
        </w:tc>
        <w:tc>
          <w:tcPr>
            <w:tcW w:w="502"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246,85</w:t>
            </w:r>
          </w:p>
          <w:p>
            <w:pPr>
              <w:pStyle w:val="TableParagraph"/>
              <w:spacing w:line="240" w:lineRule="auto" w:before="104"/>
              <w:ind w:left="99" w:right="0"/>
              <w:jc w:val="left"/>
              <w:rPr>
                <w:rFonts w:ascii="Times New Roman" w:hAnsi="Times New Roman" w:cs="Times New Roman" w:eastAsia="Times New Roman" w:hint="default"/>
                <w:sz w:val="18"/>
                <w:szCs w:val="18"/>
              </w:rPr>
            </w:pPr>
            <w:r>
              <w:rPr>
                <w:rFonts w:ascii="Times New Roman"/>
                <w:sz w:val="18"/>
              </w:rPr>
              <w:t>5,939.</w:t>
            </w:r>
          </w:p>
          <w:p>
            <w:pPr>
              <w:pStyle w:val="TableParagraph"/>
              <w:spacing w:line="240" w:lineRule="auto" w:before="106"/>
              <w:ind w:left="369" w:right="0"/>
              <w:jc w:val="left"/>
              <w:rPr>
                <w:rFonts w:ascii="Times New Roman" w:hAnsi="Times New Roman" w:cs="Times New Roman" w:eastAsia="Times New Roman" w:hint="default"/>
                <w:sz w:val="18"/>
                <w:szCs w:val="18"/>
              </w:rPr>
            </w:pPr>
            <w:r>
              <w:rPr>
                <w:rFonts w:ascii="Times New Roman"/>
                <w:sz w:val="18"/>
              </w:rPr>
              <w:t>63</w:t>
            </w:r>
          </w:p>
        </w:tc>
        <w:tc>
          <w:tcPr>
            <w:tcW w:w="584" w:type="dxa"/>
            <w:vMerge w:val="restart"/>
            <w:tcBorders>
              <w:top w:val="single" w:sz="21" w:space="0" w:color="D3D3D3"/>
              <w:left w:val="single" w:sz="4" w:space="0" w:color="000000"/>
              <w:right w:val="single" w:sz="4" w:space="0" w:color="000000"/>
            </w:tcBorders>
          </w:tcPr>
          <w:p>
            <w:pPr/>
          </w:p>
        </w:tc>
        <w:tc>
          <w:tcPr>
            <w:tcW w:w="583" w:type="dxa"/>
            <w:vMerge w:val="restart"/>
            <w:tcBorders>
              <w:top w:val="single" w:sz="21" w:space="0" w:color="D3D3D3"/>
              <w:left w:val="single" w:sz="4" w:space="0" w:color="000000"/>
              <w:right w:val="single" w:sz="4" w:space="0" w:color="000000"/>
            </w:tcBorders>
          </w:tcPr>
          <w:p>
            <w:pPr>
              <w:pStyle w:val="TableParagraph"/>
              <w:spacing w:line="240" w:lineRule="auto" w:before="70"/>
              <w:ind w:left="78" w:right="0"/>
              <w:jc w:val="center"/>
              <w:rPr>
                <w:rFonts w:ascii="Times New Roman" w:hAnsi="Times New Roman" w:cs="Times New Roman" w:eastAsia="Times New Roman" w:hint="default"/>
                <w:sz w:val="18"/>
                <w:szCs w:val="18"/>
              </w:rPr>
            </w:pPr>
            <w:r>
              <w:rPr>
                <w:rFonts w:ascii="Times New Roman"/>
                <w:sz w:val="18"/>
              </w:rPr>
              <w:t>1,314,</w:t>
            </w:r>
          </w:p>
          <w:p>
            <w:pPr>
              <w:pStyle w:val="TableParagraph"/>
              <w:spacing w:line="240" w:lineRule="auto" w:before="104"/>
              <w:ind w:left="34" w:right="0"/>
              <w:jc w:val="center"/>
              <w:rPr>
                <w:rFonts w:ascii="Times New Roman" w:hAnsi="Times New Roman" w:cs="Times New Roman" w:eastAsia="Times New Roman" w:hint="default"/>
                <w:sz w:val="18"/>
                <w:szCs w:val="18"/>
              </w:rPr>
            </w:pPr>
            <w:r>
              <w:rPr>
                <w:rFonts w:ascii="Times New Roman"/>
                <w:sz w:val="18"/>
              </w:rPr>
              <w:t>594,06</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3.13</w:t>
            </w:r>
          </w:p>
        </w:tc>
        <w:tc>
          <w:tcPr>
            <w:tcW w:w="409"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6,084,</w:t>
            </w:r>
          </w:p>
          <w:p>
            <w:pPr>
              <w:pStyle w:val="TableParagraph"/>
              <w:spacing w:line="240" w:lineRule="auto" w:before="104"/>
              <w:ind w:left="33" w:right="0"/>
              <w:jc w:val="center"/>
              <w:rPr>
                <w:rFonts w:ascii="Times New Roman" w:hAnsi="Times New Roman" w:cs="Times New Roman" w:eastAsia="Times New Roman" w:hint="default"/>
                <w:sz w:val="18"/>
                <w:szCs w:val="18"/>
              </w:rPr>
            </w:pPr>
            <w:r>
              <w:rPr>
                <w:rFonts w:ascii="Times New Roman"/>
                <w:sz w:val="18"/>
              </w:rPr>
              <w:t>461,16</w:t>
            </w:r>
          </w:p>
          <w:p>
            <w:pPr>
              <w:pStyle w:val="TableParagraph"/>
              <w:spacing w:line="240" w:lineRule="auto" w:before="106"/>
              <w:ind w:left="211" w:right="0"/>
              <w:jc w:val="center"/>
              <w:rPr>
                <w:rFonts w:ascii="Times New Roman" w:hAnsi="Times New Roman" w:cs="Times New Roman" w:eastAsia="Times New Roman" w:hint="default"/>
                <w:sz w:val="18"/>
                <w:szCs w:val="18"/>
              </w:rPr>
            </w:pPr>
            <w:r>
              <w:rPr>
                <w:rFonts w:ascii="Times New Roman"/>
                <w:sz w:val="18"/>
              </w:rPr>
              <w:t>7.59</w:t>
            </w: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7,968,</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703.33</w:t>
            </w:r>
          </w:p>
        </w:tc>
        <w:tc>
          <w:tcPr>
            <w:tcW w:w="80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6,092,429</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,870.92</w:t>
            </w:r>
          </w:p>
        </w:tc>
      </w:tr>
      <w:tr>
        <w:trPr>
          <w:trHeight w:val="705" w:hRule="exact"/>
        </w:trPr>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11" w:right="33"/>
              <w:jc w:val="left"/>
              <w:rPr>
                <w:rFonts w:ascii="宋体" w:hAnsi="宋体" w:cs="宋体" w:eastAsia="宋体" w:hint="default"/>
                <w:sz w:val="18"/>
                <w:szCs w:val="18"/>
              </w:rPr>
            </w:pPr>
            <w:r>
              <w:rPr>
                <w:rFonts w:ascii="宋体" w:hAnsi="宋体" w:cs="宋体" w:eastAsia="宋体" w:hint="default"/>
                <w:spacing w:val="-12"/>
                <w:sz w:val="18"/>
                <w:szCs w:val="18"/>
              </w:rPr>
              <w:t>一、上年期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末余额</w:t>
            </w:r>
          </w:p>
        </w:tc>
        <w:tc>
          <w:tcPr>
            <w:tcW w:w="708" w:type="dxa"/>
            <w:vMerge/>
            <w:tcBorders>
              <w:left w:val="single" w:sz="10" w:space="0" w:color="D3D3D3"/>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326" w:type="dxa"/>
            <w:vMerge/>
            <w:tcBorders>
              <w:left w:val="single" w:sz="4" w:space="0" w:color="000000"/>
              <w:right w:val="single" w:sz="4" w:space="0" w:color="000000"/>
            </w:tcBorders>
          </w:tcPr>
          <w:p>
            <w:pPr/>
          </w:p>
        </w:tc>
        <w:tc>
          <w:tcPr>
            <w:tcW w:w="760"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02"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409"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806" w:type="dxa"/>
            <w:vMerge/>
            <w:tcBorders>
              <w:left w:val="single" w:sz="4" w:space="0" w:color="000000"/>
              <w:right w:val="single" w:sz="4" w:space="0" w:color="000000"/>
            </w:tcBorders>
          </w:tcPr>
          <w:p>
            <w:pPr/>
          </w:p>
        </w:tc>
      </w:tr>
      <w:tr>
        <w:trPr>
          <w:trHeight w:val="160" w:hRule="exact"/>
        </w:trPr>
        <w:tc>
          <w:tcPr>
            <w:tcW w:w="900" w:type="dxa"/>
            <w:tcBorders>
              <w:top w:val="nil" w:sz="6" w:space="0" w:color="auto"/>
              <w:left w:val="single" w:sz="4" w:space="0" w:color="000000"/>
              <w:bottom w:val="single" w:sz="4" w:space="0" w:color="000000"/>
              <w:right w:val="single" w:sz="4" w:space="0" w:color="000000"/>
            </w:tcBorders>
            <w:shd w:val="clear" w:color="auto" w:fill="D3D3D3"/>
          </w:tcPr>
          <w:p>
            <w:pPr/>
          </w:p>
        </w:tc>
        <w:tc>
          <w:tcPr>
            <w:tcW w:w="708" w:type="dxa"/>
            <w:vMerge/>
            <w:tcBorders>
              <w:left w:val="single" w:sz="10" w:space="0" w:color="D3D3D3"/>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326" w:type="dxa"/>
            <w:vMerge/>
            <w:tcBorders>
              <w:left w:val="single" w:sz="4" w:space="0" w:color="000000"/>
              <w:bottom w:val="single" w:sz="4" w:space="0" w:color="000000"/>
              <w:right w:val="single" w:sz="4" w:space="0" w:color="000000"/>
            </w:tcBorders>
          </w:tcPr>
          <w:p>
            <w:pPr/>
          </w:p>
        </w:tc>
        <w:tc>
          <w:tcPr>
            <w:tcW w:w="760"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02"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409"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806"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00"/>
        <w:gridCol w:w="720"/>
        <w:gridCol w:w="466"/>
        <w:gridCol w:w="468"/>
        <w:gridCol w:w="326"/>
        <w:gridCol w:w="760"/>
        <w:gridCol w:w="680"/>
        <w:gridCol w:w="584"/>
        <w:gridCol w:w="502"/>
        <w:gridCol w:w="583"/>
        <w:gridCol w:w="584"/>
        <w:gridCol w:w="583"/>
        <w:gridCol w:w="409"/>
        <w:gridCol w:w="584"/>
        <w:gridCol w:w="583"/>
        <w:gridCol w:w="806"/>
      </w:tblGrid>
      <w:tr>
        <w:trPr>
          <w:trHeight w:val="1026"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firstLine="360"/>
              <w:jc w:val="left"/>
              <w:rPr>
                <w:rFonts w:ascii="宋体" w:hAnsi="宋体" w:cs="宋体" w:eastAsia="宋体" w:hint="default"/>
                <w:sz w:val="18"/>
                <w:szCs w:val="18"/>
              </w:rPr>
            </w:pPr>
            <w:r>
              <w:rPr>
                <w:rFonts w:ascii="宋体" w:hAnsi="宋体" w:cs="宋体" w:eastAsia="宋体" w:hint="default"/>
                <w:spacing w:val="-19"/>
                <w:sz w:val="18"/>
                <w:szCs w:val="18"/>
              </w:rPr>
              <w:t>加：会</w:t>
            </w:r>
            <w:r>
              <w:rPr>
                <w:rFonts w:ascii="宋体" w:hAnsi="宋体" w:cs="宋体" w:eastAsia="宋体" w:hint="default"/>
                <w:sz w:val="18"/>
                <w:szCs w:val="18"/>
              </w:rPr>
              <w:t> 计政策变 更</w:t>
            </w:r>
          </w:p>
        </w:tc>
        <w:tc>
          <w:tcPr>
            <w:tcW w:w="72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-16,17</w:t>
            </w:r>
          </w:p>
          <w:p>
            <w:pPr>
              <w:pStyle w:val="TableParagraph"/>
              <w:spacing w:line="240" w:lineRule="auto" w:before="104"/>
              <w:ind w:left="100" w:right="0"/>
              <w:jc w:val="left"/>
              <w:rPr>
                <w:rFonts w:ascii="Times New Roman" w:hAnsi="Times New Roman" w:cs="Times New Roman" w:eastAsia="Times New Roman" w:hint="default"/>
                <w:sz w:val="18"/>
                <w:szCs w:val="18"/>
              </w:rPr>
            </w:pPr>
            <w:r>
              <w:rPr>
                <w:rFonts w:ascii="Times New Roman"/>
                <w:sz w:val="18"/>
              </w:rPr>
              <w:t>1,512.</w:t>
            </w:r>
          </w:p>
          <w:p>
            <w:pPr>
              <w:pStyle w:val="TableParagraph"/>
              <w:spacing w:line="240" w:lineRule="auto" w:before="106"/>
              <w:ind w:left="370" w:right="0"/>
              <w:jc w:val="left"/>
              <w:rPr>
                <w:rFonts w:ascii="Times New Roman" w:hAnsi="Times New Roman" w:cs="Times New Roman" w:eastAsia="Times New Roman" w:hint="default"/>
                <w:sz w:val="18"/>
                <w:szCs w:val="18"/>
              </w:rPr>
            </w:pPr>
            <w:r>
              <w:rPr>
                <w:rFonts w:ascii="Times New Roman"/>
                <w:sz w:val="18"/>
              </w:rPr>
              <w:t>65</w:t>
            </w:r>
          </w:p>
        </w:tc>
        <w:tc>
          <w:tcPr>
            <w:tcW w:w="502"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16,171</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,512.6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409"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5"/>
              <w:ind w:left="22" w:right="145"/>
              <w:jc w:val="left"/>
              <w:rPr>
                <w:rFonts w:ascii="宋体" w:hAnsi="宋体" w:cs="宋体" w:eastAsia="宋体" w:hint="default"/>
                <w:sz w:val="18"/>
                <w:szCs w:val="18"/>
              </w:rPr>
            </w:pPr>
            <w:r>
              <w:rPr>
                <w:rFonts w:ascii="宋体" w:hAnsi="宋体" w:cs="宋体" w:eastAsia="宋体" w:hint="default"/>
                <w:sz w:val="18"/>
                <w:szCs w:val="18"/>
              </w:rPr>
              <w:t>前期差错 更正</w:t>
            </w:r>
          </w:p>
        </w:tc>
        <w:tc>
          <w:tcPr>
            <w:tcW w:w="72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09"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5"/>
              <w:ind w:left="22" w:right="145"/>
              <w:jc w:val="both"/>
              <w:rPr>
                <w:rFonts w:ascii="宋体" w:hAnsi="宋体" w:cs="宋体" w:eastAsia="宋体" w:hint="default"/>
                <w:sz w:val="18"/>
                <w:szCs w:val="18"/>
              </w:rPr>
            </w:pPr>
            <w:r>
              <w:rPr>
                <w:rFonts w:ascii="宋体" w:hAnsi="宋体" w:cs="宋体" w:eastAsia="宋体" w:hint="default"/>
                <w:sz w:val="18"/>
                <w:szCs w:val="18"/>
              </w:rPr>
              <w:t>同一控制 下企业合 并</w:t>
            </w:r>
          </w:p>
        </w:tc>
        <w:tc>
          <w:tcPr>
            <w:tcW w:w="72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09"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09"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12"/>
                <w:sz w:val="18"/>
                <w:szCs w:val="18"/>
              </w:rPr>
              <w:t>二、本年期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初余额</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1,652,87</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4,961.00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2,897,09</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0,367.86</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26,954,</w:t>
            </w:r>
          </w:p>
          <w:p>
            <w:pPr>
              <w:pStyle w:val="TableParagraph"/>
              <w:spacing w:line="240" w:lineRule="auto" w:before="105"/>
              <w:ind w:left="152" w:right="0"/>
              <w:jc w:val="left"/>
              <w:rPr>
                <w:rFonts w:ascii="Times New Roman" w:hAnsi="Times New Roman" w:cs="Times New Roman" w:eastAsia="Times New Roman" w:hint="default"/>
                <w:sz w:val="18"/>
                <w:szCs w:val="18"/>
              </w:rPr>
            </w:pPr>
            <w:r>
              <w:rPr>
                <w:rFonts w:ascii="Times New Roman"/>
                <w:sz w:val="18"/>
              </w:rPr>
              <w:t>164.03</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-16,17</w:t>
            </w:r>
          </w:p>
          <w:p>
            <w:pPr>
              <w:pStyle w:val="TableParagraph"/>
              <w:spacing w:line="240" w:lineRule="auto" w:before="104"/>
              <w:ind w:left="100" w:right="0"/>
              <w:jc w:val="left"/>
              <w:rPr>
                <w:rFonts w:ascii="Times New Roman" w:hAnsi="Times New Roman" w:cs="Times New Roman" w:eastAsia="Times New Roman" w:hint="default"/>
                <w:sz w:val="18"/>
                <w:szCs w:val="18"/>
              </w:rPr>
            </w:pPr>
            <w:r>
              <w:rPr>
                <w:rFonts w:ascii="Times New Roman"/>
                <w:sz w:val="18"/>
              </w:rPr>
              <w:t>1,512.</w:t>
            </w:r>
          </w:p>
          <w:p>
            <w:pPr>
              <w:pStyle w:val="TableParagraph"/>
              <w:spacing w:line="240" w:lineRule="auto" w:before="106"/>
              <w:ind w:left="370" w:right="0"/>
              <w:jc w:val="left"/>
              <w:rPr>
                <w:rFonts w:ascii="Times New Roman" w:hAnsi="Times New Roman" w:cs="Times New Roman" w:eastAsia="Times New Roman" w:hint="default"/>
                <w:sz w:val="18"/>
                <w:szCs w:val="18"/>
              </w:rPr>
            </w:pPr>
            <w:r>
              <w:rPr>
                <w:rFonts w:ascii="Times New Roman"/>
                <w:sz w:val="18"/>
              </w:rPr>
              <w:t>65</w:t>
            </w:r>
          </w:p>
        </w:tc>
        <w:tc>
          <w:tcPr>
            <w:tcW w:w="502"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246,85</w:t>
            </w:r>
          </w:p>
          <w:p>
            <w:pPr>
              <w:pStyle w:val="TableParagraph"/>
              <w:spacing w:line="240" w:lineRule="auto" w:before="104"/>
              <w:ind w:left="99" w:right="0"/>
              <w:jc w:val="left"/>
              <w:rPr>
                <w:rFonts w:ascii="Times New Roman" w:hAnsi="Times New Roman" w:cs="Times New Roman" w:eastAsia="Times New Roman" w:hint="default"/>
                <w:sz w:val="18"/>
                <w:szCs w:val="18"/>
              </w:rPr>
            </w:pPr>
            <w:r>
              <w:rPr>
                <w:rFonts w:ascii="Times New Roman"/>
                <w:sz w:val="18"/>
              </w:rPr>
              <w:t>5,939.</w:t>
            </w:r>
          </w:p>
          <w:p>
            <w:pPr>
              <w:pStyle w:val="TableParagraph"/>
              <w:spacing w:line="240" w:lineRule="auto" w:before="106"/>
              <w:ind w:left="369" w:right="0"/>
              <w:jc w:val="left"/>
              <w:rPr>
                <w:rFonts w:ascii="Times New Roman" w:hAnsi="Times New Roman" w:cs="Times New Roman" w:eastAsia="Times New Roman" w:hint="default"/>
                <w:sz w:val="18"/>
                <w:szCs w:val="18"/>
              </w:rPr>
            </w:pPr>
            <w:r>
              <w:rPr>
                <w:rFonts w:ascii="Times New Roman"/>
                <w:sz w:val="18"/>
              </w:rPr>
              <w:t>63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 w:right="0"/>
              <w:jc w:val="center"/>
              <w:rPr>
                <w:rFonts w:ascii="Times New Roman" w:hAnsi="Times New Roman" w:cs="Times New Roman" w:eastAsia="Times New Roman" w:hint="default"/>
                <w:sz w:val="18"/>
                <w:szCs w:val="18"/>
              </w:rPr>
            </w:pPr>
            <w:r>
              <w:rPr>
                <w:rFonts w:ascii="Times New Roman"/>
                <w:sz w:val="18"/>
              </w:rPr>
              <w:t>1,330,</w:t>
            </w:r>
          </w:p>
          <w:p>
            <w:pPr>
              <w:pStyle w:val="TableParagraph"/>
              <w:spacing w:line="240" w:lineRule="auto" w:before="104"/>
              <w:ind w:left="34" w:right="0"/>
              <w:jc w:val="center"/>
              <w:rPr>
                <w:rFonts w:ascii="Times New Roman" w:hAnsi="Times New Roman" w:cs="Times New Roman" w:eastAsia="Times New Roman" w:hint="default"/>
                <w:sz w:val="18"/>
                <w:szCs w:val="18"/>
              </w:rPr>
            </w:pPr>
            <w:r>
              <w:rPr>
                <w:rFonts w:ascii="Times New Roman"/>
                <w:sz w:val="18"/>
              </w:rPr>
              <w:t>765,57</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5.78</w:t>
            </w:r>
          </w:p>
        </w:tc>
        <w:tc>
          <w:tcPr>
            <w:tcW w:w="409"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6,084,</w:t>
            </w:r>
          </w:p>
          <w:p>
            <w:pPr>
              <w:pStyle w:val="TableParagraph"/>
              <w:spacing w:line="240" w:lineRule="auto" w:before="104"/>
              <w:ind w:left="33" w:right="0"/>
              <w:jc w:val="center"/>
              <w:rPr>
                <w:rFonts w:ascii="Times New Roman" w:hAnsi="Times New Roman" w:cs="Times New Roman" w:eastAsia="Times New Roman" w:hint="default"/>
                <w:sz w:val="18"/>
                <w:szCs w:val="18"/>
              </w:rPr>
            </w:pPr>
            <w:r>
              <w:rPr>
                <w:rFonts w:ascii="Times New Roman"/>
                <w:sz w:val="18"/>
              </w:rPr>
              <w:t>461,16</w:t>
            </w:r>
          </w:p>
          <w:p>
            <w:pPr>
              <w:pStyle w:val="TableParagraph"/>
              <w:spacing w:line="240" w:lineRule="auto" w:before="106"/>
              <w:ind w:left="211" w:right="0"/>
              <w:jc w:val="center"/>
              <w:rPr>
                <w:rFonts w:ascii="Times New Roman" w:hAnsi="Times New Roman" w:cs="Times New Roman" w:eastAsia="Times New Roman" w:hint="default"/>
                <w:sz w:val="18"/>
                <w:szCs w:val="18"/>
              </w:rPr>
            </w:pPr>
            <w:r>
              <w:rPr>
                <w:rFonts w:ascii="Times New Roman"/>
                <w:sz w:val="18"/>
              </w:rPr>
              <w:t>7.59</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7,968,</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703.33</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6,092,429</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,870.92</w:t>
            </w:r>
          </w:p>
        </w:tc>
      </w:tr>
      <w:tr>
        <w:trPr>
          <w:trHeight w:val="1650"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12"/>
                <w:sz w:val="18"/>
                <w:szCs w:val="18"/>
              </w:rPr>
              <w:t>三、本期增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减变动金 </w:t>
            </w:r>
            <w:r>
              <w:rPr>
                <w:rFonts w:ascii="宋体" w:hAnsi="宋体" w:cs="宋体" w:eastAsia="宋体" w:hint="default"/>
                <w:spacing w:val="-12"/>
                <w:sz w:val="18"/>
                <w:szCs w:val="18"/>
              </w:rPr>
              <w:t>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2"/>
                <w:sz w:val="18"/>
                <w:szCs w:val="18"/>
              </w:rPr>
              <w:t>“－”号填</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列）</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center"/>
              <w:rPr>
                <w:rFonts w:ascii="Times New Roman" w:hAnsi="Times New Roman" w:cs="Times New Roman" w:eastAsia="Times New Roman" w:hint="default"/>
                <w:sz w:val="18"/>
                <w:szCs w:val="18"/>
              </w:rPr>
            </w:pPr>
            <w:r>
              <w:rPr>
                <w:rFonts w:ascii="Times New Roman"/>
                <w:sz w:val="18"/>
              </w:rPr>
              <w:t>-54,258,</w:t>
            </w:r>
          </w:p>
          <w:p>
            <w:pPr>
              <w:pStyle w:val="TableParagraph"/>
              <w:spacing w:line="240" w:lineRule="auto" w:before="105"/>
              <w:ind w:left="166" w:right="0"/>
              <w:jc w:val="center"/>
              <w:rPr>
                <w:rFonts w:ascii="Times New Roman" w:hAnsi="Times New Roman" w:cs="Times New Roman" w:eastAsia="Times New Roman" w:hint="default"/>
                <w:sz w:val="18"/>
                <w:szCs w:val="18"/>
              </w:rPr>
            </w:pPr>
            <w:r>
              <w:rPr>
                <w:rFonts w:ascii="Times New Roman"/>
                <w:sz w:val="18"/>
              </w:rPr>
              <w:t>240.00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2" w:right="0"/>
              <w:jc w:val="center"/>
              <w:rPr>
                <w:rFonts w:ascii="Times New Roman" w:hAnsi="Times New Roman" w:cs="Times New Roman" w:eastAsia="Times New Roman" w:hint="default"/>
                <w:sz w:val="18"/>
                <w:szCs w:val="18"/>
              </w:rPr>
            </w:pPr>
            <w:r>
              <w:rPr>
                <w:rFonts w:ascii="Times New Roman"/>
                <w:sz w:val="18"/>
              </w:rPr>
              <w:t>-245,714,</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593.85</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5" w:right="0"/>
              <w:jc w:val="center"/>
              <w:rPr>
                <w:rFonts w:ascii="Times New Roman" w:hAnsi="Times New Roman" w:cs="Times New Roman" w:eastAsia="Times New Roman" w:hint="default"/>
                <w:sz w:val="18"/>
                <w:szCs w:val="18"/>
              </w:rPr>
            </w:pPr>
            <w:r>
              <w:rPr>
                <w:rFonts w:ascii="Times New Roman"/>
                <w:sz w:val="18"/>
              </w:rPr>
              <w:t>-26,954,</w:t>
            </w:r>
          </w:p>
          <w:p>
            <w:pPr>
              <w:pStyle w:val="TableParagraph"/>
              <w:spacing w:line="240" w:lineRule="auto" w:before="105"/>
              <w:ind w:left="129" w:right="0"/>
              <w:jc w:val="center"/>
              <w:rPr>
                <w:rFonts w:ascii="Times New Roman" w:hAnsi="Times New Roman" w:cs="Times New Roman" w:eastAsia="Times New Roman" w:hint="default"/>
                <w:sz w:val="18"/>
                <w:szCs w:val="18"/>
              </w:rPr>
            </w:pPr>
            <w:r>
              <w:rPr>
                <w:rFonts w:ascii="Times New Roman"/>
                <w:sz w:val="18"/>
              </w:rPr>
              <w:t>164.03</w:t>
            </w:r>
          </w:p>
        </w:tc>
        <w:tc>
          <w:tcPr>
            <w:tcW w:w="58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10,972</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,775.6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90,128</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,039.1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409"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-171,9</w:t>
            </w:r>
          </w:p>
          <w:p>
            <w:pPr>
              <w:pStyle w:val="TableParagraph"/>
              <w:spacing w:line="240" w:lineRule="auto" w:before="104"/>
              <w:ind w:left="56" w:right="0"/>
              <w:jc w:val="left"/>
              <w:rPr>
                <w:rFonts w:ascii="Times New Roman" w:hAnsi="Times New Roman" w:cs="Times New Roman" w:eastAsia="Times New Roman" w:hint="default"/>
                <w:sz w:val="18"/>
                <w:szCs w:val="18"/>
              </w:rPr>
            </w:pPr>
            <w:r>
              <w:rPr>
                <w:rFonts w:ascii="Times New Roman"/>
                <w:sz w:val="18"/>
              </w:rPr>
              <w:t>17,855</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.08</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56" w:right="0"/>
              <w:jc w:val="left"/>
              <w:rPr>
                <w:rFonts w:ascii="Times New Roman" w:hAnsi="Times New Roman" w:cs="Times New Roman" w:eastAsia="Times New Roman" w:hint="default"/>
                <w:sz w:val="18"/>
                <w:szCs w:val="18"/>
              </w:rPr>
            </w:pPr>
            <w:r>
              <w:rPr>
                <w:rFonts w:ascii="Times New Roman"/>
                <w:sz w:val="18"/>
              </w:rPr>
              <w:t>47,328</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.10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1" w:right="0"/>
              <w:jc w:val="center"/>
              <w:rPr>
                <w:rFonts w:ascii="Times New Roman" w:hAnsi="Times New Roman" w:cs="Times New Roman" w:eastAsia="Times New Roman" w:hint="default"/>
                <w:sz w:val="18"/>
                <w:szCs w:val="18"/>
              </w:rPr>
            </w:pPr>
            <w:r>
              <w:rPr>
                <w:rFonts w:ascii="Times New Roman"/>
                <w:sz w:val="18"/>
              </w:rPr>
              <w:t>-171,870,</w:t>
            </w:r>
          </w:p>
          <w:p>
            <w:pPr>
              <w:pStyle w:val="TableParagraph"/>
              <w:spacing w:line="240" w:lineRule="auto" w:before="105"/>
              <w:ind w:left="255" w:right="0"/>
              <w:jc w:val="center"/>
              <w:rPr>
                <w:rFonts w:ascii="Times New Roman" w:hAnsi="Times New Roman" w:cs="Times New Roman" w:eastAsia="Times New Roman" w:hint="default"/>
                <w:sz w:val="18"/>
                <w:szCs w:val="18"/>
              </w:rPr>
            </w:pPr>
            <w:r>
              <w:rPr>
                <w:rFonts w:ascii="Times New Roman"/>
                <w:sz w:val="18"/>
              </w:rPr>
              <w:t>526.98</w:t>
            </w:r>
          </w:p>
        </w:tc>
      </w:tr>
      <w:tr>
        <w:trPr>
          <w:trHeight w:val="1026"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12"/>
                <w:sz w:val="18"/>
                <w:szCs w:val="18"/>
              </w:rPr>
              <w:t>（一）综合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收益总额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101,10</w:t>
            </w:r>
          </w:p>
          <w:p>
            <w:pPr>
              <w:pStyle w:val="TableParagraph"/>
              <w:spacing w:line="240" w:lineRule="auto" w:before="104"/>
              <w:ind w:left="100" w:right="0"/>
              <w:jc w:val="left"/>
              <w:rPr>
                <w:rFonts w:ascii="Times New Roman" w:hAnsi="Times New Roman" w:cs="Times New Roman" w:eastAsia="Times New Roman" w:hint="default"/>
                <w:sz w:val="18"/>
                <w:szCs w:val="18"/>
              </w:rPr>
            </w:pPr>
            <w:r>
              <w:rPr>
                <w:rFonts w:ascii="Times New Roman"/>
                <w:sz w:val="18"/>
              </w:rPr>
              <w:t>0,814.</w:t>
            </w:r>
          </w:p>
          <w:p>
            <w:pPr>
              <w:pStyle w:val="TableParagraph"/>
              <w:spacing w:line="240" w:lineRule="auto" w:before="106"/>
              <w:ind w:left="370" w:right="0"/>
              <w:jc w:val="left"/>
              <w:rPr>
                <w:rFonts w:ascii="Times New Roman" w:hAnsi="Times New Roman" w:cs="Times New Roman" w:eastAsia="Times New Roman" w:hint="default"/>
                <w:sz w:val="18"/>
                <w:szCs w:val="18"/>
              </w:rPr>
            </w:pPr>
            <w:r>
              <w:rPr>
                <w:rFonts w:ascii="Times New Roman"/>
                <w:sz w:val="18"/>
              </w:rPr>
              <w:t>74</w:t>
            </w:r>
          </w:p>
        </w:tc>
        <w:tc>
          <w:tcPr>
            <w:tcW w:w="409"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101,10</w:t>
            </w:r>
          </w:p>
          <w:p>
            <w:pPr>
              <w:pStyle w:val="TableParagraph"/>
              <w:spacing w:line="240" w:lineRule="auto" w:before="104"/>
              <w:ind w:left="100" w:right="0"/>
              <w:jc w:val="left"/>
              <w:rPr>
                <w:rFonts w:ascii="Times New Roman" w:hAnsi="Times New Roman" w:cs="Times New Roman" w:eastAsia="Times New Roman" w:hint="default"/>
                <w:sz w:val="18"/>
                <w:szCs w:val="18"/>
              </w:rPr>
            </w:pPr>
            <w:r>
              <w:rPr>
                <w:rFonts w:ascii="Times New Roman"/>
                <w:sz w:val="18"/>
              </w:rPr>
              <w:t>0,814.</w:t>
            </w:r>
          </w:p>
          <w:p>
            <w:pPr>
              <w:pStyle w:val="TableParagraph"/>
              <w:spacing w:line="240" w:lineRule="auto" w:before="106"/>
              <w:ind w:left="370" w:right="0"/>
              <w:jc w:val="left"/>
              <w:rPr>
                <w:rFonts w:ascii="Times New Roman" w:hAnsi="Times New Roman" w:cs="Times New Roman" w:eastAsia="Times New Roman" w:hint="default"/>
                <w:sz w:val="18"/>
                <w:szCs w:val="18"/>
              </w:rPr>
            </w:pPr>
            <w:r>
              <w:rPr>
                <w:rFonts w:ascii="Times New Roman"/>
                <w:sz w:val="18"/>
              </w:rPr>
              <w:t>74</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-5,891,</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725.95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95,209,08</w:t>
            </w:r>
          </w:p>
          <w:p>
            <w:pPr>
              <w:pStyle w:val="TableParagraph"/>
              <w:spacing w:line="240" w:lineRule="auto" w:before="105"/>
              <w:ind w:left="458" w:right="0"/>
              <w:jc w:val="left"/>
              <w:rPr>
                <w:rFonts w:ascii="Times New Roman" w:hAnsi="Times New Roman" w:cs="Times New Roman" w:eastAsia="Times New Roman" w:hint="default"/>
                <w:sz w:val="18"/>
                <w:szCs w:val="18"/>
              </w:rPr>
            </w:pPr>
            <w:r>
              <w:rPr>
                <w:rFonts w:ascii="Times New Roman"/>
                <w:sz w:val="18"/>
              </w:rPr>
              <w:t>8.79</w:t>
            </w:r>
          </w:p>
        </w:tc>
      </w:tr>
      <w:tr>
        <w:trPr>
          <w:trHeight w:val="1026"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12"/>
                <w:sz w:val="18"/>
                <w:szCs w:val="18"/>
              </w:rPr>
              <w:t>（二）所有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者投入和 减少资本</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-54,258,</w:t>
            </w:r>
          </w:p>
          <w:p>
            <w:pPr>
              <w:pStyle w:val="TableParagraph"/>
              <w:spacing w:line="240" w:lineRule="auto" w:before="105"/>
              <w:ind w:left="166" w:right="0"/>
              <w:jc w:val="center"/>
              <w:rPr>
                <w:rFonts w:ascii="Times New Roman" w:hAnsi="Times New Roman" w:cs="Times New Roman" w:eastAsia="Times New Roman" w:hint="default"/>
                <w:sz w:val="18"/>
                <w:szCs w:val="18"/>
              </w:rPr>
            </w:pPr>
            <w:r>
              <w:rPr>
                <w:rFonts w:ascii="Times New Roman"/>
                <w:sz w:val="18"/>
              </w:rPr>
              <w:t>240.00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-245,714,</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593.85</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-26,954,</w:t>
            </w:r>
          </w:p>
          <w:p>
            <w:pPr>
              <w:pStyle w:val="TableParagraph"/>
              <w:spacing w:line="240" w:lineRule="auto" w:before="105"/>
              <w:ind w:left="129" w:right="0"/>
              <w:jc w:val="center"/>
              <w:rPr>
                <w:rFonts w:ascii="Times New Roman" w:hAnsi="Times New Roman" w:cs="Times New Roman" w:eastAsia="Times New Roman" w:hint="default"/>
                <w:sz w:val="18"/>
                <w:szCs w:val="18"/>
              </w:rPr>
            </w:pPr>
            <w:r>
              <w:rPr>
                <w:rFonts w:ascii="Times New Roman"/>
                <w:sz w:val="18"/>
              </w:rPr>
              <w:t>164.03</w:t>
            </w:r>
          </w:p>
        </w:tc>
        <w:tc>
          <w:tcPr>
            <w:tcW w:w="58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09"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-273,0</w:t>
            </w:r>
          </w:p>
          <w:p>
            <w:pPr>
              <w:pStyle w:val="TableParagraph"/>
              <w:spacing w:line="240" w:lineRule="auto" w:before="104"/>
              <w:ind w:left="56" w:right="0"/>
              <w:jc w:val="left"/>
              <w:rPr>
                <w:rFonts w:ascii="Times New Roman" w:hAnsi="Times New Roman" w:cs="Times New Roman" w:eastAsia="Times New Roman" w:hint="default"/>
                <w:sz w:val="18"/>
                <w:szCs w:val="18"/>
              </w:rPr>
            </w:pPr>
            <w:r>
              <w:rPr>
                <w:rFonts w:ascii="Times New Roman"/>
                <w:sz w:val="18"/>
              </w:rPr>
              <w:t>18,669</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.82</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7,645,</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000.00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-265,373,</w:t>
            </w:r>
          </w:p>
          <w:p>
            <w:pPr>
              <w:pStyle w:val="TableParagraph"/>
              <w:spacing w:line="240" w:lineRule="auto" w:before="105"/>
              <w:ind w:left="255" w:right="0"/>
              <w:jc w:val="center"/>
              <w:rPr>
                <w:rFonts w:ascii="Times New Roman" w:hAnsi="Times New Roman" w:cs="Times New Roman" w:eastAsia="Times New Roman" w:hint="default"/>
                <w:sz w:val="18"/>
                <w:szCs w:val="18"/>
              </w:rPr>
            </w:pPr>
            <w:r>
              <w:rPr>
                <w:rFonts w:ascii="Times New Roman"/>
                <w:sz w:val="18"/>
              </w:rPr>
              <w:t>669.82</w:t>
            </w:r>
          </w:p>
        </w:tc>
      </w:tr>
      <w:tr>
        <w:trPr>
          <w:trHeight w:val="1026"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 投入的普 通股</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-54,258,</w:t>
            </w:r>
          </w:p>
          <w:p>
            <w:pPr>
              <w:pStyle w:val="TableParagraph"/>
              <w:spacing w:line="240" w:lineRule="auto" w:before="105"/>
              <w:ind w:left="166" w:right="0"/>
              <w:jc w:val="center"/>
              <w:rPr>
                <w:rFonts w:ascii="Times New Roman" w:hAnsi="Times New Roman" w:cs="Times New Roman" w:eastAsia="Times New Roman" w:hint="default"/>
                <w:sz w:val="18"/>
                <w:szCs w:val="18"/>
              </w:rPr>
            </w:pPr>
            <w:r>
              <w:rPr>
                <w:rFonts w:ascii="Times New Roman"/>
                <w:sz w:val="18"/>
              </w:rPr>
              <w:t>240.00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09"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-54,25</w:t>
            </w:r>
          </w:p>
          <w:p>
            <w:pPr>
              <w:pStyle w:val="TableParagraph"/>
              <w:spacing w:line="240" w:lineRule="auto" w:before="104"/>
              <w:ind w:left="100" w:right="0"/>
              <w:jc w:val="left"/>
              <w:rPr>
                <w:rFonts w:ascii="Times New Roman" w:hAnsi="Times New Roman" w:cs="Times New Roman" w:eastAsia="Times New Roman" w:hint="default"/>
                <w:sz w:val="18"/>
                <w:szCs w:val="18"/>
              </w:rPr>
            </w:pPr>
            <w:r>
              <w:rPr>
                <w:rFonts w:ascii="Times New Roman"/>
                <w:sz w:val="18"/>
              </w:rPr>
              <w:t>8,240.</w:t>
            </w:r>
          </w:p>
          <w:p>
            <w:pPr>
              <w:pStyle w:val="TableParagraph"/>
              <w:spacing w:line="240" w:lineRule="auto" w:before="106"/>
              <w:ind w:left="370" w:right="0"/>
              <w:jc w:val="left"/>
              <w:rPr>
                <w:rFonts w:ascii="Times New Roman" w:hAnsi="Times New Roman" w:cs="Times New Roman" w:eastAsia="Times New Roman" w:hint="default"/>
                <w:sz w:val="18"/>
                <w:szCs w:val="18"/>
              </w:rPr>
            </w:pPr>
            <w:r>
              <w:rPr>
                <w:rFonts w:ascii="Times New Roman"/>
                <w:sz w:val="18"/>
              </w:rPr>
              <w:t>00</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7,645,</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000.00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-46,613,2</w:t>
            </w:r>
          </w:p>
          <w:p>
            <w:pPr>
              <w:pStyle w:val="TableParagraph"/>
              <w:spacing w:line="240" w:lineRule="auto" w:before="105"/>
              <w:ind w:left="368" w:right="0"/>
              <w:jc w:val="left"/>
              <w:rPr>
                <w:rFonts w:ascii="Times New Roman" w:hAnsi="Times New Roman" w:cs="Times New Roman" w:eastAsia="Times New Roman" w:hint="default"/>
                <w:sz w:val="18"/>
                <w:szCs w:val="18"/>
              </w:rPr>
            </w:pPr>
            <w:r>
              <w:rPr>
                <w:rFonts w:ascii="Times New Roman"/>
                <w:sz w:val="18"/>
              </w:rPr>
              <w:t>40.00</w:t>
            </w:r>
          </w:p>
        </w:tc>
      </w:tr>
      <w:tr>
        <w:trPr>
          <w:trHeight w:val="1338"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 益工具持 有者投入 资本</w:t>
            </w:r>
          </w:p>
        </w:tc>
        <w:tc>
          <w:tcPr>
            <w:tcW w:w="72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09"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 付计入所 有者权益 的金额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09"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2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-245,714,</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593.85</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-26,954,</w:t>
            </w:r>
          </w:p>
          <w:p>
            <w:pPr>
              <w:pStyle w:val="TableParagraph"/>
              <w:spacing w:line="240" w:lineRule="auto" w:before="105"/>
              <w:ind w:left="129" w:right="0"/>
              <w:jc w:val="center"/>
              <w:rPr>
                <w:rFonts w:ascii="Times New Roman" w:hAnsi="Times New Roman" w:cs="Times New Roman" w:eastAsia="Times New Roman" w:hint="default"/>
                <w:sz w:val="18"/>
                <w:szCs w:val="18"/>
              </w:rPr>
            </w:pPr>
            <w:r>
              <w:rPr>
                <w:rFonts w:ascii="Times New Roman"/>
                <w:sz w:val="18"/>
              </w:rPr>
              <w:t>164.03</w:t>
            </w:r>
          </w:p>
        </w:tc>
        <w:tc>
          <w:tcPr>
            <w:tcW w:w="58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09"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-218,7</w:t>
            </w:r>
          </w:p>
          <w:p>
            <w:pPr>
              <w:pStyle w:val="TableParagraph"/>
              <w:spacing w:line="240" w:lineRule="auto" w:before="104"/>
              <w:ind w:left="56" w:right="0"/>
              <w:jc w:val="left"/>
              <w:rPr>
                <w:rFonts w:ascii="Times New Roman" w:hAnsi="Times New Roman" w:cs="Times New Roman" w:eastAsia="Times New Roman" w:hint="default"/>
                <w:sz w:val="18"/>
                <w:szCs w:val="18"/>
              </w:rPr>
            </w:pPr>
            <w:r>
              <w:rPr>
                <w:rFonts w:ascii="Times New Roman"/>
                <w:sz w:val="18"/>
              </w:rPr>
              <w:t>60,429</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.82</w:t>
            </w:r>
          </w:p>
        </w:tc>
        <w:tc>
          <w:tcPr>
            <w:tcW w:w="583"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-218,760,</w:t>
            </w:r>
          </w:p>
          <w:p>
            <w:pPr>
              <w:pStyle w:val="TableParagraph"/>
              <w:spacing w:line="240" w:lineRule="auto" w:before="105"/>
              <w:ind w:left="255" w:right="0"/>
              <w:jc w:val="center"/>
              <w:rPr>
                <w:rFonts w:ascii="Times New Roman" w:hAnsi="Times New Roman" w:cs="Times New Roman" w:eastAsia="Times New Roman" w:hint="default"/>
                <w:sz w:val="18"/>
                <w:szCs w:val="18"/>
              </w:rPr>
            </w:pPr>
            <w:r>
              <w:rPr>
                <w:rFonts w:ascii="Times New Roman"/>
                <w:sz w:val="18"/>
              </w:rPr>
              <w:t>429.82</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00"/>
        <w:gridCol w:w="720"/>
        <w:gridCol w:w="466"/>
        <w:gridCol w:w="468"/>
        <w:gridCol w:w="326"/>
        <w:gridCol w:w="760"/>
        <w:gridCol w:w="680"/>
        <w:gridCol w:w="584"/>
        <w:gridCol w:w="502"/>
        <w:gridCol w:w="583"/>
        <w:gridCol w:w="584"/>
        <w:gridCol w:w="583"/>
        <w:gridCol w:w="409"/>
        <w:gridCol w:w="584"/>
        <w:gridCol w:w="583"/>
        <w:gridCol w:w="806"/>
      </w:tblGrid>
      <w:tr>
        <w:trPr>
          <w:trHeight w:val="1026"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12"/>
                <w:sz w:val="18"/>
                <w:szCs w:val="18"/>
              </w:rPr>
              <w:t>（三）利润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分配</w:t>
            </w:r>
          </w:p>
        </w:tc>
        <w:tc>
          <w:tcPr>
            <w:tcW w:w="72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10,972</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,775.6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-10,97</w:t>
            </w:r>
          </w:p>
          <w:p>
            <w:pPr>
              <w:pStyle w:val="TableParagraph"/>
              <w:spacing w:line="240" w:lineRule="auto" w:before="104"/>
              <w:ind w:left="100" w:right="0"/>
              <w:jc w:val="left"/>
              <w:rPr>
                <w:rFonts w:ascii="Times New Roman" w:hAnsi="Times New Roman" w:cs="Times New Roman" w:eastAsia="Times New Roman" w:hint="default"/>
                <w:sz w:val="18"/>
                <w:szCs w:val="18"/>
              </w:rPr>
            </w:pPr>
            <w:r>
              <w:rPr>
                <w:rFonts w:ascii="Times New Roman"/>
                <w:sz w:val="18"/>
              </w:rPr>
              <w:t>2,775.</w:t>
            </w:r>
          </w:p>
          <w:p>
            <w:pPr>
              <w:pStyle w:val="TableParagraph"/>
              <w:spacing w:line="240" w:lineRule="auto" w:before="106"/>
              <w:ind w:left="370" w:right="0"/>
              <w:jc w:val="left"/>
              <w:rPr>
                <w:rFonts w:ascii="Times New Roman" w:hAnsi="Times New Roman" w:cs="Times New Roman" w:eastAsia="Times New Roman" w:hint="default"/>
                <w:sz w:val="18"/>
                <w:szCs w:val="18"/>
              </w:rPr>
            </w:pPr>
            <w:r>
              <w:rPr>
                <w:rFonts w:ascii="Times New Roman"/>
                <w:sz w:val="18"/>
              </w:rPr>
              <w:t>61</w:t>
            </w:r>
          </w:p>
        </w:tc>
        <w:tc>
          <w:tcPr>
            <w:tcW w:w="409"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 余公积</w:t>
            </w:r>
          </w:p>
        </w:tc>
        <w:tc>
          <w:tcPr>
            <w:tcW w:w="72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10,972</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,775.6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-10,97</w:t>
            </w:r>
          </w:p>
          <w:p>
            <w:pPr>
              <w:pStyle w:val="TableParagraph"/>
              <w:spacing w:line="240" w:lineRule="auto" w:before="104"/>
              <w:ind w:left="100" w:right="0"/>
              <w:jc w:val="left"/>
              <w:rPr>
                <w:rFonts w:ascii="Times New Roman" w:hAnsi="Times New Roman" w:cs="Times New Roman" w:eastAsia="Times New Roman" w:hint="default"/>
                <w:sz w:val="18"/>
                <w:szCs w:val="18"/>
              </w:rPr>
            </w:pPr>
            <w:r>
              <w:rPr>
                <w:rFonts w:ascii="Times New Roman"/>
                <w:sz w:val="18"/>
              </w:rPr>
              <w:t>2,775.</w:t>
            </w:r>
          </w:p>
          <w:p>
            <w:pPr>
              <w:pStyle w:val="TableParagraph"/>
              <w:spacing w:line="240" w:lineRule="auto" w:before="106"/>
              <w:ind w:left="370" w:right="0"/>
              <w:jc w:val="left"/>
              <w:rPr>
                <w:rFonts w:ascii="Times New Roman" w:hAnsi="Times New Roman" w:cs="Times New Roman" w:eastAsia="Times New Roman" w:hint="default"/>
                <w:sz w:val="18"/>
                <w:szCs w:val="18"/>
              </w:rPr>
            </w:pPr>
            <w:r>
              <w:rPr>
                <w:rFonts w:ascii="Times New Roman"/>
                <w:sz w:val="18"/>
              </w:rPr>
              <w:t>61</w:t>
            </w:r>
          </w:p>
        </w:tc>
        <w:tc>
          <w:tcPr>
            <w:tcW w:w="409"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 般风险准 备</w:t>
            </w:r>
          </w:p>
        </w:tc>
        <w:tc>
          <w:tcPr>
            <w:tcW w:w="72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09"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 者（或股 </w:t>
            </w:r>
            <w:r>
              <w:rPr>
                <w:rFonts w:ascii="宋体" w:hAnsi="宋体" w:cs="宋体" w:eastAsia="宋体" w:hint="default"/>
                <w:spacing w:val="-12"/>
                <w:sz w:val="18"/>
                <w:szCs w:val="18"/>
              </w:rPr>
              <w:t>东）的分配</w:t>
            </w:r>
          </w:p>
        </w:tc>
        <w:tc>
          <w:tcPr>
            <w:tcW w:w="72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09"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2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09"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12"/>
                <w:sz w:val="18"/>
                <w:szCs w:val="18"/>
              </w:rPr>
              <w:t>（四）所有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者权益内 部结转</w:t>
            </w:r>
          </w:p>
        </w:tc>
        <w:tc>
          <w:tcPr>
            <w:tcW w:w="72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09"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 积转增资 本（或股 本）</w:t>
            </w:r>
          </w:p>
        </w:tc>
        <w:tc>
          <w:tcPr>
            <w:tcW w:w="72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09"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 积转增资 本（或股 本）</w:t>
            </w:r>
          </w:p>
        </w:tc>
        <w:tc>
          <w:tcPr>
            <w:tcW w:w="72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09"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 积弥补亏 损</w:t>
            </w:r>
          </w:p>
        </w:tc>
        <w:tc>
          <w:tcPr>
            <w:tcW w:w="72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09"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 益计划变 动额结转 留存收益</w:t>
            </w:r>
          </w:p>
        </w:tc>
        <w:tc>
          <w:tcPr>
            <w:tcW w:w="72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09"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 合收益结 转留存收 益</w:t>
            </w:r>
          </w:p>
        </w:tc>
        <w:tc>
          <w:tcPr>
            <w:tcW w:w="72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09"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72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09"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12"/>
                <w:sz w:val="18"/>
                <w:szCs w:val="18"/>
              </w:rPr>
              <w:t>（五）专项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储备</w:t>
            </w:r>
          </w:p>
        </w:tc>
        <w:tc>
          <w:tcPr>
            <w:tcW w:w="72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09"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 取</w:t>
            </w:r>
          </w:p>
        </w:tc>
        <w:tc>
          <w:tcPr>
            <w:tcW w:w="72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09"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00"/>
        <w:gridCol w:w="720"/>
        <w:gridCol w:w="466"/>
        <w:gridCol w:w="468"/>
        <w:gridCol w:w="326"/>
        <w:gridCol w:w="760"/>
        <w:gridCol w:w="680"/>
        <w:gridCol w:w="584"/>
        <w:gridCol w:w="502"/>
        <w:gridCol w:w="583"/>
        <w:gridCol w:w="584"/>
        <w:gridCol w:w="583"/>
        <w:gridCol w:w="409"/>
        <w:gridCol w:w="584"/>
        <w:gridCol w:w="583"/>
        <w:gridCol w:w="806"/>
      </w:tblGrid>
      <w:tr>
        <w:trPr>
          <w:trHeight w:val="714"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 用</w:t>
            </w:r>
          </w:p>
        </w:tc>
        <w:tc>
          <w:tcPr>
            <w:tcW w:w="72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09"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12"/>
                <w:sz w:val="18"/>
                <w:szCs w:val="18"/>
              </w:rPr>
              <w:t>（六）其他</w:t>
            </w:r>
          </w:p>
        </w:tc>
        <w:tc>
          <w:tcPr>
            <w:tcW w:w="720"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02"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09"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-1,705,</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945.95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-1,705,94</w:t>
            </w:r>
          </w:p>
          <w:p>
            <w:pPr>
              <w:pStyle w:val="TableParagraph"/>
              <w:spacing w:line="240" w:lineRule="auto" w:before="105"/>
              <w:ind w:left="458" w:right="0"/>
              <w:jc w:val="left"/>
              <w:rPr>
                <w:rFonts w:ascii="Times New Roman" w:hAnsi="Times New Roman" w:cs="Times New Roman" w:eastAsia="Times New Roman" w:hint="default"/>
                <w:sz w:val="18"/>
                <w:szCs w:val="18"/>
              </w:rPr>
            </w:pPr>
            <w:r>
              <w:rPr>
                <w:rFonts w:ascii="Times New Roman"/>
                <w:sz w:val="18"/>
              </w:rPr>
              <w:t>5.95</w:t>
            </w:r>
          </w:p>
        </w:tc>
      </w:tr>
      <w:tr>
        <w:trPr>
          <w:trHeight w:val="1026"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12"/>
                <w:sz w:val="18"/>
                <w:szCs w:val="18"/>
              </w:rPr>
              <w:t>四、本期期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末余额</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1,598,61</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6,721.00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326" w:type="dxa"/>
            <w:tcBorders>
              <w:top w:val="single" w:sz="4" w:space="0" w:color="000000"/>
              <w:left w:val="single" w:sz="4" w:space="0" w:color="000000"/>
              <w:bottom w:val="single" w:sz="4" w:space="0" w:color="000000"/>
              <w:right w:val="single" w:sz="4" w:space="0" w:color="000000"/>
            </w:tcBorders>
          </w:tcPr>
          <w:p>
            <w:pPr/>
          </w:p>
        </w:tc>
        <w:tc>
          <w:tcPr>
            <w:tcW w:w="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2,651,37</w:t>
            </w:r>
          </w:p>
          <w:p>
            <w:pPr>
              <w:pStyle w:val="TableParagraph"/>
              <w:spacing w:line="240" w:lineRule="auto" w:before="105"/>
              <w:ind w:left="94" w:right="0"/>
              <w:jc w:val="left"/>
              <w:rPr>
                <w:rFonts w:ascii="Times New Roman" w:hAnsi="Times New Roman" w:cs="Times New Roman" w:eastAsia="Times New Roman" w:hint="default"/>
                <w:sz w:val="18"/>
                <w:szCs w:val="18"/>
              </w:rPr>
            </w:pPr>
            <w:r>
              <w:rPr>
                <w:rFonts w:ascii="Times New Roman"/>
                <w:sz w:val="18"/>
              </w:rPr>
              <w:t>5,774.01</w:t>
            </w:r>
          </w:p>
        </w:tc>
        <w:tc>
          <w:tcPr>
            <w:tcW w:w="680"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-16,17</w:t>
            </w:r>
          </w:p>
          <w:p>
            <w:pPr>
              <w:pStyle w:val="TableParagraph"/>
              <w:spacing w:line="240" w:lineRule="auto" w:before="104"/>
              <w:ind w:left="100" w:right="0"/>
              <w:jc w:val="left"/>
              <w:rPr>
                <w:rFonts w:ascii="Times New Roman" w:hAnsi="Times New Roman" w:cs="Times New Roman" w:eastAsia="Times New Roman" w:hint="default"/>
                <w:sz w:val="18"/>
                <w:szCs w:val="18"/>
              </w:rPr>
            </w:pPr>
            <w:r>
              <w:rPr>
                <w:rFonts w:ascii="Times New Roman"/>
                <w:sz w:val="18"/>
              </w:rPr>
              <w:t>1,512.</w:t>
            </w:r>
          </w:p>
          <w:p>
            <w:pPr>
              <w:pStyle w:val="TableParagraph"/>
              <w:spacing w:line="240" w:lineRule="auto" w:before="106"/>
              <w:ind w:left="370" w:right="0"/>
              <w:jc w:val="left"/>
              <w:rPr>
                <w:rFonts w:ascii="Times New Roman" w:hAnsi="Times New Roman" w:cs="Times New Roman" w:eastAsia="Times New Roman" w:hint="default"/>
                <w:sz w:val="18"/>
                <w:szCs w:val="18"/>
              </w:rPr>
            </w:pPr>
            <w:r>
              <w:rPr>
                <w:rFonts w:ascii="Times New Roman"/>
                <w:sz w:val="18"/>
              </w:rPr>
              <w:t>65</w:t>
            </w:r>
          </w:p>
        </w:tc>
        <w:tc>
          <w:tcPr>
            <w:tcW w:w="502"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 w:right="0"/>
              <w:jc w:val="left"/>
              <w:rPr>
                <w:rFonts w:ascii="Times New Roman" w:hAnsi="Times New Roman" w:cs="Times New Roman" w:eastAsia="Times New Roman" w:hint="default"/>
                <w:sz w:val="18"/>
                <w:szCs w:val="18"/>
              </w:rPr>
            </w:pPr>
            <w:r>
              <w:rPr>
                <w:rFonts w:ascii="Times New Roman"/>
                <w:sz w:val="18"/>
              </w:rPr>
              <w:t>257,82</w:t>
            </w:r>
          </w:p>
          <w:p>
            <w:pPr>
              <w:pStyle w:val="TableParagraph"/>
              <w:spacing w:line="240" w:lineRule="auto" w:before="104"/>
              <w:ind w:left="99" w:right="0"/>
              <w:jc w:val="left"/>
              <w:rPr>
                <w:rFonts w:ascii="Times New Roman" w:hAnsi="Times New Roman" w:cs="Times New Roman" w:eastAsia="Times New Roman" w:hint="default"/>
                <w:sz w:val="18"/>
                <w:szCs w:val="18"/>
              </w:rPr>
            </w:pPr>
            <w:r>
              <w:rPr>
                <w:rFonts w:ascii="Times New Roman"/>
                <w:sz w:val="18"/>
              </w:rPr>
              <w:t>8,715.</w:t>
            </w:r>
          </w:p>
          <w:p>
            <w:pPr>
              <w:pStyle w:val="TableParagraph"/>
              <w:spacing w:line="240" w:lineRule="auto" w:before="106"/>
              <w:ind w:left="369" w:right="0"/>
              <w:jc w:val="left"/>
              <w:rPr>
                <w:rFonts w:ascii="Times New Roman" w:hAnsi="Times New Roman" w:cs="Times New Roman" w:eastAsia="Times New Roman" w:hint="default"/>
                <w:sz w:val="18"/>
                <w:szCs w:val="18"/>
              </w:rPr>
            </w:pPr>
            <w:r>
              <w:rPr>
                <w:rFonts w:ascii="Times New Roman"/>
                <w:sz w:val="18"/>
              </w:rPr>
              <w:t>24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 w:right="0"/>
              <w:jc w:val="center"/>
              <w:rPr>
                <w:rFonts w:ascii="Times New Roman" w:hAnsi="Times New Roman" w:cs="Times New Roman" w:eastAsia="Times New Roman" w:hint="default"/>
                <w:sz w:val="18"/>
                <w:szCs w:val="18"/>
              </w:rPr>
            </w:pPr>
            <w:r>
              <w:rPr>
                <w:rFonts w:ascii="Times New Roman"/>
                <w:sz w:val="18"/>
              </w:rPr>
              <w:t>1,420,</w:t>
            </w:r>
          </w:p>
          <w:p>
            <w:pPr>
              <w:pStyle w:val="TableParagraph"/>
              <w:spacing w:line="240" w:lineRule="auto" w:before="104"/>
              <w:ind w:left="34" w:right="0"/>
              <w:jc w:val="center"/>
              <w:rPr>
                <w:rFonts w:ascii="Times New Roman" w:hAnsi="Times New Roman" w:cs="Times New Roman" w:eastAsia="Times New Roman" w:hint="default"/>
                <w:sz w:val="18"/>
                <w:szCs w:val="18"/>
              </w:rPr>
            </w:pPr>
            <w:r>
              <w:rPr>
                <w:rFonts w:ascii="Times New Roman"/>
                <w:sz w:val="18"/>
              </w:rPr>
              <w:t>893,61</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4.91</w:t>
            </w:r>
          </w:p>
        </w:tc>
        <w:tc>
          <w:tcPr>
            <w:tcW w:w="409"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5,912,</w:t>
            </w:r>
          </w:p>
          <w:p>
            <w:pPr>
              <w:pStyle w:val="TableParagraph"/>
              <w:spacing w:line="240" w:lineRule="auto" w:before="104"/>
              <w:ind w:left="33" w:right="0"/>
              <w:jc w:val="center"/>
              <w:rPr>
                <w:rFonts w:ascii="Times New Roman" w:hAnsi="Times New Roman" w:cs="Times New Roman" w:eastAsia="Times New Roman" w:hint="default"/>
                <w:sz w:val="18"/>
                <w:szCs w:val="18"/>
              </w:rPr>
            </w:pPr>
            <w:r>
              <w:rPr>
                <w:rFonts w:ascii="Times New Roman"/>
                <w:sz w:val="18"/>
              </w:rPr>
              <w:t>543,31</w:t>
            </w:r>
          </w:p>
          <w:p>
            <w:pPr>
              <w:pStyle w:val="TableParagraph"/>
              <w:spacing w:line="240" w:lineRule="auto" w:before="106"/>
              <w:ind w:left="211" w:right="0"/>
              <w:jc w:val="center"/>
              <w:rPr>
                <w:rFonts w:ascii="Times New Roman" w:hAnsi="Times New Roman" w:cs="Times New Roman" w:eastAsia="Times New Roman" w:hint="default"/>
                <w:sz w:val="18"/>
                <w:szCs w:val="18"/>
              </w:rPr>
            </w:pPr>
            <w:r>
              <w:rPr>
                <w:rFonts w:ascii="Times New Roman"/>
                <w:sz w:val="18"/>
              </w:rPr>
              <w:t>2.51</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8,016,</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031.43</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5,920,559</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,343.94</w:t>
            </w:r>
          </w:p>
        </w:tc>
      </w:tr>
    </w:tbl>
    <w:p>
      <w:pPr>
        <w:pStyle w:val="BodyText"/>
        <w:spacing w:line="240" w:lineRule="auto" w:before="51"/>
        <w:ind w:right="0"/>
        <w:jc w:val="left"/>
      </w:pPr>
      <w:r>
        <w:rPr/>
        <w:t>上期金额</w:t>
      </w:r>
    </w:p>
    <w:p>
      <w:pPr>
        <w:pStyle w:val="BodyText"/>
        <w:spacing w:line="240" w:lineRule="auto" w:before="117"/>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889"/>
        <w:gridCol w:w="720"/>
        <w:gridCol w:w="449"/>
        <w:gridCol w:w="449"/>
        <w:gridCol w:w="413"/>
        <w:gridCol w:w="576"/>
        <w:gridCol w:w="577"/>
        <w:gridCol w:w="576"/>
        <w:gridCol w:w="560"/>
        <w:gridCol w:w="576"/>
        <w:gridCol w:w="577"/>
        <w:gridCol w:w="647"/>
        <w:gridCol w:w="372"/>
        <w:gridCol w:w="720"/>
        <w:gridCol w:w="643"/>
        <w:gridCol w:w="770"/>
      </w:tblGrid>
      <w:tr>
        <w:trPr>
          <w:trHeight w:val="402" w:hRule="exact"/>
        </w:trPr>
        <w:tc>
          <w:tcPr>
            <w:tcW w:w="889" w:type="dxa"/>
            <w:vMerge w:val="restart"/>
            <w:tcBorders>
              <w:top w:val="single" w:sz="4" w:space="0" w:color="000000"/>
              <w:left w:val="single" w:sz="4" w:space="0" w:color="000000"/>
              <w:right w:val="single" w:sz="4" w:space="0" w:color="000000"/>
            </w:tcBorders>
            <w:shd w:val="clear" w:color="auto" w:fill="D3D3D3"/>
          </w:tcPr>
          <w:p>
            <w:pPr/>
          </w:p>
        </w:tc>
        <w:tc>
          <w:tcPr>
            <w:tcW w:w="8626" w:type="dxa"/>
            <w:gridSpan w:val="1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w:t>
            </w:r>
          </w:p>
        </w:tc>
      </w:tr>
      <w:tr>
        <w:trPr>
          <w:trHeight w:val="246" w:hRule="exact"/>
        </w:trPr>
        <w:tc>
          <w:tcPr>
            <w:tcW w:w="889" w:type="dxa"/>
            <w:vMerge/>
            <w:tcBorders>
              <w:left w:val="single" w:sz="4" w:space="0" w:color="000000"/>
              <w:right w:val="single" w:sz="4" w:space="0" w:color="000000"/>
            </w:tcBorders>
            <w:shd w:val="clear" w:color="auto" w:fill="D3D3D3"/>
          </w:tcPr>
          <w:p>
            <w:pPr/>
          </w:p>
        </w:tc>
        <w:tc>
          <w:tcPr>
            <w:tcW w:w="7212" w:type="dxa"/>
            <w:gridSpan w:val="1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3" w:type="dxa"/>
            <w:vMerge w:val="restart"/>
            <w:tcBorders>
              <w:top w:val="single" w:sz="4" w:space="0" w:color="000000"/>
              <w:left w:val="single" w:sz="4" w:space="0" w:color="000000"/>
              <w:right w:val="single" w:sz="4" w:space="0" w:color="000000"/>
            </w:tcBorders>
            <w:shd w:val="clear" w:color="auto" w:fill="D3D3D3"/>
          </w:tcPr>
          <w:p>
            <w:pPr/>
          </w:p>
        </w:tc>
        <w:tc>
          <w:tcPr>
            <w:tcW w:w="77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6" w:hRule="exact"/>
        </w:trPr>
        <w:tc>
          <w:tcPr>
            <w:tcW w:w="889" w:type="dxa"/>
            <w:vMerge/>
            <w:tcBorders>
              <w:left w:val="single" w:sz="4" w:space="0" w:color="000000"/>
              <w:bottom w:val="nil" w:sz="6" w:space="0" w:color="auto"/>
              <w:right w:val="single" w:sz="4" w:space="0" w:color="000000"/>
            </w:tcBorders>
            <w:shd w:val="clear" w:color="auto" w:fill="D3D3D3"/>
          </w:tcPr>
          <w:p>
            <w:pPr/>
          </w:p>
        </w:tc>
        <w:tc>
          <w:tcPr>
            <w:tcW w:w="7212" w:type="dxa"/>
            <w:gridSpan w:val="13"/>
            <w:vMerge/>
            <w:tcBorders>
              <w:left w:val="single" w:sz="4" w:space="0" w:color="000000"/>
              <w:bottom w:val="single" w:sz="4" w:space="0" w:color="000000"/>
              <w:right w:val="single" w:sz="4" w:space="0" w:color="000000"/>
            </w:tcBorders>
            <w:shd w:val="clear" w:color="auto" w:fill="D3D3D3"/>
          </w:tcPr>
          <w:p>
            <w:pPr/>
          </w:p>
        </w:tc>
        <w:tc>
          <w:tcPr>
            <w:tcW w:w="643" w:type="dxa"/>
            <w:vMerge/>
            <w:tcBorders>
              <w:left w:val="single" w:sz="4" w:space="0" w:color="000000"/>
              <w:bottom w:val="nil" w:sz="6" w:space="0" w:color="auto"/>
              <w:right w:val="single" w:sz="4" w:space="0" w:color="000000"/>
            </w:tcBorders>
            <w:shd w:val="clear" w:color="auto" w:fill="D3D3D3"/>
          </w:tcPr>
          <w:p>
            <w:pPr/>
          </w:p>
        </w:tc>
        <w:tc>
          <w:tcPr>
            <w:tcW w:w="770"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109" w:right="109"/>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0" w:hRule="exact"/>
        </w:trPr>
        <w:tc>
          <w:tcPr>
            <w:tcW w:w="88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25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20" w:type="dxa"/>
            <w:vMerge w:val="restart"/>
            <w:tcBorders>
              <w:top w:val="single" w:sz="4" w:space="0" w:color="000000"/>
              <w:left w:val="single" w:sz="4" w:space="0" w:color="000000"/>
              <w:right w:val="single" w:sz="4" w:space="0" w:color="000000"/>
            </w:tcBorders>
            <w:shd w:val="clear" w:color="auto" w:fill="D3D3D3"/>
          </w:tcPr>
          <w:p>
            <w:pPr/>
          </w:p>
        </w:tc>
        <w:tc>
          <w:tcPr>
            <w:tcW w:w="1310"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0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tcBorders>
              <w:top w:val="single" w:sz="4" w:space="0" w:color="000000"/>
              <w:left w:val="single" w:sz="4" w:space="0" w:color="000000"/>
              <w:bottom w:val="nil" w:sz="6" w:space="0" w:color="auto"/>
              <w:right w:val="single" w:sz="4" w:space="0" w:color="000000"/>
            </w:tcBorders>
            <w:shd w:val="clear" w:color="auto" w:fill="D3D3D3"/>
          </w:tcPr>
          <w:p>
            <w:pPr/>
          </w:p>
        </w:tc>
        <w:tc>
          <w:tcPr>
            <w:tcW w:w="577" w:type="dxa"/>
            <w:tcBorders>
              <w:top w:val="single" w:sz="4" w:space="0" w:color="000000"/>
              <w:left w:val="single" w:sz="4" w:space="0" w:color="000000"/>
              <w:bottom w:val="nil" w:sz="6" w:space="0" w:color="auto"/>
              <w:right w:val="single" w:sz="4" w:space="0" w:color="000000"/>
            </w:tcBorders>
            <w:shd w:val="clear" w:color="auto" w:fill="D3D3D3"/>
          </w:tcPr>
          <w:p>
            <w:pPr/>
          </w:p>
        </w:tc>
        <w:tc>
          <w:tcPr>
            <w:tcW w:w="57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1"/>
              <w:ind w:left="103" w:right="101"/>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60" w:type="dxa"/>
            <w:tcBorders>
              <w:top w:val="single" w:sz="4" w:space="0" w:color="000000"/>
              <w:left w:val="single" w:sz="4" w:space="0" w:color="000000"/>
              <w:bottom w:val="nil" w:sz="6" w:space="0" w:color="auto"/>
              <w:right w:val="single" w:sz="4" w:space="0" w:color="000000"/>
            </w:tcBorders>
            <w:shd w:val="clear" w:color="auto" w:fill="D3D3D3"/>
          </w:tcPr>
          <w:p>
            <w:pPr/>
          </w:p>
        </w:tc>
        <w:tc>
          <w:tcPr>
            <w:tcW w:w="576" w:type="dxa"/>
            <w:tcBorders>
              <w:top w:val="single" w:sz="4" w:space="0" w:color="000000"/>
              <w:left w:val="single" w:sz="4" w:space="0" w:color="000000"/>
              <w:bottom w:val="nil" w:sz="6" w:space="0" w:color="auto"/>
              <w:right w:val="single" w:sz="4" w:space="0" w:color="000000"/>
            </w:tcBorders>
            <w:shd w:val="clear" w:color="auto" w:fill="D3D3D3"/>
          </w:tcPr>
          <w:p>
            <w:pPr/>
          </w:p>
        </w:tc>
        <w:tc>
          <w:tcPr>
            <w:tcW w:w="57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91"/>
              <w:ind w:left="103" w:right="102"/>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647" w:type="dxa"/>
            <w:tcBorders>
              <w:top w:val="single" w:sz="4" w:space="0" w:color="000000"/>
              <w:left w:val="single" w:sz="4" w:space="0" w:color="000000"/>
              <w:bottom w:val="nil" w:sz="6" w:space="0" w:color="auto"/>
              <w:right w:val="single" w:sz="4" w:space="0" w:color="000000"/>
            </w:tcBorders>
            <w:shd w:val="clear" w:color="auto" w:fill="D3D3D3"/>
          </w:tcPr>
          <w:p>
            <w:pPr/>
          </w:p>
        </w:tc>
        <w:tc>
          <w:tcPr>
            <w:tcW w:w="372" w:type="dxa"/>
            <w:tcBorders>
              <w:top w:val="single" w:sz="4" w:space="0" w:color="000000"/>
              <w:left w:val="single" w:sz="4" w:space="0" w:color="000000"/>
              <w:bottom w:val="nil" w:sz="6" w:space="0" w:color="auto"/>
              <w:right w:val="single" w:sz="4" w:space="0" w:color="000000"/>
            </w:tcBorders>
            <w:shd w:val="clear" w:color="auto" w:fill="D3D3D3"/>
          </w:tcPr>
          <w:p>
            <w:pPr/>
          </w:p>
        </w:tc>
        <w:tc>
          <w:tcPr>
            <w:tcW w:w="720" w:type="dxa"/>
            <w:vMerge w:val="restart"/>
            <w:tcBorders>
              <w:top w:val="single" w:sz="4" w:space="0" w:color="000000"/>
              <w:left w:val="single" w:sz="4" w:space="0" w:color="000000"/>
              <w:right w:val="single" w:sz="4" w:space="0" w:color="000000"/>
            </w:tcBorders>
            <w:shd w:val="clear" w:color="auto" w:fill="D3D3D3"/>
          </w:tcPr>
          <w:p>
            <w:pPr/>
          </w:p>
        </w:tc>
        <w:tc>
          <w:tcPr>
            <w:tcW w:w="643"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45" w:right="47"/>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770" w:type="dxa"/>
            <w:vMerge/>
            <w:tcBorders>
              <w:left w:val="single" w:sz="4" w:space="0" w:color="000000"/>
              <w:right w:val="single" w:sz="4" w:space="0" w:color="000000"/>
            </w:tcBorders>
            <w:shd w:val="clear" w:color="auto" w:fill="D3D3D3"/>
          </w:tcPr>
          <w:p>
            <w:pPr/>
          </w:p>
        </w:tc>
      </w:tr>
      <w:tr>
        <w:trPr>
          <w:trHeight w:val="167" w:hRule="exact"/>
        </w:trPr>
        <w:tc>
          <w:tcPr>
            <w:tcW w:w="889" w:type="dxa"/>
            <w:vMerge/>
            <w:tcBorders>
              <w:left w:val="single" w:sz="4" w:space="0" w:color="000000"/>
              <w:bottom w:val="nil" w:sz="6" w:space="0" w:color="auto"/>
              <w:right w:val="single" w:sz="4" w:space="0" w:color="000000"/>
            </w:tcBorders>
            <w:shd w:val="clear" w:color="auto" w:fill="D3D3D3"/>
          </w:tcPr>
          <w:p>
            <w:pPr/>
          </w:p>
        </w:tc>
        <w:tc>
          <w:tcPr>
            <w:tcW w:w="720" w:type="dxa"/>
            <w:vMerge/>
            <w:tcBorders>
              <w:left w:val="single" w:sz="4" w:space="0" w:color="000000"/>
              <w:bottom w:val="nil" w:sz="6" w:space="0" w:color="auto"/>
              <w:right w:val="single" w:sz="4" w:space="0" w:color="000000"/>
            </w:tcBorders>
            <w:shd w:val="clear" w:color="auto" w:fill="D3D3D3"/>
          </w:tcPr>
          <w:p>
            <w:pPr/>
          </w:p>
        </w:tc>
        <w:tc>
          <w:tcPr>
            <w:tcW w:w="1310" w:type="dxa"/>
            <w:gridSpan w:val="3"/>
            <w:vMerge/>
            <w:tcBorders>
              <w:left w:val="single" w:sz="4" w:space="0" w:color="000000"/>
              <w:bottom w:val="single" w:sz="4" w:space="0" w:color="000000"/>
              <w:right w:val="single" w:sz="4" w:space="0" w:color="000000"/>
            </w:tcBorders>
            <w:shd w:val="clear" w:color="auto" w:fill="D3D3D3"/>
          </w:tcPr>
          <w:p>
            <w:pPr/>
          </w:p>
        </w:tc>
        <w:tc>
          <w:tcPr>
            <w:tcW w:w="576"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101" w:right="102"/>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7"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103" w:right="22" w:hanging="81"/>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6" w:type="dxa"/>
            <w:vMerge/>
            <w:tcBorders>
              <w:left w:val="single" w:sz="4" w:space="0" w:color="000000"/>
              <w:right w:val="single" w:sz="4" w:space="0" w:color="000000"/>
            </w:tcBorders>
            <w:shd w:val="clear" w:color="auto" w:fill="D3D3D3"/>
          </w:tcPr>
          <w:p>
            <w:pPr/>
          </w:p>
        </w:tc>
        <w:tc>
          <w:tcPr>
            <w:tcW w:w="560"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95" w:right="92"/>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102" w:right="102"/>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7" w:type="dxa"/>
            <w:vMerge/>
            <w:tcBorders>
              <w:left w:val="single" w:sz="4" w:space="0" w:color="000000"/>
              <w:right w:val="single" w:sz="4" w:space="0" w:color="000000"/>
            </w:tcBorders>
            <w:shd w:val="clear" w:color="auto" w:fill="D3D3D3"/>
          </w:tcPr>
          <w:p>
            <w:pPr/>
          </w:p>
        </w:tc>
        <w:tc>
          <w:tcPr>
            <w:tcW w:w="647"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138" w:right="47"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372"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2"/>
              <w:ind w:left="90" w:right="90"/>
              <w:jc w:val="left"/>
              <w:rPr>
                <w:rFonts w:ascii="宋体" w:hAnsi="宋体" w:cs="宋体" w:eastAsia="宋体" w:hint="default"/>
                <w:sz w:val="18"/>
                <w:szCs w:val="18"/>
              </w:rPr>
            </w:pPr>
            <w:r>
              <w:rPr>
                <w:rFonts w:ascii="宋体" w:hAnsi="宋体" w:cs="宋体" w:eastAsia="宋体" w:hint="default"/>
                <w:sz w:val="18"/>
                <w:szCs w:val="18"/>
              </w:rPr>
              <w:t>其 他</w:t>
            </w:r>
          </w:p>
        </w:tc>
        <w:tc>
          <w:tcPr>
            <w:tcW w:w="720" w:type="dxa"/>
            <w:vMerge/>
            <w:tcBorders>
              <w:left w:val="single" w:sz="4" w:space="0" w:color="000000"/>
              <w:bottom w:val="nil" w:sz="6" w:space="0" w:color="auto"/>
              <w:right w:val="single" w:sz="4" w:space="0" w:color="000000"/>
            </w:tcBorders>
            <w:shd w:val="clear" w:color="auto" w:fill="D3D3D3"/>
          </w:tcPr>
          <w:p>
            <w:pPr/>
          </w:p>
        </w:tc>
        <w:tc>
          <w:tcPr>
            <w:tcW w:w="643" w:type="dxa"/>
            <w:vMerge/>
            <w:tcBorders>
              <w:left w:val="single" w:sz="4" w:space="0" w:color="000000"/>
              <w:right w:val="single" w:sz="4" w:space="0" w:color="000000"/>
            </w:tcBorders>
            <w:shd w:val="clear" w:color="auto" w:fill="D3D3D3"/>
          </w:tcPr>
          <w:p>
            <w:pPr/>
          </w:p>
        </w:tc>
        <w:tc>
          <w:tcPr>
            <w:tcW w:w="770" w:type="dxa"/>
            <w:vMerge/>
            <w:tcBorders>
              <w:left w:val="single" w:sz="4" w:space="0" w:color="000000"/>
              <w:right w:val="single" w:sz="4" w:space="0" w:color="000000"/>
            </w:tcBorders>
            <w:shd w:val="clear" w:color="auto" w:fill="D3D3D3"/>
          </w:tcPr>
          <w:p>
            <w:pPr/>
          </w:p>
        </w:tc>
      </w:tr>
      <w:tr>
        <w:trPr>
          <w:trHeight w:val="371" w:hRule="exact"/>
        </w:trPr>
        <w:tc>
          <w:tcPr>
            <w:tcW w:w="889" w:type="dxa"/>
            <w:vMerge w:val="restart"/>
            <w:tcBorders>
              <w:top w:val="nil" w:sz="6" w:space="0" w:color="auto"/>
              <w:left w:val="single" w:sz="4" w:space="0" w:color="000000"/>
              <w:right w:val="single" w:sz="4" w:space="0" w:color="000000"/>
            </w:tcBorders>
            <w:shd w:val="clear" w:color="auto" w:fill="D3D3D3"/>
          </w:tcPr>
          <w:p>
            <w:pPr/>
          </w:p>
        </w:tc>
        <w:tc>
          <w:tcPr>
            <w:tcW w:w="7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41"/>
              <w:ind w:left="1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49"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87"/>
              <w:ind w:left="128" w:right="3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87"/>
              <w:ind w:left="129" w:right="3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13"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87"/>
              <w:ind w:left="111" w:right="109"/>
              <w:jc w:val="left"/>
              <w:rPr>
                <w:rFonts w:ascii="宋体" w:hAnsi="宋体" w:cs="宋体" w:eastAsia="宋体" w:hint="default"/>
                <w:sz w:val="18"/>
                <w:szCs w:val="18"/>
              </w:rPr>
            </w:pPr>
            <w:r>
              <w:rPr>
                <w:rFonts w:ascii="宋体" w:hAnsi="宋体" w:cs="宋体" w:eastAsia="宋体" w:hint="default"/>
                <w:sz w:val="18"/>
                <w:szCs w:val="18"/>
              </w:rPr>
              <w:t>其 他</w:t>
            </w:r>
          </w:p>
        </w:tc>
        <w:tc>
          <w:tcPr>
            <w:tcW w:w="576" w:type="dxa"/>
            <w:vMerge/>
            <w:tcBorders>
              <w:left w:val="single" w:sz="4" w:space="0" w:color="000000"/>
              <w:right w:val="single" w:sz="4" w:space="0" w:color="000000"/>
            </w:tcBorders>
            <w:shd w:val="clear" w:color="auto" w:fill="D3D3D3"/>
          </w:tcPr>
          <w:p>
            <w:pPr/>
          </w:p>
        </w:tc>
        <w:tc>
          <w:tcPr>
            <w:tcW w:w="577" w:type="dxa"/>
            <w:vMerge/>
            <w:tcBorders>
              <w:left w:val="single" w:sz="4" w:space="0" w:color="000000"/>
              <w:right w:val="single" w:sz="4" w:space="0" w:color="000000"/>
            </w:tcBorders>
            <w:shd w:val="clear" w:color="auto" w:fill="D3D3D3"/>
          </w:tcPr>
          <w:p>
            <w:pPr/>
          </w:p>
        </w:tc>
        <w:tc>
          <w:tcPr>
            <w:tcW w:w="576" w:type="dxa"/>
            <w:vMerge/>
            <w:tcBorders>
              <w:left w:val="single" w:sz="4" w:space="0" w:color="000000"/>
              <w:right w:val="single" w:sz="4" w:space="0" w:color="000000"/>
            </w:tcBorders>
            <w:shd w:val="clear" w:color="auto" w:fill="D3D3D3"/>
          </w:tcPr>
          <w:p>
            <w:pPr/>
          </w:p>
        </w:tc>
        <w:tc>
          <w:tcPr>
            <w:tcW w:w="560" w:type="dxa"/>
            <w:vMerge/>
            <w:tcBorders>
              <w:left w:val="single" w:sz="4" w:space="0" w:color="000000"/>
              <w:right w:val="single" w:sz="4" w:space="0" w:color="000000"/>
            </w:tcBorders>
            <w:shd w:val="clear" w:color="auto" w:fill="D3D3D3"/>
          </w:tcPr>
          <w:p>
            <w:pPr/>
          </w:p>
        </w:tc>
        <w:tc>
          <w:tcPr>
            <w:tcW w:w="576" w:type="dxa"/>
            <w:vMerge/>
            <w:tcBorders>
              <w:left w:val="single" w:sz="4" w:space="0" w:color="000000"/>
              <w:right w:val="single" w:sz="4" w:space="0" w:color="000000"/>
            </w:tcBorders>
            <w:shd w:val="clear" w:color="auto" w:fill="D3D3D3"/>
          </w:tcPr>
          <w:p>
            <w:pPr/>
          </w:p>
        </w:tc>
        <w:tc>
          <w:tcPr>
            <w:tcW w:w="577" w:type="dxa"/>
            <w:vMerge/>
            <w:tcBorders>
              <w:left w:val="single" w:sz="4" w:space="0" w:color="000000"/>
              <w:right w:val="single" w:sz="4" w:space="0" w:color="000000"/>
            </w:tcBorders>
            <w:shd w:val="clear" w:color="auto" w:fill="D3D3D3"/>
          </w:tcPr>
          <w:p>
            <w:pPr/>
          </w:p>
        </w:tc>
        <w:tc>
          <w:tcPr>
            <w:tcW w:w="647" w:type="dxa"/>
            <w:vMerge/>
            <w:tcBorders>
              <w:left w:val="single" w:sz="4" w:space="0" w:color="000000"/>
              <w:right w:val="single" w:sz="4" w:space="0" w:color="000000"/>
            </w:tcBorders>
            <w:shd w:val="clear" w:color="auto" w:fill="D3D3D3"/>
          </w:tcPr>
          <w:p>
            <w:pPr/>
          </w:p>
        </w:tc>
        <w:tc>
          <w:tcPr>
            <w:tcW w:w="372" w:type="dxa"/>
            <w:vMerge/>
            <w:tcBorders>
              <w:left w:val="single" w:sz="4" w:space="0" w:color="000000"/>
              <w:right w:val="single" w:sz="4" w:space="0" w:color="000000"/>
            </w:tcBorders>
            <w:shd w:val="clear" w:color="auto" w:fill="D3D3D3"/>
          </w:tcPr>
          <w:p>
            <w:pPr/>
          </w:p>
        </w:tc>
        <w:tc>
          <w:tcPr>
            <w:tcW w:w="720" w:type="dxa"/>
            <w:tcBorders>
              <w:top w:val="nil" w:sz="6" w:space="0" w:color="auto"/>
              <w:left w:val="single" w:sz="4" w:space="0" w:color="000000"/>
              <w:bottom w:val="single" w:sz="18" w:space="0" w:color="FFFFFF"/>
              <w:right w:val="single" w:sz="4" w:space="0" w:color="000000"/>
            </w:tcBorders>
            <w:shd w:val="clear" w:color="auto" w:fill="D3D3D3"/>
          </w:tcPr>
          <w:p>
            <w:pPr>
              <w:pStyle w:val="TableParagraph"/>
              <w:spacing w:line="240" w:lineRule="auto" w:before="41"/>
              <w:ind w:left="17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3" w:type="dxa"/>
            <w:vMerge/>
            <w:tcBorders>
              <w:left w:val="single" w:sz="4" w:space="0" w:color="000000"/>
              <w:bottom w:val="single" w:sz="18" w:space="0" w:color="FFFFFF"/>
              <w:right w:val="single" w:sz="4" w:space="0" w:color="000000"/>
            </w:tcBorders>
            <w:shd w:val="clear" w:color="auto" w:fill="D3D3D3"/>
          </w:tcPr>
          <w:p>
            <w:pPr/>
          </w:p>
        </w:tc>
        <w:tc>
          <w:tcPr>
            <w:tcW w:w="770" w:type="dxa"/>
            <w:vMerge/>
            <w:tcBorders>
              <w:left w:val="single" w:sz="4" w:space="0" w:color="000000"/>
              <w:right w:val="single" w:sz="4" w:space="0" w:color="000000"/>
            </w:tcBorders>
            <w:shd w:val="clear" w:color="auto" w:fill="D3D3D3"/>
          </w:tcPr>
          <w:p>
            <w:pPr/>
          </w:p>
        </w:tc>
      </w:tr>
      <w:tr>
        <w:trPr>
          <w:trHeight w:val="145" w:hRule="exact"/>
        </w:trPr>
        <w:tc>
          <w:tcPr>
            <w:tcW w:w="889" w:type="dxa"/>
            <w:vMerge/>
            <w:tcBorders>
              <w:left w:val="single" w:sz="4" w:space="0" w:color="000000"/>
              <w:right w:val="single" w:sz="4" w:space="0" w:color="000000"/>
            </w:tcBorders>
            <w:shd w:val="clear" w:color="auto" w:fill="D3D3D3"/>
          </w:tcPr>
          <w:p>
            <w:pPr/>
          </w:p>
        </w:tc>
        <w:tc>
          <w:tcPr>
            <w:tcW w:w="720" w:type="dxa"/>
            <w:vMerge w:val="restart"/>
            <w:tcBorders>
              <w:top w:val="nil" w:sz="6" w:space="0" w:color="auto"/>
              <w:left w:val="single" w:sz="4" w:space="0" w:color="000000"/>
              <w:right w:val="single" w:sz="4" w:space="0" w:color="000000"/>
            </w:tcBorders>
            <w:shd w:val="clear" w:color="auto" w:fill="D3D3D3"/>
          </w:tcPr>
          <w:p>
            <w:pPr/>
          </w:p>
        </w:tc>
        <w:tc>
          <w:tcPr>
            <w:tcW w:w="449" w:type="dxa"/>
            <w:vMerge/>
            <w:tcBorders>
              <w:left w:val="single" w:sz="4" w:space="0" w:color="000000"/>
              <w:right w:val="single" w:sz="4" w:space="0" w:color="000000"/>
            </w:tcBorders>
            <w:shd w:val="clear" w:color="auto" w:fill="D3D3D3"/>
          </w:tcPr>
          <w:p>
            <w:pPr/>
          </w:p>
        </w:tc>
        <w:tc>
          <w:tcPr>
            <w:tcW w:w="449" w:type="dxa"/>
            <w:vMerge/>
            <w:tcBorders>
              <w:left w:val="single" w:sz="4" w:space="0" w:color="000000"/>
              <w:right w:val="single" w:sz="4" w:space="0" w:color="000000"/>
            </w:tcBorders>
            <w:shd w:val="clear" w:color="auto" w:fill="D3D3D3"/>
          </w:tcPr>
          <w:p>
            <w:pPr/>
          </w:p>
        </w:tc>
        <w:tc>
          <w:tcPr>
            <w:tcW w:w="413" w:type="dxa"/>
            <w:vMerge/>
            <w:tcBorders>
              <w:left w:val="single" w:sz="4" w:space="0" w:color="000000"/>
              <w:right w:val="single" w:sz="4" w:space="0" w:color="000000"/>
            </w:tcBorders>
            <w:shd w:val="clear" w:color="auto" w:fill="D3D3D3"/>
          </w:tcPr>
          <w:p>
            <w:pPr/>
          </w:p>
        </w:tc>
        <w:tc>
          <w:tcPr>
            <w:tcW w:w="576" w:type="dxa"/>
            <w:vMerge/>
            <w:tcBorders>
              <w:left w:val="single" w:sz="4" w:space="0" w:color="000000"/>
              <w:bottom w:val="nil" w:sz="6" w:space="0" w:color="auto"/>
              <w:right w:val="single" w:sz="4" w:space="0" w:color="000000"/>
            </w:tcBorders>
            <w:shd w:val="clear" w:color="auto" w:fill="D3D3D3"/>
          </w:tcPr>
          <w:p>
            <w:pPr/>
          </w:p>
        </w:tc>
        <w:tc>
          <w:tcPr>
            <w:tcW w:w="577" w:type="dxa"/>
            <w:vMerge/>
            <w:tcBorders>
              <w:left w:val="single" w:sz="4" w:space="0" w:color="000000"/>
              <w:bottom w:val="nil" w:sz="6" w:space="0" w:color="auto"/>
              <w:right w:val="single" w:sz="4" w:space="0" w:color="000000"/>
            </w:tcBorders>
            <w:shd w:val="clear" w:color="auto" w:fill="D3D3D3"/>
          </w:tcPr>
          <w:p>
            <w:pPr/>
          </w:p>
        </w:tc>
        <w:tc>
          <w:tcPr>
            <w:tcW w:w="576" w:type="dxa"/>
            <w:vMerge/>
            <w:tcBorders>
              <w:left w:val="single" w:sz="4" w:space="0" w:color="000000"/>
              <w:right w:val="single" w:sz="4" w:space="0" w:color="000000"/>
            </w:tcBorders>
            <w:shd w:val="clear" w:color="auto" w:fill="D3D3D3"/>
          </w:tcPr>
          <w:p>
            <w:pPr/>
          </w:p>
        </w:tc>
        <w:tc>
          <w:tcPr>
            <w:tcW w:w="560" w:type="dxa"/>
            <w:vMerge/>
            <w:tcBorders>
              <w:left w:val="single" w:sz="4" w:space="0" w:color="000000"/>
              <w:bottom w:val="nil" w:sz="6" w:space="0" w:color="auto"/>
              <w:right w:val="single" w:sz="4" w:space="0" w:color="000000"/>
            </w:tcBorders>
            <w:shd w:val="clear" w:color="auto" w:fill="D3D3D3"/>
          </w:tcPr>
          <w:p>
            <w:pPr/>
          </w:p>
        </w:tc>
        <w:tc>
          <w:tcPr>
            <w:tcW w:w="576" w:type="dxa"/>
            <w:vMerge/>
            <w:tcBorders>
              <w:left w:val="single" w:sz="4" w:space="0" w:color="000000"/>
              <w:bottom w:val="nil" w:sz="6" w:space="0" w:color="auto"/>
              <w:right w:val="single" w:sz="4" w:space="0" w:color="000000"/>
            </w:tcBorders>
            <w:shd w:val="clear" w:color="auto" w:fill="D3D3D3"/>
          </w:tcPr>
          <w:p>
            <w:pPr/>
          </w:p>
        </w:tc>
        <w:tc>
          <w:tcPr>
            <w:tcW w:w="577" w:type="dxa"/>
            <w:vMerge/>
            <w:tcBorders>
              <w:left w:val="single" w:sz="4" w:space="0" w:color="000000"/>
              <w:right w:val="single" w:sz="4" w:space="0" w:color="000000"/>
            </w:tcBorders>
            <w:shd w:val="clear" w:color="auto" w:fill="D3D3D3"/>
          </w:tcPr>
          <w:p>
            <w:pPr/>
          </w:p>
        </w:tc>
        <w:tc>
          <w:tcPr>
            <w:tcW w:w="647" w:type="dxa"/>
            <w:vMerge/>
            <w:tcBorders>
              <w:left w:val="single" w:sz="4" w:space="0" w:color="000000"/>
              <w:bottom w:val="nil" w:sz="6" w:space="0" w:color="auto"/>
              <w:right w:val="single" w:sz="4" w:space="0" w:color="000000"/>
            </w:tcBorders>
            <w:shd w:val="clear" w:color="auto" w:fill="D3D3D3"/>
          </w:tcPr>
          <w:p>
            <w:pPr/>
          </w:p>
        </w:tc>
        <w:tc>
          <w:tcPr>
            <w:tcW w:w="372" w:type="dxa"/>
            <w:vMerge/>
            <w:tcBorders>
              <w:left w:val="single" w:sz="4" w:space="0" w:color="000000"/>
              <w:bottom w:val="nil" w:sz="6" w:space="0" w:color="auto"/>
              <w:right w:val="single" w:sz="4" w:space="0" w:color="000000"/>
            </w:tcBorders>
            <w:shd w:val="clear" w:color="auto" w:fill="D3D3D3"/>
          </w:tcPr>
          <w:p>
            <w:pPr/>
          </w:p>
        </w:tc>
        <w:tc>
          <w:tcPr>
            <w:tcW w:w="720" w:type="dxa"/>
            <w:vMerge w:val="restart"/>
            <w:tcBorders>
              <w:top w:val="single" w:sz="18" w:space="0" w:color="FFFFFF"/>
              <w:left w:val="single" w:sz="4" w:space="0" w:color="000000"/>
              <w:right w:val="single" w:sz="4" w:space="0" w:color="000000"/>
            </w:tcBorders>
            <w:shd w:val="clear" w:color="auto" w:fill="D3D3D3"/>
          </w:tcPr>
          <w:p>
            <w:pPr/>
          </w:p>
        </w:tc>
        <w:tc>
          <w:tcPr>
            <w:tcW w:w="643" w:type="dxa"/>
            <w:vMerge w:val="restart"/>
            <w:tcBorders>
              <w:top w:val="single" w:sz="18" w:space="0" w:color="FFFFFF"/>
              <w:left w:val="single" w:sz="4" w:space="0" w:color="000000"/>
              <w:right w:val="single" w:sz="4" w:space="0" w:color="000000"/>
            </w:tcBorders>
            <w:shd w:val="clear" w:color="auto" w:fill="D3D3D3"/>
          </w:tcPr>
          <w:p>
            <w:pPr/>
          </w:p>
        </w:tc>
        <w:tc>
          <w:tcPr>
            <w:tcW w:w="770" w:type="dxa"/>
            <w:vMerge/>
            <w:tcBorders>
              <w:left w:val="single" w:sz="4" w:space="0" w:color="000000"/>
              <w:bottom w:val="nil" w:sz="6" w:space="0" w:color="auto"/>
              <w:right w:val="single" w:sz="4" w:space="0" w:color="000000"/>
            </w:tcBorders>
            <w:shd w:val="clear" w:color="auto" w:fill="D3D3D3"/>
          </w:tcPr>
          <w:p>
            <w:pPr/>
          </w:p>
        </w:tc>
      </w:tr>
      <w:tr>
        <w:trPr>
          <w:trHeight w:val="216" w:hRule="exact"/>
        </w:trPr>
        <w:tc>
          <w:tcPr>
            <w:tcW w:w="889" w:type="dxa"/>
            <w:vMerge/>
            <w:tcBorders>
              <w:left w:val="single" w:sz="4" w:space="0" w:color="000000"/>
              <w:bottom w:val="single" w:sz="4" w:space="0" w:color="000000"/>
              <w:right w:val="single" w:sz="4" w:space="0" w:color="000000"/>
            </w:tcBorders>
            <w:shd w:val="clear" w:color="auto" w:fill="D3D3D3"/>
          </w:tcPr>
          <w:p>
            <w:pPr/>
          </w:p>
        </w:tc>
        <w:tc>
          <w:tcPr>
            <w:tcW w:w="720" w:type="dxa"/>
            <w:vMerge/>
            <w:tcBorders>
              <w:left w:val="single" w:sz="4" w:space="0" w:color="000000"/>
              <w:bottom w:val="single" w:sz="4" w:space="0" w:color="000000"/>
              <w:right w:val="single" w:sz="4" w:space="0" w:color="000000"/>
            </w:tcBorders>
            <w:shd w:val="clear" w:color="auto" w:fill="D3D3D3"/>
          </w:tcPr>
          <w:p>
            <w:pPr/>
          </w:p>
        </w:tc>
        <w:tc>
          <w:tcPr>
            <w:tcW w:w="449" w:type="dxa"/>
            <w:vMerge/>
            <w:tcBorders>
              <w:left w:val="single" w:sz="4" w:space="0" w:color="000000"/>
              <w:bottom w:val="single" w:sz="4" w:space="0" w:color="000000"/>
              <w:right w:val="single" w:sz="4" w:space="0" w:color="000000"/>
            </w:tcBorders>
            <w:shd w:val="clear" w:color="auto" w:fill="D3D3D3"/>
          </w:tcPr>
          <w:p>
            <w:pPr/>
          </w:p>
        </w:tc>
        <w:tc>
          <w:tcPr>
            <w:tcW w:w="449" w:type="dxa"/>
            <w:vMerge/>
            <w:tcBorders>
              <w:left w:val="single" w:sz="4" w:space="0" w:color="000000"/>
              <w:bottom w:val="single" w:sz="4" w:space="0" w:color="000000"/>
              <w:right w:val="single" w:sz="4" w:space="0" w:color="000000"/>
            </w:tcBorders>
            <w:shd w:val="clear" w:color="auto" w:fill="D3D3D3"/>
          </w:tcPr>
          <w:p>
            <w:pPr/>
          </w:p>
        </w:tc>
        <w:tc>
          <w:tcPr>
            <w:tcW w:w="413" w:type="dxa"/>
            <w:vMerge/>
            <w:tcBorders>
              <w:left w:val="single" w:sz="4" w:space="0" w:color="000000"/>
              <w:bottom w:val="single" w:sz="4" w:space="0" w:color="000000"/>
              <w:right w:val="single" w:sz="4" w:space="0" w:color="000000"/>
            </w:tcBorders>
            <w:shd w:val="clear" w:color="auto" w:fill="D3D3D3"/>
          </w:tcPr>
          <w:p>
            <w:pPr/>
          </w:p>
        </w:tc>
        <w:tc>
          <w:tcPr>
            <w:tcW w:w="576" w:type="dxa"/>
            <w:tcBorders>
              <w:top w:val="nil" w:sz="6" w:space="0" w:color="auto"/>
              <w:left w:val="single" w:sz="4" w:space="0" w:color="000000"/>
              <w:bottom w:val="single" w:sz="4" w:space="0" w:color="000000"/>
              <w:right w:val="single" w:sz="4" w:space="0" w:color="000000"/>
            </w:tcBorders>
            <w:shd w:val="clear" w:color="auto" w:fill="D3D3D3"/>
          </w:tcPr>
          <w:p>
            <w:pPr/>
          </w:p>
        </w:tc>
        <w:tc>
          <w:tcPr>
            <w:tcW w:w="577" w:type="dxa"/>
            <w:tcBorders>
              <w:top w:val="nil" w:sz="6" w:space="0" w:color="auto"/>
              <w:left w:val="single" w:sz="4" w:space="0" w:color="000000"/>
              <w:bottom w:val="single" w:sz="4" w:space="0" w:color="000000"/>
              <w:right w:val="single" w:sz="4" w:space="0" w:color="000000"/>
            </w:tcBorders>
            <w:shd w:val="clear" w:color="auto" w:fill="D3D3D3"/>
          </w:tcPr>
          <w:p>
            <w:pPr/>
          </w:p>
        </w:tc>
        <w:tc>
          <w:tcPr>
            <w:tcW w:w="576" w:type="dxa"/>
            <w:vMerge/>
            <w:tcBorders>
              <w:left w:val="single" w:sz="4" w:space="0" w:color="000000"/>
              <w:bottom w:val="single" w:sz="4" w:space="0" w:color="000000"/>
              <w:right w:val="single" w:sz="4" w:space="0" w:color="000000"/>
            </w:tcBorders>
            <w:shd w:val="clear" w:color="auto" w:fill="D3D3D3"/>
          </w:tcPr>
          <w:p>
            <w:pPr/>
          </w:p>
        </w:tc>
        <w:tc>
          <w:tcPr>
            <w:tcW w:w="560" w:type="dxa"/>
            <w:tcBorders>
              <w:top w:val="nil" w:sz="6" w:space="0" w:color="auto"/>
              <w:left w:val="single" w:sz="4" w:space="0" w:color="000000"/>
              <w:bottom w:val="single" w:sz="4" w:space="0" w:color="000000"/>
              <w:right w:val="single" w:sz="4" w:space="0" w:color="000000"/>
            </w:tcBorders>
            <w:shd w:val="clear" w:color="auto" w:fill="D3D3D3"/>
          </w:tcPr>
          <w:p>
            <w:pPr/>
          </w:p>
        </w:tc>
        <w:tc>
          <w:tcPr>
            <w:tcW w:w="576" w:type="dxa"/>
            <w:tcBorders>
              <w:top w:val="nil" w:sz="6" w:space="0" w:color="auto"/>
              <w:left w:val="single" w:sz="4" w:space="0" w:color="000000"/>
              <w:bottom w:val="single" w:sz="4" w:space="0" w:color="000000"/>
              <w:right w:val="single" w:sz="4" w:space="0" w:color="000000"/>
            </w:tcBorders>
            <w:shd w:val="clear" w:color="auto" w:fill="D3D3D3"/>
          </w:tcPr>
          <w:p>
            <w:pPr/>
          </w:p>
        </w:tc>
        <w:tc>
          <w:tcPr>
            <w:tcW w:w="577" w:type="dxa"/>
            <w:vMerge/>
            <w:tcBorders>
              <w:left w:val="single" w:sz="4" w:space="0" w:color="000000"/>
              <w:bottom w:val="single" w:sz="4" w:space="0" w:color="000000"/>
              <w:right w:val="single" w:sz="4" w:space="0" w:color="000000"/>
            </w:tcBorders>
            <w:shd w:val="clear" w:color="auto" w:fill="D3D3D3"/>
          </w:tcPr>
          <w:p>
            <w:pPr/>
          </w:p>
        </w:tc>
        <w:tc>
          <w:tcPr>
            <w:tcW w:w="647" w:type="dxa"/>
            <w:tcBorders>
              <w:top w:val="nil" w:sz="6" w:space="0" w:color="auto"/>
              <w:left w:val="single" w:sz="4" w:space="0" w:color="000000"/>
              <w:bottom w:val="single" w:sz="4" w:space="0" w:color="000000"/>
              <w:right w:val="single" w:sz="4" w:space="0" w:color="000000"/>
            </w:tcBorders>
            <w:shd w:val="clear" w:color="auto" w:fill="D3D3D3"/>
          </w:tcPr>
          <w:p>
            <w:pPr/>
          </w:p>
        </w:tc>
        <w:tc>
          <w:tcPr>
            <w:tcW w:w="372" w:type="dxa"/>
            <w:tcBorders>
              <w:top w:val="nil" w:sz="6" w:space="0" w:color="auto"/>
              <w:left w:val="single" w:sz="4" w:space="0" w:color="000000"/>
              <w:bottom w:val="single" w:sz="4" w:space="0" w:color="000000"/>
              <w:right w:val="single" w:sz="4" w:space="0" w:color="000000"/>
            </w:tcBorders>
            <w:shd w:val="clear" w:color="auto" w:fill="D3D3D3"/>
          </w:tcPr>
          <w:p>
            <w:pPr/>
          </w:p>
        </w:tc>
        <w:tc>
          <w:tcPr>
            <w:tcW w:w="720" w:type="dxa"/>
            <w:vMerge/>
            <w:tcBorders>
              <w:left w:val="single" w:sz="4" w:space="0" w:color="000000"/>
              <w:bottom w:val="single" w:sz="4" w:space="0" w:color="000000"/>
              <w:right w:val="single" w:sz="4" w:space="0" w:color="000000"/>
            </w:tcBorders>
            <w:shd w:val="clear" w:color="auto" w:fill="D3D3D3"/>
          </w:tcPr>
          <w:p>
            <w:pPr/>
          </w:p>
        </w:tc>
        <w:tc>
          <w:tcPr>
            <w:tcW w:w="643" w:type="dxa"/>
            <w:vMerge/>
            <w:tcBorders>
              <w:left w:val="single" w:sz="4" w:space="0" w:color="000000"/>
              <w:bottom w:val="single" w:sz="4" w:space="0" w:color="000000"/>
              <w:right w:val="single" w:sz="4" w:space="0" w:color="000000"/>
            </w:tcBorders>
            <w:shd w:val="clear" w:color="auto" w:fill="D3D3D3"/>
          </w:tcPr>
          <w:p>
            <w:pPr/>
          </w:p>
        </w:tc>
        <w:tc>
          <w:tcPr>
            <w:tcW w:w="770"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61" w:hRule="exact"/>
        </w:trPr>
        <w:tc>
          <w:tcPr>
            <w:tcW w:w="889" w:type="dxa"/>
            <w:tcBorders>
              <w:top w:val="single" w:sz="4" w:space="0" w:color="000000"/>
              <w:left w:val="single" w:sz="4" w:space="0" w:color="000000"/>
              <w:bottom w:val="nil" w:sz="6" w:space="0" w:color="auto"/>
              <w:right w:val="single" w:sz="4" w:space="0" w:color="000000"/>
            </w:tcBorders>
            <w:shd w:val="clear" w:color="auto" w:fill="D3D3D3"/>
          </w:tcPr>
          <w:p>
            <w:pPr/>
          </w:p>
        </w:tc>
        <w:tc>
          <w:tcPr>
            <w:tcW w:w="720"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1,652,87</w:t>
            </w:r>
          </w:p>
          <w:p>
            <w:pPr>
              <w:pStyle w:val="TableParagraph"/>
              <w:spacing w:line="240" w:lineRule="auto" w:before="106"/>
              <w:ind w:left="47" w:right="0"/>
              <w:jc w:val="left"/>
              <w:rPr>
                <w:rFonts w:ascii="Times New Roman" w:hAnsi="Times New Roman" w:cs="Times New Roman" w:eastAsia="Times New Roman" w:hint="default"/>
                <w:sz w:val="18"/>
                <w:szCs w:val="18"/>
              </w:rPr>
            </w:pPr>
            <w:r>
              <w:rPr>
                <w:rFonts w:ascii="Times New Roman"/>
                <w:sz w:val="18"/>
              </w:rPr>
              <w:t>4,961.00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1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2,897,</w:t>
            </w:r>
          </w:p>
          <w:p>
            <w:pPr>
              <w:pStyle w:val="TableParagraph"/>
              <w:spacing w:line="240" w:lineRule="auto" w:before="105"/>
              <w:ind w:left="25" w:right="0"/>
              <w:jc w:val="center"/>
              <w:rPr>
                <w:rFonts w:ascii="Times New Roman" w:hAnsi="Times New Roman" w:cs="Times New Roman" w:eastAsia="Times New Roman" w:hint="default"/>
                <w:sz w:val="18"/>
                <w:szCs w:val="18"/>
              </w:rPr>
            </w:pPr>
            <w:r>
              <w:rPr>
                <w:rFonts w:ascii="Times New Roman"/>
                <w:sz w:val="18"/>
              </w:rPr>
              <w:t>090,36</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7.86</w:t>
            </w:r>
          </w:p>
        </w:tc>
        <w:tc>
          <w:tcPr>
            <w:tcW w:w="577"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20" w:space="0" w:color="D3D3D3"/>
              <w:left w:val="single" w:sz="4" w:space="0" w:color="000000"/>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235,29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0,682.</w:t>
            </w:r>
          </w:p>
          <w:p>
            <w:pPr>
              <w:pStyle w:val="TableParagraph"/>
              <w:spacing w:line="240" w:lineRule="auto" w:before="106"/>
              <w:ind w:left="362" w:right="0"/>
              <w:jc w:val="left"/>
              <w:rPr>
                <w:rFonts w:ascii="Times New Roman" w:hAnsi="Times New Roman" w:cs="Times New Roman" w:eastAsia="Times New Roman" w:hint="default"/>
                <w:sz w:val="18"/>
                <w:szCs w:val="18"/>
              </w:rPr>
            </w:pPr>
            <w:r>
              <w:rPr>
                <w:rFonts w:ascii="Times New Roman"/>
                <w:sz w:val="18"/>
              </w:rPr>
              <w:t>29</w:t>
            </w:r>
          </w:p>
        </w:tc>
        <w:tc>
          <w:tcPr>
            <w:tcW w:w="577" w:type="dxa"/>
            <w:vMerge w:val="restart"/>
            <w:tcBorders>
              <w:top w:val="single" w:sz="20" w:space="0" w:color="D3D3D3"/>
              <w:left w:val="single" w:sz="4" w:space="0" w:color="000000"/>
              <w:right w:val="single" w:sz="4" w:space="0" w:color="000000"/>
            </w:tcBorders>
          </w:tcPr>
          <w:p>
            <w:pPr/>
          </w:p>
        </w:tc>
        <w:tc>
          <w:tcPr>
            <w:tcW w:w="64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30,477.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61</w:t>
            </w:r>
          </w:p>
        </w:tc>
        <w:tc>
          <w:tcPr>
            <w:tcW w:w="372"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6,008,08</w:t>
            </w:r>
          </w:p>
          <w:p>
            <w:pPr>
              <w:pStyle w:val="TableParagraph"/>
              <w:spacing w:line="240" w:lineRule="auto" w:before="106"/>
              <w:ind w:left="55" w:right="0"/>
              <w:jc w:val="left"/>
              <w:rPr>
                <w:rFonts w:ascii="Times New Roman" w:hAnsi="Times New Roman" w:cs="Times New Roman" w:eastAsia="Times New Roman" w:hint="default"/>
                <w:sz w:val="18"/>
                <w:szCs w:val="18"/>
              </w:rPr>
            </w:pPr>
            <w:r>
              <w:rPr>
                <w:rFonts w:ascii="Times New Roman"/>
                <w:sz w:val="18"/>
              </w:rPr>
              <w:t>6,488.76</w:t>
            </w:r>
          </w:p>
        </w:tc>
        <w:tc>
          <w:tcPr>
            <w:tcW w:w="64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4,504,4</w:t>
            </w:r>
          </w:p>
          <w:p>
            <w:pPr>
              <w:pStyle w:val="TableParagraph"/>
              <w:spacing w:line="240" w:lineRule="auto" w:before="106"/>
              <w:ind w:left="180" w:right="0"/>
              <w:jc w:val="center"/>
              <w:rPr>
                <w:rFonts w:ascii="Times New Roman" w:hAnsi="Times New Roman" w:cs="Times New Roman" w:eastAsia="Times New Roman" w:hint="default"/>
                <w:sz w:val="18"/>
                <w:szCs w:val="18"/>
              </w:rPr>
            </w:pPr>
            <w:r>
              <w:rPr>
                <w:rFonts w:ascii="Times New Roman"/>
                <w:sz w:val="18"/>
              </w:rPr>
              <w:t>43.26</w:t>
            </w:r>
          </w:p>
        </w:tc>
        <w:tc>
          <w:tcPr>
            <w:tcW w:w="77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6,012,59</w:t>
            </w:r>
          </w:p>
          <w:p>
            <w:pPr>
              <w:pStyle w:val="TableParagraph"/>
              <w:spacing w:line="240" w:lineRule="auto" w:before="106"/>
              <w:ind w:left="105" w:right="0"/>
              <w:jc w:val="left"/>
              <w:rPr>
                <w:rFonts w:ascii="Times New Roman" w:hAnsi="Times New Roman" w:cs="Times New Roman" w:eastAsia="Times New Roman" w:hint="default"/>
                <w:sz w:val="18"/>
                <w:szCs w:val="18"/>
              </w:rPr>
            </w:pPr>
            <w:r>
              <w:rPr>
                <w:rFonts w:ascii="Times New Roman"/>
                <w:sz w:val="18"/>
              </w:rPr>
              <w:t>0,932.02</w:t>
            </w:r>
          </w:p>
        </w:tc>
      </w:tr>
      <w:tr>
        <w:trPr>
          <w:trHeight w:val="704" w:hRule="exact"/>
        </w:trPr>
        <w:tc>
          <w:tcPr>
            <w:tcW w:w="88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51"/>
              <w:ind w:left="11" w:right="23"/>
              <w:jc w:val="left"/>
              <w:rPr>
                <w:rFonts w:ascii="宋体" w:hAnsi="宋体" w:cs="宋体" w:eastAsia="宋体" w:hint="default"/>
                <w:sz w:val="18"/>
                <w:szCs w:val="18"/>
              </w:rPr>
            </w:pPr>
            <w:r>
              <w:rPr>
                <w:rFonts w:ascii="宋体" w:hAnsi="宋体" w:cs="宋体" w:eastAsia="宋体" w:hint="default"/>
                <w:spacing w:val="-12"/>
                <w:sz w:val="18"/>
                <w:szCs w:val="18"/>
              </w:rPr>
              <w:t>一、上年期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末余额</w:t>
            </w:r>
          </w:p>
        </w:tc>
        <w:tc>
          <w:tcPr>
            <w:tcW w:w="720" w:type="dxa"/>
            <w:vMerge/>
            <w:tcBorders>
              <w:left w:val="single" w:sz="10" w:space="0" w:color="D3D3D3"/>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1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647" w:type="dxa"/>
            <w:vMerge/>
            <w:tcBorders>
              <w:left w:val="single" w:sz="4" w:space="0" w:color="000000"/>
              <w:right w:val="single" w:sz="4" w:space="0" w:color="000000"/>
            </w:tcBorders>
          </w:tcPr>
          <w:p>
            <w:pPr/>
          </w:p>
        </w:tc>
        <w:tc>
          <w:tcPr>
            <w:tcW w:w="37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43" w:type="dxa"/>
            <w:vMerge/>
            <w:tcBorders>
              <w:left w:val="single" w:sz="4" w:space="0" w:color="000000"/>
              <w:right w:val="single" w:sz="4" w:space="0" w:color="000000"/>
            </w:tcBorders>
          </w:tcPr>
          <w:p>
            <w:pPr/>
          </w:p>
        </w:tc>
        <w:tc>
          <w:tcPr>
            <w:tcW w:w="770" w:type="dxa"/>
            <w:vMerge/>
            <w:tcBorders>
              <w:left w:val="single" w:sz="4" w:space="0" w:color="000000"/>
              <w:right w:val="single" w:sz="4" w:space="0" w:color="000000"/>
            </w:tcBorders>
          </w:tcPr>
          <w:p>
            <w:pPr/>
          </w:p>
        </w:tc>
      </w:tr>
      <w:tr>
        <w:trPr>
          <w:trHeight w:val="161" w:hRule="exact"/>
        </w:trPr>
        <w:tc>
          <w:tcPr>
            <w:tcW w:w="889" w:type="dxa"/>
            <w:tcBorders>
              <w:top w:val="nil" w:sz="6" w:space="0" w:color="auto"/>
              <w:left w:val="single" w:sz="4" w:space="0" w:color="000000"/>
              <w:bottom w:val="single" w:sz="4" w:space="0" w:color="000000"/>
              <w:right w:val="single" w:sz="4" w:space="0" w:color="000000"/>
            </w:tcBorders>
            <w:shd w:val="clear" w:color="auto" w:fill="D3D3D3"/>
          </w:tcPr>
          <w:p>
            <w:pPr/>
          </w:p>
        </w:tc>
        <w:tc>
          <w:tcPr>
            <w:tcW w:w="720" w:type="dxa"/>
            <w:vMerge/>
            <w:tcBorders>
              <w:left w:val="single" w:sz="10" w:space="0" w:color="D3D3D3"/>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1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647" w:type="dxa"/>
            <w:vMerge/>
            <w:tcBorders>
              <w:left w:val="single" w:sz="4" w:space="0" w:color="000000"/>
              <w:bottom w:val="single" w:sz="4" w:space="0" w:color="000000"/>
              <w:right w:val="single" w:sz="4" w:space="0" w:color="000000"/>
            </w:tcBorders>
          </w:tcPr>
          <w:p>
            <w:pPr/>
          </w:p>
        </w:tc>
        <w:tc>
          <w:tcPr>
            <w:tcW w:w="37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43" w:type="dxa"/>
            <w:vMerge/>
            <w:tcBorders>
              <w:left w:val="single" w:sz="4" w:space="0" w:color="000000"/>
              <w:bottom w:val="single" w:sz="4" w:space="0" w:color="000000"/>
              <w:right w:val="single" w:sz="4" w:space="0" w:color="000000"/>
            </w:tcBorders>
          </w:tcPr>
          <w:p>
            <w:pPr/>
          </w:p>
        </w:tc>
        <w:tc>
          <w:tcPr>
            <w:tcW w:w="770" w:type="dxa"/>
            <w:vMerge/>
            <w:tcBorders>
              <w:left w:val="single" w:sz="4" w:space="0" w:color="000000"/>
              <w:bottom w:val="single" w:sz="4" w:space="0" w:color="000000"/>
              <w:right w:val="single" w:sz="4" w:space="0" w:color="000000"/>
            </w:tcBorders>
          </w:tcPr>
          <w:p>
            <w:pPr/>
          </w:p>
        </w:tc>
      </w:tr>
      <w:tr>
        <w:trPr>
          <w:trHeight w:val="1026" w:hRule="exact"/>
        </w:trPr>
        <w:tc>
          <w:tcPr>
            <w:tcW w:w="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3" w:firstLine="360"/>
              <w:jc w:val="left"/>
              <w:rPr>
                <w:rFonts w:ascii="宋体" w:hAnsi="宋体" w:cs="宋体" w:eastAsia="宋体" w:hint="default"/>
                <w:sz w:val="18"/>
                <w:szCs w:val="18"/>
              </w:rPr>
            </w:pPr>
            <w:r>
              <w:rPr>
                <w:rFonts w:ascii="宋体" w:hAnsi="宋体" w:cs="宋体" w:eastAsia="宋体" w:hint="default"/>
                <w:spacing w:val="-19"/>
                <w:sz w:val="18"/>
                <w:szCs w:val="18"/>
              </w:rPr>
              <w:t>加：会</w:t>
            </w:r>
            <w:r>
              <w:rPr>
                <w:rFonts w:ascii="宋体" w:hAnsi="宋体" w:cs="宋体" w:eastAsia="宋体" w:hint="default"/>
                <w:sz w:val="18"/>
                <w:szCs w:val="18"/>
              </w:rPr>
              <w:t> 计政策变 更</w:t>
            </w:r>
          </w:p>
        </w:tc>
        <w:tc>
          <w:tcPr>
            <w:tcW w:w="720" w:type="dxa"/>
            <w:tcBorders>
              <w:top w:val="single" w:sz="4" w:space="0" w:color="000000"/>
              <w:left w:val="single" w:sz="13" w:space="0" w:color="D3D3D3"/>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 w:right="145"/>
              <w:jc w:val="left"/>
              <w:rPr>
                <w:rFonts w:ascii="宋体" w:hAnsi="宋体" w:cs="宋体" w:eastAsia="宋体" w:hint="default"/>
                <w:sz w:val="18"/>
                <w:szCs w:val="18"/>
              </w:rPr>
            </w:pPr>
            <w:r>
              <w:rPr>
                <w:rFonts w:ascii="宋体" w:hAnsi="宋体" w:cs="宋体" w:eastAsia="宋体" w:hint="default"/>
                <w:sz w:val="18"/>
                <w:szCs w:val="18"/>
              </w:rPr>
              <w:t>前期差错 更正</w:t>
            </w:r>
          </w:p>
        </w:tc>
        <w:tc>
          <w:tcPr>
            <w:tcW w:w="720" w:type="dxa"/>
            <w:tcBorders>
              <w:top w:val="single" w:sz="4" w:space="0" w:color="000000"/>
              <w:left w:val="single" w:sz="13" w:space="0" w:color="D3D3D3"/>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 w:right="145"/>
              <w:jc w:val="both"/>
              <w:rPr>
                <w:rFonts w:ascii="宋体" w:hAnsi="宋体" w:cs="宋体" w:eastAsia="宋体" w:hint="default"/>
                <w:sz w:val="18"/>
                <w:szCs w:val="18"/>
              </w:rPr>
            </w:pPr>
            <w:r>
              <w:rPr>
                <w:rFonts w:ascii="宋体" w:hAnsi="宋体" w:cs="宋体" w:eastAsia="宋体" w:hint="default"/>
                <w:sz w:val="18"/>
                <w:szCs w:val="18"/>
              </w:rPr>
              <w:t>同一控制 下企业合 并</w:t>
            </w:r>
          </w:p>
        </w:tc>
        <w:tc>
          <w:tcPr>
            <w:tcW w:w="720" w:type="dxa"/>
            <w:tcBorders>
              <w:top w:val="single" w:sz="4" w:space="0" w:color="000000"/>
              <w:left w:val="single" w:sz="13" w:space="0" w:color="D3D3D3"/>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0" w:type="dxa"/>
            <w:tcBorders>
              <w:top w:val="single" w:sz="4" w:space="0" w:color="000000"/>
              <w:left w:val="single" w:sz="13" w:space="0" w:color="D3D3D3"/>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889" w:type="dxa"/>
            <w:tcBorders>
              <w:top w:val="single" w:sz="4" w:space="0" w:color="000000"/>
              <w:left w:val="single" w:sz="4" w:space="0" w:color="000000"/>
              <w:bottom w:val="nil" w:sz="6" w:space="0" w:color="auto"/>
              <w:right w:val="single" w:sz="4" w:space="0" w:color="000000"/>
            </w:tcBorders>
            <w:shd w:val="clear" w:color="auto" w:fill="D3D3D3"/>
          </w:tcPr>
          <w:p>
            <w:pPr/>
          </w:p>
        </w:tc>
        <w:tc>
          <w:tcPr>
            <w:tcW w:w="720"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1,652,87</w:t>
            </w:r>
          </w:p>
          <w:p>
            <w:pPr>
              <w:pStyle w:val="TableParagraph"/>
              <w:spacing w:line="240" w:lineRule="auto" w:before="106"/>
              <w:ind w:left="47" w:right="0"/>
              <w:jc w:val="left"/>
              <w:rPr>
                <w:rFonts w:ascii="Times New Roman" w:hAnsi="Times New Roman" w:cs="Times New Roman" w:eastAsia="Times New Roman" w:hint="default"/>
                <w:sz w:val="18"/>
                <w:szCs w:val="18"/>
              </w:rPr>
            </w:pPr>
            <w:r>
              <w:rPr>
                <w:rFonts w:ascii="Times New Roman"/>
                <w:sz w:val="18"/>
              </w:rPr>
              <w:t>4,961.00</w:t>
            </w: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1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2,897,</w:t>
            </w:r>
          </w:p>
          <w:p>
            <w:pPr>
              <w:pStyle w:val="TableParagraph"/>
              <w:spacing w:line="240" w:lineRule="auto" w:before="105"/>
              <w:ind w:left="25" w:right="0"/>
              <w:jc w:val="center"/>
              <w:rPr>
                <w:rFonts w:ascii="Times New Roman" w:hAnsi="Times New Roman" w:cs="Times New Roman" w:eastAsia="Times New Roman" w:hint="default"/>
                <w:sz w:val="18"/>
                <w:szCs w:val="18"/>
              </w:rPr>
            </w:pPr>
            <w:r>
              <w:rPr>
                <w:rFonts w:ascii="Times New Roman"/>
                <w:sz w:val="18"/>
              </w:rPr>
              <w:t>090,36</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7.86</w:t>
            </w:r>
          </w:p>
        </w:tc>
        <w:tc>
          <w:tcPr>
            <w:tcW w:w="577"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235,29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0,682.</w:t>
            </w:r>
          </w:p>
          <w:p>
            <w:pPr>
              <w:pStyle w:val="TableParagraph"/>
              <w:spacing w:line="240" w:lineRule="auto" w:before="106"/>
              <w:ind w:left="362" w:right="0"/>
              <w:jc w:val="left"/>
              <w:rPr>
                <w:rFonts w:ascii="Times New Roman" w:hAnsi="Times New Roman" w:cs="Times New Roman" w:eastAsia="Times New Roman" w:hint="default"/>
                <w:sz w:val="18"/>
                <w:szCs w:val="18"/>
              </w:rPr>
            </w:pPr>
            <w:r>
              <w:rPr>
                <w:rFonts w:ascii="Times New Roman"/>
                <w:sz w:val="18"/>
              </w:rPr>
              <w:t>29</w:t>
            </w:r>
          </w:p>
        </w:tc>
        <w:tc>
          <w:tcPr>
            <w:tcW w:w="577" w:type="dxa"/>
            <w:vMerge w:val="restart"/>
            <w:tcBorders>
              <w:top w:val="single" w:sz="4" w:space="0" w:color="000000"/>
              <w:left w:val="single" w:sz="4" w:space="0" w:color="000000"/>
              <w:right w:val="single" w:sz="4" w:space="0" w:color="000000"/>
            </w:tcBorders>
          </w:tcPr>
          <w:p>
            <w:pPr/>
          </w:p>
        </w:tc>
        <w:tc>
          <w:tcPr>
            <w:tcW w:w="64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30,477.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61</w:t>
            </w:r>
          </w:p>
        </w:tc>
        <w:tc>
          <w:tcPr>
            <w:tcW w:w="372"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6,008,08</w:t>
            </w:r>
          </w:p>
          <w:p>
            <w:pPr>
              <w:pStyle w:val="TableParagraph"/>
              <w:spacing w:line="240" w:lineRule="auto" w:before="106"/>
              <w:ind w:left="55" w:right="0"/>
              <w:jc w:val="left"/>
              <w:rPr>
                <w:rFonts w:ascii="Times New Roman" w:hAnsi="Times New Roman" w:cs="Times New Roman" w:eastAsia="Times New Roman" w:hint="default"/>
                <w:sz w:val="18"/>
                <w:szCs w:val="18"/>
              </w:rPr>
            </w:pPr>
            <w:r>
              <w:rPr>
                <w:rFonts w:ascii="Times New Roman"/>
                <w:sz w:val="18"/>
              </w:rPr>
              <w:t>6,488.76</w:t>
            </w:r>
          </w:p>
        </w:tc>
        <w:tc>
          <w:tcPr>
            <w:tcW w:w="64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4,504,4</w:t>
            </w:r>
          </w:p>
          <w:p>
            <w:pPr>
              <w:pStyle w:val="TableParagraph"/>
              <w:spacing w:line="240" w:lineRule="auto" w:before="106"/>
              <w:ind w:left="180" w:right="0"/>
              <w:jc w:val="center"/>
              <w:rPr>
                <w:rFonts w:ascii="Times New Roman" w:hAnsi="Times New Roman" w:cs="Times New Roman" w:eastAsia="Times New Roman" w:hint="default"/>
                <w:sz w:val="18"/>
                <w:szCs w:val="18"/>
              </w:rPr>
            </w:pPr>
            <w:r>
              <w:rPr>
                <w:rFonts w:ascii="Times New Roman"/>
                <w:sz w:val="18"/>
              </w:rPr>
              <w:t>43.26</w:t>
            </w:r>
          </w:p>
        </w:tc>
        <w:tc>
          <w:tcPr>
            <w:tcW w:w="77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6,012,59</w:t>
            </w:r>
          </w:p>
          <w:p>
            <w:pPr>
              <w:pStyle w:val="TableParagraph"/>
              <w:spacing w:line="240" w:lineRule="auto" w:before="106"/>
              <w:ind w:left="105" w:right="0"/>
              <w:jc w:val="left"/>
              <w:rPr>
                <w:rFonts w:ascii="Times New Roman" w:hAnsi="Times New Roman" w:cs="Times New Roman" w:eastAsia="Times New Roman" w:hint="default"/>
                <w:sz w:val="18"/>
                <w:szCs w:val="18"/>
              </w:rPr>
            </w:pPr>
            <w:r>
              <w:rPr>
                <w:rFonts w:ascii="Times New Roman"/>
                <w:sz w:val="18"/>
              </w:rPr>
              <w:t>0,932.02</w:t>
            </w:r>
          </w:p>
        </w:tc>
      </w:tr>
      <w:tr>
        <w:trPr>
          <w:trHeight w:val="704" w:hRule="exact"/>
        </w:trPr>
        <w:tc>
          <w:tcPr>
            <w:tcW w:w="88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51"/>
              <w:ind w:left="11" w:right="23"/>
              <w:jc w:val="left"/>
              <w:rPr>
                <w:rFonts w:ascii="宋体" w:hAnsi="宋体" w:cs="宋体" w:eastAsia="宋体" w:hint="default"/>
                <w:sz w:val="18"/>
                <w:szCs w:val="18"/>
              </w:rPr>
            </w:pPr>
            <w:r>
              <w:rPr>
                <w:rFonts w:ascii="宋体" w:hAnsi="宋体" w:cs="宋体" w:eastAsia="宋体" w:hint="default"/>
                <w:spacing w:val="-12"/>
                <w:sz w:val="18"/>
                <w:szCs w:val="18"/>
              </w:rPr>
              <w:t>二、本年期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初余额</w:t>
            </w:r>
          </w:p>
        </w:tc>
        <w:tc>
          <w:tcPr>
            <w:tcW w:w="720" w:type="dxa"/>
            <w:vMerge/>
            <w:tcBorders>
              <w:left w:val="single" w:sz="10" w:space="0" w:color="D3D3D3"/>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1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647" w:type="dxa"/>
            <w:vMerge/>
            <w:tcBorders>
              <w:left w:val="single" w:sz="4" w:space="0" w:color="000000"/>
              <w:right w:val="single" w:sz="4" w:space="0" w:color="000000"/>
            </w:tcBorders>
          </w:tcPr>
          <w:p>
            <w:pPr/>
          </w:p>
        </w:tc>
        <w:tc>
          <w:tcPr>
            <w:tcW w:w="37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43" w:type="dxa"/>
            <w:vMerge/>
            <w:tcBorders>
              <w:left w:val="single" w:sz="4" w:space="0" w:color="000000"/>
              <w:right w:val="single" w:sz="4" w:space="0" w:color="000000"/>
            </w:tcBorders>
          </w:tcPr>
          <w:p>
            <w:pPr/>
          </w:p>
        </w:tc>
        <w:tc>
          <w:tcPr>
            <w:tcW w:w="770" w:type="dxa"/>
            <w:vMerge/>
            <w:tcBorders>
              <w:left w:val="single" w:sz="4" w:space="0" w:color="000000"/>
              <w:right w:val="single" w:sz="4" w:space="0" w:color="000000"/>
            </w:tcBorders>
          </w:tcPr>
          <w:p>
            <w:pPr/>
          </w:p>
        </w:tc>
      </w:tr>
      <w:tr>
        <w:trPr>
          <w:trHeight w:val="161" w:hRule="exact"/>
        </w:trPr>
        <w:tc>
          <w:tcPr>
            <w:tcW w:w="889" w:type="dxa"/>
            <w:tcBorders>
              <w:top w:val="nil" w:sz="6" w:space="0" w:color="auto"/>
              <w:left w:val="single" w:sz="4" w:space="0" w:color="000000"/>
              <w:bottom w:val="single" w:sz="4" w:space="0" w:color="000000"/>
              <w:right w:val="single" w:sz="4" w:space="0" w:color="000000"/>
            </w:tcBorders>
            <w:shd w:val="clear" w:color="auto" w:fill="D3D3D3"/>
          </w:tcPr>
          <w:p>
            <w:pPr/>
          </w:p>
        </w:tc>
        <w:tc>
          <w:tcPr>
            <w:tcW w:w="720" w:type="dxa"/>
            <w:vMerge/>
            <w:tcBorders>
              <w:left w:val="single" w:sz="10" w:space="0" w:color="D3D3D3"/>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1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647" w:type="dxa"/>
            <w:vMerge/>
            <w:tcBorders>
              <w:left w:val="single" w:sz="4" w:space="0" w:color="000000"/>
              <w:bottom w:val="single" w:sz="4" w:space="0" w:color="000000"/>
              <w:right w:val="single" w:sz="4" w:space="0" w:color="000000"/>
            </w:tcBorders>
          </w:tcPr>
          <w:p>
            <w:pPr/>
          </w:p>
        </w:tc>
        <w:tc>
          <w:tcPr>
            <w:tcW w:w="37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43" w:type="dxa"/>
            <w:vMerge/>
            <w:tcBorders>
              <w:left w:val="single" w:sz="4" w:space="0" w:color="000000"/>
              <w:bottom w:val="single" w:sz="4" w:space="0" w:color="000000"/>
              <w:right w:val="single" w:sz="4" w:space="0" w:color="000000"/>
            </w:tcBorders>
          </w:tcPr>
          <w:p>
            <w:pPr/>
          </w:p>
        </w:tc>
        <w:tc>
          <w:tcPr>
            <w:tcW w:w="770" w:type="dxa"/>
            <w:vMerge/>
            <w:tcBorders>
              <w:left w:val="single" w:sz="4" w:space="0" w:color="000000"/>
              <w:bottom w:val="single" w:sz="4" w:space="0" w:color="000000"/>
              <w:right w:val="single" w:sz="4" w:space="0" w:color="000000"/>
            </w:tcBorders>
          </w:tcPr>
          <w:p>
            <w:pPr/>
          </w:p>
        </w:tc>
      </w:tr>
      <w:tr>
        <w:trPr>
          <w:trHeight w:val="1650" w:hRule="exact"/>
        </w:trPr>
        <w:tc>
          <w:tcPr>
            <w:tcW w:w="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3"/>
              <w:jc w:val="left"/>
              <w:rPr>
                <w:rFonts w:ascii="宋体" w:hAnsi="宋体" w:cs="宋体" w:eastAsia="宋体" w:hint="default"/>
                <w:sz w:val="18"/>
                <w:szCs w:val="18"/>
              </w:rPr>
            </w:pPr>
            <w:r>
              <w:rPr>
                <w:rFonts w:ascii="宋体" w:hAnsi="宋体" w:cs="宋体" w:eastAsia="宋体" w:hint="default"/>
                <w:spacing w:val="-12"/>
                <w:sz w:val="18"/>
                <w:szCs w:val="18"/>
              </w:rPr>
              <w:t>三、本期增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减变动金 </w:t>
            </w:r>
            <w:r>
              <w:rPr>
                <w:rFonts w:ascii="宋体" w:hAnsi="宋体" w:cs="宋体" w:eastAsia="宋体" w:hint="default"/>
                <w:spacing w:val="-12"/>
                <w:sz w:val="18"/>
                <w:szCs w:val="18"/>
              </w:rPr>
              <w:t>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2"/>
                <w:sz w:val="18"/>
                <w:szCs w:val="18"/>
              </w:rPr>
              <w:t>“－”号填</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列）</w:t>
            </w:r>
          </w:p>
        </w:tc>
        <w:tc>
          <w:tcPr>
            <w:tcW w:w="720" w:type="dxa"/>
            <w:tcBorders>
              <w:top w:val="single" w:sz="4" w:space="0" w:color="000000"/>
              <w:left w:val="single" w:sz="13" w:space="0" w:color="D3D3D3"/>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26,954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,164.0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576"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11,565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,257.3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577"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91,763,</w:t>
            </w:r>
          </w:p>
          <w:p>
            <w:pPr>
              <w:pStyle w:val="TableParagraph"/>
              <w:spacing w:line="240" w:lineRule="auto" w:before="106"/>
              <w:ind w:left="118" w:right="0"/>
              <w:jc w:val="left"/>
              <w:rPr>
                <w:rFonts w:ascii="Times New Roman" w:hAnsi="Times New Roman" w:cs="Times New Roman" w:eastAsia="Times New Roman" w:hint="default"/>
                <w:sz w:val="18"/>
                <w:szCs w:val="18"/>
              </w:rPr>
            </w:pPr>
            <w:r>
              <w:rPr>
                <w:rFonts w:ascii="Times New Roman"/>
                <w:sz w:val="18"/>
              </w:rPr>
              <w:t>585.52</w:t>
            </w:r>
          </w:p>
        </w:tc>
        <w:tc>
          <w:tcPr>
            <w:tcW w:w="37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76,374,6</w:t>
            </w:r>
          </w:p>
          <w:p>
            <w:pPr>
              <w:pStyle w:val="TableParagraph"/>
              <w:spacing w:line="240" w:lineRule="auto" w:before="106"/>
              <w:ind w:left="280" w:right="0"/>
              <w:jc w:val="left"/>
              <w:rPr>
                <w:rFonts w:ascii="Times New Roman" w:hAnsi="Times New Roman" w:cs="Times New Roman" w:eastAsia="Times New Roman" w:hint="default"/>
                <w:sz w:val="18"/>
                <w:szCs w:val="18"/>
              </w:rPr>
            </w:pPr>
            <w:r>
              <w:rPr>
                <w:rFonts w:ascii="Times New Roman"/>
                <w:sz w:val="18"/>
              </w:rPr>
              <w:t>78.83</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3,464,2</w:t>
            </w:r>
          </w:p>
          <w:p>
            <w:pPr>
              <w:pStyle w:val="TableParagraph"/>
              <w:spacing w:line="240" w:lineRule="auto" w:before="106"/>
              <w:ind w:left="180" w:right="0"/>
              <w:jc w:val="center"/>
              <w:rPr>
                <w:rFonts w:ascii="Times New Roman" w:hAnsi="Times New Roman" w:cs="Times New Roman" w:eastAsia="Times New Roman" w:hint="default"/>
                <w:sz w:val="18"/>
                <w:szCs w:val="18"/>
              </w:rPr>
            </w:pPr>
            <w:r>
              <w:rPr>
                <w:rFonts w:ascii="Times New Roman"/>
                <w:sz w:val="18"/>
              </w:rPr>
              <w:t>60.07</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79,838,9</w:t>
            </w:r>
          </w:p>
          <w:p>
            <w:pPr>
              <w:pStyle w:val="TableParagraph"/>
              <w:spacing w:line="240" w:lineRule="auto" w:before="106"/>
              <w:ind w:left="331" w:right="0"/>
              <w:jc w:val="left"/>
              <w:rPr>
                <w:rFonts w:ascii="Times New Roman" w:hAnsi="Times New Roman" w:cs="Times New Roman" w:eastAsia="Times New Roman" w:hint="default"/>
                <w:sz w:val="18"/>
                <w:szCs w:val="18"/>
              </w:rPr>
            </w:pPr>
            <w:r>
              <w:rPr>
                <w:rFonts w:ascii="Times New Roman"/>
                <w:sz w:val="18"/>
              </w:rPr>
              <w:t>38.90</w:t>
            </w:r>
          </w:p>
        </w:tc>
      </w:tr>
      <w:tr>
        <w:trPr>
          <w:trHeight w:val="715" w:hRule="exact"/>
        </w:trPr>
        <w:tc>
          <w:tcPr>
            <w:tcW w:w="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3"/>
              <w:jc w:val="left"/>
              <w:rPr>
                <w:rFonts w:ascii="宋体" w:hAnsi="宋体" w:cs="宋体" w:eastAsia="宋体" w:hint="default"/>
                <w:sz w:val="18"/>
                <w:szCs w:val="18"/>
              </w:rPr>
            </w:pPr>
            <w:r>
              <w:rPr>
                <w:rFonts w:ascii="宋体" w:hAnsi="宋体" w:cs="宋体" w:eastAsia="宋体" w:hint="default"/>
                <w:spacing w:val="-12"/>
                <w:sz w:val="18"/>
                <w:szCs w:val="18"/>
              </w:rPr>
              <w:t>（一）综合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收益总额</w:t>
            </w:r>
          </w:p>
        </w:tc>
        <w:tc>
          <w:tcPr>
            <w:tcW w:w="720" w:type="dxa"/>
            <w:tcBorders>
              <w:top w:val="single" w:sz="4" w:space="0" w:color="000000"/>
              <w:left w:val="single" w:sz="13" w:space="0" w:color="D3D3D3"/>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left"/>
              <w:rPr>
                <w:rFonts w:ascii="Times New Roman" w:hAnsi="Times New Roman" w:cs="Times New Roman" w:eastAsia="Times New Roman" w:hint="default"/>
                <w:sz w:val="18"/>
                <w:szCs w:val="18"/>
              </w:rPr>
            </w:pPr>
            <w:r>
              <w:rPr>
                <w:rFonts w:ascii="Times New Roman"/>
                <w:sz w:val="18"/>
              </w:rPr>
              <w:t>185,972</w:t>
            </w:r>
          </w:p>
          <w:p>
            <w:pPr>
              <w:pStyle w:val="TableParagraph"/>
              <w:spacing w:line="240" w:lineRule="auto" w:before="106"/>
              <w:ind w:left="73" w:right="0"/>
              <w:jc w:val="left"/>
              <w:rPr>
                <w:rFonts w:ascii="Times New Roman" w:hAnsi="Times New Roman" w:cs="Times New Roman" w:eastAsia="Times New Roman" w:hint="default"/>
                <w:sz w:val="18"/>
                <w:szCs w:val="18"/>
              </w:rPr>
            </w:pPr>
            <w:r>
              <w:rPr>
                <w:rFonts w:ascii="Times New Roman"/>
                <w:sz w:val="18"/>
              </w:rPr>
              <w:t>,590.91</w:t>
            </w:r>
          </w:p>
        </w:tc>
        <w:tc>
          <w:tcPr>
            <w:tcW w:w="37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 w:right="0"/>
              <w:jc w:val="center"/>
              <w:rPr>
                <w:rFonts w:ascii="Times New Roman" w:hAnsi="Times New Roman" w:cs="Times New Roman" w:eastAsia="Times New Roman" w:hint="default"/>
                <w:sz w:val="18"/>
                <w:szCs w:val="18"/>
              </w:rPr>
            </w:pPr>
            <w:r>
              <w:rPr>
                <w:rFonts w:ascii="Times New Roman"/>
                <w:sz w:val="18"/>
              </w:rPr>
              <w:t>185,972,</w:t>
            </w:r>
          </w:p>
          <w:p>
            <w:pPr>
              <w:pStyle w:val="TableParagraph"/>
              <w:spacing w:line="240" w:lineRule="auto" w:before="106"/>
              <w:ind w:left="166" w:right="0"/>
              <w:jc w:val="center"/>
              <w:rPr>
                <w:rFonts w:ascii="Times New Roman" w:hAnsi="Times New Roman" w:cs="Times New Roman" w:eastAsia="Times New Roman" w:hint="default"/>
                <w:sz w:val="18"/>
                <w:szCs w:val="18"/>
              </w:rPr>
            </w:pPr>
            <w:r>
              <w:rPr>
                <w:rFonts w:ascii="Times New Roman"/>
                <w:sz w:val="18"/>
              </w:rPr>
              <w:t>590.91</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-3,036,</w:t>
            </w:r>
          </w:p>
          <w:p>
            <w:pPr>
              <w:pStyle w:val="TableParagraph"/>
              <w:spacing w:line="240" w:lineRule="auto" w:before="106"/>
              <w:ind w:left="114" w:right="0"/>
              <w:jc w:val="left"/>
              <w:rPr>
                <w:rFonts w:ascii="Times New Roman" w:hAnsi="Times New Roman" w:cs="Times New Roman" w:eastAsia="Times New Roman" w:hint="default"/>
                <w:sz w:val="18"/>
                <w:szCs w:val="18"/>
              </w:rPr>
            </w:pPr>
            <w:r>
              <w:rPr>
                <w:rFonts w:ascii="Times New Roman"/>
                <w:sz w:val="18"/>
              </w:rPr>
              <w:t>739.93</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center"/>
              <w:rPr>
                <w:rFonts w:ascii="Times New Roman" w:hAnsi="Times New Roman" w:cs="Times New Roman" w:eastAsia="Times New Roman" w:hint="default"/>
                <w:sz w:val="18"/>
                <w:szCs w:val="18"/>
              </w:rPr>
            </w:pPr>
            <w:r>
              <w:rPr>
                <w:rFonts w:ascii="Times New Roman"/>
                <w:sz w:val="18"/>
              </w:rPr>
              <w:t>182,935,</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850.98</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00"/>
        <w:gridCol w:w="720"/>
        <w:gridCol w:w="449"/>
        <w:gridCol w:w="449"/>
        <w:gridCol w:w="413"/>
        <w:gridCol w:w="576"/>
        <w:gridCol w:w="577"/>
        <w:gridCol w:w="576"/>
        <w:gridCol w:w="560"/>
        <w:gridCol w:w="576"/>
        <w:gridCol w:w="577"/>
        <w:gridCol w:w="647"/>
        <w:gridCol w:w="372"/>
        <w:gridCol w:w="720"/>
        <w:gridCol w:w="643"/>
        <w:gridCol w:w="770"/>
      </w:tblGrid>
      <w:tr>
        <w:trPr>
          <w:trHeight w:val="1026"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12"/>
                <w:sz w:val="18"/>
                <w:szCs w:val="18"/>
              </w:rPr>
              <w:t>（二）所有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者投入和 减少资本</w:t>
            </w:r>
          </w:p>
        </w:tc>
        <w:tc>
          <w:tcPr>
            <w:tcW w:w="72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26,954</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,164.0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576"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-26,954,</w:t>
            </w:r>
          </w:p>
          <w:p>
            <w:pPr>
              <w:pStyle w:val="TableParagraph"/>
              <w:spacing w:line="240" w:lineRule="auto" w:before="105"/>
              <w:ind w:left="166" w:right="0"/>
              <w:jc w:val="center"/>
              <w:rPr>
                <w:rFonts w:ascii="Times New Roman" w:hAnsi="Times New Roman" w:cs="Times New Roman" w:eastAsia="Times New Roman" w:hint="default"/>
                <w:sz w:val="18"/>
                <w:szCs w:val="18"/>
              </w:rPr>
            </w:pPr>
            <w:r>
              <w:rPr>
                <w:rFonts w:ascii="Times New Roman"/>
                <w:sz w:val="18"/>
              </w:rPr>
              <w:t>164.03</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6,501,0</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00.00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-20,453,1</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64.03</w:t>
            </w:r>
          </w:p>
        </w:tc>
      </w:tr>
      <w:tr>
        <w:trPr>
          <w:trHeight w:val="1026"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 投入的普 通股</w:t>
            </w:r>
          </w:p>
        </w:tc>
        <w:tc>
          <w:tcPr>
            <w:tcW w:w="72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6,501,0</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00.00</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6,501,00</w:t>
            </w:r>
          </w:p>
          <w:p>
            <w:pPr>
              <w:pStyle w:val="TableParagraph"/>
              <w:spacing w:line="240" w:lineRule="auto" w:before="105"/>
              <w:ind w:left="421" w:right="0"/>
              <w:jc w:val="left"/>
              <w:rPr>
                <w:rFonts w:ascii="Times New Roman" w:hAnsi="Times New Roman" w:cs="Times New Roman" w:eastAsia="Times New Roman" w:hint="default"/>
                <w:sz w:val="18"/>
                <w:szCs w:val="18"/>
              </w:rPr>
            </w:pPr>
            <w:r>
              <w:rPr>
                <w:rFonts w:ascii="Times New Roman"/>
                <w:sz w:val="18"/>
              </w:rPr>
              <w:t>0.00</w:t>
            </w:r>
          </w:p>
        </w:tc>
      </w:tr>
      <w:tr>
        <w:trPr>
          <w:trHeight w:val="362" w:hRule="exact"/>
        </w:trPr>
        <w:tc>
          <w:tcPr>
            <w:tcW w:w="90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w:t>
            </w:r>
          </w:p>
        </w:tc>
        <w:tc>
          <w:tcPr>
            <w:tcW w:w="720"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1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647" w:type="dxa"/>
            <w:vMerge w:val="restart"/>
            <w:tcBorders>
              <w:top w:val="single" w:sz="4" w:space="0" w:color="000000"/>
              <w:left w:val="single" w:sz="4" w:space="0" w:color="000000"/>
              <w:right w:val="single" w:sz="4" w:space="0" w:color="000000"/>
            </w:tcBorders>
          </w:tcPr>
          <w:p>
            <w:pPr/>
          </w:p>
        </w:tc>
        <w:tc>
          <w:tcPr>
            <w:tcW w:w="372"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643" w:type="dxa"/>
            <w:vMerge w:val="restart"/>
            <w:tcBorders>
              <w:top w:val="single" w:sz="4" w:space="0" w:color="000000"/>
              <w:left w:val="single" w:sz="4" w:space="0" w:color="000000"/>
              <w:right w:val="single" w:sz="4" w:space="0" w:color="000000"/>
            </w:tcBorders>
          </w:tcPr>
          <w:p>
            <w:pPr/>
          </w:p>
        </w:tc>
        <w:tc>
          <w:tcPr>
            <w:tcW w:w="770" w:type="dxa"/>
            <w:vMerge w:val="restart"/>
            <w:tcBorders>
              <w:top w:val="single" w:sz="4" w:space="0" w:color="000000"/>
              <w:left w:val="single" w:sz="4" w:space="0" w:color="000000"/>
              <w:right w:val="single" w:sz="4" w:space="0" w:color="000000"/>
            </w:tcBorders>
          </w:tcPr>
          <w:p>
            <w:pPr/>
          </w:p>
        </w:tc>
      </w:tr>
      <w:tr>
        <w:trPr>
          <w:trHeight w:val="306" w:hRule="exact"/>
        </w:trPr>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益工具持</w:t>
            </w:r>
          </w:p>
        </w:tc>
        <w:tc>
          <w:tcPr>
            <w:tcW w:w="720"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1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647" w:type="dxa"/>
            <w:vMerge/>
            <w:tcBorders>
              <w:left w:val="single" w:sz="4" w:space="0" w:color="000000"/>
              <w:right w:val="single" w:sz="4" w:space="0" w:color="000000"/>
            </w:tcBorders>
          </w:tcPr>
          <w:p>
            <w:pPr/>
          </w:p>
        </w:tc>
        <w:tc>
          <w:tcPr>
            <w:tcW w:w="37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43" w:type="dxa"/>
            <w:vMerge/>
            <w:tcBorders>
              <w:left w:val="single" w:sz="4" w:space="0" w:color="000000"/>
              <w:right w:val="single" w:sz="4" w:space="0" w:color="000000"/>
            </w:tcBorders>
          </w:tcPr>
          <w:p>
            <w:pPr/>
          </w:p>
        </w:tc>
        <w:tc>
          <w:tcPr>
            <w:tcW w:w="770" w:type="dxa"/>
            <w:vMerge/>
            <w:tcBorders>
              <w:left w:val="single" w:sz="4" w:space="0" w:color="000000"/>
              <w:right w:val="single" w:sz="4" w:space="0" w:color="000000"/>
            </w:tcBorders>
          </w:tcPr>
          <w:p>
            <w:pPr/>
          </w:p>
        </w:tc>
      </w:tr>
      <w:tr>
        <w:trPr>
          <w:trHeight w:val="313" w:hRule="exact"/>
        </w:trPr>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有者投入</w:t>
            </w:r>
          </w:p>
        </w:tc>
        <w:tc>
          <w:tcPr>
            <w:tcW w:w="720"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1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647" w:type="dxa"/>
            <w:vMerge/>
            <w:tcBorders>
              <w:left w:val="single" w:sz="4" w:space="0" w:color="000000"/>
              <w:right w:val="single" w:sz="4" w:space="0" w:color="000000"/>
            </w:tcBorders>
          </w:tcPr>
          <w:p>
            <w:pPr/>
          </w:p>
        </w:tc>
        <w:tc>
          <w:tcPr>
            <w:tcW w:w="37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43" w:type="dxa"/>
            <w:vMerge/>
            <w:tcBorders>
              <w:left w:val="single" w:sz="4" w:space="0" w:color="000000"/>
              <w:right w:val="single" w:sz="4" w:space="0" w:color="000000"/>
            </w:tcBorders>
          </w:tcPr>
          <w:p>
            <w:pPr/>
          </w:p>
        </w:tc>
        <w:tc>
          <w:tcPr>
            <w:tcW w:w="770" w:type="dxa"/>
            <w:vMerge/>
            <w:tcBorders>
              <w:left w:val="single" w:sz="4" w:space="0" w:color="000000"/>
              <w:right w:val="single" w:sz="4" w:space="0" w:color="000000"/>
            </w:tcBorders>
          </w:tcPr>
          <w:p>
            <w:pPr/>
          </w:p>
        </w:tc>
      </w:tr>
      <w:tr>
        <w:trPr>
          <w:trHeight w:val="357" w:hRule="exact"/>
        </w:trPr>
        <w:tc>
          <w:tcPr>
            <w:tcW w:w="90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720"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1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647" w:type="dxa"/>
            <w:vMerge/>
            <w:tcBorders>
              <w:left w:val="single" w:sz="4" w:space="0" w:color="000000"/>
              <w:bottom w:val="single" w:sz="4" w:space="0" w:color="000000"/>
              <w:right w:val="single" w:sz="4" w:space="0" w:color="000000"/>
            </w:tcBorders>
          </w:tcPr>
          <w:p>
            <w:pPr/>
          </w:p>
        </w:tc>
        <w:tc>
          <w:tcPr>
            <w:tcW w:w="37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43" w:type="dxa"/>
            <w:vMerge/>
            <w:tcBorders>
              <w:left w:val="single" w:sz="4" w:space="0" w:color="000000"/>
              <w:bottom w:val="single" w:sz="4" w:space="0" w:color="000000"/>
              <w:right w:val="single" w:sz="4" w:space="0" w:color="000000"/>
            </w:tcBorders>
          </w:tcPr>
          <w:p>
            <w:pPr/>
          </w:p>
        </w:tc>
        <w:tc>
          <w:tcPr>
            <w:tcW w:w="770" w:type="dxa"/>
            <w:vMerge/>
            <w:tcBorders>
              <w:left w:val="single" w:sz="4" w:space="0" w:color="000000"/>
              <w:bottom w:val="single" w:sz="4" w:space="0" w:color="000000"/>
              <w:right w:val="single" w:sz="4" w:space="0" w:color="000000"/>
            </w:tcBorders>
          </w:tcPr>
          <w:p>
            <w:pPr/>
          </w:p>
        </w:tc>
      </w:tr>
      <w:tr>
        <w:trPr>
          <w:trHeight w:val="362" w:hRule="exact"/>
        </w:trPr>
        <w:tc>
          <w:tcPr>
            <w:tcW w:w="90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w:t>
            </w:r>
          </w:p>
        </w:tc>
        <w:tc>
          <w:tcPr>
            <w:tcW w:w="720"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1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647" w:type="dxa"/>
            <w:vMerge w:val="restart"/>
            <w:tcBorders>
              <w:top w:val="single" w:sz="4" w:space="0" w:color="000000"/>
              <w:left w:val="single" w:sz="4" w:space="0" w:color="000000"/>
              <w:right w:val="single" w:sz="4" w:space="0" w:color="000000"/>
            </w:tcBorders>
          </w:tcPr>
          <w:p>
            <w:pPr/>
          </w:p>
        </w:tc>
        <w:tc>
          <w:tcPr>
            <w:tcW w:w="372"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643" w:type="dxa"/>
            <w:vMerge w:val="restart"/>
            <w:tcBorders>
              <w:top w:val="single" w:sz="4" w:space="0" w:color="000000"/>
              <w:left w:val="single" w:sz="4" w:space="0" w:color="000000"/>
              <w:right w:val="single" w:sz="4" w:space="0" w:color="000000"/>
            </w:tcBorders>
          </w:tcPr>
          <w:p>
            <w:pPr/>
          </w:p>
        </w:tc>
        <w:tc>
          <w:tcPr>
            <w:tcW w:w="770" w:type="dxa"/>
            <w:vMerge w:val="restart"/>
            <w:tcBorders>
              <w:top w:val="single" w:sz="4" w:space="0" w:color="000000"/>
              <w:left w:val="single" w:sz="4" w:space="0" w:color="000000"/>
              <w:right w:val="single" w:sz="4" w:space="0" w:color="000000"/>
            </w:tcBorders>
          </w:tcPr>
          <w:p>
            <w:pPr/>
          </w:p>
        </w:tc>
      </w:tr>
      <w:tr>
        <w:trPr>
          <w:trHeight w:val="306" w:hRule="exact"/>
        </w:trPr>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付计入所</w:t>
            </w:r>
          </w:p>
        </w:tc>
        <w:tc>
          <w:tcPr>
            <w:tcW w:w="720"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1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647" w:type="dxa"/>
            <w:vMerge/>
            <w:tcBorders>
              <w:left w:val="single" w:sz="4" w:space="0" w:color="000000"/>
              <w:right w:val="single" w:sz="4" w:space="0" w:color="000000"/>
            </w:tcBorders>
          </w:tcPr>
          <w:p>
            <w:pPr/>
          </w:p>
        </w:tc>
        <w:tc>
          <w:tcPr>
            <w:tcW w:w="37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43" w:type="dxa"/>
            <w:vMerge/>
            <w:tcBorders>
              <w:left w:val="single" w:sz="4" w:space="0" w:color="000000"/>
              <w:right w:val="single" w:sz="4" w:space="0" w:color="000000"/>
            </w:tcBorders>
          </w:tcPr>
          <w:p>
            <w:pPr/>
          </w:p>
        </w:tc>
        <w:tc>
          <w:tcPr>
            <w:tcW w:w="770" w:type="dxa"/>
            <w:vMerge/>
            <w:tcBorders>
              <w:left w:val="single" w:sz="4" w:space="0" w:color="000000"/>
              <w:right w:val="single" w:sz="4" w:space="0" w:color="000000"/>
            </w:tcBorders>
          </w:tcPr>
          <w:p>
            <w:pPr/>
          </w:p>
        </w:tc>
      </w:tr>
      <w:tr>
        <w:trPr>
          <w:trHeight w:val="313" w:hRule="exact"/>
        </w:trPr>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有者权益</w:t>
            </w:r>
          </w:p>
        </w:tc>
        <w:tc>
          <w:tcPr>
            <w:tcW w:w="720"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1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647" w:type="dxa"/>
            <w:vMerge/>
            <w:tcBorders>
              <w:left w:val="single" w:sz="4" w:space="0" w:color="000000"/>
              <w:right w:val="single" w:sz="4" w:space="0" w:color="000000"/>
            </w:tcBorders>
          </w:tcPr>
          <w:p>
            <w:pPr/>
          </w:p>
        </w:tc>
        <w:tc>
          <w:tcPr>
            <w:tcW w:w="37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43" w:type="dxa"/>
            <w:vMerge/>
            <w:tcBorders>
              <w:left w:val="single" w:sz="4" w:space="0" w:color="000000"/>
              <w:right w:val="single" w:sz="4" w:space="0" w:color="000000"/>
            </w:tcBorders>
          </w:tcPr>
          <w:p>
            <w:pPr/>
          </w:p>
        </w:tc>
        <w:tc>
          <w:tcPr>
            <w:tcW w:w="770" w:type="dxa"/>
            <w:vMerge/>
            <w:tcBorders>
              <w:left w:val="single" w:sz="4" w:space="0" w:color="000000"/>
              <w:right w:val="single" w:sz="4" w:space="0" w:color="000000"/>
            </w:tcBorders>
          </w:tcPr>
          <w:p>
            <w:pPr/>
          </w:p>
        </w:tc>
      </w:tr>
      <w:tr>
        <w:trPr>
          <w:trHeight w:val="357" w:hRule="exact"/>
        </w:trPr>
        <w:tc>
          <w:tcPr>
            <w:tcW w:w="90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720"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1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647" w:type="dxa"/>
            <w:vMerge/>
            <w:tcBorders>
              <w:left w:val="single" w:sz="4" w:space="0" w:color="000000"/>
              <w:bottom w:val="single" w:sz="4" w:space="0" w:color="000000"/>
              <w:right w:val="single" w:sz="4" w:space="0" w:color="000000"/>
            </w:tcBorders>
          </w:tcPr>
          <w:p>
            <w:pPr/>
          </w:p>
        </w:tc>
        <w:tc>
          <w:tcPr>
            <w:tcW w:w="37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43" w:type="dxa"/>
            <w:vMerge/>
            <w:tcBorders>
              <w:left w:val="single" w:sz="4" w:space="0" w:color="000000"/>
              <w:bottom w:val="single" w:sz="4" w:space="0" w:color="000000"/>
              <w:right w:val="single" w:sz="4" w:space="0" w:color="000000"/>
            </w:tcBorders>
          </w:tcPr>
          <w:p>
            <w:pPr/>
          </w:p>
        </w:tc>
        <w:tc>
          <w:tcPr>
            <w:tcW w:w="770" w:type="dxa"/>
            <w:vMerge/>
            <w:tcBorders>
              <w:left w:val="single" w:sz="4" w:space="0" w:color="000000"/>
              <w:bottom w:val="single" w:sz="4" w:space="0" w:color="000000"/>
              <w:right w:val="single" w:sz="4" w:space="0" w:color="000000"/>
            </w:tcBorders>
          </w:tcPr>
          <w:p>
            <w:pPr/>
          </w:p>
        </w:tc>
      </w:tr>
      <w:tr>
        <w:trPr>
          <w:trHeight w:val="1026"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2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26,954</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,164.0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576"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-26,954,</w:t>
            </w:r>
          </w:p>
          <w:p>
            <w:pPr>
              <w:pStyle w:val="TableParagraph"/>
              <w:spacing w:line="240" w:lineRule="auto" w:before="105"/>
              <w:ind w:left="166" w:right="0"/>
              <w:jc w:val="center"/>
              <w:rPr>
                <w:rFonts w:ascii="Times New Roman" w:hAnsi="Times New Roman" w:cs="Times New Roman" w:eastAsia="Times New Roman" w:hint="default"/>
                <w:sz w:val="18"/>
                <w:szCs w:val="18"/>
              </w:rPr>
            </w:pPr>
            <w:r>
              <w:rPr>
                <w:rFonts w:ascii="Times New Roman"/>
                <w:sz w:val="18"/>
              </w:rPr>
              <w:t>164.03</w:t>
            </w:r>
          </w:p>
        </w:tc>
        <w:tc>
          <w:tcPr>
            <w:tcW w:w="643"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-26,954,1</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64.03</w:t>
            </w:r>
          </w:p>
        </w:tc>
      </w:tr>
      <w:tr>
        <w:trPr>
          <w:trHeight w:val="1026"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12"/>
                <w:sz w:val="18"/>
                <w:szCs w:val="18"/>
              </w:rPr>
              <w:t>（三）利润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分配</w:t>
            </w:r>
          </w:p>
        </w:tc>
        <w:tc>
          <w:tcPr>
            <w:tcW w:w="72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11,565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,257.3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577"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-94,209</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,005.39</w:t>
            </w:r>
          </w:p>
        </w:tc>
        <w:tc>
          <w:tcPr>
            <w:tcW w:w="37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-82,643,</w:t>
            </w:r>
          </w:p>
          <w:p>
            <w:pPr>
              <w:pStyle w:val="TableParagraph"/>
              <w:spacing w:line="240" w:lineRule="auto" w:before="105"/>
              <w:ind w:left="166" w:right="0"/>
              <w:jc w:val="center"/>
              <w:rPr>
                <w:rFonts w:ascii="Times New Roman" w:hAnsi="Times New Roman" w:cs="Times New Roman" w:eastAsia="Times New Roman" w:hint="default"/>
                <w:sz w:val="18"/>
                <w:szCs w:val="18"/>
              </w:rPr>
            </w:pPr>
            <w:r>
              <w:rPr>
                <w:rFonts w:ascii="Times New Roman"/>
                <w:sz w:val="18"/>
              </w:rPr>
              <w:t>748.05</w:t>
            </w:r>
          </w:p>
        </w:tc>
        <w:tc>
          <w:tcPr>
            <w:tcW w:w="643"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-82,643,7</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48.05</w:t>
            </w:r>
          </w:p>
        </w:tc>
      </w:tr>
      <w:tr>
        <w:trPr>
          <w:trHeight w:val="1026"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 余公积</w:t>
            </w:r>
          </w:p>
        </w:tc>
        <w:tc>
          <w:tcPr>
            <w:tcW w:w="72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11,565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,257.3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577"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-11,565</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,257.34</w:t>
            </w:r>
          </w:p>
        </w:tc>
        <w:tc>
          <w:tcPr>
            <w:tcW w:w="37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90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w:t>
            </w:r>
          </w:p>
        </w:tc>
        <w:tc>
          <w:tcPr>
            <w:tcW w:w="720"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1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647" w:type="dxa"/>
            <w:vMerge w:val="restart"/>
            <w:tcBorders>
              <w:top w:val="single" w:sz="4" w:space="0" w:color="000000"/>
              <w:left w:val="single" w:sz="4" w:space="0" w:color="000000"/>
              <w:right w:val="single" w:sz="4" w:space="0" w:color="000000"/>
            </w:tcBorders>
          </w:tcPr>
          <w:p>
            <w:pPr/>
          </w:p>
        </w:tc>
        <w:tc>
          <w:tcPr>
            <w:tcW w:w="372"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643" w:type="dxa"/>
            <w:vMerge w:val="restart"/>
            <w:tcBorders>
              <w:top w:val="single" w:sz="4" w:space="0" w:color="000000"/>
              <w:left w:val="single" w:sz="4" w:space="0" w:color="000000"/>
              <w:right w:val="single" w:sz="4" w:space="0" w:color="000000"/>
            </w:tcBorders>
          </w:tcPr>
          <w:p>
            <w:pPr/>
          </w:p>
        </w:tc>
        <w:tc>
          <w:tcPr>
            <w:tcW w:w="770" w:type="dxa"/>
            <w:vMerge w:val="restart"/>
            <w:tcBorders>
              <w:top w:val="single" w:sz="4" w:space="0" w:color="000000"/>
              <w:left w:val="single" w:sz="4" w:space="0" w:color="000000"/>
              <w:right w:val="single" w:sz="4" w:space="0" w:color="000000"/>
            </w:tcBorders>
          </w:tcPr>
          <w:p>
            <w:pPr/>
          </w:p>
        </w:tc>
      </w:tr>
      <w:tr>
        <w:trPr>
          <w:trHeight w:val="307" w:hRule="exact"/>
        </w:trPr>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般风险准</w:t>
            </w:r>
          </w:p>
        </w:tc>
        <w:tc>
          <w:tcPr>
            <w:tcW w:w="720"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1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647" w:type="dxa"/>
            <w:vMerge/>
            <w:tcBorders>
              <w:left w:val="single" w:sz="4" w:space="0" w:color="000000"/>
              <w:right w:val="single" w:sz="4" w:space="0" w:color="000000"/>
            </w:tcBorders>
          </w:tcPr>
          <w:p>
            <w:pPr/>
          </w:p>
        </w:tc>
        <w:tc>
          <w:tcPr>
            <w:tcW w:w="37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43" w:type="dxa"/>
            <w:vMerge/>
            <w:tcBorders>
              <w:left w:val="single" w:sz="4" w:space="0" w:color="000000"/>
              <w:right w:val="single" w:sz="4" w:space="0" w:color="000000"/>
            </w:tcBorders>
          </w:tcPr>
          <w:p>
            <w:pPr/>
          </w:p>
        </w:tc>
        <w:tc>
          <w:tcPr>
            <w:tcW w:w="770" w:type="dxa"/>
            <w:vMerge/>
            <w:tcBorders>
              <w:left w:val="single" w:sz="4" w:space="0" w:color="000000"/>
              <w:right w:val="single" w:sz="4" w:space="0" w:color="000000"/>
            </w:tcBorders>
          </w:tcPr>
          <w:p>
            <w:pPr/>
          </w:p>
        </w:tc>
      </w:tr>
      <w:tr>
        <w:trPr>
          <w:trHeight w:val="357" w:hRule="exact"/>
        </w:trPr>
        <w:tc>
          <w:tcPr>
            <w:tcW w:w="90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备</w:t>
            </w:r>
          </w:p>
        </w:tc>
        <w:tc>
          <w:tcPr>
            <w:tcW w:w="720"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1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647" w:type="dxa"/>
            <w:vMerge/>
            <w:tcBorders>
              <w:left w:val="single" w:sz="4" w:space="0" w:color="000000"/>
              <w:bottom w:val="single" w:sz="4" w:space="0" w:color="000000"/>
              <w:right w:val="single" w:sz="4" w:space="0" w:color="000000"/>
            </w:tcBorders>
          </w:tcPr>
          <w:p>
            <w:pPr/>
          </w:p>
        </w:tc>
        <w:tc>
          <w:tcPr>
            <w:tcW w:w="37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43" w:type="dxa"/>
            <w:vMerge/>
            <w:tcBorders>
              <w:left w:val="single" w:sz="4" w:space="0" w:color="000000"/>
              <w:bottom w:val="single" w:sz="4" w:space="0" w:color="000000"/>
              <w:right w:val="single" w:sz="4" w:space="0" w:color="000000"/>
            </w:tcBorders>
          </w:tcPr>
          <w:p>
            <w:pPr/>
          </w:p>
        </w:tc>
        <w:tc>
          <w:tcPr>
            <w:tcW w:w="770" w:type="dxa"/>
            <w:vMerge/>
            <w:tcBorders>
              <w:left w:val="single" w:sz="4" w:space="0" w:color="000000"/>
              <w:bottom w:val="single" w:sz="4" w:space="0" w:color="000000"/>
              <w:right w:val="single" w:sz="4" w:space="0" w:color="000000"/>
            </w:tcBorders>
          </w:tcPr>
          <w:p>
            <w:pPr/>
          </w:p>
        </w:tc>
      </w:tr>
      <w:tr>
        <w:trPr>
          <w:trHeight w:val="1026"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 者（或股 </w:t>
            </w:r>
            <w:r>
              <w:rPr>
                <w:rFonts w:ascii="宋体" w:hAnsi="宋体" w:cs="宋体" w:eastAsia="宋体" w:hint="default"/>
                <w:spacing w:val="-12"/>
                <w:sz w:val="18"/>
                <w:szCs w:val="18"/>
              </w:rPr>
              <w:t>东）的分配</w:t>
            </w:r>
          </w:p>
        </w:tc>
        <w:tc>
          <w:tcPr>
            <w:tcW w:w="72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-82,643</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,748.05</w:t>
            </w:r>
          </w:p>
        </w:tc>
        <w:tc>
          <w:tcPr>
            <w:tcW w:w="37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-82,643,</w:t>
            </w:r>
          </w:p>
          <w:p>
            <w:pPr>
              <w:pStyle w:val="TableParagraph"/>
              <w:spacing w:line="240" w:lineRule="auto" w:before="105"/>
              <w:ind w:left="166" w:right="0"/>
              <w:jc w:val="center"/>
              <w:rPr>
                <w:rFonts w:ascii="Times New Roman" w:hAnsi="Times New Roman" w:cs="Times New Roman" w:eastAsia="Times New Roman" w:hint="default"/>
                <w:sz w:val="18"/>
                <w:szCs w:val="18"/>
              </w:rPr>
            </w:pPr>
            <w:r>
              <w:rPr>
                <w:rFonts w:ascii="Times New Roman"/>
                <w:sz w:val="18"/>
              </w:rPr>
              <w:t>748.05</w:t>
            </w:r>
          </w:p>
        </w:tc>
        <w:tc>
          <w:tcPr>
            <w:tcW w:w="643"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-82,643,7</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48.05</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2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90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12"/>
                <w:sz w:val="18"/>
                <w:szCs w:val="18"/>
              </w:rPr>
              <w:t>（四）所有</w:t>
            </w:r>
          </w:p>
        </w:tc>
        <w:tc>
          <w:tcPr>
            <w:tcW w:w="720"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1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647" w:type="dxa"/>
            <w:vMerge w:val="restart"/>
            <w:tcBorders>
              <w:top w:val="single" w:sz="4" w:space="0" w:color="000000"/>
              <w:left w:val="single" w:sz="4" w:space="0" w:color="000000"/>
              <w:right w:val="single" w:sz="4" w:space="0" w:color="000000"/>
            </w:tcBorders>
          </w:tcPr>
          <w:p>
            <w:pPr/>
          </w:p>
        </w:tc>
        <w:tc>
          <w:tcPr>
            <w:tcW w:w="372"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643" w:type="dxa"/>
            <w:vMerge w:val="restart"/>
            <w:tcBorders>
              <w:top w:val="single" w:sz="4" w:space="0" w:color="000000"/>
              <w:left w:val="single" w:sz="4" w:space="0" w:color="000000"/>
              <w:right w:val="single" w:sz="4" w:space="0" w:color="000000"/>
            </w:tcBorders>
          </w:tcPr>
          <w:p>
            <w:pPr/>
          </w:p>
        </w:tc>
        <w:tc>
          <w:tcPr>
            <w:tcW w:w="770" w:type="dxa"/>
            <w:vMerge w:val="restart"/>
            <w:tcBorders>
              <w:top w:val="single" w:sz="4" w:space="0" w:color="000000"/>
              <w:left w:val="single" w:sz="4" w:space="0" w:color="000000"/>
              <w:right w:val="single" w:sz="4" w:space="0" w:color="000000"/>
            </w:tcBorders>
          </w:tcPr>
          <w:p>
            <w:pPr/>
          </w:p>
        </w:tc>
      </w:tr>
      <w:tr>
        <w:trPr>
          <w:trHeight w:val="312" w:hRule="exact"/>
        </w:trPr>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者权益内</w:t>
            </w:r>
          </w:p>
        </w:tc>
        <w:tc>
          <w:tcPr>
            <w:tcW w:w="720"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1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647" w:type="dxa"/>
            <w:vMerge/>
            <w:tcBorders>
              <w:left w:val="single" w:sz="4" w:space="0" w:color="000000"/>
              <w:right w:val="single" w:sz="4" w:space="0" w:color="000000"/>
            </w:tcBorders>
          </w:tcPr>
          <w:p>
            <w:pPr/>
          </w:p>
        </w:tc>
        <w:tc>
          <w:tcPr>
            <w:tcW w:w="37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43" w:type="dxa"/>
            <w:vMerge/>
            <w:tcBorders>
              <w:left w:val="single" w:sz="4" w:space="0" w:color="000000"/>
              <w:right w:val="single" w:sz="4" w:space="0" w:color="000000"/>
            </w:tcBorders>
          </w:tcPr>
          <w:p>
            <w:pPr/>
          </w:p>
        </w:tc>
        <w:tc>
          <w:tcPr>
            <w:tcW w:w="770" w:type="dxa"/>
            <w:vMerge/>
            <w:tcBorders>
              <w:left w:val="single" w:sz="4" w:space="0" w:color="000000"/>
              <w:right w:val="single" w:sz="4" w:space="0" w:color="000000"/>
            </w:tcBorders>
          </w:tcPr>
          <w:p>
            <w:pPr/>
          </w:p>
        </w:tc>
      </w:tr>
      <w:tr>
        <w:trPr>
          <w:trHeight w:val="357" w:hRule="exact"/>
        </w:trPr>
        <w:tc>
          <w:tcPr>
            <w:tcW w:w="90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部结转</w:t>
            </w:r>
          </w:p>
        </w:tc>
        <w:tc>
          <w:tcPr>
            <w:tcW w:w="720"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1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647" w:type="dxa"/>
            <w:vMerge/>
            <w:tcBorders>
              <w:left w:val="single" w:sz="4" w:space="0" w:color="000000"/>
              <w:bottom w:val="single" w:sz="4" w:space="0" w:color="000000"/>
              <w:right w:val="single" w:sz="4" w:space="0" w:color="000000"/>
            </w:tcBorders>
          </w:tcPr>
          <w:p>
            <w:pPr/>
          </w:p>
        </w:tc>
        <w:tc>
          <w:tcPr>
            <w:tcW w:w="37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43" w:type="dxa"/>
            <w:vMerge/>
            <w:tcBorders>
              <w:left w:val="single" w:sz="4" w:space="0" w:color="000000"/>
              <w:bottom w:val="single" w:sz="4" w:space="0" w:color="000000"/>
              <w:right w:val="single" w:sz="4" w:space="0" w:color="000000"/>
            </w:tcBorders>
          </w:tcPr>
          <w:p>
            <w:pPr/>
          </w:p>
        </w:tc>
        <w:tc>
          <w:tcPr>
            <w:tcW w:w="770" w:type="dxa"/>
            <w:vMerge/>
            <w:tcBorders>
              <w:left w:val="single" w:sz="4" w:space="0" w:color="000000"/>
              <w:bottom w:val="single" w:sz="4" w:space="0" w:color="000000"/>
              <w:right w:val="single" w:sz="4" w:space="0" w:color="000000"/>
            </w:tcBorders>
          </w:tcPr>
          <w:p>
            <w:pPr/>
          </w:p>
        </w:tc>
      </w:tr>
      <w:tr>
        <w:trPr>
          <w:trHeight w:val="362" w:hRule="exact"/>
        </w:trPr>
        <w:tc>
          <w:tcPr>
            <w:tcW w:w="90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w:t>
            </w:r>
          </w:p>
        </w:tc>
        <w:tc>
          <w:tcPr>
            <w:tcW w:w="720"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1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647" w:type="dxa"/>
            <w:vMerge w:val="restart"/>
            <w:tcBorders>
              <w:top w:val="single" w:sz="4" w:space="0" w:color="000000"/>
              <w:left w:val="single" w:sz="4" w:space="0" w:color="000000"/>
              <w:right w:val="single" w:sz="4" w:space="0" w:color="000000"/>
            </w:tcBorders>
          </w:tcPr>
          <w:p>
            <w:pPr/>
          </w:p>
        </w:tc>
        <w:tc>
          <w:tcPr>
            <w:tcW w:w="372"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643" w:type="dxa"/>
            <w:vMerge w:val="restart"/>
            <w:tcBorders>
              <w:top w:val="single" w:sz="4" w:space="0" w:color="000000"/>
              <w:left w:val="single" w:sz="4" w:space="0" w:color="000000"/>
              <w:right w:val="single" w:sz="4" w:space="0" w:color="000000"/>
            </w:tcBorders>
          </w:tcPr>
          <w:p>
            <w:pPr/>
          </w:p>
        </w:tc>
        <w:tc>
          <w:tcPr>
            <w:tcW w:w="770" w:type="dxa"/>
            <w:vMerge w:val="restart"/>
            <w:tcBorders>
              <w:top w:val="single" w:sz="4" w:space="0" w:color="000000"/>
              <w:left w:val="single" w:sz="4" w:space="0" w:color="000000"/>
              <w:right w:val="single" w:sz="4" w:space="0" w:color="000000"/>
            </w:tcBorders>
          </w:tcPr>
          <w:p>
            <w:pPr/>
          </w:p>
        </w:tc>
      </w:tr>
      <w:tr>
        <w:trPr>
          <w:trHeight w:val="306" w:hRule="exact"/>
        </w:trPr>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积转增资</w:t>
            </w:r>
          </w:p>
        </w:tc>
        <w:tc>
          <w:tcPr>
            <w:tcW w:w="720"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1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647" w:type="dxa"/>
            <w:vMerge/>
            <w:tcBorders>
              <w:left w:val="single" w:sz="4" w:space="0" w:color="000000"/>
              <w:right w:val="single" w:sz="4" w:space="0" w:color="000000"/>
            </w:tcBorders>
          </w:tcPr>
          <w:p>
            <w:pPr/>
          </w:p>
        </w:tc>
        <w:tc>
          <w:tcPr>
            <w:tcW w:w="37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43" w:type="dxa"/>
            <w:vMerge/>
            <w:tcBorders>
              <w:left w:val="single" w:sz="4" w:space="0" w:color="000000"/>
              <w:right w:val="single" w:sz="4" w:space="0" w:color="000000"/>
            </w:tcBorders>
          </w:tcPr>
          <w:p>
            <w:pPr/>
          </w:p>
        </w:tc>
        <w:tc>
          <w:tcPr>
            <w:tcW w:w="770" w:type="dxa"/>
            <w:vMerge/>
            <w:tcBorders>
              <w:left w:val="single" w:sz="4" w:space="0" w:color="000000"/>
              <w:right w:val="single" w:sz="4" w:space="0" w:color="000000"/>
            </w:tcBorders>
          </w:tcPr>
          <w:p>
            <w:pPr/>
          </w:p>
        </w:tc>
      </w:tr>
      <w:tr>
        <w:trPr>
          <w:trHeight w:val="313" w:hRule="exact"/>
        </w:trPr>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本（或股</w:t>
            </w:r>
          </w:p>
        </w:tc>
        <w:tc>
          <w:tcPr>
            <w:tcW w:w="720"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1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647" w:type="dxa"/>
            <w:vMerge/>
            <w:tcBorders>
              <w:left w:val="single" w:sz="4" w:space="0" w:color="000000"/>
              <w:right w:val="single" w:sz="4" w:space="0" w:color="000000"/>
            </w:tcBorders>
          </w:tcPr>
          <w:p>
            <w:pPr/>
          </w:p>
        </w:tc>
        <w:tc>
          <w:tcPr>
            <w:tcW w:w="37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43" w:type="dxa"/>
            <w:vMerge/>
            <w:tcBorders>
              <w:left w:val="single" w:sz="4" w:space="0" w:color="000000"/>
              <w:right w:val="single" w:sz="4" w:space="0" w:color="000000"/>
            </w:tcBorders>
          </w:tcPr>
          <w:p>
            <w:pPr/>
          </w:p>
        </w:tc>
        <w:tc>
          <w:tcPr>
            <w:tcW w:w="770" w:type="dxa"/>
            <w:vMerge/>
            <w:tcBorders>
              <w:left w:val="single" w:sz="4" w:space="0" w:color="000000"/>
              <w:right w:val="single" w:sz="4" w:space="0" w:color="000000"/>
            </w:tcBorders>
          </w:tcPr>
          <w:p>
            <w:pPr/>
          </w:p>
        </w:tc>
      </w:tr>
      <w:tr>
        <w:trPr>
          <w:trHeight w:val="357" w:hRule="exact"/>
        </w:trPr>
        <w:tc>
          <w:tcPr>
            <w:tcW w:w="90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本）</w:t>
            </w:r>
          </w:p>
        </w:tc>
        <w:tc>
          <w:tcPr>
            <w:tcW w:w="720"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1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647" w:type="dxa"/>
            <w:vMerge/>
            <w:tcBorders>
              <w:left w:val="single" w:sz="4" w:space="0" w:color="000000"/>
              <w:bottom w:val="single" w:sz="4" w:space="0" w:color="000000"/>
              <w:right w:val="single" w:sz="4" w:space="0" w:color="000000"/>
            </w:tcBorders>
          </w:tcPr>
          <w:p>
            <w:pPr/>
          </w:p>
        </w:tc>
        <w:tc>
          <w:tcPr>
            <w:tcW w:w="37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43" w:type="dxa"/>
            <w:vMerge/>
            <w:tcBorders>
              <w:left w:val="single" w:sz="4" w:space="0" w:color="000000"/>
              <w:bottom w:val="single" w:sz="4" w:space="0" w:color="000000"/>
              <w:right w:val="single" w:sz="4" w:space="0" w:color="000000"/>
            </w:tcBorders>
          </w:tcPr>
          <w:p>
            <w:pPr/>
          </w:p>
        </w:tc>
        <w:tc>
          <w:tcPr>
            <w:tcW w:w="770" w:type="dxa"/>
            <w:vMerge/>
            <w:tcBorders>
              <w:left w:val="single" w:sz="4" w:space="0" w:color="000000"/>
              <w:bottom w:val="single" w:sz="4" w:space="0" w:color="000000"/>
              <w:right w:val="single" w:sz="4" w:space="0" w:color="000000"/>
            </w:tcBorders>
          </w:tcPr>
          <w:p>
            <w:pPr/>
          </w:p>
        </w:tc>
      </w:tr>
      <w:tr>
        <w:trPr>
          <w:trHeight w:val="362" w:hRule="exact"/>
        </w:trPr>
        <w:tc>
          <w:tcPr>
            <w:tcW w:w="90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w:t>
            </w:r>
          </w:p>
        </w:tc>
        <w:tc>
          <w:tcPr>
            <w:tcW w:w="720"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13"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647" w:type="dxa"/>
            <w:vMerge w:val="restart"/>
            <w:tcBorders>
              <w:top w:val="single" w:sz="4" w:space="0" w:color="000000"/>
              <w:left w:val="single" w:sz="4" w:space="0" w:color="000000"/>
              <w:right w:val="single" w:sz="4" w:space="0" w:color="000000"/>
            </w:tcBorders>
          </w:tcPr>
          <w:p>
            <w:pPr/>
          </w:p>
        </w:tc>
        <w:tc>
          <w:tcPr>
            <w:tcW w:w="372"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643" w:type="dxa"/>
            <w:vMerge w:val="restart"/>
            <w:tcBorders>
              <w:top w:val="single" w:sz="4" w:space="0" w:color="000000"/>
              <w:left w:val="single" w:sz="4" w:space="0" w:color="000000"/>
              <w:right w:val="single" w:sz="4" w:space="0" w:color="000000"/>
            </w:tcBorders>
          </w:tcPr>
          <w:p>
            <w:pPr/>
          </w:p>
        </w:tc>
        <w:tc>
          <w:tcPr>
            <w:tcW w:w="770" w:type="dxa"/>
            <w:vMerge w:val="restart"/>
            <w:tcBorders>
              <w:top w:val="single" w:sz="4" w:space="0" w:color="000000"/>
              <w:left w:val="single" w:sz="4" w:space="0" w:color="000000"/>
              <w:right w:val="single" w:sz="4" w:space="0" w:color="000000"/>
            </w:tcBorders>
          </w:tcPr>
          <w:p>
            <w:pPr/>
          </w:p>
        </w:tc>
      </w:tr>
      <w:tr>
        <w:trPr>
          <w:trHeight w:val="306" w:hRule="exact"/>
        </w:trPr>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积转增资</w:t>
            </w:r>
          </w:p>
        </w:tc>
        <w:tc>
          <w:tcPr>
            <w:tcW w:w="720"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13"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647" w:type="dxa"/>
            <w:vMerge/>
            <w:tcBorders>
              <w:left w:val="single" w:sz="4" w:space="0" w:color="000000"/>
              <w:right w:val="single" w:sz="4" w:space="0" w:color="000000"/>
            </w:tcBorders>
          </w:tcPr>
          <w:p>
            <w:pPr/>
          </w:p>
        </w:tc>
        <w:tc>
          <w:tcPr>
            <w:tcW w:w="37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643" w:type="dxa"/>
            <w:vMerge/>
            <w:tcBorders>
              <w:left w:val="single" w:sz="4" w:space="0" w:color="000000"/>
              <w:right w:val="single" w:sz="4" w:space="0" w:color="000000"/>
            </w:tcBorders>
          </w:tcPr>
          <w:p>
            <w:pPr/>
          </w:p>
        </w:tc>
        <w:tc>
          <w:tcPr>
            <w:tcW w:w="770" w:type="dxa"/>
            <w:vMerge/>
            <w:tcBorders>
              <w:left w:val="single" w:sz="4" w:space="0" w:color="000000"/>
              <w:right w:val="single" w:sz="4" w:space="0" w:color="000000"/>
            </w:tcBorders>
          </w:tcPr>
          <w:p>
            <w:pPr/>
          </w:p>
        </w:tc>
      </w:tr>
      <w:tr>
        <w:trPr>
          <w:trHeight w:val="318" w:hRule="exact"/>
        </w:trPr>
        <w:tc>
          <w:tcPr>
            <w:tcW w:w="90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本（或股</w:t>
            </w:r>
          </w:p>
        </w:tc>
        <w:tc>
          <w:tcPr>
            <w:tcW w:w="720"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13"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647" w:type="dxa"/>
            <w:vMerge/>
            <w:tcBorders>
              <w:left w:val="single" w:sz="4" w:space="0" w:color="000000"/>
              <w:bottom w:val="single" w:sz="4" w:space="0" w:color="000000"/>
              <w:right w:val="single" w:sz="4" w:space="0" w:color="000000"/>
            </w:tcBorders>
          </w:tcPr>
          <w:p>
            <w:pPr/>
          </w:p>
        </w:tc>
        <w:tc>
          <w:tcPr>
            <w:tcW w:w="37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643" w:type="dxa"/>
            <w:vMerge/>
            <w:tcBorders>
              <w:left w:val="single" w:sz="4" w:space="0" w:color="000000"/>
              <w:bottom w:val="single" w:sz="4" w:space="0" w:color="000000"/>
              <w:right w:val="single" w:sz="4" w:space="0" w:color="000000"/>
            </w:tcBorders>
          </w:tcPr>
          <w:p>
            <w:pPr/>
          </w:p>
        </w:tc>
        <w:tc>
          <w:tcPr>
            <w:tcW w:w="77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00"/>
        <w:gridCol w:w="720"/>
        <w:gridCol w:w="449"/>
        <w:gridCol w:w="449"/>
        <w:gridCol w:w="413"/>
        <w:gridCol w:w="576"/>
        <w:gridCol w:w="577"/>
        <w:gridCol w:w="576"/>
        <w:gridCol w:w="560"/>
        <w:gridCol w:w="576"/>
        <w:gridCol w:w="577"/>
        <w:gridCol w:w="647"/>
        <w:gridCol w:w="372"/>
        <w:gridCol w:w="720"/>
        <w:gridCol w:w="643"/>
        <w:gridCol w:w="770"/>
      </w:tblGrid>
      <w:tr>
        <w:trPr>
          <w:trHeight w:val="362"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本）</w:t>
            </w:r>
          </w:p>
        </w:tc>
        <w:tc>
          <w:tcPr>
            <w:tcW w:w="72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 积弥补亏 损</w:t>
            </w:r>
          </w:p>
        </w:tc>
        <w:tc>
          <w:tcPr>
            <w:tcW w:w="72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 益计划变 动额结转 留存收益</w:t>
            </w:r>
          </w:p>
        </w:tc>
        <w:tc>
          <w:tcPr>
            <w:tcW w:w="72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 合收益结 转留存收 益</w:t>
            </w:r>
          </w:p>
        </w:tc>
        <w:tc>
          <w:tcPr>
            <w:tcW w:w="72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72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12"/>
                <w:sz w:val="18"/>
                <w:szCs w:val="18"/>
              </w:rPr>
              <w:t>（五）专项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储备</w:t>
            </w:r>
          </w:p>
        </w:tc>
        <w:tc>
          <w:tcPr>
            <w:tcW w:w="72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 取</w:t>
            </w:r>
          </w:p>
        </w:tc>
        <w:tc>
          <w:tcPr>
            <w:tcW w:w="72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 用</w:t>
            </w:r>
          </w:p>
        </w:tc>
        <w:tc>
          <w:tcPr>
            <w:tcW w:w="72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12"/>
                <w:sz w:val="18"/>
                <w:szCs w:val="18"/>
              </w:rPr>
              <w:t>（六）其他</w:t>
            </w:r>
          </w:p>
        </w:tc>
        <w:tc>
          <w:tcPr>
            <w:tcW w:w="72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
        </w:tc>
        <w:tc>
          <w:tcPr>
            <w:tcW w:w="37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pacing w:val="-12"/>
                <w:sz w:val="18"/>
                <w:szCs w:val="18"/>
              </w:rPr>
              <w:t>四、本期期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末余额</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1,652,87</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4,961.00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2,897,</w:t>
            </w:r>
          </w:p>
          <w:p>
            <w:pPr>
              <w:pStyle w:val="TableParagraph"/>
              <w:spacing w:line="240" w:lineRule="auto" w:before="104"/>
              <w:ind w:left="25" w:right="0"/>
              <w:jc w:val="center"/>
              <w:rPr>
                <w:rFonts w:ascii="Times New Roman" w:hAnsi="Times New Roman" w:cs="Times New Roman" w:eastAsia="Times New Roman" w:hint="default"/>
                <w:sz w:val="18"/>
                <w:szCs w:val="18"/>
              </w:rPr>
            </w:pPr>
            <w:r>
              <w:rPr>
                <w:rFonts w:ascii="Times New Roman"/>
                <w:sz w:val="18"/>
              </w:rPr>
              <w:t>090,36</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7.86</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26,954</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,164.0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576"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246,85</w:t>
            </w:r>
          </w:p>
          <w:p>
            <w:pPr>
              <w:pStyle w:val="TableParagraph"/>
              <w:spacing w:line="240" w:lineRule="auto" w:before="104"/>
              <w:ind w:left="92" w:right="0"/>
              <w:jc w:val="left"/>
              <w:rPr>
                <w:rFonts w:ascii="Times New Roman" w:hAnsi="Times New Roman" w:cs="Times New Roman" w:eastAsia="Times New Roman" w:hint="default"/>
                <w:sz w:val="18"/>
                <w:szCs w:val="18"/>
              </w:rPr>
            </w:pPr>
            <w:r>
              <w:rPr>
                <w:rFonts w:ascii="Times New Roman"/>
                <w:sz w:val="18"/>
              </w:rPr>
              <w:t>5,939.</w:t>
            </w:r>
          </w:p>
          <w:p>
            <w:pPr>
              <w:pStyle w:val="TableParagraph"/>
              <w:spacing w:line="240" w:lineRule="auto" w:before="106"/>
              <w:ind w:left="362" w:right="0"/>
              <w:jc w:val="left"/>
              <w:rPr>
                <w:rFonts w:ascii="Times New Roman" w:hAnsi="Times New Roman" w:cs="Times New Roman" w:eastAsia="Times New Roman" w:hint="default"/>
                <w:sz w:val="18"/>
                <w:szCs w:val="18"/>
              </w:rPr>
            </w:pPr>
            <w:r>
              <w:rPr>
                <w:rFonts w:ascii="Times New Roman"/>
                <w:sz w:val="18"/>
              </w:rPr>
              <w:t>63</w:t>
            </w:r>
          </w:p>
        </w:tc>
        <w:tc>
          <w:tcPr>
            <w:tcW w:w="577" w:type="dxa"/>
            <w:tcBorders>
              <w:top w:val="single" w:sz="4" w:space="0" w:color="000000"/>
              <w:left w:val="single" w:sz="4" w:space="0" w:color="000000"/>
              <w:bottom w:val="single" w:sz="4" w:space="0" w:color="000000"/>
              <w:right w:val="single" w:sz="4" w:space="0" w:color="000000"/>
            </w:tcBorders>
          </w:tcPr>
          <w:p>
            <w:pPr/>
          </w:p>
        </w:tc>
        <w:tc>
          <w:tcPr>
            <w:tcW w:w="6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1,314,5</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94,063.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13</w:t>
            </w:r>
          </w:p>
        </w:tc>
        <w:tc>
          <w:tcPr>
            <w:tcW w:w="37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6,084,46</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1,167.59</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center"/>
              <w:rPr>
                <w:rFonts w:ascii="Times New Roman" w:hAnsi="Times New Roman" w:cs="Times New Roman" w:eastAsia="Times New Roman" w:hint="default"/>
                <w:sz w:val="18"/>
                <w:szCs w:val="18"/>
              </w:rPr>
            </w:pPr>
            <w:r>
              <w:rPr>
                <w:rFonts w:ascii="Times New Roman"/>
                <w:sz w:val="18"/>
              </w:rPr>
              <w:t>7,968,7</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03.33</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sz w:val="18"/>
              </w:rPr>
              <w:t>6,092,42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9,870.92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6"/>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877"/>
        <w:gridCol w:w="732"/>
        <w:gridCol w:w="604"/>
        <w:gridCol w:w="605"/>
        <w:gridCol w:w="605"/>
        <w:gridCol w:w="887"/>
        <w:gridCol w:w="900"/>
        <w:gridCol w:w="726"/>
        <w:gridCol w:w="727"/>
        <w:gridCol w:w="726"/>
        <w:gridCol w:w="854"/>
        <w:gridCol w:w="420"/>
        <w:gridCol w:w="864"/>
      </w:tblGrid>
      <w:tr>
        <w:trPr>
          <w:trHeight w:val="401" w:hRule="exact"/>
        </w:trPr>
        <w:tc>
          <w:tcPr>
            <w:tcW w:w="877" w:type="dxa"/>
            <w:tcBorders>
              <w:top w:val="single" w:sz="4" w:space="0" w:color="000000"/>
              <w:left w:val="single" w:sz="4" w:space="0" w:color="000000"/>
              <w:bottom w:val="nil" w:sz="6" w:space="0" w:color="auto"/>
              <w:right w:val="single" w:sz="4" w:space="0" w:color="000000"/>
            </w:tcBorders>
            <w:shd w:val="clear" w:color="auto" w:fill="D3D3D3"/>
          </w:tcPr>
          <w:p>
            <w:pPr/>
          </w:p>
        </w:tc>
        <w:tc>
          <w:tcPr>
            <w:tcW w:w="8650"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201" w:hRule="exact"/>
        </w:trPr>
        <w:tc>
          <w:tcPr>
            <w:tcW w:w="87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32" w:type="dxa"/>
            <w:tcBorders>
              <w:top w:val="single" w:sz="4" w:space="0" w:color="000000"/>
              <w:left w:val="single" w:sz="4" w:space="0" w:color="000000"/>
              <w:bottom w:val="nil" w:sz="6" w:space="0" w:color="auto"/>
              <w:right w:val="single" w:sz="4" w:space="0" w:color="000000"/>
            </w:tcBorders>
            <w:shd w:val="clear" w:color="auto" w:fill="D3D3D3"/>
          </w:tcPr>
          <w:p>
            <w:pPr/>
          </w:p>
        </w:tc>
        <w:tc>
          <w:tcPr>
            <w:tcW w:w="1813"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6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87" w:type="dxa"/>
            <w:tcBorders>
              <w:top w:val="single" w:sz="4" w:space="0" w:color="000000"/>
              <w:left w:val="single" w:sz="4" w:space="0" w:color="000000"/>
              <w:bottom w:val="nil" w:sz="6" w:space="0" w:color="auto"/>
              <w:right w:val="single" w:sz="4" w:space="0" w:color="000000"/>
            </w:tcBorders>
            <w:shd w:val="clear" w:color="auto" w:fill="D3D3D3"/>
          </w:tcPr>
          <w:p>
            <w:pPr/>
          </w:p>
        </w:tc>
        <w:tc>
          <w:tcPr>
            <w:tcW w:w="900" w:type="dxa"/>
            <w:tcBorders>
              <w:top w:val="single" w:sz="4" w:space="0" w:color="000000"/>
              <w:left w:val="single" w:sz="4" w:space="0" w:color="000000"/>
              <w:bottom w:val="nil" w:sz="6" w:space="0" w:color="auto"/>
              <w:right w:val="single" w:sz="4" w:space="0" w:color="000000"/>
            </w:tcBorders>
            <w:shd w:val="clear" w:color="auto" w:fill="D3D3D3"/>
          </w:tcPr>
          <w:p>
            <w:pPr/>
          </w:p>
        </w:tc>
        <w:tc>
          <w:tcPr>
            <w:tcW w:w="72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1"/>
              <w:ind w:left="87" w:right="8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1"/>
              <w:ind w:left="267" w:right="89"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1"/>
              <w:ind w:left="267"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5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1"/>
              <w:ind w:left="332" w:right="60"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420" w:type="dxa"/>
            <w:tcBorders>
              <w:top w:val="single" w:sz="4" w:space="0" w:color="000000"/>
              <w:left w:val="single" w:sz="4" w:space="0" w:color="000000"/>
              <w:bottom w:val="nil" w:sz="6" w:space="0" w:color="auto"/>
              <w:right w:val="single" w:sz="4" w:space="0" w:color="000000"/>
            </w:tcBorders>
            <w:shd w:val="clear" w:color="auto" w:fill="D3D3D3"/>
          </w:tcPr>
          <w:p>
            <w:pPr/>
          </w:p>
        </w:tc>
        <w:tc>
          <w:tcPr>
            <w:tcW w:w="86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1"/>
              <w:ind w:left="157" w:right="65"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6" w:hRule="exact"/>
        </w:trPr>
        <w:tc>
          <w:tcPr>
            <w:tcW w:w="877" w:type="dxa"/>
            <w:vMerge/>
            <w:tcBorders>
              <w:left w:val="single" w:sz="4" w:space="0" w:color="000000"/>
              <w:bottom w:val="nil" w:sz="6" w:space="0" w:color="auto"/>
              <w:right w:val="single" w:sz="4" w:space="0" w:color="000000"/>
            </w:tcBorders>
            <w:shd w:val="clear" w:color="auto" w:fill="D3D3D3"/>
          </w:tcPr>
          <w:p>
            <w:pPr/>
          </w:p>
        </w:tc>
        <w:tc>
          <w:tcPr>
            <w:tcW w:w="7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18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vMerge/>
            <w:tcBorders>
              <w:left w:val="single" w:sz="4" w:space="0" w:color="000000"/>
              <w:bottom w:val="single" w:sz="4" w:space="0" w:color="000000"/>
              <w:right w:val="single" w:sz="4" w:space="0" w:color="000000"/>
            </w:tcBorders>
            <w:shd w:val="clear" w:color="auto" w:fill="D3D3D3"/>
          </w:tcPr>
          <w:p>
            <w:pPr/>
          </w:p>
        </w:tc>
        <w:tc>
          <w:tcPr>
            <w:tcW w:w="88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7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0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12"/>
                <w:sz w:val="18"/>
                <w:szCs w:val="18"/>
              </w:rPr>
              <w:t>减：库存股</w:t>
            </w:r>
          </w:p>
        </w:tc>
        <w:tc>
          <w:tcPr>
            <w:tcW w:w="726" w:type="dxa"/>
            <w:vMerge/>
            <w:tcBorders>
              <w:left w:val="single" w:sz="4" w:space="0" w:color="000000"/>
              <w:right w:val="single" w:sz="4" w:space="0" w:color="000000"/>
            </w:tcBorders>
            <w:shd w:val="clear" w:color="auto" w:fill="D3D3D3"/>
          </w:tcPr>
          <w:p>
            <w:pPr/>
          </w:p>
        </w:tc>
        <w:tc>
          <w:tcPr>
            <w:tcW w:w="727" w:type="dxa"/>
            <w:vMerge/>
            <w:tcBorders>
              <w:left w:val="single" w:sz="4" w:space="0" w:color="000000"/>
              <w:right w:val="single" w:sz="4" w:space="0" w:color="000000"/>
            </w:tcBorders>
            <w:shd w:val="clear" w:color="auto" w:fill="D3D3D3"/>
          </w:tcPr>
          <w:p>
            <w:pPr/>
          </w:p>
        </w:tc>
        <w:tc>
          <w:tcPr>
            <w:tcW w:w="726" w:type="dxa"/>
            <w:vMerge/>
            <w:tcBorders>
              <w:left w:val="single" w:sz="4" w:space="0" w:color="000000"/>
              <w:right w:val="single" w:sz="4" w:space="0" w:color="000000"/>
            </w:tcBorders>
            <w:shd w:val="clear" w:color="auto" w:fill="D3D3D3"/>
          </w:tcPr>
          <w:p>
            <w:pPr/>
          </w:p>
        </w:tc>
        <w:tc>
          <w:tcPr>
            <w:tcW w:w="854" w:type="dxa"/>
            <w:vMerge/>
            <w:tcBorders>
              <w:left w:val="single" w:sz="4" w:space="0" w:color="000000"/>
              <w:right w:val="single" w:sz="4" w:space="0" w:color="000000"/>
            </w:tcBorders>
            <w:shd w:val="clear" w:color="auto" w:fill="D3D3D3"/>
          </w:tcPr>
          <w:p>
            <w:pPr/>
          </w:p>
        </w:tc>
        <w:tc>
          <w:tcPr>
            <w:tcW w:w="42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4" w:type="dxa"/>
            <w:vMerge/>
            <w:tcBorders>
              <w:left w:val="single" w:sz="4" w:space="0" w:color="000000"/>
              <w:right w:val="single" w:sz="4" w:space="0" w:color="000000"/>
            </w:tcBorders>
            <w:shd w:val="clear" w:color="auto" w:fill="D3D3D3"/>
          </w:tcPr>
          <w:p>
            <w:pPr/>
          </w:p>
        </w:tc>
      </w:tr>
      <w:tr>
        <w:trPr>
          <w:trHeight w:val="195" w:hRule="exact"/>
        </w:trPr>
        <w:tc>
          <w:tcPr>
            <w:tcW w:w="877" w:type="dxa"/>
            <w:vMerge w:val="restart"/>
            <w:tcBorders>
              <w:top w:val="nil" w:sz="6" w:space="0" w:color="auto"/>
              <w:left w:val="single" w:sz="4" w:space="0" w:color="000000"/>
              <w:right w:val="single" w:sz="4" w:space="0" w:color="000000"/>
            </w:tcBorders>
            <w:shd w:val="clear" w:color="auto" w:fill="D3D3D3"/>
          </w:tcPr>
          <w:p>
            <w:pPr/>
          </w:p>
        </w:tc>
        <w:tc>
          <w:tcPr>
            <w:tcW w:w="732" w:type="dxa"/>
            <w:vMerge/>
            <w:tcBorders>
              <w:left w:val="single" w:sz="4" w:space="0" w:color="000000"/>
              <w:bottom w:val="nil" w:sz="6" w:space="0" w:color="auto"/>
              <w:right w:val="single" w:sz="4" w:space="0" w:color="000000"/>
            </w:tcBorders>
            <w:shd w:val="clear" w:color="auto" w:fill="D3D3D3"/>
          </w:tcPr>
          <w:p>
            <w:pPr/>
          </w:p>
        </w:tc>
        <w:tc>
          <w:tcPr>
            <w:tcW w:w="60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7"/>
              <w:ind w:left="27"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7"/>
              <w:ind w:left="1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7" w:type="dxa"/>
            <w:vMerge/>
            <w:tcBorders>
              <w:left w:val="single" w:sz="4" w:space="0" w:color="000000"/>
              <w:bottom w:val="nil" w:sz="6" w:space="0" w:color="auto"/>
              <w:right w:val="single" w:sz="4" w:space="0" w:color="000000"/>
            </w:tcBorders>
            <w:shd w:val="clear" w:color="auto" w:fill="D3D3D3"/>
          </w:tcPr>
          <w:p>
            <w:pPr/>
          </w:p>
        </w:tc>
        <w:tc>
          <w:tcPr>
            <w:tcW w:w="900" w:type="dxa"/>
            <w:vMerge/>
            <w:tcBorders>
              <w:left w:val="single" w:sz="4" w:space="0" w:color="000000"/>
              <w:bottom w:val="nil" w:sz="6" w:space="0" w:color="auto"/>
              <w:right w:val="single" w:sz="4" w:space="0" w:color="000000"/>
            </w:tcBorders>
            <w:shd w:val="clear" w:color="auto" w:fill="D3D3D3"/>
          </w:tcPr>
          <w:p>
            <w:pPr/>
          </w:p>
        </w:tc>
        <w:tc>
          <w:tcPr>
            <w:tcW w:w="726" w:type="dxa"/>
            <w:vMerge/>
            <w:tcBorders>
              <w:left w:val="single" w:sz="4" w:space="0" w:color="000000"/>
              <w:right w:val="single" w:sz="4" w:space="0" w:color="000000"/>
            </w:tcBorders>
            <w:shd w:val="clear" w:color="auto" w:fill="D3D3D3"/>
          </w:tcPr>
          <w:p>
            <w:pPr/>
          </w:p>
        </w:tc>
        <w:tc>
          <w:tcPr>
            <w:tcW w:w="727" w:type="dxa"/>
            <w:vMerge/>
            <w:tcBorders>
              <w:left w:val="single" w:sz="4" w:space="0" w:color="000000"/>
              <w:right w:val="single" w:sz="4" w:space="0" w:color="000000"/>
            </w:tcBorders>
            <w:shd w:val="clear" w:color="auto" w:fill="D3D3D3"/>
          </w:tcPr>
          <w:p>
            <w:pPr/>
          </w:p>
        </w:tc>
        <w:tc>
          <w:tcPr>
            <w:tcW w:w="726" w:type="dxa"/>
            <w:vMerge/>
            <w:tcBorders>
              <w:left w:val="single" w:sz="4" w:space="0" w:color="000000"/>
              <w:right w:val="single" w:sz="4" w:space="0" w:color="000000"/>
            </w:tcBorders>
            <w:shd w:val="clear" w:color="auto" w:fill="D3D3D3"/>
          </w:tcPr>
          <w:p>
            <w:pPr/>
          </w:p>
        </w:tc>
        <w:tc>
          <w:tcPr>
            <w:tcW w:w="854" w:type="dxa"/>
            <w:vMerge/>
            <w:tcBorders>
              <w:left w:val="single" w:sz="4" w:space="0" w:color="000000"/>
              <w:right w:val="single" w:sz="4" w:space="0" w:color="000000"/>
            </w:tcBorders>
            <w:shd w:val="clear" w:color="auto" w:fill="D3D3D3"/>
          </w:tcPr>
          <w:p>
            <w:pPr/>
          </w:p>
        </w:tc>
        <w:tc>
          <w:tcPr>
            <w:tcW w:w="420" w:type="dxa"/>
            <w:vMerge/>
            <w:tcBorders>
              <w:left w:val="single" w:sz="4" w:space="0" w:color="000000"/>
              <w:bottom w:val="nil" w:sz="6" w:space="0" w:color="auto"/>
              <w:right w:val="single" w:sz="4" w:space="0" w:color="000000"/>
            </w:tcBorders>
            <w:shd w:val="clear" w:color="auto" w:fill="D3D3D3"/>
          </w:tcPr>
          <w:p>
            <w:pPr/>
          </w:p>
        </w:tc>
        <w:tc>
          <w:tcPr>
            <w:tcW w:w="864" w:type="dxa"/>
            <w:vMerge/>
            <w:tcBorders>
              <w:left w:val="single" w:sz="4" w:space="0" w:color="000000"/>
              <w:right w:val="single" w:sz="4" w:space="0" w:color="000000"/>
            </w:tcBorders>
            <w:shd w:val="clear" w:color="auto" w:fill="D3D3D3"/>
          </w:tcPr>
          <w:p>
            <w:pPr/>
          </w:p>
        </w:tc>
      </w:tr>
      <w:tr>
        <w:trPr>
          <w:trHeight w:val="212" w:hRule="exact"/>
        </w:trPr>
        <w:tc>
          <w:tcPr>
            <w:tcW w:w="877" w:type="dxa"/>
            <w:vMerge/>
            <w:tcBorders>
              <w:left w:val="single" w:sz="4" w:space="0" w:color="000000"/>
              <w:bottom w:val="single" w:sz="4" w:space="0" w:color="000000"/>
              <w:right w:val="single" w:sz="4" w:space="0" w:color="000000"/>
            </w:tcBorders>
            <w:shd w:val="clear" w:color="auto" w:fill="D3D3D3"/>
          </w:tcPr>
          <w:p>
            <w:pPr/>
          </w:p>
        </w:tc>
        <w:tc>
          <w:tcPr>
            <w:tcW w:w="732" w:type="dxa"/>
            <w:tcBorders>
              <w:top w:val="nil" w:sz="6" w:space="0" w:color="auto"/>
              <w:left w:val="single" w:sz="4" w:space="0" w:color="000000"/>
              <w:bottom w:val="single" w:sz="4" w:space="0" w:color="000000"/>
              <w:right w:val="single" w:sz="4" w:space="0" w:color="000000"/>
            </w:tcBorders>
            <w:shd w:val="clear" w:color="auto" w:fill="D3D3D3"/>
          </w:tcPr>
          <w:p>
            <w:pPr/>
          </w:p>
        </w:tc>
        <w:tc>
          <w:tcPr>
            <w:tcW w:w="604" w:type="dxa"/>
            <w:vMerge/>
            <w:tcBorders>
              <w:left w:val="single" w:sz="4" w:space="0" w:color="000000"/>
              <w:bottom w:val="single" w:sz="4" w:space="0" w:color="000000"/>
              <w:right w:val="single" w:sz="4" w:space="0" w:color="000000"/>
            </w:tcBorders>
            <w:shd w:val="clear" w:color="auto" w:fill="D3D3D3"/>
          </w:tcPr>
          <w:p>
            <w:pPr/>
          </w:p>
        </w:tc>
        <w:tc>
          <w:tcPr>
            <w:tcW w:w="605" w:type="dxa"/>
            <w:vMerge/>
            <w:tcBorders>
              <w:left w:val="single" w:sz="4" w:space="0" w:color="000000"/>
              <w:bottom w:val="single" w:sz="4" w:space="0" w:color="000000"/>
              <w:right w:val="single" w:sz="4" w:space="0" w:color="000000"/>
            </w:tcBorders>
            <w:shd w:val="clear" w:color="auto" w:fill="D3D3D3"/>
          </w:tcPr>
          <w:p>
            <w:pPr/>
          </w:p>
        </w:tc>
        <w:tc>
          <w:tcPr>
            <w:tcW w:w="605" w:type="dxa"/>
            <w:vMerge/>
            <w:tcBorders>
              <w:left w:val="single" w:sz="4" w:space="0" w:color="000000"/>
              <w:bottom w:val="single" w:sz="4" w:space="0" w:color="000000"/>
              <w:right w:val="single" w:sz="4" w:space="0" w:color="000000"/>
            </w:tcBorders>
            <w:shd w:val="clear" w:color="auto" w:fill="D3D3D3"/>
          </w:tcPr>
          <w:p>
            <w:pPr/>
          </w:p>
        </w:tc>
        <w:tc>
          <w:tcPr>
            <w:tcW w:w="887" w:type="dxa"/>
            <w:tcBorders>
              <w:top w:val="nil" w:sz="6" w:space="0" w:color="auto"/>
              <w:left w:val="single" w:sz="4" w:space="0" w:color="000000"/>
              <w:bottom w:val="single" w:sz="4" w:space="0" w:color="000000"/>
              <w:right w:val="single" w:sz="4" w:space="0" w:color="000000"/>
            </w:tcBorders>
            <w:shd w:val="clear" w:color="auto" w:fill="D3D3D3"/>
          </w:tcPr>
          <w:p>
            <w:pPr/>
          </w:p>
        </w:tc>
        <w:tc>
          <w:tcPr>
            <w:tcW w:w="900" w:type="dxa"/>
            <w:tcBorders>
              <w:top w:val="nil" w:sz="6" w:space="0" w:color="auto"/>
              <w:left w:val="single" w:sz="4" w:space="0" w:color="000000"/>
              <w:bottom w:val="single" w:sz="4" w:space="0" w:color="000000"/>
              <w:right w:val="single" w:sz="4" w:space="0" w:color="000000"/>
            </w:tcBorders>
            <w:shd w:val="clear" w:color="auto" w:fill="D3D3D3"/>
          </w:tcPr>
          <w:p>
            <w:pPr/>
          </w:p>
        </w:tc>
        <w:tc>
          <w:tcPr>
            <w:tcW w:w="726" w:type="dxa"/>
            <w:vMerge/>
            <w:tcBorders>
              <w:left w:val="single" w:sz="4" w:space="0" w:color="000000"/>
              <w:bottom w:val="single" w:sz="4" w:space="0" w:color="000000"/>
              <w:right w:val="single" w:sz="4" w:space="0" w:color="000000"/>
            </w:tcBorders>
            <w:shd w:val="clear" w:color="auto" w:fill="D3D3D3"/>
          </w:tcPr>
          <w:p>
            <w:pPr/>
          </w:p>
        </w:tc>
        <w:tc>
          <w:tcPr>
            <w:tcW w:w="727" w:type="dxa"/>
            <w:vMerge/>
            <w:tcBorders>
              <w:left w:val="single" w:sz="4" w:space="0" w:color="000000"/>
              <w:bottom w:val="single" w:sz="4" w:space="0" w:color="000000"/>
              <w:right w:val="single" w:sz="4" w:space="0" w:color="000000"/>
            </w:tcBorders>
            <w:shd w:val="clear" w:color="auto" w:fill="D3D3D3"/>
          </w:tcPr>
          <w:p>
            <w:pPr/>
          </w:p>
        </w:tc>
        <w:tc>
          <w:tcPr>
            <w:tcW w:w="726" w:type="dxa"/>
            <w:vMerge/>
            <w:tcBorders>
              <w:left w:val="single" w:sz="4" w:space="0" w:color="000000"/>
              <w:bottom w:val="single" w:sz="4" w:space="0" w:color="000000"/>
              <w:right w:val="single" w:sz="4" w:space="0" w:color="000000"/>
            </w:tcBorders>
            <w:shd w:val="clear" w:color="auto" w:fill="D3D3D3"/>
          </w:tcPr>
          <w:p>
            <w:pPr/>
          </w:p>
        </w:tc>
        <w:tc>
          <w:tcPr>
            <w:tcW w:w="854" w:type="dxa"/>
            <w:vMerge/>
            <w:tcBorders>
              <w:left w:val="single" w:sz="4" w:space="0" w:color="000000"/>
              <w:bottom w:val="single" w:sz="4" w:space="0" w:color="000000"/>
              <w:right w:val="single" w:sz="4" w:space="0" w:color="000000"/>
            </w:tcBorders>
            <w:shd w:val="clear" w:color="auto" w:fill="D3D3D3"/>
          </w:tcPr>
          <w:p>
            <w:pPr/>
          </w:p>
        </w:tc>
        <w:tc>
          <w:tcPr>
            <w:tcW w:w="420" w:type="dxa"/>
            <w:tcBorders>
              <w:top w:val="nil" w:sz="6" w:space="0" w:color="auto"/>
              <w:left w:val="single" w:sz="4" w:space="0" w:color="000000"/>
              <w:bottom w:val="single" w:sz="4" w:space="0" w:color="000000"/>
              <w:right w:val="single" w:sz="4" w:space="0" w:color="000000"/>
            </w:tcBorders>
            <w:shd w:val="clear" w:color="auto" w:fill="D3D3D3"/>
          </w:tcPr>
          <w:p>
            <w:pPr/>
          </w:p>
        </w:tc>
        <w:tc>
          <w:tcPr>
            <w:tcW w:w="864"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8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1"/>
              <w:jc w:val="left"/>
              <w:rPr>
                <w:rFonts w:ascii="宋体" w:hAnsi="宋体" w:cs="宋体" w:eastAsia="宋体" w:hint="default"/>
                <w:sz w:val="18"/>
                <w:szCs w:val="18"/>
              </w:rPr>
            </w:pPr>
            <w:r>
              <w:rPr>
                <w:rFonts w:ascii="宋体" w:hAnsi="宋体" w:cs="宋体" w:eastAsia="宋体" w:hint="default"/>
                <w:spacing w:val="-12"/>
                <w:sz w:val="18"/>
                <w:szCs w:val="18"/>
              </w:rPr>
              <w:t>一、上年期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末余额</w:t>
            </w:r>
          </w:p>
        </w:tc>
        <w:tc>
          <w:tcPr>
            <w:tcW w:w="7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61" w:right="0"/>
              <w:jc w:val="left"/>
              <w:rPr>
                <w:rFonts w:ascii="Times New Roman" w:hAnsi="Times New Roman" w:cs="Times New Roman" w:eastAsia="Times New Roman" w:hint="default"/>
                <w:sz w:val="18"/>
                <w:szCs w:val="18"/>
              </w:rPr>
            </w:pPr>
            <w:r>
              <w:rPr>
                <w:rFonts w:ascii="Times New Roman"/>
                <w:sz w:val="18"/>
              </w:rPr>
              <w:t>1,652,87</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4,961.00</w:t>
            </w: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left"/>
              <w:rPr>
                <w:rFonts w:ascii="Times New Roman" w:hAnsi="Times New Roman" w:cs="Times New Roman" w:eastAsia="Times New Roman" w:hint="default"/>
                <w:sz w:val="18"/>
                <w:szCs w:val="18"/>
              </w:rPr>
            </w:pPr>
            <w:r>
              <w:rPr>
                <w:rFonts w:ascii="Times New Roman"/>
                <w:sz w:val="18"/>
              </w:rPr>
              <w:t>2,884,526,</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399.32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26,954,164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.03</w:t>
            </w:r>
          </w:p>
        </w:tc>
        <w:tc>
          <w:tcPr>
            <w:tcW w:w="726" w:type="dxa"/>
            <w:tcBorders>
              <w:top w:val="single" w:sz="21" w:space="0" w:color="D3D3D3"/>
              <w:left w:val="single" w:sz="4" w:space="0" w:color="000000"/>
              <w:bottom w:val="single" w:sz="4" w:space="0" w:color="000000"/>
              <w:right w:val="single" w:sz="4" w:space="0" w:color="000000"/>
            </w:tcBorders>
          </w:tcPr>
          <w:p>
            <w:pPr/>
          </w:p>
        </w:tc>
        <w:tc>
          <w:tcPr>
            <w:tcW w:w="727" w:type="dxa"/>
            <w:tcBorders>
              <w:top w:val="single" w:sz="21" w:space="0" w:color="D3D3D3"/>
              <w:left w:val="single" w:sz="4" w:space="0" w:color="000000"/>
              <w:bottom w:val="single" w:sz="4" w:space="0" w:color="000000"/>
              <w:right w:val="single" w:sz="4" w:space="0" w:color="000000"/>
            </w:tcBorders>
          </w:tcPr>
          <w:p>
            <w:pPr/>
          </w:p>
        </w:tc>
        <w:tc>
          <w:tcPr>
            <w:tcW w:w="726" w:type="dxa"/>
            <w:tcBorders>
              <w:top w:val="single" w:sz="21" w:space="0" w:color="D3D3D3"/>
              <w:left w:val="single" w:sz="4" w:space="0" w:color="000000"/>
              <w:bottom w:val="single" w:sz="4" w:space="0" w:color="000000"/>
              <w:right w:val="single" w:sz="4" w:space="0" w:color="000000"/>
            </w:tcBorders>
          </w:tcPr>
          <w:p>
            <w:pPr>
              <w:pStyle w:val="TableParagraph"/>
              <w:spacing w:line="240" w:lineRule="auto" w:before="70"/>
              <w:ind w:left="38" w:right="0"/>
              <w:jc w:val="center"/>
              <w:rPr>
                <w:rFonts w:ascii="Times New Roman" w:hAnsi="Times New Roman" w:cs="Times New Roman" w:eastAsia="Times New Roman" w:hint="default"/>
                <w:sz w:val="18"/>
                <w:szCs w:val="18"/>
              </w:rPr>
            </w:pPr>
            <w:r>
              <w:rPr>
                <w:rFonts w:ascii="Times New Roman"/>
                <w:sz w:val="18"/>
              </w:rPr>
              <w:t>240,612,</w:t>
            </w:r>
          </w:p>
          <w:p>
            <w:pPr>
              <w:pStyle w:val="TableParagraph"/>
              <w:spacing w:line="240" w:lineRule="auto" w:before="105"/>
              <w:ind w:left="172" w:right="0"/>
              <w:jc w:val="center"/>
              <w:rPr>
                <w:rFonts w:ascii="Times New Roman" w:hAnsi="Times New Roman" w:cs="Times New Roman" w:eastAsia="Times New Roman" w:hint="default"/>
                <w:sz w:val="18"/>
                <w:szCs w:val="18"/>
              </w:rPr>
            </w:pPr>
            <w:r>
              <w:rPr>
                <w:rFonts w:ascii="Times New Roman"/>
                <w:sz w:val="18"/>
              </w:rPr>
              <w:t>986.37</w:t>
            </w:r>
          </w:p>
        </w:tc>
        <w:tc>
          <w:tcPr>
            <w:tcW w:w="854" w:type="dxa"/>
            <w:tcBorders>
              <w:top w:val="single" w:sz="21" w:space="0" w:color="D3D3D3"/>
              <w:left w:val="single" w:sz="4" w:space="0" w:color="000000"/>
              <w:bottom w:val="single" w:sz="4" w:space="0" w:color="000000"/>
              <w:right w:val="single" w:sz="4" w:space="0" w:color="000000"/>
            </w:tcBorders>
          </w:tcPr>
          <w:p>
            <w:pPr>
              <w:pStyle w:val="TableParagraph"/>
              <w:spacing w:line="240" w:lineRule="auto" w:before="70"/>
              <w:ind w:left="102" w:right="0"/>
              <w:jc w:val="left"/>
              <w:rPr>
                <w:rFonts w:ascii="Times New Roman" w:hAnsi="Times New Roman" w:cs="Times New Roman" w:eastAsia="Times New Roman" w:hint="default"/>
                <w:sz w:val="18"/>
                <w:szCs w:val="18"/>
              </w:rPr>
            </w:pPr>
            <w:r>
              <w:rPr>
                <w:rFonts w:ascii="Times New Roman"/>
                <w:sz w:val="18"/>
              </w:rPr>
              <w:t>518,315,2</w:t>
            </w:r>
          </w:p>
          <w:p>
            <w:pPr>
              <w:pStyle w:val="TableParagraph"/>
              <w:spacing w:line="240" w:lineRule="auto" w:before="105"/>
              <w:ind w:left="416" w:right="0"/>
              <w:jc w:val="left"/>
              <w:rPr>
                <w:rFonts w:ascii="Times New Roman" w:hAnsi="Times New Roman" w:cs="Times New Roman" w:eastAsia="Times New Roman" w:hint="default"/>
                <w:sz w:val="18"/>
                <w:szCs w:val="18"/>
              </w:rPr>
            </w:pPr>
            <w:r>
              <w:rPr>
                <w:rFonts w:ascii="Times New Roman"/>
                <w:sz w:val="18"/>
              </w:rPr>
              <w:t>77.21</w:t>
            </w:r>
          </w:p>
        </w:tc>
        <w:tc>
          <w:tcPr>
            <w:tcW w:w="4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21" w:space="0" w:color="D3D3D3"/>
              <w:left w:val="single" w:sz="4" w:space="0" w:color="000000"/>
              <w:bottom w:val="single" w:sz="4" w:space="0" w:color="000000"/>
              <w:right w:val="single" w:sz="4" w:space="0" w:color="000000"/>
            </w:tcBorders>
          </w:tcPr>
          <w:p>
            <w:pPr>
              <w:pStyle w:val="TableParagraph"/>
              <w:spacing w:line="240" w:lineRule="auto" w:before="70"/>
              <w:ind w:left="67" w:right="0"/>
              <w:jc w:val="left"/>
              <w:rPr>
                <w:rFonts w:ascii="Times New Roman" w:hAnsi="Times New Roman" w:cs="Times New Roman" w:eastAsia="Times New Roman" w:hint="default"/>
                <w:sz w:val="18"/>
                <w:szCs w:val="18"/>
              </w:rPr>
            </w:pPr>
            <w:r>
              <w:rPr>
                <w:rFonts w:ascii="Times New Roman"/>
                <w:sz w:val="18"/>
              </w:rPr>
              <w:t>5,269,375,</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459.87</w:t>
            </w:r>
          </w:p>
        </w:tc>
      </w:tr>
      <w:tr>
        <w:trPr>
          <w:trHeight w:val="1026" w:hRule="exact"/>
        </w:trPr>
        <w:tc>
          <w:tcPr>
            <w:tcW w:w="8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1" w:firstLine="360"/>
              <w:jc w:val="left"/>
              <w:rPr>
                <w:rFonts w:ascii="宋体" w:hAnsi="宋体" w:cs="宋体" w:eastAsia="宋体" w:hint="default"/>
                <w:sz w:val="18"/>
                <w:szCs w:val="18"/>
              </w:rPr>
            </w:pPr>
            <w:r>
              <w:rPr>
                <w:rFonts w:ascii="宋体" w:hAnsi="宋体" w:cs="宋体" w:eastAsia="宋体" w:hint="default"/>
                <w:spacing w:val="-19"/>
                <w:sz w:val="18"/>
                <w:szCs w:val="18"/>
              </w:rPr>
              <w:t>加：会</w:t>
            </w:r>
            <w:r>
              <w:rPr>
                <w:rFonts w:ascii="宋体" w:hAnsi="宋体" w:cs="宋体" w:eastAsia="宋体" w:hint="default"/>
                <w:sz w:val="18"/>
                <w:szCs w:val="18"/>
              </w:rPr>
              <w:t> 计政策变 更</w:t>
            </w:r>
          </w:p>
        </w:tc>
        <w:tc>
          <w:tcPr>
            <w:tcW w:w="732" w:type="dxa"/>
            <w:tcBorders>
              <w:top w:val="single" w:sz="4" w:space="0" w:color="000000"/>
              <w:left w:val="single" w:sz="10" w:space="0" w:color="D3D3D3"/>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-16,171,</w:t>
            </w:r>
          </w:p>
          <w:p>
            <w:pPr>
              <w:pStyle w:val="TableParagraph"/>
              <w:spacing w:line="240" w:lineRule="auto" w:before="105"/>
              <w:ind w:left="172" w:right="0"/>
              <w:jc w:val="center"/>
              <w:rPr>
                <w:rFonts w:ascii="Times New Roman" w:hAnsi="Times New Roman" w:cs="Times New Roman" w:eastAsia="Times New Roman" w:hint="default"/>
                <w:sz w:val="18"/>
                <w:szCs w:val="18"/>
              </w:rPr>
            </w:pPr>
            <w:r>
              <w:rPr>
                <w:rFonts w:ascii="Times New Roman"/>
                <w:sz w:val="18"/>
              </w:rPr>
              <w:t>512.65</w:t>
            </w: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2" w:right="0"/>
              <w:jc w:val="left"/>
              <w:rPr>
                <w:rFonts w:ascii="Times New Roman" w:hAnsi="Times New Roman" w:cs="Times New Roman" w:eastAsia="Times New Roman" w:hint="default"/>
                <w:sz w:val="18"/>
                <w:szCs w:val="18"/>
              </w:rPr>
            </w:pPr>
            <w:r>
              <w:rPr>
                <w:rFonts w:ascii="Times New Roman"/>
                <w:sz w:val="18"/>
              </w:rPr>
              <w:t>16,171,51</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2.65</w:t>
            </w:r>
          </w:p>
        </w:tc>
        <w:tc>
          <w:tcPr>
            <w:tcW w:w="4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6"/>
              <w:ind w:left="11" w:right="133"/>
              <w:jc w:val="left"/>
              <w:rPr>
                <w:rFonts w:ascii="宋体" w:hAnsi="宋体" w:cs="宋体" w:eastAsia="宋体" w:hint="default"/>
                <w:sz w:val="18"/>
                <w:szCs w:val="18"/>
              </w:rPr>
            </w:pPr>
            <w:r>
              <w:rPr>
                <w:rFonts w:ascii="宋体" w:hAnsi="宋体" w:cs="宋体" w:eastAsia="宋体" w:hint="default"/>
                <w:sz w:val="18"/>
                <w:szCs w:val="18"/>
              </w:rPr>
              <w:t>前期差错 更正</w:t>
            </w:r>
          </w:p>
        </w:tc>
        <w:tc>
          <w:tcPr>
            <w:tcW w:w="732" w:type="dxa"/>
            <w:tcBorders>
              <w:top w:val="single" w:sz="4" w:space="0" w:color="000000"/>
              <w:left w:val="single" w:sz="10" w:space="0" w:color="D3D3D3"/>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00"/>
        <w:gridCol w:w="720"/>
        <w:gridCol w:w="604"/>
        <w:gridCol w:w="605"/>
        <w:gridCol w:w="605"/>
        <w:gridCol w:w="887"/>
        <w:gridCol w:w="900"/>
        <w:gridCol w:w="726"/>
        <w:gridCol w:w="727"/>
        <w:gridCol w:w="726"/>
        <w:gridCol w:w="854"/>
        <w:gridCol w:w="420"/>
        <w:gridCol w:w="864"/>
      </w:tblGrid>
      <w:tr>
        <w:trPr>
          <w:trHeight w:val="714"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0"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12"/>
                <w:sz w:val="18"/>
                <w:szCs w:val="18"/>
              </w:rPr>
              <w:t>二、本年期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初余额</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1,652,87</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4,961.00</w:t>
            </w: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left"/>
              <w:rPr>
                <w:rFonts w:ascii="Times New Roman" w:hAnsi="Times New Roman" w:cs="Times New Roman" w:eastAsia="Times New Roman" w:hint="default"/>
                <w:sz w:val="18"/>
                <w:szCs w:val="18"/>
              </w:rPr>
            </w:pPr>
            <w:r>
              <w:rPr>
                <w:rFonts w:ascii="Times New Roman"/>
                <w:sz w:val="18"/>
              </w:rPr>
              <w:t>2,884,526,</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399.32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26,954,164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.03</w:t>
            </w: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-16,171,</w:t>
            </w:r>
          </w:p>
          <w:p>
            <w:pPr>
              <w:pStyle w:val="TableParagraph"/>
              <w:spacing w:line="240" w:lineRule="auto" w:before="105"/>
              <w:ind w:left="172" w:right="0"/>
              <w:jc w:val="center"/>
              <w:rPr>
                <w:rFonts w:ascii="Times New Roman" w:hAnsi="Times New Roman" w:cs="Times New Roman" w:eastAsia="Times New Roman" w:hint="default"/>
                <w:sz w:val="18"/>
                <w:szCs w:val="18"/>
              </w:rPr>
            </w:pPr>
            <w:r>
              <w:rPr>
                <w:rFonts w:ascii="Times New Roman"/>
                <w:sz w:val="18"/>
              </w:rPr>
              <w:t>512.65</w:t>
            </w: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240,612,</w:t>
            </w:r>
          </w:p>
          <w:p>
            <w:pPr>
              <w:pStyle w:val="TableParagraph"/>
              <w:spacing w:line="240" w:lineRule="auto" w:before="105"/>
              <w:ind w:left="172" w:right="0"/>
              <w:jc w:val="center"/>
              <w:rPr>
                <w:rFonts w:ascii="Times New Roman" w:hAnsi="Times New Roman" w:cs="Times New Roman" w:eastAsia="Times New Roman" w:hint="default"/>
                <w:sz w:val="18"/>
                <w:szCs w:val="18"/>
              </w:rPr>
            </w:pPr>
            <w:r>
              <w:rPr>
                <w:rFonts w:ascii="Times New Roman"/>
                <w:sz w:val="18"/>
              </w:rPr>
              <w:t>986.37</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534,486,7</w:t>
            </w:r>
          </w:p>
          <w:p>
            <w:pPr>
              <w:pStyle w:val="TableParagraph"/>
              <w:spacing w:line="240" w:lineRule="auto" w:before="105"/>
              <w:ind w:left="416" w:right="0"/>
              <w:jc w:val="left"/>
              <w:rPr>
                <w:rFonts w:ascii="Times New Roman" w:hAnsi="Times New Roman" w:cs="Times New Roman" w:eastAsia="Times New Roman" w:hint="default"/>
                <w:sz w:val="18"/>
                <w:szCs w:val="18"/>
              </w:rPr>
            </w:pPr>
            <w:r>
              <w:rPr>
                <w:rFonts w:ascii="Times New Roman"/>
                <w:sz w:val="18"/>
              </w:rPr>
              <w:t>89.86</w:t>
            </w:r>
          </w:p>
        </w:tc>
        <w:tc>
          <w:tcPr>
            <w:tcW w:w="4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5,269,375,</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459.87</w:t>
            </w:r>
          </w:p>
        </w:tc>
      </w:tr>
      <w:tr>
        <w:trPr>
          <w:trHeight w:val="1650"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12"/>
                <w:sz w:val="18"/>
                <w:szCs w:val="18"/>
              </w:rPr>
              <w:t>三、本期增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减变动金 </w:t>
            </w:r>
            <w:r>
              <w:rPr>
                <w:rFonts w:ascii="宋体" w:hAnsi="宋体" w:cs="宋体" w:eastAsia="宋体" w:hint="default"/>
                <w:spacing w:val="-12"/>
                <w:sz w:val="18"/>
                <w:szCs w:val="18"/>
              </w:rPr>
              <w:t>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2"/>
                <w:sz w:val="18"/>
                <w:szCs w:val="18"/>
              </w:rPr>
              <w:t>“－”号填</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列）</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center"/>
              <w:rPr>
                <w:rFonts w:ascii="Times New Roman" w:hAnsi="Times New Roman" w:cs="Times New Roman" w:eastAsia="Times New Roman" w:hint="default"/>
                <w:sz w:val="18"/>
                <w:szCs w:val="18"/>
              </w:rPr>
            </w:pPr>
            <w:r>
              <w:rPr>
                <w:rFonts w:ascii="Times New Roman"/>
                <w:sz w:val="18"/>
              </w:rPr>
              <w:t>-54,258,</w:t>
            </w:r>
          </w:p>
          <w:p>
            <w:pPr>
              <w:pStyle w:val="TableParagraph"/>
              <w:spacing w:line="240" w:lineRule="auto" w:before="105"/>
              <w:ind w:left="166" w:right="0"/>
              <w:jc w:val="center"/>
              <w:rPr>
                <w:rFonts w:ascii="Times New Roman" w:hAnsi="Times New Roman" w:cs="Times New Roman" w:eastAsia="Times New Roman" w:hint="default"/>
                <w:sz w:val="18"/>
                <w:szCs w:val="18"/>
              </w:rPr>
            </w:pPr>
            <w:r>
              <w:rPr>
                <w:rFonts w:ascii="Times New Roman"/>
                <w:sz w:val="18"/>
              </w:rPr>
              <w:t>240.00</w:t>
            </w: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4" w:right="0"/>
              <w:jc w:val="left"/>
              <w:rPr>
                <w:rFonts w:ascii="Times New Roman" w:hAnsi="Times New Roman" w:cs="Times New Roman" w:eastAsia="Times New Roman" w:hint="default"/>
                <w:sz w:val="18"/>
                <w:szCs w:val="18"/>
              </w:rPr>
            </w:pPr>
            <w:r>
              <w:rPr>
                <w:rFonts w:ascii="Times New Roman"/>
                <w:sz w:val="18"/>
              </w:rPr>
              <w:t>-245,714,5</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93.85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86" w:right="0"/>
              <w:jc w:val="left"/>
              <w:rPr>
                <w:rFonts w:ascii="Times New Roman" w:hAnsi="Times New Roman" w:cs="Times New Roman" w:eastAsia="Times New Roman" w:hint="default"/>
                <w:sz w:val="18"/>
                <w:szCs w:val="18"/>
              </w:rPr>
            </w:pPr>
            <w:r>
              <w:rPr>
                <w:rFonts w:ascii="Times New Roman"/>
                <w:sz w:val="18"/>
              </w:rPr>
              <w:t>-26,954,16</w:t>
            </w:r>
          </w:p>
          <w:p>
            <w:pPr>
              <w:pStyle w:val="TableParagraph"/>
              <w:spacing w:line="240" w:lineRule="auto" w:before="105"/>
              <w:ind w:left="550" w:right="0"/>
              <w:jc w:val="left"/>
              <w:rPr>
                <w:rFonts w:ascii="Times New Roman" w:hAnsi="Times New Roman" w:cs="Times New Roman" w:eastAsia="Times New Roman" w:hint="default"/>
                <w:sz w:val="18"/>
                <w:szCs w:val="18"/>
              </w:rPr>
            </w:pPr>
            <w:r>
              <w:rPr>
                <w:rFonts w:ascii="Times New Roman"/>
                <w:sz w:val="18"/>
              </w:rPr>
              <w:t>4.03</w:t>
            </w: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2" w:right="0"/>
              <w:jc w:val="left"/>
              <w:rPr>
                <w:rFonts w:ascii="Times New Roman" w:hAnsi="Times New Roman" w:cs="Times New Roman" w:eastAsia="Times New Roman" w:hint="default"/>
                <w:sz w:val="18"/>
                <w:szCs w:val="18"/>
              </w:rPr>
            </w:pPr>
            <w:r>
              <w:rPr>
                <w:rFonts w:ascii="Times New Roman"/>
                <w:sz w:val="18"/>
              </w:rPr>
              <w:t>10,972,7</w:t>
            </w:r>
          </w:p>
          <w:p>
            <w:pPr>
              <w:pStyle w:val="TableParagraph"/>
              <w:spacing w:line="240" w:lineRule="auto" w:before="105"/>
              <w:ind w:left="286" w:right="0"/>
              <w:jc w:val="left"/>
              <w:rPr>
                <w:rFonts w:ascii="Times New Roman" w:hAnsi="Times New Roman" w:cs="Times New Roman" w:eastAsia="Times New Roman" w:hint="default"/>
                <w:sz w:val="18"/>
                <w:szCs w:val="18"/>
              </w:rPr>
            </w:pPr>
            <w:r>
              <w:rPr>
                <w:rFonts w:ascii="Times New Roman"/>
                <w:sz w:val="18"/>
              </w:rPr>
              <w:t>75.61</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2" w:right="0"/>
              <w:jc w:val="left"/>
              <w:rPr>
                <w:rFonts w:ascii="Times New Roman" w:hAnsi="Times New Roman" w:cs="Times New Roman" w:eastAsia="Times New Roman" w:hint="default"/>
                <w:sz w:val="18"/>
                <w:szCs w:val="18"/>
              </w:rPr>
            </w:pPr>
            <w:r>
              <w:rPr>
                <w:rFonts w:ascii="Times New Roman"/>
                <w:sz w:val="18"/>
              </w:rPr>
              <w:t>62,179,06</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1.77</w:t>
            </w:r>
          </w:p>
        </w:tc>
        <w:tc>
          <w:tcPr>
            <w:tcW w:w="4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51" w:right="0"/>
              <w:jc w:val="left"/>
              <w:rPr>
                <w:rFonts w:ascii="Times New Roman" w:hAnsi="Times New Roman" w:cs="Times New Roman" w:eastAsia="Times New Roman" w:hint="default"/>
                <w:sz w:val="18"/>
                <w:szCs w:val="18"/>
              </w:rPr>
            </w:pPr>
            <w:r>
              <w:rPr>
                <w:rFonts w:ascii="Times New Roman"/>
                <w:sz w:val="18"/>
              </w:rPr>
              <w:t>-199,866,8</w:t>
            </w:r>
          </w:p>
          <w:p>
            <w:pPr>
              <w:pStyle w:val="TableParagraph"/>
              <w:spacing w:line="240" w:lineRule="auto" w:before="105"/>
              <w:ind w:left="425" w:right="0"/>
              <w:jc w:val="left"/>
              <w:rPr>
                <w:rFonts w:ascii="Times New Roman" w:hAnsi="Times New Roman" w:cs="Times New Roman" w:eastAsia="Times New Roman" w:hint="default"/>
                <w:sz w:val="18"/>
                <w:szCs w:val="18"/>
              </w:rPr>
            </w:pPr>
            <w:r>
              <w:rPr>
                <w:rFonts w:ascii="Times New Roman"/>
                <w:sz w:val="18"/>
              </w:rPr>
              <w:t>32.44</w:t>
            </w:r>
          </w:p>
        </w:tc>
      </w:tr>
      <w:tr>
        <w:trPr>
          <w:trHeight w:val="714"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12"/>
                <w:sz w:val="18"/>
                <w:szCs w:val="18"/>
              </w:rPr>
              <w:t>（一）综合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收益总额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73,151,83</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7.38</w:t>
            </w:r>
          </w:p>
        </w:tc>
        <w:tc>
          <w:tcPr>
            <w:tcW w:w="4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73,151,83</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7.38</w:t>
            </w:r>
          </w:p>
        </w:tc>
      </w:tr>
      <w:tr>
        <w:trPr>
          <w:trHeight w:val="1026"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12"/>
                <w:sz w:val="18"/>
                <w:szCs w:val="18"/>
              </w:rPr>
              <w:t>（二）所有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者投入和 减少资本</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-54,258,</w:t>
            </w:r>
          </w:p>
          <w:p>
            <w:pPr>
              <w:pStyle w:val="TableParagraph"/>
              <w:spacing w:line="240" w:lineRule="auto" w:before="105"/>
              <w:ind w:left="166" w:right="0"/>
              <w:jc w:val="center"/>
              <w:rPr>
                <w:rFonts w:ascii="Times New Roman" w:hAnsi="Times New Roman" w:cs="Times New Roman" w:eastAsia="Times New Roman" w:hint="default"/>
                <w:sz w:val="18"/>
                <w:szCs w:val="18"/>
              </w:rPr>
            </w:pPr>
            <w:r>
              <w:rPr>
                <w:rFonts w:ascii="Times New Roman"/>
                <w:sz w:val="18"/>
              </w:rPr>
              <w:t>240.00</w:t>
            </w: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-245,714,5</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93.85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-26,954,16</w:t>
            </w:r>
          </w:p>
          <w:p>
            <w:pPr>
              <w:pStyle w:val="TableParagraph"/>
              <w:spacing w:line="240" w:lineRule="auto" w:before="105"/>
              <w:ind w:left="550" w:right="0"/>
              <w:jc w:val="left"/>
              <w:rPr>
                <w:rFonts w:ascii="Times New Roman" w:hAnsi="Times New Roman" w:cs="Times New Roman" w:eastAsia="Times New Roman" w:hint="default"/>
                <w:sz w:val="18"/>
                <w:szCs w:val="18"/>
              </w:rPr>
            </w:pPr>
            <w:r>
              <w:rPr>
                <w:rFonts w:ascii="Times New Roman"/>
                <w:sz w:val="18"/>
              </w:rPr>
              <w:t>4.03</w:t>
            </w: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-273,018,6</w:t>
            </w:r>
          </w:p>
          <w:p>
            <w:pPr>
              <w:pStyle w:val="TableParagraph"/>
              <w:spacing w:line="240" w:lineRule="auto" w:before="105"/>
              <w:ind w:left="425" w:right="0"/>
              <w:jc w:val="left"/>
              <w:rPr>
                <w:rFonts w:ascii="Times New Roman" w:hAnsi="Times New Roman" w:cs="Times New Roman" w:eastAsia="Times New Roman" w:hint="default"/>
                <w:sz w:val="18"/>
                <w:szCs w:val="18"/>
              </w:rPr>
            </w:pPr>
            <w:r>
              <w:rPr>
                <w:rFonts w:ascii="Times New Roman"/>
                <w:sz w:val="18"/>
              </w:rPr>
              <w:t>69.82</w:t>
            </w:r>
          </w:p>
        </w:tc>
      </w:tr>
      <w:tr>
        <w:trPr>
          <w:trHeight w:val="1026"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 投入的普 通股</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-54,258,</w:t>
            </w:r>
          </w:p>
          <w:p>
            <w:pPr>
              <w:pStyle w:val="TableParagraph"/>
              <w:spacing w:line="240" w:lineRule="auto" w:before="105"/>
              <w:ind w:left="166" w:right="0"/>
              <w:jc w:val="center"/>
              <w:rPr>
                <w:rFonts w:ascii="Times New Roman" w:hAnsi="Times New Roman" w:cs="Times New Roman" w:eastAsia="Times New Roman" w:hint="default"/>
                <w:sz w:val="18"/>
                <w:szCs w:val="18"/>
              </w:rPr>
            </w:pPr>
            <w:r>
              <w:rPr>
                <w:rFonts w:ascii="Times New Roman"/>
                <w:sz w:val="18"/>
              </w:rPr>
              <w:t>240.00</w:t>
            </w: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-54,258,24</w:t>
            </w:r>
          </w:p>
          <w:p>
            <w:pPr>
              <w:pStyle w:val="TableParagraph"/>
              <w:spacing w:line="240" w:lineRule="auto" w:before="105"/>
              <w:ind w:left="515" w:right="0"/>
              <w:jc w:val="left"/>
              <w:rPr>
                <w:rFonts w:ascii="Times New Roman" w:hAnsi="Times New Roman" w:cs="Times New Roman" w:eastAsia="Times New Roman" w:hint="default"/>
                <w:sz w:val="18"/>
                <w:szCs w:val="18"/>
              </w:rPr>
            </w:pPr>
            <w:r>
              <w:rPr>
                <w:rFonts w:ascii="Times New Roman"/>
                <w:sz w:val="18"/>
              </w:rPr>
              <w:t>0.00</w:t>
            </w:r>
          </w:p>
        </w:tc>
      </w:tr>
      <w:tr>
        <w:trPr>
          <w:trHeight w:val="1338"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 益工具持 有者投入 资本</w:t>
            </w:r>
          </w:p>
        </w:tc>
        <w:tc>
          <w:tcPr>
            <w:tcW w:w="720"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 付计入所 有者权益 的金额</w:t>
            </w:r>
          </w:p>
        </w:tc>
        <w:tc>
          <w:tcPr>
            <w:tcW w:w="720"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20"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-245,714,5</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93.85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-26,954,16</w:t>
            </w:r>
          </w:p>
          <w:p>
            <w:pPr>
              <w:pStyle w:val="TableParagraph"/>
              <w:spacing w:line="240" w:lineRule="auto" w:before="105"/>
              <w:ind w:left="550" w:right="0"/>
              <w:jc w:val="left"/>
              <w:rPr>
                <w:rFonts w:ascii="Times New Roman" w:hAnsi="Times New Roman" w:cs="Times New Roman" w:eastAsia="Times New Roman" w:hint="default"/>
                <w:sz w:val="18"/>
                <w:szCs w:val="18"/>
              </w:rPr>
            </w:pPr>
            <w:r>
              <w:rPr>
                <w:rFonts w:ascii="Times New Roman"/>
                <w:sz w:val="18"/>
              </w:rPr>
              <w:t>4.03</w:t>
            </w: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-218,760,4</w:t>
            </w:r>
          </w:p>
          <w:p>
            <w:pPr>
              <w:pStyle w:val="TableParagraph"/>
              <w:spacing w:line="240" w:lineRule="auto" w:before="105"/>
              <w:ind w:left="425" w:right="0"/>
              <w:jc w:val="left"/>
              <w:rPr>
                <w:rFonts w:ascii="Times New Roman" w:hAnsi="Times New Roman" w:cs="Times New Roman" w:eastAsia="Times New Roman" w:hint="default"/>
                <w:sz w:val="18"/>
                <w:szCs w:val="18"/>
              </w:rPr>
            </w:pPr>
            <w:r>
              <w:rPr>
                <w:rFonts w:ascii="Times New Roman"/>
                <w:sz w:val="18"/>
              </w:rPr>
              <w:t>29.82</w:t>
            </w:r>
          </w:p>
        </w:tc>
      </w:tr>
      <w:tr>
        <w:trPr>
          <w:trHeight w:val="714"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12"/>
                <w:sz w:val="18"/>
                <w:szCs w:val="18"/>
              </w:rPr>
              <w:t>（三）利润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分配</w:t>
            </w:r>
          </w:p>
        </w:tc>
        <w:tc>
          <w:tcPr>
            <w:tcW w:w="720"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10,972,7</w:t>
            </w:r>
          </w:p>
          <w:p>
            <w:pPr>
              <w:pStyle w:val="TableParagraph"/>
              <w:spacing w:line="240" w:lineRule="auto" w:before="105"/>
              <w:ind w:left="286" w:right="0"/>
              <w:jc w:val="left"/>
              <w:rPr>
                <w:rFonts w:ascii="Times New Roman" w:hAnsi="Times New Roman" w:cs="Times New Roman" w:eastAsia="Times New Roman" w:hint="default"/>
                <w:sz w:val="18"/>
                <w:szCs w:val="18"/>
              </w:rPr>
            </w:pPr>
            <w:r>
              <w:rPr>
                <w:rFonts w:ascii="Times New Roman"/>
                <w:sz w:val="18"/>
              </w:rPr>
              <w:t>75.61</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left"/>
              <w:rPr>
                <w:rFonts w:ascii="Times New Roman" w:hAnsi="Times New Roman" w:cs="Times New Roman" w:eastAsia="Times New Roman" w:hint="default"/>
                <w:sz w:val="18"/>
                <w:szCs w:val="18"/>
              </w:rPr>
            </w:pPr>
            <w:r>
              <w:rPr>
                <w:rFonts w:ascii="Times New Roman"/>
                <w:sz w:val="18"/>
              </w:rPr>
              <w:t>-10,972,77</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5.61</w:t>
            </w:r>
          </w:p>
        </w:tc>
        <w:tc>
          <w:tcPr>
            <w:tcW w:w="4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 余公积</w:t>
            </w:r>
          </w:p>
        </w:tc>
        <w:tc>
          <w:tcPr>
            <w:tcW w:w="720"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10,972,7</w:t>
            </w:r>
          </w:p>
          <w:p>
            <w:pPr>
              <w:pStyle w:val="TableParagraph"/>
              <w:spacing w:line="240" w:lineRule="auto" w:before="105"/>
              <w:ind w:left="286" w:right="0"/>
              <w:jc w:val="left"/>
              <w:rPr>
                <w:rFonts w:ascii="Times New Roman" w:hAnsi="Times New Roman" w:cs="Times New Roman" w:eastAsia="Times New Roman" w:hint="default"/>
                <w:sz w:val="18"/>
                <w:szCs w:val="18"/>
              </w:rPr>
            </w:pPr>
            <w:r>
              <w:rPr>
                <w:rFonts w:ascii="Times New Roman"/>
                <w:sz w:val="18"/>
              </w:rPr>
              <w:t>75.61</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 w:right="0"/>
              <w:jc w:val="left"/>
              <w:rPr>
                <w:rFonts w:ascii="Times New Roman" w:hAnsi="Times New Roman" w:cs="Times New Roman" w:eastAsia="Times New Roman" w:hint="default"/>
                <w:sz w:val="18"/>
                <w:szCs w:val="18"/>
              </w:rPr>
            </w:pPr>
            <w:r>
              <w:rPr>
                <w:rFonts w:ascii="Times New Roman"/>
                <w:sz w:val="18"/>
              </w:rPr>
              <w:t>-10,972,77</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5.61</w:t>
            </w:r>
          </w:p>
        </w:tc>
        <w:tc>
          <w:tcPr>
            <w:tcW w:w="4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 者（或股 </w:t>
            </w:r>
            <w:r>
              <w:rPr>
                <w:rFonts w:ascii="宋体" w:hAnsi="宋体" w:cs="宋体" w:eastAsia="宋体" w:hint="default"/>
                <w:spacing w:val="-12"/>
                <w:sz w:val="18"/>
                <w:szCs w:val="18"/>
              </w:rPr>
              <w:t>东）的分配</w:t>
            </w:r>
          </w:p>
        </w:tc>
        <w:tc>
          <w:tcPr>
            <w:tcW w:w="720"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20"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12"/>
                <w:sz w:val="18"/>
                <w:szCs w:val="18"/>
              </w:rPr>
              <w:t>（四）所有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者权益内 部结转</w:t>
            </w:r>
          </w:p>
        </w:tc>
        <w:tc>
          <w:tcPr>
            <w:tcW w:w="720"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 积转增资</w:t>
            </w:r>
          </w:p>
        </w:tc>
        <w:tc>
          <w:tcPr>
            <w:tcW w:w="720"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71"/>
        <w:gridCol w:w="749"/>
        <w:gridCol w:w="604"/>
        <w:gridCol w:w="605"/>
        <w:gridCol w:w="605"/>
        <w:gridCol w:w="887"/>
        <w:gridCol w:w="900"/>
        <w:gridCol w:w="726"/>
        <w:gridCol w:w="727"/>
        <w:gridCol w:w="726"/>
        <w:gridCol w:w="854"/>
        <w:gridCol w:w="420"/>
        <w:gridCol w:w="864"/>
      </w:tblGrid>
      <w:tr>
        <w:trPr>
          <w:trHeight w:val="674" w:hRule="exact"/>
        </w:trPr>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22" w:right="116"/>
              <w:jc w:val="left"/>
              <w:rPr>
                <w:rFonts w:ascii="宋体" w:hAnsi="宋体" w:cs="宋体" w:eastAsia="宋体" w:hint="default"/>
                <w:sz w:val="18"/>
                <w:szCs w:val="18"/>
              </w:rPr>
            </w:pPr>
            <w:r>
              <w:rPr>
                <w:rFonts w:ascii="宋体" w:hAnsi="宋体" w:cs="宋体" w:eastAsia="宋体" w:hint="default"/>
                <w:sz w:val="18"/>
                <w:szCs w:val="18"/>
              </w:rPr>
              <w:t>本（或股 本）</w:t>
            </w:r>
          </w:p>
        </w:tc>
        <w:tc>
          <w:tcPr>
            <w:tcW w:w="749" w:type="dxa"/>
            <w:tcBorders>
              <w:top w:val="single" w:sz="4" w:space="0" w:color="000000"/>
              <w:left w:val="single" w:sz="10" w:space="0" w:color="D3D3D3"/>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2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 积转增资 本（或股 本）</w:t>
            </w:r>
          </w:p>
        </w:tc>
        <w:tc>
          <w:tcPr>
            <w:tcW w:w="749" w:type="dxa"/>
            <w:tcBorders>
              <w:top w:val="single" w:sz="4" w:space="0" w:color="000000"/>
              <w:left w:val="single" w:sz="10" w:space="0" w:color="D3D3D3"/>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 积弥补亏 损</w:t>
            </w:r>
          </w:p>
        </w:tc>
        <w:tc>
          <w:tcPr>
            <w:tcW w:w="749" w:type="dxa"/>
            <w:tcBorders>
              <w:top w:val="single" w:sz="4" w:space="0" w:color="000000"/>
              <w:left w:val="single" w:sz="10" w:space="0" w:color="D3D3D3"/>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2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 益计划变 动额结转 留存收益</w:t>
            </w:r>
          </w:p>
        </w:tc>
        <w:tc>
          <w:tcPr>
            <w:tcW w:w="749" w:type="dxa"/>
            <w:tcBorders>
              <w:top w:val="single" w:sz="4" w:space="0" w:color="000000"/>
              <w:left w:val="single" w:sz="10" w:space="0" w:color="D3D3D3"/>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2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 合收益结 转留存收 益</w:t>
            </w:r>
          </w:p>
        </w:tc>
        <w:tc>
          <w:tcPr>
            <w:tcW w:w="749" w:type="dxa"/>
            <w:tcBorders>
              <w:top w:val="single" w:sz="4" w:space="0" w:color="000000"/>
              <w:left w:val="single" w:sz="10" w:space="0" w:color="D3D3D3"/>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749" w:type="dxa"/>
            <w:tcBorders>
              <w:top w:val="single" w:sz="4" w:space="0" w:color="000000"/>
              <w:left w:val="single" w:sz="10" w:space="0" w:color="D3D3D3"/>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
              <w:jc w:val="left"/>
              <w:rPr>
                <w:rFonts w:ascii="宋体" w:hAnsi="宋体" w:cs="宋体" w:eastAsia="宋体" w:hint="default"/>
                <w:sz w:val="18"/>
                <w:szCs w:val="18"/>
              </w:rPr>
            </w:pPr>
            <w:r>
              <w:rPr>
                <w:rFonts w:ascii="宋体" w:hAnsi="宋体" w:cs="宋体" w:eastAsia="宋体" w:hint="default"/>
                <w:spacing w:val="-12"/>
                <w:sz w:val="18"/>
                <w:szCs w:val="18"/>
              </w:rPr>
              <w:t>（五）专项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储备</w:t>
            </w:r>
          </w:p>
        </w:tc>
        <w:tc>
          <w:tcPr>
            <w:tcW w:w="749" w:type="dxa"/>
            <w:tcBorders>
              <w:top w:val="single" w:sz="4" w:space="0" w:color="000000"/>
              <w:left w:val="single" w:sz="10" w:space="0" w:color="D3D3D3"/>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 取</w:t>
            </w:r>
          </w:p>
        </w:tc>
        <w:tc>
          <w:tcPr>
            <w:tcW w:w="749" w:type="dxa"/>
            <w:tcBorders>
              <w:top w:val="single" w:sz="4" w:space="0" w:color="000000"/>
              <w:left w:val="single" w:sz="10" w:space="0" w:color="D3D3D3"/>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 用</w:t>
            </w:r>
          </w:p>
        </w:tc>
        <w:tc>
          <w:tcPr>
            <w:tcW w:w="749" w:type="dxa"/>
            <w:tcBorders>
              <w:top w:val="single" w:sz="4" w:space="0" w:color="000000"/>
              <w:left w:val="single" w:sz="10" w:space="0" w:color="D3D3D3"/>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5"/>
              <w:jc w:val="left"/>
              <w:rPr>
                <w:rFonts w:ascii="宋体" w:hAnsi="宋体" w:cs="宋体" w:eastAsia="宋体" w:hint="default"/>
                <w:sz w:val="18"/>
                <w:szCs w:val="18"/>
              </w:rPr>
            </w:pPr>
            <w:r>
              <w:rPr>
                <w:rFonts w:ascii="宋体" w:hAnsi="宋体" w:cs="宋体" w:eastAsia="宋体" w:hint="default"/>
                <w:spacing w:val="-12"/>
                <w:sz w:val="18"/>
                <w:szCs w:val="18"/>
              </w:rPr>
              <w:t>（六）其他</w:t>
            </w:r>
          </w:p>
        </w:tc>
        <w:tc>
          <w:tcPr>
            <w:tcW w:w="749" w:type="dxa"/>
            <w:tcBorders>
              <w:top w:val="single" w:sz="4" w:space="0" w:color="000000"/>
              <w:left w:val="single" w:sz="10" w:space="0" w:color="D3D3D3"/>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4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
              <w:jc w:val="left"/>
              <w:rPr>
                <w:rFonts w:ascii="宋体" w:hAnsi="宋体" w:cs="宋体" w:eastAsia="宋体" w:hint="default"/>
                <w:sz w:val="18"/>
                <w:szCs w:val="18"/>
              </w:rPr>
            </w:pPr>
            <w:r>
              <w:rPr>
                <w:rFonts w:ascii="宋体" w:hAnsi="宋体" w:cs="宋体" w:eastAsia="宋体" w:hint="default"/>
                <w:spacing w:val="-12"/>
                <w:sz w:val="18"/>
                <w:szCs w:val="18"/>
              </w:rPr>
              <w:t>四、本期期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末余额</w:t>
            </w:r>
          </w:p>
        </w:tc>
        <w:tc>
          <w:tcPr>
            <w:tcW w:w="74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78" w:right="0"/>
              <w:jc w:val="left"/>
              <w:rPr>
                <w:rFonts w:ascii="Times New Roman" w:hAnsi="Times New Roman" w:cs="Times New Roman" w:eastAsia="Times New Roman" w:hint="default"/>
                <w:sz w:val="18"/>
                <w:szCs w:val="18"/>
              </w:rPr>
            </w:pPr>
            <w:r>
              <w:rPr>
                <w:rFonts w:ascii="Times New Roman"/>
                <w:sz w:val="18"/>
              </w:rPr>
              <w:t>1,598,61</w:t>
            </w:r>
          </w:p>
          <w:p>
            <w:pPr>
              <w:pStyle w:val="TableParagraph"/>
              <w:spacing w:line="240" w:lineRule="auto" w:before="105"/>
              <w:ind w:left="76" w:right="0"/>
              <w:jc w:val="left"/>
              <w:rPr>
                <w:rFonts w:ascii="Times New Roman" w:hAnsi="Times New Roman" w:cs="Times New Roman" w:eastAsia="Times New Roman" w:hint="default"/>
                <w:sz w:val="18"/>
                <w:szCs w:val="18"/>
              </w:rPr>
            </w:pPr>
            <w:r>
              <w:rPr>
                <w:rFonts w:ascii="Times New Roman"/>
                <w:sz w:val="18"/>
              </w:rPr>
              <w:t>6,721.00</w:t>
            </w:r>
          </w:p>
        </w:tc>
        <w:tc>
          <w:tcPr>
            <w:tcW w:w="604"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2,638,811,</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805.47</w:t>
            </w:r>
          </w:p>
        </w:tc>
        <w:tc>
          <w:tcPr>
            <w:tcW w:w="900"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-16,171,</w:t>
            </w:r>
          </w:p>
          <w:p>
            <w:pPr>
              <w:pStyle w:val="TableParagraph"/>
              <w:spacing w:line="240" w:lineRule="auto" w:before="105"/>
              <w:ind w:left="172" w:right="0"/>
              <w:jc w:val="center"/>
              <w:rPr>
                <w:rFonts w:ascii="Times New Roman" w:hAnsi="Times New Roman" w:cs="Times New Roman" w:eastAsia="Times New Roman" w:hint="default"/>
                <w:sz w:val="18"/>
                <w:szCs w:val="18"/>
              </w:rPr>
            </w:pPr>
            <w:r>
              <w:rPr>
                <w:rFonts w:ascii="Times New Roman"/>
                <w:sz w:val="18"/>
              </w:rPr>
              <w:t>512.65</w:t>
            </w: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251,585,</w:t>
            </w:r>
          </w:p>
          <w:p>
            <w:pPr>
              <w:pStyle w:val="TableParagraph"/>
              <w:spacing w:line="240" w:lineRule="auto" w:before="105"/>
              <w:ind w:left="172" w:right="0"/>
              <w:jc w:val="center"/>
              <w:rPr>
                <w:rFonts w:ascii="Times New Roman" w:hAnsi="Times New Roman" w:cs="Times New Roman" w:eastAsia="Times New Roman" w:hint="default"/>
                <w:sz w:val="18"/>
                <w:szCs w:val="18"/>
              </w:rPr>
            </w:pPr>
            <w:r>
              <w:rPr>
                <w:rFonts w:ascii="Times New Roman"/>
                <w:sz w:val="18"/>
              </w:rPr>
              <w:t>761.98</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 w:right="0"/>
              <w:jc w:val="left"/>
              <w:rPr>
                <w:rFonts w:ascii="Times New Roman" w:hAnsi="Times New Roman" w:cs="Times New Roman" w:eastAsia="Times New Roman" w:hint="default"/>
                <w:sz w:val="18"/>
                <w:szCs w:val="18"/>
              </w:rPr>
            </w:pPr>
            <w:r>
              <w:rPr>
                <w:rFonts w:ascii="Times New Roman"/>
                <w:sz w:val="18"/>
              </w:rPr>
              <w:t>596,665,8</w:t>
            </w:r>
          </w:p>
          <w:p>
            <w:pPr>
              <w:pStyle w:val="TableParagraph"/>
              <w:spacing w:line="240" w:lineRule="auto" w:before="105"/>
              <w:ind w:left="416" w:right="0"/>
              <w:jc w:val="left"/>
              <w:rPr>
                <w:rFonts w:ascii="Times New Roman" w:hAnsi="Times New Roman" w:cs="Times New Roman" w:eastAsia="Times New Roman" w:hint="default"/>
                <w:sz w:val="18"/>
                <w:szCs w:val="18"/>
              </w:rPr>
            </w:pPr>
            <w:r>
              <w:rPr>
                <w:rFonts w:ascii="Times New Roman"/>
                <w:sz w:val="18"/>
              </w:rPr>
              <w:t>51.63</w:t>
            </w:r>
          </w:p>
        </w:tc>
        <w:tc>
          <w:tcPr>
            <w:tcW w:w="420"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5,069,508,</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627.43</w:t>
            </w:r>
          </w:p>
        </w:tc>
      </w:tr>
    </w:tbl>
    <w:p>
      <w:pPr>
        <w:pStyle w:val="BodyText"/>
        <w:spacing w:line="240" w:lineRule="auto" w:before="51"/>
        <w:ind w:right="0"/>
        <w:jc w:val="left"/>
      </w:pPr>
      <w:r>
        <w:rPr/>
        <w:t>上期金额</w:t>
      </w:r>
    </w:p>
    <w:p>
      <w:pPr>
        <w:pStyle w:val="BodyText"/>
        <w:spacing w:line="240" w:lineRule="auto" w:before="117"/>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889"/>
        <w:gridCol w:w="720"/>
        <w:gridCol w:w="572"/>
        <w:gridCol w:w="571"/>
        <w:gridCol w:w="572"/>
        <w:gridCol w:w="984"/>
        <w:gridCol w:w="686"/>
        <w:gridCol w:w="685"/>
        <w:gridCol w:w="780"/>
        <w:gridCol w:w="908"/>
        <w:gridCol w:w="798"/>
        <w:gridCol w:w="526"/>
        <w:gridCol w:w="836"/>
      </w:tblGrid>
      <w:tr>
        <w:trPr>
          <w:trHeight w:val="402" w:hRule="exact"/>
        </w:trPr>
        <w:tc>
          <w:tcPr>
            <w:tcW w:w="889" w:type="dxa"/>
            <w:vMerge w:val="restart"/>
            <w:tcBorders>
              <w:top w:val="single" w:sz="4" w:space="0" w:color="000000"/>
              <w:left w:val="single" w:sz="4" w:space="0" w:color="000000"/>
              <w:right w:val="single" w:sz="4" w:space="0" w:color="000000"/>
            </w:tcBorders>
            <w:shd w:val="clear" w:color="auto" w:fill="D3D3D3"/>
          </w:tcPr>
          <w:p>
            <w:pPr/>
          </w:p>
        </w:tc>
        <w:tc>
          <w:tcPr>
            <w:tcW w:w="8640"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w:t>
            </w:r>
          </w:p>
        </w:tc>
      </w:tr>
      <w:tr>
        <w:trPr>
          <w:trHeight w:val="178" w:hRule="exact"/>
        </w:trPr>
        <w:tc>
          <w:tcPr>
            <w:tcW w:w="889" w:type="dxa"/>
            <w:vMerge/>
            <w:tcBorders>
              <w:left w:val="single" w:sz="4" w:space="0" w:color="000000"/>
              <w:bottom w:val="nil" w:sz="6" w:space="0" w:color="auto"/>
              <w:right w:val="single" w:sz="4" w:space="0" w:color="000000"/>
            </w:tcBorders>
            <w:shd w:val="clear" w:color="auto" w:fill="D3D3D3"/>
          </w:tcPr>
          <w:p>
            <w:pPr/>
          </w:p>
        </w:tc>
        <w:tc>
          <w:tcPr>
            <w:tcW w:w="720" w:type="dxa"/>
            <w:vMerge w:val="restart"/>
            <w:tcBorders>
              <w:top w:val="single" w:sz="4" w:space="0" w:color="000000"/>
              <w:left w:val="single" w:sz="4" w:space="0" w:color="000000"/>
              <w:right w:val="single" w:sz="4" w:space="0" w:color="000000"/>
            </w:tcBorders>
            <w:shd w:val="clear" w:color="auto" w:fill="D3D3D3"/>
          </w:tcPr>
          <w:p>
            <w:pPr/>
          </w:p>
        </w:tc>
        <w:tc>
          <w:tcPr>
            <w:tcW w:w="1716"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984" w:type="dxa"/>
            <w:vMerge w:val="restart"/>
            <w:tcBorders>
              <w:top w:val="single" w:sz="4" w:space="0" w:color="000000"/>
              <w:left w:val="single" w:sz="4" w:space="0" w:color="000000"/>
              <w:right w:val="single" w:sz="4" w:space="0" w:color="000000"/>
            </w:tcBorders>
            <w:shd w:val="clear" w:color="auto" w:fill="D3D3D3"/>
          </w:tcPr>
          <w:p>
            <w:pPr/>
          </w:p>
        </w:tc>
        <w:tc>
          <w:tcPr>
            <w:tcW w:w="686"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780" w:type="dxa"/>
            <w:vMerge w:val="restart"/>
            <w:tcBorders>
              <w:top w:val="single" w:sz="4" w:space="0" w:color="000000"/>
              <w:left w:val="single" w:sz="4" w:space="0" w:color="000000"/>
              <w:right w:val="single" w:sz="4" w:space="0" w:color="000000"/>
            </w:tcBorders>
            <w:shd w:val="clear" w:color="auto" w:fill="D3D3D3"/>
          </w:tcPr>
          <w:p>
            <w:pPr/>
          </w:p>
        </w:tc>
        <w:tc>
          <w:tcPr>
            <w:tcW w:w="908" w:type="dxa"/>
            <w:vMerge w:val="restart"/>
            <w:tcBorders>
              <w:top w:val="single" w:sz="4" w:space="0" w:color="000000"/>
              <w:left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526" w:type="dxa"/>
            <w:vMerge w:val="restart"/>
            <w:tcBorders>
              <w:top w:val="single" w:sz="4" w:space="0" w:color="000000"/>
              <w:left w:val="single" w:sz="4" w:space="0" w:color="000000"/>
              <w:right w:val="single" w:sz="4" w:space="0" w:color="000000"/>
            </w:tcBorders>
            <w:shd w:val="clear" w:color="auto" w:fill="D3D3D3"/>
          </w:tcPr>
          <w:p>
            <w:pPr/>
          </w:p>
        </w:tc>
        <w:tc>
          <w:tcPr>
            <w:tcW w:w="83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85" w:hRule="exact"/>
        </w:trPr>
        <w:tc>
          <w:tcPr>
            <w:tcW w:w="88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9"/>
              <w:ind w:left="25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20" w:type="dxa"/>
            <w:vMerge/>
            <w:tcBorders>
              <w:left w:val="single" w:sz="4" w:space="0" w:color="000000"/>
              <w:bottom w:val="nil" w:sz="6" w:space="0" w:color="auto"/>
              <w:right w:val="single" w:sz="4" w:space="0" w:color="000000"/>
            </w:tcBorders>
            <w:shd w:val="clear" w:color="auto" w:fill="D3D3D3"/>
          </w:tcPr>
          <w:p>
            <w:pPr/>
          </w:p>
        </w:tc>
        <w:tc>
          <w:tcPr>
            <w:tcW w:w="1716" w:type="dxa"/>
            <w:gridSpan w:val="3"/>
            <w:vMerge/>
            <w:tcBorders>
              <w:left w:val="single" w:sz="4" w:space="0" w:color="000000"/>
              <w:bottom w:val="single" w:sz="4" w:space="0" w:color="000000"/>
              <w:right w:val="single" w:sz="4" w:space="0" w:color="000000"/>
            </w:tcBorders>
            <w:shd w:val="clear" w:color="auto" w:fill="D3D3D3"/>
          </w:tcPr>
          <w:p>
            <w:pPr/>
          </w:p>
        </w:tc>
        <w:tc>
          <w:tcPr>
            <w:tcW w:w="984" w:type="dxa"/>
            <w:vMerge/>
            <w:tcBorders>
              <w:left w:val="single" w:sz="4" w:space="0" w:color="000000"/>
              <w:bottom w:val="nil" w:sz="6" w:space="0" w:color="auto"/>
              <w:right w:val="single" w:sz="4" w:space="0" w:color="000000"/>
            </w:tcBorders>
            <w:shd w:val="clear" w:color="auto" w:fill="D3D3D3"/>
          </w:tcPr>
          <w:p>
            <w:pPr/>
          </w:p>
        </w:tc>
        <w:tc>
          <w:tcPr>
            <w:tcW w:w="68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62"/>
              <w:ind w:left="247" w:right="23" w:hanging="225"/>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62"/>
              <w:ind w:left="67" w:right="6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0" w:type="dxa"/>
            <w:vMerge/>
            <w:tcBorders>
              <w:left w:val="single" w:sz="4" w:space="0" w:color="000000"/>
              <w:bottom w:val="nil" w:sz="6" w:space="0" w:color="auto"/>
              <w:right w:val="single" w:sz="4" w:space="0" w:color="000000"/>
            </w:tcBorders>
            <w:shd w:val="clear" w:color="auto" w:fill="D3D3D3"/>
          </w:tcPr>
          <w:p>
            <w:pPr/>
          </w:p>
        </w:tc>
        <w:tc>
          <w:tcPr>
            <w:tcW w:w="908" w:type="dxa"/>
            <w:vMerge/>
            <w:tcBorders>
              <w:left w:val="single" w:sz="4" w:space="0" w:color="000000"/>
              <w:bottom w:val="nil" w:sz="6" w:space="0" w:color="auto"/>
              <w:right w:val="single" w:sz="4" w:space="0" w:color="000000"/>
            </w:tcBorders>
            <w:shd w:val="clear" w:color="auto" w:fill="D3D3D3"/>
          </w:tcPr>
          <w:p>
            <w:pPr/>
          </w:p>
        </w:tc>
        <w:tc>
          <w:tcPr>
            <w:tcW w:w="798"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6"/>
              <w:ind w:left="303" w:right="32"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526" w:type="dxa"/>
            <w:vMerge/>
            <w:tcBorders>
              <w:left w:val="single" w:sz="4" w:space="0" w:color="000000"/>
              <w:bottom w:val="nil" w:sz="6" w:space="0" w:color="auto"/>
              <w:right w:val="single" w:sz="4" w:space="0" w:color="000000"/>
            </w:tcBorders>
            <w:shd w:val="clear" w:color="auto" w:fill="D3D3D3"/>
          </w:tcPr>
          <w:p>
            <w:pPr/>
          </w:p>
        </w:tc>
        <w:tc>
          <w:tcPr>
            <w:tcW w:w="83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6"/>
              <w:ind w:left="142" w:right="52"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8" w:hRule="exact"/>
        </w:trPr>
        <w:tc>
          <w:tcPr>
            <w:tcW w:w="889" w:type="dxa"/>
            <w:vMerge/>
            <w:tcBorders>
              <w:left w:val="single" w:sz="4" w:space="0" w:color="000000"/>
              <w:bottom w:val="nil" w:sz="6" w:space="0" w:color="auto"/>
              <w:right w:val="single" w:sz="4" w:space="0" w:color="000000"/>
            </w:tcBorders>
            <w:shd w:val="clear" w:color="auto" w:fill="D3D3D3"/>
          </w:tcPr>
          <w:p>
            <w:pPr/>
          </w:p>
        </w:tc>
        <w:tc>
          <w:tcPr>
            <w:tcW w:w="72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8"/>
              <w:ind w:left="1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3"/>
              <w:ind w:left="190" w:right="101"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3"/>
              <w:ind w:left="190" w:right="9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2" w:type="dxa"/>
            <w:tcBorders>
              <w:top w:val="single" w:sz="4" w:space="0" w:color="000000"/>
              <w:left w:val="single" w:sz="4" w:space="0" w:color="000000"/>
              <w:bottom w:val="nil" w:sz="6" w:space="0" w:color="auto"/>
              <w:right w:val="single" w:sz="4" w:space="0" w:color="000000"/>
            </w:tcBorders>
            <w:shd w:val="clear" w:color="auto" w:fill="D3D3D3"/>
          </w:tcPr>
          <w:p>
            <w:pPr/>
          </w:p>
        </w:tc>
        <w:tc>
          <w:tcPr>
            <w:tcW w:w="98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8"/>
              <w:ind w:left="12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86" w:type="dxa"/>
            <w:vMerge/>
            <w:tcBorders>
              <w:left w:val="single" w:sz="4" w:space="0" w:color="000000"/>
              <w:right w:val="single" w:sz="4" w:space="0" w:color="000000"/>
            </w:tcBorders>
            <w:shd w:val="clear" w:color="auto" w:fill="D3D3D3"/>
          </w:tcPr>
          <w:p>
            <w:pPr/>
          </w:p>
        </w:tc>
        <w:tc>
          <w:tcPr>
            <w:tcW w:w="685" w:type="dxa"/>
            <w:vMerge/>
            <w:tcBorders>
              <w:left w:val="single" w:sz="4" w:space="0" w:color="000000"/>
              <w:right w:val="single" w:sz="4" w:space="0" w:color="000000"/>
            </w:tcBorders>
            <w:shd w:val="clear" w:color="auto" w:fill="D3D3D3"/>
          </w:tcPr>
          <w:p>
            <w:pPr/>
          </w:p>
        </w:tc>
        <w:tc>
          <w:tcPr>
            <w:tcW w:w="78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9"/>
              <w:ind w:left="2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90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9"/>
              <w:ind w:left="8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98" w:type="dxa"/>
            <w:vMerge/>
            <w:tcBorders>
              <w:left w:val="single" w:sz="4" w:space="0" w:color="000000"/>
              <w:right w:val="single" w:sz="4" w:space="0" w:color="000000"/>
            </w:tcBorders>
            <w:shd w:val="clear" w:color="auto" w:fill="D3D3D3"/>
          </w:tcPr>
          <w:p>
            <w:pPr/>
          </w:p>
        </w:tc>
        <w:tc>
          <w:tcPr>
            <w:tcW w:w="52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9"/>
              <w:ind w:left="7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36" w:type="dxa"/>
            <w:vMerge/>
            <w:tcBorders>
              <w:left w:val="single" w:sz="4" w:space="0" w:color="000000"/>
              <w:right w:val="single" w:sz="4" w:space="0" w:color="000000"/>
            </w:tcBorders>
            <w:shd w:val="clear" w:color="auto" w:fill="D3D3D3"/>
          </w:tcPr>
          <w:p>
            <w:pPr/>
          </w:p>
        </w:tc>
      </w:tr>
      <w:tr>
        <w:trPr>
          <w:trHeight w:val="193" w:hRule="exact"/>
        </w:trPr>
        <w:tc>
          <w:tcPr>
            <w:tcW w:w="889" w:type="dxa"/>
            <w:vMerge w:val="restart"/>
            <w:tcBorders>
              <w:top w:val="nil" w:sz="6" w:space="0" w:color="auto"/>
              <w:left w:val="single" w:sz="4" w:space="0" w:color="000000"/>
              <w:right w:val="single" w:sz="4" w:space="0" w:color="000000"/>
            </w:tcBorders>
            <w:shd w:val="clear" w:color="auto" w:fill="D3D3D3"/>
          </w:tcPr>
          <w:p>
            <w:pPr/>
          </w:p>
        </w:tc>
        <w:tc>
          <w:tcPr>
            <w:tcW w:w="720" w:type="dxa"/>
            <w:vMerge/>
            <w:tcBorders>
              <w:left w:val="single" w:sz="4" w:space="0" w:color="000000"/>
              <w:bottom w:val="nil" w:sz="6" w:space="0" w:color="auto"/>
              <w:right w:val="single" w:sz="4" w:space="0" w:color="000000"/>
            </w:tcBorders>
            <w:shd w:val="clear" w:color="auto" w:fill="D3D3D3"/>
          </w:tcPr>
          <w:p>
            <w:pPr/>
          </w:p>
        </w:tc>
        <w:tc>
          <w:tcPr>
            <w:tcW w:w="572" w:type="dxa"/>
            <w:vMerge/>
            <w:tcBorders>
              <w:left w:val="single" w:sz="4" w:space="0" w:color="000000"/>
              <w:right w:val="single" w:sz="4" w:space="0" w:color="000000"/>
            </w:tcBorders>
            <w:shd w:val="clear" w:color="auto" w:fill="D3D3D3"/>
          </w:tcPr>
          <w:p>
            <w:pPr/>
          </w:p>
        </w:tc>
        <w:tc>
          <w:tcPr>
            <w:tcW w:w="571" w:type="dxa"/>
            <w:vMerge/>
            <w:tcBorders>
              <w:left w:val="single" w:sz="4" w:space="0" w:color="000000"/>
              <w:right w:val="single" w:sz="4" w:space="0" w:color="000000"/>
            </w:tcBorders>
            <w:shd w:val="clear" w:color="auto" w:fill="D3D3D3"/>
          </w:tcPr>
          <w:p>
            <w:pPr/>
          </w:p>
        </w:tc>
        <w:tc>
          <w:tcPr>
            <w:tcW w:w="57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8"/>
              <w:ind w:left="10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84" w:type="dxa"/>
            <w:vMerge/>
            <w:tcBorders>
              <w:left w:val="single" w:sz="4" w:space="0" w:color="000000"/>
              <w:bottom w:val="nil" w:sz="6" w:space="0" w:color="auto"/>
              <w:right w:val="single" w:sz="4" w:space="0" w:color="000000"/>
            </w:tcBorders>
            <w:shd w:val="clear" w:color="auto" w:fill="D3D3D3"/>
          </w:tcPr>
          <w:p>
            <w:pPr/>
          </w:p>
        </w:tc>
        <w:tc>
          <w:tcPr>
            <w:tcW w:w="686" w:type="dxa"/>
            <w:vMerge/>
            <w:tcBorders>
              <w:left w:val="single" w:sz="4" w:space="0" w:color="000000"/>
              <w:right w:val="single" w:sz="4" w:space="0" w:color="000000"/>
            </w:tcBorders>
            <w:shd w:val="clear" w:color="auto" w:fill="D3D3D3"/>
          </w:tcPr>
          <w:p>
            <w:pPr/>
          </w:p>
        </w:tc>
        <w:tc>
          <w:tcPr>
            <w:tcW w:w="685" w:type="dxa"/>
            <w:vMerge/>
            <w:tcBorders>
              <w:left w:val="single" w:sz="4" w:space="0" w:color="000000"/>
              <w:right w:val="single" w:sz="4" w:space="0" w:color="000000"/>
            </w:tcBorders>
            <w:shd w:val="clear" w:color="auto" w:fill="D3D3D3"/>
          </w:tcPr>
          <w:p>
            <w:pPr/>
          </w:p>
        </w:tc>
        <w:tc>
          <w:tcPr>
            <w:tcW w:w="780" w:type="dxa"/>
            <w:vMerge/>
            <w:tcBorders>
              <w:left w:val="single" w:sz="4" w:space="0" w:color="000000"/>
              <w:bottom w:val="nil" w:sz="6" w:space="0" w:color="auto"/>
              <w:right w:val="single" w:sz="4" w:space="0" w:color="000000"/>
            </w:tcBorders>
            <w:shd w:val="clear" w:color="auto" w:fill="D3D3D3"/>
          </w:tcPr>
          <w:p>
            <w:pPr/>
          </w:p>
        </w:tc>
        <w:tc>
          <w:tcPr>
            <w:tcW w:w="908" w:type="dxa"/>
            <w:vMerge/>
            <w:tcBorders>
              <w:left w:val="single" w:sz="4" w:space="0" w:color="000000"/>
              <w:bottom w:val="nil" w:sz="6" w:space="0" w:color="auto"/>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526" w:type="dxa"/>
            <w:vMerge/>
            <w:tcBorders>
              <w:left w:val="single" w:sz="4" w:space="0" w:color="000000"/>
              <w:bottom w:val="nil" w:sz="6" w:space="0" w:color="auto"/>
              <w:right w:val="single" w:sz="4" w:space="0" w:color="000000"/>
            </w:tcBorders>
            <w:shd w:val="clear" w:color="auto" w:fill="D3D3D3"/>
          </w:tcPr>
          <w:p>
            <w:pPr/>
          </w:p>
        </w:tc>
        <w:tc>
          <w:tcPr>
            <w:tcW w:w="836" w:type="dxa"/>
            <w:vMerge/>
            <w:tcBorders>
              <w:left w:val="single" w:sz="4" w:space="0" w:color="000000"/>
              <w:right w:val="single" w:sz="4" w:space="0" w:color="000000"/>
            </w:tcBorders>
            <w:shd w:val="clear" w:color="auto" w:fill="D3D3D3"/>
          </w:tcPr>
          <w:p>
            <w:pPr/>
          </w:p>
        </w:tc>
      </w:tr>
      <w:tr>
        <w:trPr>
          <w:trHeight w:val="181" w:hRule="exact"/>
        </w:trPr>
        <w:tc>
          <w:tcPr>
            <w:tcW w:w="889" w:type="dxa"/>
            <w:vMerge/>
            <w:tcBorders>
              <w:left w:val="single" w:sz="4" w:space="0" w:color="000000"/>
              <w:right w:val="single" w:sz="4" w:space="0" w:color="000000"/>
            </w:tcBorders>
            <w:shd w:val="clear" w:color="auto" w:fill="D3D3D3"/>
          </w:tcPr>
          <w:p>
            <w:pPr/>
          </w:p>
        </w:tc>
        <w:tc>
          <w:tcPr>
            <w:tcW w:w="720" w:type="dxa"/>
            <w:vMerge w:val="restart"/>
            <w:tcBorders>
              <w:top w:val="nil" w:sz="6" w:space="0" w:color="auto"/>
              <w:left w:val="single" w:sz="4" w:space="0" w:color="000000"/>
              <w:right w:val="single" w:sz="4" w:space="0" w:color="000000"/>
            </w:tcBorders>
            <w:shd w:val="clear" w:color="auto" w:fill="D3D3D3"/>
          </w:tcPr>
          <w:p>
            <w:pPr/>
          </w:p>
        </w:tc>
        <w:tc>
          <w:tcPr>
            <w:tcW w:w="572" w:type="dxa"/>
            <w:vMerge/>
            <w:tcBorders>
              <w:left w:val="single" w:sz="4" w:space="0" w:color="000000"/>
              <w:right w:val="single" w:sz="4" w:space="0" w:color="000000"/>
            </w:tcBorders>
            <w:shd w:val="clear" w:color="auto" w:fill="D3D3D3"/>
          </w:tcPr>
          <w:p>
            <w:pPr/>
          </w:p>
        </w:tc>
        <w:tc>
          <w:tcPr>
            <w:tcW w:w="571" w:type="dxa"/>
            <w:vMerge/>
            <w:tcBorders>
              <w:left w:val="single" w:sz="4" w:space="0" w:color="000000"/>
              <w:right w:val="single" w:sz="4" w:space="0" w:color="000000"/>
            </w:tcBorders>
            <w:shd w:val="clear" w:color="auto" w:fill="D3D3D3"/>
          </w:tcPr>
          <w:p>
            <w:pPr/>
          </w:p>
        </w:tc>
        <w:tc>
          <w:tcPr>
            <w:tcW w:w="572" w:type="dxa"/>
            <w:vMerge/>
            <w:tcBorders>
              <w:left w:val="single" w:sz="4" w:space="0" w:color="000000"/>
              <w:bottom w:val="nil" w:sz="6" w:space="0" w:color="auto"/>
              <w:right w:val="single" w:sz="4" w:space="0" w:color="000000"/>
            </w:tcBorders>
            <w:shd w:val="clear" w:color="auto" w:fill="D3D3D3"/>
          </w:tcPr>
          <w:p>
            <w:pPr/>
          </w:p>
        </w:tc>
        <w:tc>
          <w:tcPr>
            <w:tcW w:w="984" w:type="dxa"/>
            <w:vMerge w:val="restart"/>
            <w:tcBorders>
              <w:top w:val="nil" w:sz="6" w:space="0" w:color="auto"/>
              <w:left w:val="single" w:sz="4" w:space="0" w:color="000000"/>
              <w:right w:val="single" w:sz="4" w:space="0" w:color="000000"/>
            </w:tcBorders>
            <w:shd w:val="clear" w:color="auto" w:fill="D3D3D3"/>
          </w:tcPr>
          <w:p>
            <w:pPr/>
          </w:p>
        </w:tc>
        <w:tc>
          <w:tcPr>
            <w:tcW w:w="686" w:type="dxa"/>
            <w:vMerge/>
            <w:tcBorders>
              <w:left w:val="single" w:sz="4" w:space="0" w:color="000000"/>
              <w:bottom w:val="nil" w:sz="6" w:space="0" w:color="auto"/>
              <w:right w:val="single" w:sz="4" w:space="0" w:color="000000"/>
            </w:tcBorders>
            <w:shd w:val="clear" w:color="auto" w:fill="D3D3D3"/>
          </w:tcPr>
          <w:p>
            <w:pPr/>
          </w:p>
        </w:tc>
        <w:tc>
          <w:tcPr>
            <w:tcW w:w="685" w:type="dxa"/>
            <w:vMerge/>
            <w:tcBorders>
              <w:left w:val="single" w:sz="4" w:space="0" w:color="000000"/>
              <w:bottom w:val="nil" w:sz="6" w:space="0" w:color="auto"/>
              <w:right w:val="single" w:sz="4" w:space="0" w:color="000000"/>
            </w:tcBorders>
            <w:shd w:val="clear" w:color="auto" w:fill="D3D3D3"/>
          </w:tcPr>
          <w:p>
            <w:pPr/>
          </w:p>
        </w:tc>
        <w:tc>
          <w:tcPr>
            <w:tcW w:w="780" w:type="dxa"/>
            <w:vMerge w:val="restart"/>
            <w:tcBorders>
              <w:top w:val="nil" w:sz="6" w:space="0" w:color="auto"/>
              <w:left w:val="single" w:sz="4" w:space="0" w:color="000000"/>
              <w:right w:val="single" w:sz="4" w:space="0" w:color="000000"/>
            </w:tcBorders>
            <w:shd w:val="clear" w:color="auto" w:fill="D3D3D3"/>
          </w:tcPr>
          <w:p>
            <w:pPr/>
          </w:p>
        </w:tc>
        <w:tc>
          <w:tcPr>
            <w:tcW w:w="908" w:type="dxa"/>
            <w:vMerge w:val="restart"/>
            <w:tcBorders>
              <w:top w:val="nil" w:sz="6" w:space="0" w:color="auto"/>
              <w:left w:val="single" w:sz="4" w:space="0" w:color="000000"/>
              <w:right w:val="single" w:sz="4" w:space="0" w:color="000000"/>
            </w:tcBorders>
            <w:shd w:val="clear" w:color="auto" w:fill="D3D3D3"/>
          </w:tcPr>
          <w:p>
            <w:pPr/>
          </w:p>
        </w:tc>
        <w:tc>
          <w:tcPr>
            <w:tcW w:w="798" w:type="dxa"/>
            <w:vMerge/>
            <w:tcBorders>
              <w:left w:val="single" w:sz="4" w:space="0" w:color="000000"/>
              <w:bottom w:val="nil" w:sz="6" w:space="0" w:color="auto"/>
              <w:right w:val="single" w:sz="4" w:space="0" w:color="000000"/>
            </w:tcBorders>
            <w:shd w:val="clear" w:color="auto" w:fill="D3D3D3"/>
          </w:tcPr>
          <w:p>
            <w:pPr/>
          </w:p>
        </w:tc>
        <w:tc>
          <w:tcPr>
            <w:tcW w:w="526" w:type="dxa"/>
            <w:vMerge w:val="restart"/>
            <w:tcBorders>
              <w:top w:val="nil" w:sz="6" w:space="0" w:color="auto"/>
              <w:left w:val="single" w:sz="4" w:space="0" w:color="000000"/>
              <w:right w:val="single" w:sz="4" w:space="0" w:color="000000"/>
            </w:tcBorders>
            <w:shd w:val="clear" w:color="auto" w:fill="D3D3D3"/>
          </w:tcPr>
          <w:p>
            <w:pPr/>
          </w:p>
        </w:tc>
        <w:tc>
          <w:tcPr>
            <w:tcW w:w="836" w:type="dxa"/>
            <w:vMerge/>
            <w:tcBorders>
              <w:left w:val="single" w:sz="4" w:space="0" w:color="000000"/>
              <w:bottom w:val="nil" w:sz="6" w:space="0" w:color="auto"/>
              <w:right w:val="single" w:sz="4" w:space="0" w:color="000000"/>
            </w:tcBorders>
            <w:shd w:val="clear" w:color="auto" w:fill="D3D3D3"/>
          </w:tcPr>
          <w:p>
            <w:pPr/>
          </w:p>
        </w:tc>
      </w:tr>
      <w:tr>
        <w:trPr>
          <w:trHeight w:val="205" w:hRule="exact"/>
        </w:trPr>
        <w:tc>
          <w:tcPr>
            <w:tcW w:w="889" w:type="dxa"/>
            <w:vMerge/>
            <w:tcBorders>
              <w:left w:val="single" w:sz="4" w:space="0" w:color="000000"/>
              <w:bottom w:val="single" w:sz="4" w:space="0" w:color="000000"/>
              <w:right w:val="single" w:sz="4" w:space="0" w:color="000000"/>
            </w:tcBorders>
            <w:shd w:val="clear" w:color="auto" w:fill="D3D3D3"/>
          </w:tcPr>
          <w:p>
            <w:pPr/>
          </w:p>
        </w:tc>
        <w:tc>
          <w:tcPr>
            <w:tcW w:w="720" w:type="dxa"/>
            <w:vMerge/>
            <w:tcBorders>
              <w:left w:val="single" w:sz="4" w:space="0" w:color="000000"/>
              <w:bottom w:val="single" w:sz="4" w:space="0" w:color="000000"/>
              <w:right w:val="single" w:sz="4" w:space="0" w:color="000000"/>
            </w:tcBorders>
            <w:shd w:val="clear" w:color="auto" w:fill="D3D3D3"/>
          </w:tcPr>
          <w:p>
            <w:pPr/>
          </w:p>
        </w:tc>
        <w:tc>
          <w:tcPr>
            <w:tcW w:w="572" w:type="dxa"/>
            <w:vMerge/>
            <w:tcBorders>
              <w:left w:val="single" w:sz="4" w:space="0" w:color="000000"/>
              <w:bottom w:val="single" w:sz="4" w:space="0" w:color="000000"/>
              <w:right w:val="single" w:sz="4" w:space="0" w:color="000000"/>
            </w:tcBorders>
            <w:shd w:val="clear" w:color="auto" w:fill="D3D3D3"/>
          </w:tcPr>
          <w:p>
            <w:pPr/>
          </w:p>
        </w:tc>
        <w:tc>
          <w:tcPr>
            <w:tcW w:w="571" w:type="dxa"/>
            <w:vMerge/>
            <w:tcBorders>
              <w:left w:val="single" w:sz="4" w:space="0" w:color="000000"/>
              <w:bottom w:val="single" w:sz="4" w:space="0" w:color="000000"/>
              <w:right w:val="single" w:sz="4" w:space="0" w:color="000000"/>
            </w:tcBorders>
            <w:shd w:val="clear" w:color="auto" w:fill="D3D3D3"/>
          </w:tcPr>
          <w:p>
            <w:pPr/>
          </w:p>
        </w:tc>
        <w:tc>
          <w:tcPr>
            <w:tcW w:w="572" w:type="dxa"/>
            <w:tcBorders>
              <w:top w:val="nil" w:sz="6" w:space="0" w:color="auto"/>
              <w:left w:val="single" w:sz="4" w:space="0" w:color="000000"/>
              <w:bottom w:val="single" w:sz="4" w:space="0" w:color="000000"/>
              <w:right w:val="single" w:sz="4" w:space="0" w:color="000000"/>
            </w:tcBorders>
            <w:shd w:val="clear" w:color="auto" w:fill="D3D3D3"/>
          </w:tcPr>
          <w:p>
            <w:pPr/>
          </w:p>
        </w:tc>
        <w:tc>
          <w:tcPr>
            <w:tcW w:w="984" w:type="dxa"/>
            <w:vMerge/>
            <w:tcBorders>
              <w:left w:val="single" w:sz="4" w:space="0" w:color="000000"/>
              <w:bottom w:val="single" w:sz="4" w:space="0" w:color="000000"/>
              <w:right w:val="single" w:sz="4" w:space="0" w:color="000000"/>
            </w:tcBorders>
            <w:shd w:val="clear" w:color="auto" w:fill="D3D3D3"/>
          </w:tcPr>
          <w:p>
            <w:pPr/>
          </w:p>
        </w:tc>
        <w:tc>
          <w:tcPr>
            <w:tcW w:w="686"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780" w:type="dxa"/>
            <w:vMerge/>
            <w:tcBorders>
              <w:left w:val="single" w:sz="4" w:space="0" w:color="000000"/>
              <w:bottom w:val="single" w:sz="4" w:space="0" w:color="000000"/>
              <w:right w:val="single" w:sz="4" w:space="0" w:color="000000"/>
            </w:tcBorders>
            <w:shd w:val="clear" w:color="auto" w:fill="D3D3D3"/>
          </w:tcPr>
          <w:p>
            <w:pPr/>
          </w:p>
        </w:tc>
        <w:tc>
          <w:tcPr>
            <w:tcW w:w="908" w:type="dxa"/>
            <w:vMerge/>
            <w:tcBorders>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526" w:type="dxa"/>
            <w:vMerge/>
            <w:tcBorders>
              <w:left w:val="single" w:sz="4" w:space="0" w:color="000000"/>
              <w:bottom w:val="single" w:sz="4" w:space="0" w:color="000000"/>
              <w:right w:val="single" w:sz="4" w:space="0" w:color="000000"/>
            </w:tcBorders>
            <w:shd w:val="clear" w:color="auto" w:fill="D3D3D3"/>
          </w:tcPr>
          <w:p>
            <w:pPr/>
          </w:p>
        </w:tc>
        <w:tc>
          <w:tcPr>
            <w:tcW w:w="83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714" w:hRule="exact"/>
        </w:trPr>
        <w:tc>
          <w:tcPr>
            <w:tcW w:w="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23"/>
              <w:jc w:val="left"/>
              <w:rPr>
                <w:rFonts w:ascii="宋体" w:hAnsi="宋体" w:cs="宋体" w:eastAsia="宋体" w:hint="default"/>
                <w:sz w:val="18"/>
                <w:szCs w:val="18"/>
              </w:rPr>
            </w:pPr>
            <w:r>
              <w:rPr>
                <w:rFonts w:ascii="宋体" w:hAnsi="宋体" w:cs="宋体" w:eastAsia="宋体" w:hint="default"/>
                <w:spacing w:val="-12"/>
                <w:sz w:val="18"/>
                <w:szCs w:val="18"/>
              </w:rPr>
              <w:t>一、上年期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末余额</w:t>
            </w:r>
          </w:p>
        </w:tc>
        <w:tc>
          <w:tcPr>
            <w:tcW w:w="72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1,652,87</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4,961.00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2,884,526,3</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99.32</w:t>
            </w: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229,047,72</w:t>
            </w:r>
          </w:p>
          <w:p>
            <w:pPr>
              <w:pStyle w:val="TableParagraph"/>
              <w:spacing w:line="240" w:lineRule="auto" w:before="105"/>
              <w:ind w:left="560" w:right="0"/>
              <w:jc w:val="left"/>
              <w:rPr>
                <w:rFonts w:ascii="Times New Roman" w:hAnsi="Times New Roman" w:cs="Times New Roman" w:eastAsia="Times New Roman" w:hint="default"/>
                <w:sz w:val="18"/>
                <w:szCs w:val="18"/>
              </w:rPr>
            </w:pPr>
            <w:r>
              <w:rPr>
                <w:rFonts w:ascii="Times New Roman"/>
                <w:sz w:val="18"/>
              </w:rPr>
              <w:t>9.03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535,422,5</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66.96</w:t>
            </w:r>
          </w:p>
        </w:tc>
        <w:tc>
          <w:tcPr>
            <w:tcW w:w="526"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5,301,871,</w:t>
            </w:r>
          </w:p>
          <w:p>
            <w:pPr>
              <w:pStyle w:val="TableParagraph"/>
              <w:spacing w:line="240" w:lineRule="auto" w:before="105"/>
              <w:ind w:left="308" w:right="0"/>
              <w:jc w:val="left"/>
              <w:rPr>
                <w:rFonts w:ascii="Times New Roman" w:hAnsi="Times New Roman" w:cs="Times New Roman" w:eastAsia="Times New Roman" w:hint="default"/>
                <w:sz w:val="18"/>
                <w:szCs w:val="18"/>
              </w:rPr>
            </w:pPr>
            <w:r>
              <w:rPr>
                <w:rFonts w:ascii="Times New Roman"/>
                <w:sz w:val="18"/>
              </w:rPr>
              <w:t>656.31</w:t>
            </w:r>
          </w:p>
        </w:tc>
      </w:tr>
      <w:tr>
        <w:trPr>
          <w:trHeight w:val="1026" w:hRule="exact"/>
        </w:trPr>
        <w:tc>
          <w:tcPr>
            <w:tcW w:w="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23" w:firstLine="360"/>
              <w:jc w:val="left"/>
              <w:rPr>
                <w:rFonts w:ascii="宋体" w:hAnsi="宋体" w:cs="宋体" w:eastAsia="宋体" w:hint="default"/>
                <w:sz w:val="18"/>
                <w:szCs w:val="18"/>
              </w:rPr>
            </w:pPr>
            <w:r>
              <w:rPr>
                <w:rFonts w:ascii="宋体" w:hAnsi="宋体" w:cs="宋体" w:eastAsia="宋体" w:hint="default"/>
                <w:spacing w:val="-19"/>
                <w:sz w:val="18"/>
                <w:szCs w:val="18"/>
              </w:rPr>
              <w:t>加：会</w:t>
            </w:r>
            <w:r>
              <w:rPr>
                <w:rFonts w:ascii="宋体" w:hAnsi="宋体" w:cs="宋体" w:eastAsia="宋体" w:hint="default"/>
                <w:sz w:val="18"/>
                <w:szCs w:val="18"/>
              </w:rPr>
              <w:t> 计政策变 更</w:t>
            </w:r>
          </w:p>
        </w:tc>
        <w:tc>
          <w:tcPr>
            <w:tcW w:w="720"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8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20" w:type="dxa"/>
            <w:tcBorders>
              <w:top w:val="single" w:sz="4" w:space="0" w:color="000000"/>
              <w:left w:val="single" w:sz="10"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00"/>
        <w:gridCol w:w="720"/>
        <w:gridCol w:w="572"/>
        <w:gridCol w:w="571"/>
        <w:gridCol w:w="572"/>
        <w:gridCol w:w="984"/>
        <w:gridCol w:w="686"/>
        <w:gridCol w:w="685"/>
        <w:gridCol w:w="780"/>
        <w:gridCol w:w="908"/>
        <w:gridCol w:w="798"/>
        <w:gridCol w:w="526"/>
        <w:gridCol w:w="836"/>
      </w:tblGrid>
      <w:tr>
        <w:trPr>
          <w:trHeight w:val="674"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22" w:right="145"/>
              <w:jc w:val="left"/>
              <w:rPr>
                <w:rFonts w:ascii="宋体" w:hAnsi="宋体" w:cs="宋体" w:eastAsia="宋体" w:hint="default"/>
                <w:sz w:val="18"/>
                <w:szCs w:val="18"/>
              </w:rPr>
            </w:pPr>
            <w:r>
              <w:rPr>
                <w:rFonts w:ascii="宋体" w:hAnsi="宋体" w:cs="宋体" w:eastAsia="宋体" w:hint="default"/>
                <w:sz w:val="18"/>
                <w:szCs w:val="18"/>
              </w:rPr>
              <w:t>前期差错 更正</w:t>
            </w:r>
          </w:p>
        </w:tc>
        <w:tc>
          <w:tcPr>
            <w:tcW w:w="72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90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12"/>
                <w:sz w:val="18"/>
                <w:szCs w:val="18"/>
              </w:rPr>
              <w:t>二、本年期</w:t>
            </w:r>
          </w:p>
        </w:tc>
        <w:tc>
          <w:tcPr>
            <w:tcW w:w="7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1,652,87</w:t>
            </w: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9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2,884,526,3</w:t>
            </w: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9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229,047,72</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535,422,5</w:t>
            </w:r>
          </w:p>
        </w:tc>
        <w:tc>
          <w:tcPr>
            <w:tcW w:w="526" w:type="dxa"/>
            <w:vMerge w:val="restart"/>
            <w:tcBorders>
              <w:top w:val="single" w:sz="4" w:space="0" w:color="000000"/>
              <w:left w:val="single" w:sz="4" w:space="0" w:color="000000"/>
              <w:right w:val="single" w:sz="4" w:space="0" w:color="000000"/>
            </w:tcBorders>
          </w:tcPr>
          <w:p>
            <w:pPr/>
          </w:p>
        </w:tc>
        <w:tc>
          <w:tcPr>
            <w:tcW w:w="8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5,301,871,</w:t>
            </w:r>
          </w:p>
        </w:tc>
      </w:tr>
      <w:tr>
        <w:trPr>
          <w:trHeight w:val="353" w:hRule="exact"/>
        </w:trPr>
        <w:tc>
          <w:tcPr>
            <w:tcW w:w="90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初余额</w:t>
            </w:r>
          </w:p>
        </w:tc>
        <w:tc>
          <w:tcPr>
            <w:tcW w:w="7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z w:val="18"/>
              </w:rPr>
              <w:t>4,961.00</w:t>
            </w: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9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z w:val="18"/>
              </w:rPr>
              <w:t>99.32</w:t>
            </w: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9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9.03</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z w:val="18"/>
              </w:rPr>
              <w:t>66.96</w:t>
            </w:r>
          </w:p>
        </w:tc>
        <w:tc>
          <w:tcPr>
            <w:tcW w:w="526" w:type="dxa"/>
            <w:vMerge/>
            <w:tcBorders>
              <w:left w:val="single" w:sz="4" w:space="0" w:color="000000"/>
              <w:bottom w:val="single" w:sz="4" w:space="0" w:color="000000"/>
              <w:right w:val="single" w:sz="4" w:space="0" w:color="000000"/>
            </w:tcBorders>
          </w:tcPr>
          <w:p>
            <w:pPr/>
          </w:p>
        </w:tc>
        <w:tc>
          <w:tcPr>
            <w:tcW w:w="8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656.31</w:t>
            </w:r>
          </w:p>
        </w:tc>
      </w:tr>
      <w:tr>
        <w:trPr>
          <w:trHeight w:val="357" w:hRule="exact"/>
        </w:trPr>
        <w:tc>
          <w:tcPr>
            <w:tcW w:w="90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12"/>
                <w:sz w:val="18"/>
                <w:szCs w:val="18"/>
              </w:rPr>
              <w:t>三、本期增</w:t>
            </w:r>
          </w:p>
        </w:tc>
        <w:tc>
          <w:tcPr>
            <w:tcW w:w="720"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984" w:type="dxa"/>
            <w:vMerge w:val="restart"/>
            <w:tcBorders>
              <w:top w:val="single" w:sz="4" w:space="0" w:color="000000"/>
              <w:left w:val="single" w:sz="4" w:space="0" w:color="000000"/>
              <w:right w:val="single" w:sz="4" w:space="0" w:color="000000"/>
            </w:tcBorders>
          </w:tcPr>
          <w:p>
            <w:pPr/>
          </w:p>
        </w:tc>
        <w:tc>
          <w:tcPr>
            <w:tcW w:w="686" w:type="dxa"/>
            <w:tcBorders>
              <w:top w:val="single" w:sz="4" w:space="0" w:color="000000"/>
              <w:left w:val="single" w:sz="4" w:space="0" w:color="000000"/>
              <w:bottom w:val="nil" w:sz="6" w:space="0" w:color="auto"/>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90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526" w:type="dxa"/>
            <w:vMerge w:val="restart"/>
            <w:tcBorders>
              <w:top w:val="single" w:sz="4" w:space="0" w:color="000000"/>
              <w:left w:val="single" w:sz="4" w:space="0" w:color="000000"/>
              <w:right w:val="single" w:sz="4" w:space="0" w:color="000000"/>
            </w:tcBorders>
          </w:tcPr>
          <w:p>
            <w:pPr/>
          </w:p>
        </w:tc>
        <w:tc>
          <w:tcPr>
            <w:tcW w:w="83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减变动金 </w:t>
            </w:r>
            <w:r>
              <w:rPr>
                <w:rFonts w:ascii="宋体" w:hAnsi="宋体" w:cs="宋体" w:eastAsia="宋体" w:hint="default"/>
                <w:spacing w:val="-12"/>
                <w:sz w:val="18"/>
                <w:szCs w:val="18"/>
              </w:rPr>
              <w:t>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2"/>
                <w:sz w:val="18"/>
                <w:szCs w:val="18"/>
              </w:rPr>
              <w:t>“－”号填</w:t>
            </w:r>
          </w:p>
        </w:tc>
        <w:tc>
          <w:tcPr>
            <w:tcW w:w="720"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26,954,1</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64.03</w:t>
            </w:r>
          </w:p>
        </w:tc>
        <w:tc>
          <w:tcPr>
            <w:tcW w:w="685"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90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11,565,257.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34</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-17,107,2</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89.75</w:t>
            </w:r>
          </w:p>
        </w:tc>
        <w:tc>
          <w:tcPr>
            <w:tcW w:w="526" w:type="dxa"/>
            <w:vMerge/>
            <w:tcBorders>
              <w:left w:val="single" w:sz="4" w:space="0" w:color="000000"/>
              <w:right w:val="single" w:sz="4" w:space="0" w:color="000000"/>
            </w:tcBorders>
          </w:tcPr>
          <w:p>
            <w:pPr/>
          </w:p>
        </w:tc>
        <w:tc>
          <w:tcPr>
            <w:tcW w:w="8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-32,496,19</w:t>
            </w:r>
          </w:p>
          <w:p>
            <w:pPr>
              <w:pStyle w:val="TableParagraph"/>
              <w:spacing w:line="240" w:lineRule="auto" w:before="105"/>
              <w:ind w:left="488" w:right="0"/>
              <w:jc w:val="left"/>
              <w:rPr>
                <w:rFonts w:ascii="Times New Roman" w:hAnsi="Times New Roman" w:cs="Times New Roman" w:eastAsia="Times New Roman" w:hint="default"/>
                <w:sz w:val="18"/>
                <w:szCs w:val="18"/>
              </w:rPr>
            </w:pPr>
            <w:r>
              <w:rPr>
                <w:rFonts w:ascii="Times New Roman"/>
                <w:sz w:val="18"/>
              </w:rPr>
              <w:t>6.44</w:t>
            </w:r>
          </w:p>
        </w:tc>
      </w:tr>
      <w:tr>
        <w:trPr>
          <w:trHeight w:val="357" w:hRule="exact"/>
        </w:trPr>
        <w:tc>
          <w:tcPr>
            <w:tcW w:w="90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720"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984" w:type="dxa"/>
            <w:vMerge/>
            <w:tcBorders>
              <w:left w:val="single" w:sz="4" w:space="0" w:color="000000"/>
              <w:bottom w:val="single" w:sz="4" w:space="0" w:color="000000"/>
              <w:right w:val="single" w:sz="4" w:space="0" w:color="000000"/>
            </w:tcBorders>
          </w:tcPr>
          <w:p>
            <w:pPr/>
          </w:p>
        </w:tc>
        <w:tc>
          <w:tcPr>
            <w:tcW w:w="686" w:type="dxa"/>
            <w:tcBorders>
              <w:top w:val="nil" w:sz="6" w:space="0" w:color="auto"/>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90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526" w:type="dxa"/>
            <w:vMerge/>
            <w:tcBorders>
              <w:left w:val="single" w:sz="4" w:space="0" w:color="000000"/>
              <w:bottom w:val="single" w:sz="4" w:space="0" w:color="000000"/>
              <w:right w:val="single" w:sz="4" w:space="0" w:color="000000"/>
            </w:tcBorders>
          </w:tcPr>
          <w:p>
            <w:pPr/>
          </w:p>
        </w:tc>
        <w:tc>
          <w:tcPr>
            <w:tcW w:w="836"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90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12"/>
                <w:sz w:val="18"/>
                <w:szCs w:val="18"/>
              </w:rPr>
              <w:t>（一）综合</w:t>
            </w:r>
          </w:p>
        </w:tc>
        <w:tc>
          <w:tcPr>
            <w:tcW w:w="720"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9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90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77,101,71</w:t>
            </w:r>
          </w:p>
        </w:tc>
        <w:tc>
          <w:tcPr>
            <w:tcW w:w="526" w:type="dxa"/>
            <w:vMerge w:val="restart"/>
            <w:tcBorders>
              <w:top w:val="single" w:sz="4" w:space="0" w:color="000000"/>
              <w:left w:val="single" w:sz="4" w:space="0" w:color="000000"/>
              <w:right w:val="single" w:sz="4" w:space="0" w:color="000000"/>
            </w:tcBorders>
          </w:tcPr>
          <w:p>
            <w:pPr/>
          </w:p>
        </w:tc>
        <w:tc>
          <w:tcPr>
            <w:tcW w:w="8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77,101,71</w:t>
            </w:r>
          </w:p>
        </w:tc>
      </w:tr>
      <w:tr>
        <w:trPr>
          <w:trHeight w:val="353" w:hRule="exact"/>
        </w:trPr>
        <w:tc>
          <w:tcPr>
            <w:tcW w:w="90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收益总额</w:t>
            </w:r>
          </w:p>
        </w:tc>
        <w:tc>
          <w:tcPr>
            <w:tcW w:w="720"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9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90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z w:val="18"/>
              </w:rPr>
              <w:t>5.64</w:t>
            </w:r>
          </w:p>
        </w:tc>
        <w:tc>
          <w:tcPr>
            <w:tcW w:w="526" w:type="dxa"/>
            <w:vMerge/>
            <w:tcBorders>
              <w:left w:val="single" w:sz="4" w:space="0" w:color="000000"/>
              <w:bottom w:val="single" w:sz="4" w:space="0" w:color="000000"/>
              <w:right w:val="single" w:sz="4" w:space="0" w:color="000000"/>
            </w:tcBorders>
          </w:tcPr>
          <w:p>
            <w:pPr/>
          </w:p>
        </w:tc>
        <w:tc>
          <w:tcPr>
            <w:tcW w:w="8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5.64</w:t>
            </w:r>
          </w:p>
        </w:tc>
      </w:tr>
      <w:tr>
        <w:trPr>
          <w:trHeight w:val="1026"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12"/>
                <w:sz w:val="18"/>
                <w:szCs w:val="18"/>
              </w:rPr>
              <w:t>（二）所有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者投入和 减少资本</w:t>
            </w:r>
          </w:p>
        </w:tc>
        <w:tc>
          <w:tcPr>
            <w:tcW w:w="72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26,954,1</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64.03</w:t>
            </w:r>
          </w:p>
        </w:tc>
        <w:tc>
          <w:tcPr>
            <w:tcW w:w="68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-26,954,16</w:t>
            </w:r>
          </w:p>
          <w:p>
            <w:pPr>
              <w:pStyle w:val="TableParagraph"/>
              <w:spacing w:line="240" w:lineRule="auto" w:before="105"/>
              <w:ind w:left="488" w:right="0"/>
              <w:jc w:val="left"/>
              <w:rPr>
                <w:rFonts w:ascii="Times New Roman" w:hAnsi="Times New Roman" w:cs="Times New Roman" w:eastAsia="Times New Roman" w:hint="default"/>
                <w:sz w:val="18"/>
                <w:szCs w:val="18"/>
              </w:rPr>
            </w:pPr>
            <w:r>
              <w:rPr>
                <w:rFonts w:ascii="Times New Roman"/>
                <w:sz w:val="18"/>
              </w:rPr>
              <w:t>4.03</w:t>
            </w:r>
          </w:p>
        </w:tc>
      </w:tr>
      <w:tr>
        <w:trPr>
          <w:trHeight w:val="362" w:hRule="exact"/>
        </w:trPr>
        <w:tc>
          <w:tcPr>
            <w:tcW w:w="90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w:t>
            </w:r>
          </w:p>
        </w:tc>
        <w:tc>
          <w:tcPr>
            <w:tcW w:w="720"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9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90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526" w:type="dxa"/>
            <w:vMerge w:val="restart"/>
            <w:tcBorders>
              <w:top w:val="single" w:sz="4" w:space="0" w:color="000000"/>
              <w:left w:val="single" w:sz="4" w:space="0" w:color="000000"/>
              <w:right w:val="single" w:sz="4" w:space="0" w:color="000000"/>
            </w:tcBorders>
          </w:tcPr>
          <w:p>
            <w:pPr/>
          </w:p>
        </w:tc>
        <w:tc>
          <w:tcPr>
            <w:tcW w:w="836" w:type="dxa"/>
            <w:vMerge w:val="restart"/>
            <w:tcBorders>
              <w:top w:val="single" w:sz="4" w:space="0" w:color="000000"/>
              <w:left w:val="single" w:sz="4" w:space="0" w:color="000000"/>
              <w:right w:val="single" w:sz="4" w:space="0" w:color="000000"/>
            </w:tcBorders>
          </w:tcPr>
          <w:p>
            <w:pPr/>
          </w:p>
        </w:tc>
      </w:tr>
      <w:tr>
        <w:trPr>
          <w:trHeight w:val="307" w:hRule="exact"/>
        </w:trPr>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投入的普</w:t>
            </w:r>
          </w:p>
        </w:tc>
        <w:tc>
          <w:tcPr>
            <w:tcW w:w="720"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90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526" w:type="dxa"/>
            <w:vMerge/>
            <w:tcBorders>
              <w:left w:val="single" w:sz="4" w:space="0" w:color="000000"/>
              <w:right w:val="single" w:sz="4" w:space="0" w:color="000000"/>
            </w:tcBorders>
          </w:tcPr>
          <w:p>
            <w:pPr/>
          </w:p>
        </w:tc>
        <w:tc>
          <w:tcPr>
            <w:tcW w:w="836" w:type="dxa"/>
            <w:vMerge/>
            <w:tcBorders>
              <w:left w:val="single" w:sz="4" w:space="0" w:color="000000"/>
              <w:right w:val="single" w:sz="4" w:space="0" w:color="000000"/>
            </w:tcBorders>
          </w:tcPr>
          <w:p>
            <w:pPr/>
          </w:p>
        </w:tc>
      </w:tr>
      <w:tr>
        <w:trPr>
          <w:trHeight w:val="357" w:hRule="exact"/>
        </w:trPr>
        <w:tc>
          <w:tcPr>
            <w:tcW w:w="90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720"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9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90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526" w:type="dxa"/>
            <w:vMerge/>
            <w:tcBorders>
              <w:left w:val="single" w:sz="4" w:space="0" w:color="000000"/>
              <w:bottom w:val="single" w:sz="4" w:space="0" w:color="000000"/>
              <w:right w:val="single" w:sz="4" w:space="0" w:color="000000"/>
            </w:tcBorders>
          </w:tcPr>
          <w:p>
            <w:pPr/>
          </w:p>
        </w:tc>
        <w:tc>
          <w:tcPr>
            <w:tcW w:w="836" w:type="dxa"/>
            <w:vMerge/>
            <w:tcBorders>
              <w:left w:val="single" w:sz="4" w:space="0" w:color="000000"/>
              <w:bottom w:val="single" w:sz="4" w:space="0" w:color="000000"/>
              <w:right w:val="single" w:sz="4" w:space="0" w:color="000000"/>
            </w:tcBorders>
          </w:tcPr>
          <w:p>
            <w:pPr/>
          </w:p>
        </w:tc>
      </w:tr>
      <w:tr>
        <w:trPr>
          <w:trHeight w:val="362" w:hRule="exact"/>
        </w:trPr>
        <w:tc>
          <w:tcPr>
            <w:tcW w:w="90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w:t>
            </w:r>
          </w:p>
        </w:tc>
        <w:tc>
          <w:tcPr>
            <w:tcW w:w="720"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9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90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526" w:type="dxa"/>
            <w:vMerge w:val="restart"/>
            <w:tcBorders>
              <w:top w:val="single" w:sz="4" w:space="0" w:color="000000"/>
              <w:left w:val="single" w:sz="4" w:space="0" w:color="000000"/>
              <w:right w:val="single" w:sz="4" w:space="0" w:color="000000"/>
            </w:tcBorders>
          </w:tcPr>
          <w:p>
            <w:pPr/>
          </w:p>
        </w:tc>
        <w:tc>
          <w:tcPr>
            <w:tcW w:w="836" w:type="dxa"/>
            <w:vMerge w:val="restart"/>
            <w:tcBorders>
              <w:top w:val="single" w:sz="4" w:space="0" w:color="000000"/>
              <w:left w:val="single" w:sz="4" w:space="0" w:color="000000"/>
              <w:right w:val="single" w:sz="4" w:space="0" w:color="000000"/>
            </w:tcBorders>
          </w:tcPr>
          <w:p>
            <w:pPr/>
          </w:p>
        </w:tc>
      </w:tr>
      <w:tr>
        <w:trPr>
          <w:trHeight w:val="306" w:hRule="exact"/>
        </w:trPr>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益工具持</w:t>
            </w:r>
          </w:p>
        </w:tc>
        <w:tc>
          <w:tcPr>
            <w:tcW w:w="720"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90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526" w:type="dxa"/>
            <w:vMerge/>
            <w:tcBorders>
              <w:left w:val="single" w:sz="4" w:space="0" w:color="000000"/>
              <w:right w:val="single" w:sz="4" w:space="0" w:color="000000"/>
            </w:tcBorders>
          </w:tcPr>
          <w:p>
            <w:pPr/>
          </w:p>
        </w:tc>
        <w:tc>
          <w:tcPr>
            <w:tcW w:w="836" w:type="dxa"/>
            <w:vMerge/>
            <w:tcBorders>
              <w:left w:val="single" w:sz="4" w:space="0" w:color="000000"/>
              <w:right w:val="single" w:sz="4" w:space="0" w:color="000000"/>
            </w:tcBorders>
          </w:tcPr>
          <w:p>
            <w:pPr/>
          </w:p>
        </w:tc>
      </w:tr>
      <w:tr>
        <w:trPr>
          <w:trHeight w:val="313" w:hRule="exact"/>
        </w:trPr>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有者投入</w:t>
            </w:r>
          </w:p>
        </w:tc>
        <w:tc>
          <w:tcPr>
            <w:tcW w:w="720"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90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526" w:type="dxa"/>
            <w:vMerge/>
            <w:tcBorders>
              <w:left w:val="single" w:sz="4" w:space="0" w:color="000000"/>
              <w:right w:val="single" w:sz="4" w:space="0" w:color="000000"/>
            </w:tcBorders>
          </w:tcPr>
          <w:p>
            <w:pPr/>
          </w:p>
        </w:tc>
        <w:tc>
          <w:tcPr>
            <w:tcW w:w="836" w:type="dxa"/>
            <w:vMerge/>
            <w:tcBorders>
              <w:left w:val="single" w:sz="4" w:space="0" w:color="000000"/>
              <w:right w:val="single" w:sz="4" w:space="0" w:color="000000"/>
            </w:tcBorders>
          </w:tcPr>
          <w:p>
            <w:pPr/>
          </w:p>
        </w:tc>
      </w:tr>
      <w:tr>
        <w:trPr>
          <w:trHeight w:val="357" w:hRule="exact"/>
        </w:trPr>
        <w:tc>
          <w:tcPr>
            <w:tcW w:w="90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720"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9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90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526" w:type="dxa"/>
            <w:vMerge/>
            <w:tcBorders>
              <w:left w:val="single" w:sz="4" w:space="0" w:color="000000"/>
              <w:bottom w:val="single" w:sz="4" w:space="0" w:color="000000"/>
              <w:right w:val="single" w:sz="4" w:space="0" w:color="000000"/>
            </w:tcBorders>
          </w:tcPr>
          <w:p>
            <w:pPr/>
          </w:p>
        </w:tc>
        <w:tc>
          <w:tcPr>
            <w:tcW w:w="836" w:type="dxa"/>
            <w:vMerge/>
            <w:tcBorders>
              <w:left w:val="single" w:sz="4" w:space="0" w:color="000000"/>
              <w:bottom w:val="single" w:sz="4" w:space="0" w:color="000000"/>
              <w:right w:val="single" w:sz="4" w:space="0" w:color="000000"/>
            </w:tcBorders>
          </w:tcPr>
          <w:p>
            <w:pPr/>
          </w:p>
        </w:tc>
      </w:tr>
      <w:tr>
        <w:trPr>
          <w:trHeight w:val="362" w:hRule="exact"/>
        </w:trPr>
        <w:tc>
          <w:tcPr>
            <w:tcW w:w="90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w:t>
            </w:r>
          </w:p>
        </w:tc>
        <w:tc>
          <w:tcPr>
            <w:tcW w:w="720"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9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90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526" w:type="dxa"/>
            <w:vMerge w:val="restart"/>
            <w:tcBorders>
              <w:top w:val="single" w:sz="4" w:space="0" w:color="000000"/>
              <w:left w:val="single" w:sz="4" w:space="0" w:color="000000"/>
              <w:right w:val="single" w:sz="4" w:space="0" w:color="000000"/>
            </w:tcBorders>
          </w:tcPr>
          <w:p>
            <w:pPr/>
          </w:p>
        </w:tc>
        <w:tc>
          <w:tcPr>
            <w:tcW w:w="836" w:type="dxa"/>
            <w:vMerge w:val="restart"/>
            <w:tcBorders>
              <w:top w:val="single" w:sz="4" w:space="0" w:color="000000"/>
              <w:left w:val="single" w:sz="4" w:space="0" w:color="000000"/>
              <w:right w:val="single" w:sz="4" w:space="0" w:color="000000"/>
            </w:tcBorders>
          </w:tcPr>
          <w:p>
            <w:pPr/>
          </w:p>
        </w:tc>
      </w:tr>
      <w:tr>
        <w:trPr>
          <w:trHeight w:val="306" w:hRule="exact"/>
        </w:trPr>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付计入所</w:t>
            </w:r>
          </w:p>
        </w:tc>
        <w:tc>
          <w:tcPr>
            <w:tcW w:w="720"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90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526" w:type="dxa"/>
            <w:vMerge/>
            <w:tcBorders>
              <w:left w:val="single" w:sz="4" w:space="0" w:color="000000"/>
              <w:right w:val="single" w:sz="4" w:space="0" w:color="000000"/>
            </w:tcBorders>
          </w:tcPr>
          <w:p>
            <w:pPr/>
          </w:p>
        </w:tc>
        <w:tc>
          <w:tcPr>
            <w:tcW w:w="836" w:type="dxa"/>
            <w:vMerge/>
            <w:tcBorders>
              <w:left w:val="single" w:sz="4" w:space="0" w:color="000000"/>
              <w:right w:val="single" w:sz="4" w:space="0" w:color="000000"/>
            </w:tcBorders>
          </w:tcPr>
          <w:p>
            <w:pPr/>
          </w:p>
        </w:tc>
      </w:tr>
      <w:tr>
        <w:trPr>
          <w:trHeight w:val="313" w:hRule="exact"/>
        </w:trPr>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有者权益</w:t>
            </w:r>
          </w:p>
        </w:tc>
        <w:tc>
          <w:tcPr>
            <w:tcW w:w="720"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90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526" w:type="dxa"/>
            <w:vMerge/>
            <w:tcBorders>
              <w:left w:val="single" w:sz="4" w:space="0" w:color="000000"/>
              <w:right w:val="single" w:sz="4" w:space="0" w:color="000000"/>
            </w:tcBorders>
          </w:tcPr>
          <w:p>
            <w:pPr/>
          </w:p>
        </w:tc>
        <w:tc>
          <w:tcPr>
            <w:tcW w:w="836" w:type="dxa"/>
            <w:vMerge/>
            <w:tcBorders>
              <w:left w:val="single" w:sz="4" w:space="0" w:color="000000"/>
              <w:right w:val="single" w:sz="4" w:space="0" w:color="000000"/>
            </w:tcBorders>
          </w:tcPr>
          <w:p>
            <w:pPr/>
          </w:p>
        </w:tc>
      </w:tr>
      <w:tr>
        <w:trPr>
          <w:trHeight w:val="357" w:hRule="exact"/>
        </w:trPr>
        <w:tc>
          <w:tcPr>
            <w:tcW w:w="90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720"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9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90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526" w:type="dxa"/>
            <w:vMerge/>
            <w:tcBorders>
              <w:left w:val="single" w:sz="4" w:space="0" w:color="000000"/>
              <w:bottom w:val="single" w:sz="4" w:space="0" w:color="000000"/>
              <w:right w:val="single" w:sz="4" w:space="0" w:color="000000"/>
            </w:tcBorders>
          </w:tcPr>
          <w:p>
            <w:pPr/>
          </w:p>
        </w:tc>
        <w:tc>
          <w:tcPr>
            <w:tcW w:w="836" w:type="dxa"/>
            <w:vMerge/>
            <w:tcBorders>
              <w:left w:val="single" w:sz="4" w:space="0" w:color="000000"/>
              <w:bottom w:val="single" w:sz="4" w:space="0" w:color="000000"/>
              <w:right w:val="single" w:sz="4" w:space="0" w:color="000000"/>
            </w:tcBorders>
          </w:tcPr>
          <w:p>
            <w:pPr/>
          </w:p>
        </w:tc>
      </w:tr>
      <w:tr>
        <w:trPr>
          <w:trHeight w:val="714"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2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26,954,1</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64.03</w:t>
            </w:r>
          </w:p>
        </w:tc>
        <w:tc>
          <w:tcPr>
            <w:tcW w:w="68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-26,954,16</w:t>
            </w:r>
          </w:p>
          <w:p>
            <w:pPr>
              <w:pStyle w:val="TableParagraph"/>
              <w:spacing w:line="240" w:lineRule="auto" w:before="105"/>
              <w:ind w:left="488" w:right="0"/>
              <w:jc w:val="left"/>
              <w:rPr>
                <w:rFonts w:ascii="Times New Roman" w:hAnsi="Times New Roman" w:cs="Times New Roman" w:eastAsia="Times New Roman" w:hint="default"/>
                <w:sz w:val="18"/>
                <w:szCs w:val="18"/>
              </w:rPr>
            </w:pPr>
            <w:r>
              <w:rPr>
                <w:rFonts w:ascii="Times New Roman"/>
                <w:sz w:val="18"/>
              </w:rPr>
              <w:t>4.03</w:t>
            </w:r>
          </w:p>
        </w:tc>
      </w:tr>
      <w:tr>
        <w:trPr>
          <w:trHeight w:val="361" w:hRule="exact"/>
        </w:trPr>
        <w:tc>
          <w:tcPr>
            <w:tcW w:w="90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12"/>
                <w:sz w:val="18"/>
                <w:szCs w:val="18"/>
              </w:rPr>
              <w:t>（三）利润</w:t>
            </w:r>
          </w:p>
        </w:tc>
        <w:tc>
          <w:tcPr>
            <w:tcW w:w="720"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9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9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11,565,257.</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-94,209,0</w:t>
            </w:r>
          </w:p>
        </w:tc>
        <w:tc>
          <w:tcPr>
            <w:tcW w:w="526" w:type="dxa"/>
            <w:vMerge w:val="restart"/>
            <w:tcBorders>
              <w:top w:val="single" w:sz="4" w:space="0" w:color="000000"/>
              <w:left w:val="single" w:sz="4" w:space="0" w:color="000000"/>
              <w:right w:val="single" w:sz="4" w:space="0" w:color="000000"/>
            </w:tcBorders>
          </w:tcPr>
          <w:p>
            <w:pPr/>
          </w:p>
        </w:tc>
        <w:tc>
          <w:tcPr>
            <w:tcW w:w="8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-82,643,74</w:t>
            </w:r>
          </w:p>
        </w:tc>
      </w:tr>
      <w:tr>
        <w:trPr>
          <w:trHeight w:val="353" w:hRule="exact"/>
        </w:trPr>
        <w:tc>
          <w:tcPr>
            <w:tcW w:w="90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720"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9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9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34</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2"/>
              <w:jc w:val="right"/>
              <w:rPr>
                <w:rFonts w:ascii="Times New Roman" w:hAnsi="Times New Roman" w:cs="Times New Roman" w:eastAsia="Times New Roman" w:hint="default"/>
                <w:sz w:val="18"/>
                <w:szCs w:val="18"/>
              </w:rPr>
            </w:pPr>
            <w:r>
              <w:rPr>
                <w:rFonts w:ascii="Times New Roman"/>
                <w:sz w:val="18"/>
              </w:rPr>
              <w:t>05.39</w:t>
            </w:r>
          </w:p>
        </w:tc>
        <w:tc>
          <w:tcPr>
            <w:tcW w:w="526" w:type="dxa"/>
            <w:vMerge/>
            <w:tcBorders>
              <w:left w:val="single" w:sz="4" w:space="0" w:color="000000"/>
              <w:bottom w:val="single" w:sz="4" w:space="0" w:color="000000"/>
              <w:right w:val="single" w:sz="4" w:space="0" w:color="000000"/>
            </w:tcBorders>
          </w:tcPr>
          <w:p>
            <w:pPr/>
          </w:p>
        </w:tc>
        <w:tc>
          <w:tcPr>
            <w:tcW w:w="8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8.05</w:t>
            </w:r>
          </w:p>
        </w:tc>
      </w:tr>
      <w:tr>
        <w:trPr>
          <w:trHeight w:val="363" w:hRule="exact"/>
        </w:trPr>
        <w:tc>
          <w:tcPr>
            <w:tcW w:w="90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w:t>
            </w:r>
          </w:p>
        </w:tc>
        <w:tc>
          <w:tcPr>
            <w:tcW w:w="720"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9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9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11,565,257.</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-11,565,2</w:t>
            </w:r>
          </w:p>
        </w:tc>
        <w:tc>
          <w:tcPr>
            <w:tcW w:w="526" w:type="dxa"/>
            <w:vMerge w:val="restart"/>
            <w:tcBorders>
              <w:top w:val="single" w:sz="4" w:space="0" w:color="000000"/>
              <w:left w:val="single" w:sz="4" w:space="0" w:color="000000"/>
              <w:right w:val="single" w:sz="4" w:space="0" w:color="000000"/>
            </w:tcBorders>
          </w:tcPr>
          <w:p>
            <w:pPr/>
          </w:p>
        </w:tc>
        <w:tc>
          <w:tcPr>
            <w:tcW w:w="836" w:type="dxa"/>
            <w:vMerge w:val="restart"/>
            <w:tcBorders>
              <w:top w:val="single" w:sz="4" w:space="0" w:color="000000"/>
              <w:left w:val="single" w:sz="4" w:space="0" w:color="000000"/>
              <w:right w:val="single" w:sz="4" w:space="0" w:color="000000"/>
            </w:tcBorders>
          </w:tcPr>
          <w:p>
            <w:pPr/>
          </w:p>
        </w:tc>
      </w:tr>
      <w:tr>
        <w:trPr>
          <w:trHeight w:val="351" w:hRule="exact"/>
        </w:trPr>
        <w:tc>
          <w:tcPr>
            <w:tcW w:w="90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余公积</w:t>
            </w:r>
          </w:p>
        </w:tc>
        <w:tc>
          <w:tcPr>
            <w:tcW w:w="720"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9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9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34</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5"/>
              <w:ind w:right="22"/>
              <w:jc w:val="right"/>
              <w:rPr>
                <w:rFonts w:ascii="Times New Roman" w:hAnsi="Times New Roman" w:cs="Times New Roman" w:eastAsia="Times New Roman" w:hint="default"/>
                <w:sz w:val="18"/>
                <w:szCs w:val="18"/>
              </w:rPr>
            </w:pPr>
            <w:r>
              <w:rPr>
                <w:rFonts w:ascii="Times New Roman"/>
                <w:sz w:val="18"/>
              </w:rPr>
              <w:t>57.34</w:t>
            </w:r>
          </w:p>
        </w:tc>
        <w:tc>
          <w:tcPr>
            <w:tcW w:w="526" w:type="dxa"/>
            <w:vMerge/>
            <w:tcBorders>
              <w:left w:val="single" w:sz="4" w:space="0" w:color="000000"/>
              <w:bottom w:val="single" w:sz="4" w:space="0" w:color="000000"/>
              <w:right w:val="single" w:sz="4" w:space="0" w:color="000000"/>
            </w:tcBorders>
          </w:tcPr>
          <w:p>
            <w:pPr/>
          </w:p>
        </w:tc>
        <w:tc>
          <w:tcPr>
            <w:tcW w:w="836" w:type="dxa"/>
            <w:vMerge/>
            <w:tcBorders>
              <w:left w:val="single" w:sz="4" w:space="0" w:color="000000"/>
              <w:bottom w:val="single" w:sz="4" w:space="0" w:color="000000"/>
              <w:right w:val="single" w:sz="4" w:space="0" w:color="000000"/>
            </w:tcBorders>
          </w:tcPr>
          <w:p>
            <w:pPr/>
          </w:p>
        </w:tc>
      </w:tr>
      <w:tr>
        <w:trPr>
          <w:trHeight w:val="1026"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 者（或股 </w:t>
            </w:r>
            <w:r>
              <w:rPr>
                <w:rFonts w:ascii="宋体" w:hAnsi="宋体" w:cs="宋体" w:eastAsia="宋体" w:hint="default"/>
                <w:spacing w:val="-12"/>
                <w:sz w:val="18"/>
                <w:szCs w:val="18"/>
              </w:rPr>
              <w:t>东）的分配</w:t>
            </w:r>
          </w:p>
        </w:tc>
        <w:tc>
          <w:tcPr>
            <w:tcW w:w="72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-82,643,7</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48.05</w:t>
            </w:r>
          </w:p>
        </w:tc>
        <w:tc>
          <w:tcPr>
            <w:tcW w:w="526"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-82,643,74</w:t>
            </w:r>
          </w:p>
          <w:p>
            <w:pPr>
              <w:pStyle w:val="TableParagraph"/>
              <w:spacing w:line="240" w:lineRule="auto" w:before="105"/>
              <w:ind w:left="488" w:right="0"/>
              <w:jc w:val="left"/>
              <w:rPr>
                <w:rFonts w:ascii="Times New Roman" w:hAnsi="Times New Roman" w:cs="Times New Roman" w:eastAsia="Times New Roman" w:hint="default"/>
                <w:sz w:val="18"/>
                <w:szCs w:val="18"/>
              </w:rPr>
            </w:pPr>
            <w:r>
              <w:rPr>
                <w:rFonts w:ascii="Times New Roman"/>
                <w:sz w:val="18"/>
              </w:rPr>
              <w:t>8.05</w:t>
            </w: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2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90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12"/>
                <w:sz w:val="18"/>
                <w:szCs w:val="18"/>
              </w:rPr>
              <w:t>（四）所有</w:t>
            </w:r>
          </w:p>
        </w:tc>
        <w:tc>
          <w:tcPr>
            <w:tcW w:w="720"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9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780" w:type="dxa"/>
            <w:vMerge w:val="restart"/>
            <w:tcBorders>
              <w:top w:val="single" w:sz="4" w:space="0" w:color="000000"/>
              <w:left w:val="single" w:sz="4" w:space="0" w:color="000000"/>
              <w:right w:val="single" w:sz="4" w:space="0" w:color="000000"/>
            </w:tcBorders>
          </w:tcPr>
          <w:p>
            <w:pPr/>
          </w:p>
        </w:tc>
        <w:tc>
          <w:tcPr>
            <w:tcW w:w="90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526" w:type="dxa"/>
            <w:vMerge w:val="restart"/>
            <w:tcBorders>
              <w:top w:val="single" w:sz="4" w:space="0" w:color="000000"/>
              <w:left w:val="single" w:sz="4" w:space="0" w:color="000000"/>
              <w:right w:val="single" w:sz="4" w:space="0" w:color="000000"/>
            </w:tcBorders>
          </w:tcPr>
          <w:p>
            <w:pPr/>
          </w:p>
        </w:tc>
        <w:tc>
          <w:tcPr>
            <w:tcW w:w="836" w:type="dxa"/>
            <w:vMerge w:val="restart"/>
            <w:tcBorders>
              <w:top w:val="single" w:sz="4" w:space="0" w:color="000000"/>
              <w:left w:val="single" w:sz="4" w:space="0" w:color="000000"/>
              <w:right w:val="single" w:sz="4" w:space="0" w:color="000000"/>
            </w:tcBorders>
          </w:tcPr>
          <w:p>
            <w:pPr/>
          </w:p>
        </w:tc>
      </w:tr>
      <w:tr>
        <w:trPr>
          <w:trHeight w:val="312" w:hRule="exact"/>
        </w:trPr>
        <w:tc>
          <w:tcPr>
            <w:tcW w:w="9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者权益内</w:t>
            </w:r>
          </w:p>
        </w:tc>
        <w:tc>
          <w:tcPr>
            <w:tcW w:w="720"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9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90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526" w:type="dxa"/>
            <w:vMerge/>
            <w:tcBorders>
              <w:left w:val="single" w:sz="4" w:space="0" w:color="000000"/>
              <w:right w:val="single" w:sz="4" w:space="0" w:color="000000"/>
            </w:tcBorders>
          </w:tcPr>
          <w:p>
            <w:pPr/>
          </w:p>
        </w:tc>
        <w:tc>
          <w:tcPr>
            <w:tcW w:w="836" w:type="dxa"/>
            <w:vMerge/>
            <w:tcBorders>
              <w:left w:val="single" w:sz="4" w:space="0" w:color="000000"/>
              <w:right w:val="single" w:sz="4" w:space="0" w:color="000000"/>
            </w:tcBorders>
          </w:tcPr>
          <w:p>
            <w:pPr/>
          </w:p>
        </w:tc>
      </w:tr>
      <w:tr>
        <w:trPr>
          <w:trHeight w:val="357" w:hRule="exact"/>
        </w:trPr>
        <w:tc>
          <w:tcPr>
            <w:tcW w:w="90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部结转</w:t>
            </w:r>
          </w:p>
        </w:tc>
        <w:tc>
          <w:tcPr>
            <w:tcW w:w="720"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9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90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526" w:type="dxa"/>
            <w:vMerge/>
            <w:tcBorders>
              <w:left w:val="single" w:sz="4" w:space="0" w:color="000000"/>
              <w:bottom w:val="single" w:sz="4" w:space="0" w:color="000000"/>
              <w:right w:val="single" w:sz="4" w:space="0" w:color="000000"/>
            </w:tcBorders>
          </w:tcPr>
          <w:p>
            <w:pPr/>
          </w:p>
        </w:tc>
        <w:tc>
          <w:tcPr>
            <w:tcW w:w="836"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00"/>
        <w:gridCol w:w="720"/>
        <w:gridCol w:w="572"/>
        <w:gridCol w:w="571"/>
        <w:gridCol w:w="572"/>
        <w:gridCol w:w="984"/>
        <w:gridCol w:w="686"/>
        <w:gridCol w:w="685"/>
        <w:gridCol w:w="780"/>
        <w:gridCol w:w="908"/>
        <w:gridCol w:w="798"/>
        <w:gridCol w:w="526"/>
        <w:gridCol w:w="836"/>
      </w:tblGrid>
      <w:tr>
        <w:trPr>
          <w:trHeight w:val="1338"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 积转增资 本（或股 本）</w:t>
            </w:r>
          </w:p>
        </w:tc>
        <w:tc>
          <w:tcPr>
            <w:tcW w:w="72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 积转增资 本（或股 本）</w:t>
            </w:r>
          </w:p>
        </w:tc>
        <w:tc>
          <w:tcPr>
            <w:tcW w:w="72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 积弥补亏 损</w:t>
            </w:r>
          </w:p>
        </w:tc>
        <w:tc>
          <w:tcPr>
            <w:tcW w:w="72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 益计划变 动额结转 留存收益</w:t>
            </w:r>
          </w:p>
        </w:tc>
        <w:tc>
          <w:tcPr>
            <w:tcW w:w="72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 合收益结 转留存收 益</w:t>
            </w:r>
          </w:p>
        </w:tc>
        <w:tc>
          <w:tcPr>
            <w:tcW w:w="72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72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12"/>
                <w:sz w:val="18"/>
                <w:szCs w:val="18"/>
              </w:rPr>
              <w:t>（五）专项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储备</w:t>
            </w:r>
          </w:p>
        </w:tc>
        <w:tc>
          <w:tcPr>
            <w:tcW w:w="72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 取</w:t>
            </w:r>
          </w:p>
        </w:tc>
        <w:tc>
          <w:tcPr>
            <w:tcW w:w="72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 用</w:t>
            </w:r>
          </w:p>
        </w:tc>
        <w:tc>
          <w:tcPr>
            <w:tcW w:w="72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12"/>
                <w:sz w:val="18"/>
                <w:szCs w:val="18"/>
              </w:rPr>
              <w:t>（六）其他</w:t>
            </w:r>
          </w:p>
        </w:tc>
        <w:tc>
          <w:tcPr>
            <w:tcW w:w="720"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12"/>
                <w:sz w:val="18"/>
                <w:szCs w:val="18"/>
              </w:rPr>
              <w:t>四、本期期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末余额</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1,652,87</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4,961.00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 w:right="0"/>
              <w:jc w:val="left"/>
              <w:rPr>
                <w:rFonts w:ascii="Times New Roman" w:hAnsi="Times New Roman" w:cs="Times New Roman" w:eastAsia="Times New Roman" w:hint="default"/>
                <w:sz w:val="18"/>
                <w:szCs w:val="18"/>
              </w:rPr>
            </w:pPr>
            <w:r>
              <w:rPr>
                <w:rFonts w:ascii="Times New Roman"/>
                <w:sz w:val="18"/>
              </w:rPr>
              <w:t>2,884,526,3</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99.32</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26,954,1</w:t>
            </w:r>
          </w:p>
          <w:p>
            <w:pPr>
              <w:pStyle w:val="TableParagraph"/>
              <w:spacing w:line="240" w:lineRule="auto" w:before="105"/>
              <w:ind w:left="247" w:right="0"/>
              <w:jc w:val="left"/>
              <w:rPr>
                <w:rFonts w:ascii="Times New Roman" w:hAnsi="Times New Roman" w:cs="Times New Roman" w:eastAsia="Times New Roman" w:hint="default"/>
                <w:sz w:val="18"/>
                <w:szCs w:val="18"/>
              </w:rPr>
            </w:pPr>
            <w:r>
              <w:rPr>
                <w:rFonts w:ascii="Times New Roman"/>
                <w:sz w:val="18"/>
              </w:rPr>
              <w:t>64.03</w:t>
            </w:r>
          </w:p>
        </w:tc>
        <w:tc>
          <w:tcPr>
            <w:tcW w:w="685"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240,612,98</w:t>
            </w:r>
          </w:p>
          <w:p>
            <w:pPr>
              <w:pStyle w:val="TableParagraph"/>
              <w:spacing w:line="240" w:lineRule="auto" w:before="105"/>
              <w:ind w:left="560" w:right="0"/>
              <w:jc w:val="left"/>
              <w:rPr>
                <w:rFonts w:ascii="Times New Roman" w:hAnsi="Times New Roman" w:cs="Times New Roman" w:eastAsia="Times New Roman" w:hint="default"/>
                <w:sz w:val="18"/>
                <w:szCs w:val="18"/>
              </w:rPr>
            </w:pPr>
            <w:r>
              <w:rPr>
                <w:rFonts w:ascii="Times New Roman"/>
                <w:sz w:val="18"/>
              </w:rPr>
              <w:t>6.37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518,315,2</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77.21</w:t>
            </w:r>
          </w:p>
        </w:tc>
        <w:tc>
          <w:tcPr>
            <w:tcW w:w="526"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5,269,375,</w:t>
            </w:r>
          </w:p>
          <w:p>
            <w:pPr>
              <w:pStyle w:val="TableParagraph"/>
              <w:spacing w:line="240" w:lineRule="auto" w:before="105"/>
              <w:ind w:left="308" w:right="0"/>
              <w:jc w:val="left"/>
              <w:rPr>
                <w:rFonts w:ascii="Times New Roman" w:hAnsi="Times New Roman" w:cs="Times New Roman" w:eastAsia="Times New Roman" w:hint="default"/>
                <w:sz w:val="18"/>
                <w:szCs w:val="18"/>
              </w:rPr>
            </w:pPr>
            <w:r>
              <w:rPr>
                <w:rFonts w:ascii="Times New Roman"/>
                <w:sz w:val="18"/>
              </w:rPr>
              <w:t>459.87</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28" w:firstLine="360"/>
        <w:jc w:val="both"/>
      </w:pPr>
      <w:r>
        <w:rPr/>
        <w:t>石家庄常山北明科技股份有限公司（以下简称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）系经河北省人民政府股份制领导小组办公室</w:t>
      </w:r>
      <w:r>
        <w:rPr>
          <w:rFonts w:ascii="Times New Roman" w:hAnsi="Times New Roman" w:cs="Times New Roman" w:eastAsia="Times New Roman" w:hint="default"/>
        </w:rPr>
        <w:t>“</w:t>
      </w:r>
      <w:r>
        <w:rPr/>
        <w:t>冀股办 </w:t>
      </w:r>
      <w:r>
        <w:rPr>
          <w:rFonts w:ascii="Times New Roman" w:hAnsi="Times New Roman" w:cs="Times New Roman" w:eastAsia="Times New Roman" w:hint="default"/>
        </w:rPr>
        <w:t>[1998]64</w:t>
      </w:r>
      <w:r>
        <w:rPr/>
        <w:t>号</w:t>
      </w:r>
      <w:r>
        <w:rPr>
          <w:rFonts w:ascii="Times New Roman" w:hAnsi="Times New Roman" w:cs="Times New Roman" w:eastAsia="Times New Roman" w:hint="default"/>
        </w:rPr>
        <w:t>”</w:t>
      </w:r>
      <w:r>
        <w:rPr/>
        <w:t>文件批准，由石家庄常山纺织集团有限责任公司作为主发起人，联合河北省宏远国际经贸集团公司、河北华鑫</w:t>
      </w:r>
      <w:r>
        <w:rPr>
          <w:spacing w:val="-26"/>
        </w:rPr>
        <w:t> </w:t>
      </w:r>
      <w:r>
        <w:rPr>
          <w:spacing w:val="-26"/>
        </w:rPr>
      </w:r>
      <w:r>
        <w:rPr>
          <w:spacing w:val="-5"/>
        </w:rPr>
        <w:t>集团公司、河北宁纺集团有限责任公司和石家庄市星球服装鞋帽联合（集团）公司共同发起设立的股份有限公司。公司于</w:t>
      </w:r>
      <w:r>
        <w:rPr>
          <w:rFonts w:ascii="Times New Roman" w:hAnsi="Times New Roman" w:cs="Times New Roman" w:eastAsia="Times New Roman" w:hint="default"/>
          <w:spacing w:val="-5"/>
        </w:rPr>
        <w:t>1998</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日在河北省工商行政管理局注册登记正式成立，注册资本</w:t>
      </w:r>
      <w:r>
        <w:rPr>
          <w:rFonts w:ascii="Times New Roman" w:hAnsi="Times New Roman" w:cs="Times New Roman" w:eastAsia="Times New Roman" w:hint="default"/>
        </w:rPr>
        <w:t>3</w:t>
      </w:r>
      <w:r>
        <w:rPr/>
        <w:t>亿元。</w:t>
      </w:r>
    </w:p>
    <w:p>
      <w:pPr>
        <w:spacing w:line="240" w:lineRule="auto" w:before="7"/>
        <w:rPr>
          <w:rFonts w:ascii="宋体" w:hAnsi="宋体" w:cs="宋体" w:eastAsia="宋体" w:hint="default"/>
          <w:sz w:val="17"/>
          <w:szCs w:val="17"/>
        </w:rPr>
      </w:pPr>
    </w:p>
    <w:p>
      <w:pPr>
        <w:pStyle w:val="BodyText"/>
        <w:spacing w:line="300" w:lineRule="auto"/>
        <w:ind w:right="1041" w:firstLine="360"/>
        <w:jc w:val="both"/>
      </w:pPr>
      <w:r>
        <w:rPr/>
        <w:t>经中国证监会</w:t>
      </w:r>
      <w:r>
        <w:rPr>
          <w:rFonts w:ascii="Times New Roman" w:hAnsi="Times New Roman" w:cs="Times New Roman" w:eastAsia="Times New Roman" w:hint="default"/>
        </w:rPr>
        <w:t>“</w:t>
      </w:r>
      <w:r>
        <w:rPr/>
        <w:t>证监发行字</w:t>
      </w:r>
      <w:r>
        <w:rPr>
          <w:rFonts w:ascii="Times New Roman" w:hAnsi="Times New Roman" w:cs="Times New Roman" w:eastAsia="Times New Roman" w:hint="default"/>
        </w:rPr>
        <w:t>[2000]91</w:t>
      </w:r>
      <w:r>
        <w:rPr/>
        <w:t>号</w:t>
      </w:r>
      <w:r>
        <w:rPr>
          <w:rFonts w:ascii="Times New Roman" w:hAnsi="Times New Roman" w:cs="Times New Roman" w:eastAsia="Times New Roman" w:hint="default"/>
        </w:rPr>
        <w:t>”</w:t>
      </w:r>
      <w:r>
        <w:rPr/>
        <w:t>文件批准，公司于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6</w:t>
      </w:r>
      <w:r>
        <w:rPr/>
        <w:t>日通过深圳证券交易所交易系统，采用上网定价的 发行方式向社会公开发行人民币普通股（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w:t>
      </w:r>
      <w:r>
        <w:rPr/>
        <w:t>亿股，发行价为每股</w:t>
      </w:r>
      <w:r>
        <w:rPr>
          <w:rFonts w:ascii="Times New Roman" w:hAnsi="Times New Roman" w:cs="Times New Roman" w:eastAsia="Times New Roman" w:hint="default"/>
        </w:rPr>
        <w:t>6.18</w:t>
      </w:r>
      <w:r>
        <w:rPr/>
        <w:t>元。经深圳证券交易所</w:t>
      </w:r>
      <w:r>
        <w:rPr>
          <w:rFonts w:ascii="Times New Roman" w:hAnsi="Times New Roman" w:cs="Times New Roman" w:eastAsia="Times New Roman" w:hint="default"/>
        </w:rPr>
        <w:t>“</w:t>
      </w:r>
      <w:r>
        <w:rPr/>
        <w:t>深证上</w:t>
      </w:r>
      <w:r>
        <w:rPr>
          <w:rFonts w:ascii="Times New Roman" w:hAnsi="Times New Roman" w:cs="Times New Roman" w:eastAsia="Times New Roman" w:hint="default"/>
        </w:rPr>
        <w:t>2000</w:t>
      </w:r>
      <w:r>
        <w:rPr/>
        <w:t>［</w:t>
      </w:r>
      <w:r>
        <w:rPr>
          <w:rFonts w:ascii="Times New Roman" w:hAnsi="Times New Roman" w:cs="Times New Roman" w:eastAsia="Times New Roman" w:hint="default"/>
        </w:rPr>
        <w:t>106</w:t>
      </w:r>
      <w:r>
        <w:rPr/>
        <w:t>］号</w:t>
      </w:r>
      <w:r>
        <w:rPr>
          <w:rFonts w:ascii="Times New Roman" w:hAnsi="Times New Roman" w:cs="Times New Roman" w:eastAsia="Times New Roman" w:hint="default"/>
        </w:rPr>
        <w:t>”</w:t>
      </w:r>
      <w:r>
        <w:rPr/>
        <w:t>文</w:t>
      </w:r>
      <w:r>
        <w:rPr>
          <w:spacing w:val="-66"/>
        </w:rPr>
        <w:t> </w:t>
      </w:r>
      <w:r>
        <w:rPr>
          <w:spacing w:val="-5"/>
        </w:rPr>
        <w:t>批准，本公司的</w:t>
      </w:r>
      <w:r>
        <w:rPr>
          <w:rFonts w:ascii="Times New Roman" w:hAnsi="Times New Roman" w:cs="Times New Roman" w:eastAsia="Times New Roman" w:hint="default"/>
          <w:spacing w:val="-5"/>
        </w:rPr>
        <w:t>1</w:t>
      </w:r>
      <w:r>
        <w:rPr>
          <w:spacing w:val="-5"/>
        </w:rPr>
        <w:t>亿股</w:t>
      </w:r>
      <w:r>
        <w:rPr>
          <w:rFonts w:ascii="Times New Roman" w:hAnsi="Times New Roman" w:cs="Times New Roman" w:eastAsia="Times New Roman" w:hint="default"/>
          <w:spacing w:val="-5"/>
        </w:rPr>
        <w:t>A</w:t>
      </w:r>
      <w:r>
        <w:rPr>
          <w:spacing w:val="-5"/>
        </w:rPr>
        <w:t>股股票已于</w:t>
      </w:r>
      <w:r>
        <w:rPr>
          <w:rFonts w:ascii="Times New Roman" w:hAnsi="Times New Roman" w:cs="Times New Roman" w:eastAsia="Times New Roman" w:hint="default"/>
          <w:spacing w:val="-5"/>
        </w:rPr>
        <w:t>2000</w:t>
      </w:r>
      <w:r>
        <w:rPr>
          <w:spacing w:val="-5"/>
        </w:rPr>
        <w:t>年</w:t>
      </w:r>
      <w:r>
        <w:rPr>
          <w:rFonts w:ascii="Times New Roman" w:hAnsi="Times New Roman" w:cs="Times New Roman" w:eastAsia="Times New Roman" w:hint="default"/>
          <w:spacing w:val="-5"/>
        </w:rPr>
        <w:t>7</w:t>
      </w:r>
      <w:r>
        <w:rPr>
          <w:spacing w:val="-5"/>
        </w:rPr>
        <w:t>月</w:t>
      </w:r>
      <w:r>
        <w:rPr>
          <w:rFonts w:ascii="Times New Roman" w:hAnsi="Times New Roman" w:cs="Times New Roman" w:eastAsia="Times New Roman" w:hint="default"/>
          <w:spacing w:val="-5"/>
        </w:rPr>
        <w:t>24</w:t>
      </w:r>
      <w:r>
        <w:rPr>
          <w:spacing w:val="-5"/>
        </w:rPr>
        <w:t>日在深圳证券交易所上市挂牌交易。股票简称</w:t>
      </w:r>
      <w:r>
        <w:rPr>
          <w:rFonts w:ascii="Times New Roman" w:hAnsi="Times New Roman" w:cs="Times New Roman" w:eastAsia="Times New Roman" w:hint="default"/>
          <w:spacing w:val="-5"/>
        </w:rPr>
        <w:t>“</w:t>
      </w:r>
      <w:r>
        <w:rPr>
          <w:spacing w:val="-5"/>
        </w:rPr>
        <w:t>常山北明</w:t>
      </w:r>
      <w:r>
        <w:rPr>
          <w:rFonts w:ascii="Times New Roman" w:hAnsi="Times New Roman" w:cs="Times New Roman" w:eastAsia="Times New Roman" w:hint="default"/>
          <w:spacing w:val="-5"/>
        </w:rPr>
        <w:t>”</w:t>
      </w:r>
      <w:r>
        <w:rPr>
          <w:spacing w:val="-5"/>
        </w:rPr>
        <w:t>，股票代码</w:t>
      </w:r>
      <w:r>
        <w:rPr>
          <w:rFonts w:ascii="Times New Roman" w:hAnsi="Times New Roman" w:cs="Times New Roman" w:eastAsia="Times New Roman" w:hint="default"/>
          <w:spacing w:val="-5"/>
        </w:rPr>
        <w:t>“000158”</w:t>
      </w:r>
      <w:r>
        <w:rPr>
          <w:spacing w:val="-5"/>
        </w:rPr>
        <w:t>。</w:t>
      </w:r>
    </w:p>
    <w:p>
      <w:pPr>
        <w:spacing w:line="240" w:lineRule="auto" w:before="7"/>
        <w:rPr>
          <w:rFonts w:ascii="宋体" w:hAnsi="宋体" w:cs="宋体" w:eastAsia="宋体" w:hint="default"/>
          <w:sz w:val="17"/>
          <w:szCs w:val="17"/>
        </w:rPr>
      </w:pPr>
    </w:p>
    <w:p>
      <w:pPr>
        <w:pStyle w:val="BodyText"/>
        <w:spacing w:line="240" w:lineRule="auto"/>
        <w:ind w:left="514" w:right="0"/>
        <w:jc w:val="left"/>
      </w:pPr>
      <w:r>
        <w:rPr/>
        <w:t>根据公司股东大会决议通过的配股方案，并经中国证监会</w:t>
      </w:r>
      <w:r>
        <w:rPr>
          <w:rFonts w:ascii="Times New Roman" w:hAnsi="Times New Roman" w:cs="Times New Roman" w:eastAsia="Times New Roman" w:hint="default"/>
        </w:rPr>
        <w:t>“</w:t>
      </w:r>
      <w:r>
        <w:rPr/>
        <w:t>证监发行字</w:t>
      </w:r>
      <w:r>
        <w:rPr>
          <w:rFonts w:ascii="Times New Roman" w:hAnsi="Times New Roman" w:cs="Times New Roman" w:eastAsia="Times New Roman" w:hint="default"/>
        </w:rPr>
        <w:t>[2003]91</w:t>
      </w:r>
      <w:r>
        <w:rPr/>
        <w:t>号</w:t>
      </w:r>
      <w:r>
        <w:rPr>
          <w:rFonts w:ascii="Times New Roman" w:hAnsi="Times New Roman" w:cs="Times New Roman" w:eastAsia="Times New Roman" w:hint="default"/>
        </w:rPr>
        <w:t>”</w:t>
      </w:r>
      <w:r>
        <w:rPr/>
        <w:t>文核准，本公司于</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8</w:t>
      </w:r>
      <w:r>
        <w:rPr/>
        <w:t>月向社会</w:t>
      </w:r>
    </w:p>
    <w:p>
      <w:pPr>
        <w:spacing w:after="0" w:line="240"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0" w:right="1128"/>
        <w:jc w:val="right"/>
      </w:pPr>
      <w:r>
        <w:rPr/>
        <w:t>公众股股东配售普通股</w:t>
      </w:r>
      <w:r>
        <w:rPr>
          <w:rFonts w:ascii="Times New Roman" w:hAnsi="Times New Roman" w:cs="Times New Roman" w:eastAsia="Times New Roman" w:hint="default"/>
        </w:rPr>
        <w:t>30,000,000</w:t>
      </w:r>
      <w:r>
        <w:rPr/>
        <w:t>股，每股发行价格为</w:t>
      </w:r>
      <w:r>
        <w:rPr>
          <w:rFonts w:ascii="Times New Roman" w:hAnsi="Times New Roman" w:cs="Times New Roman" w:eastAsia="Times New Roman" w:hint="default"/>
        </w:rPr>
        <w:t>5.07</w:t>
      </w:r>
      <w:r>
        <w:rPr/>
        <w:t>元人民币</w:t>
      </w:r>
      <w:r>
        <w:rPr>
          <w:rFonts w:ascii="Times New Roman" w:hAnsi="Times New Roman" w:cs="Times New Roman" w:eastAsia="Times New Roman" w:hint="default"/>
        </w:rPr>
        <w:t>,</w:t>
      </w:r>
      <w:r>
        <w:rPr>
          <w:rFonts w:ascii="Times New Roman" w:hAnsi="Times New Roman" w:cs="Times New Roman" w:eastAsia="Times New Roman" w:hint="default"/>
          <w:spacing w:val="37"/>
        </w:rPr>
        <w:t> </w:t>
      </w:r>
      <w:r>
        <w:rPr/>
        <w:t>募集资金净额为</w:t>
      </w:r>
      <w:r>
        <w:rPr>
          <w:rFonts w:ascii="Times New Roman" w:hAnsi="Times New Roman" w:cs="Times New Roman" w:eastAsia="Times New Roman" w:hint="default"/>
        </w:rPr>
        <w:t>140,968,464.08</w:t>
      </w:r>
      <w:r>
        <w:rPr/>
        <w:t>元。此次配售社会公众 股后，公司股本总额为</w:t>
      </w:r>
      <w:r>
        <w:rPr>
          <w:rFonts w:ascii="Times New Roman" w:hAnsi="Times New Roman" w:cs="Times New Roman" w:eastAsia="Times New Roman" w:hint="default"/>
        </w:rPr>
        <w:t>43,000</w:t>
      </w:r>
      <w:r>
        <w:rPr/>
        <w:t>万元人民币，已经河北华安会计师事务所有限公司</w:t>
      </w:r>
      <w:r>
        <w:rPr>
          <w:rFonts w:ascii="Times New Roman" w:hAnsi="Times New Roman" w:cs="Times New Roman" w:eastAsia="Times New Roman" w:hint="default"/>
        </w:rPr>
        <w:t>“</w:t>
      </w:r>
      <w:r>
        <w:rPr/>
        <w:t>冀华会验字</w:t>
      </w:r>
      <w:r>
        <w:rPr>
          <w:rFonts w:ascii="Times New Roman" w:hAnsi="Times New Roman" w:cs="Times New Roman" w:eastAsia="Times New Roman" w:hint="default"/>
        </w:rPr>
        <w:t>[2003]</w:t>
      </w:r>
      <w:r>
        <w:rPr>
          <w:rFonts w:ascii="Times New Roman" w:hAnsi="Times New Roman" w:cs="Times New Roman" w:eastAsia="Times New Roman" w:hint="default"/>
          <w:spacing w:val="-4"/>
        </w:rPr>
        <w:t> </w:t>
      </w:r>
      <w:r>
        <w:rPr>
          <w:rFonts w:ascii="Times New Roman" w:hAnsi="Times New Roman" w:cs="Times New Roman" w:eastAsia="Times New Roman" w:hint="default"/>
        </w:rPr>
        <w:t>3004</w:t>
      </w:r>
      <w:r>
        <w:rPr/>
        <w:t>号</w:t>
      </w:r>
      <w:r>
        <w:rPr>
          <w:rFonts w:ascii="Times New Roman" w:hAnsi="Times New Roman" w:cs="Times New Roman" w:eastAsia="Times New Roman" w:hint="default"/>
        </w:rPr>
        <w:t>”</w:t>
      </w:r>
      <w:r>
        <w:rPr/>
        <w:t>验资报告验证。</w:t>
      </w:r>
    </w:p>
    <w:p>
      <w:pPr>
        <w:spacing w:line="240" w:lineRule="auto" w:before="7"/>
        <w:rPr>
          <w:rFonts w:ascii="宋体" w:hAnsi="宋体" w:cs="宋体" w:eastAsia="宋体" w:hint="default"/>
          <w:sz w:val="17"/>
          <w:szCs w:val="17"/>
        </w:rPr>
      </w:pPr>
    </w:p>
    <w:p>
      <w:pPr>
        <w:pStyle w:val="BodyText"/>
        <w:spacing w:line="300" w:lineRule="auto"/>
        <w:ind w:left="153" w:right="1121" w:firstLine="360"/>
        <w:jc w:val="left"/>
      </w:pP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日召开的股权分置改革相关股东会议表决通过了公司对价方案即以股权登记日（</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12</w:t>
      </w:r>
      <w:r>
        <w:rPr/>
        <w:t>日）登记在 册的全体流通股股东每持有</w:t>
      </w:r>
      <w:r>
        <w:rPr>
          <w:rFonts w:ascii="Times New Roman" w:hAnsi="Times New Roman" w:cs="Times New Roman" w:eastAsia="Times New Roman" w:hint="default"/>
        </w:rPr>
        <w:t>10</w:t>
      </w:r>
      <w:r>
        <w:rPr/>
        <w:t>股流通股获得非流通股股东支付</w:t>
      </w:r>
      <w:r>
        <w:rPr>
          <w:rFonts w:ascii="Times New Roman" w:hAnsi="Times New Roman" w:cs="Times New Roman" w:eastAsia="Times New Roman" w:hint="default"/>
        </w:rPr>
        <w:t>3.5</w:t>
      </w:r>
      <w:r>
        <w:rPr/>
        <w:t>股对价股股份，该方案于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13</w:t>
      </w:r>
      <w:r>
        <w:rPr/>
        <w:t>日正式实施完毕。</w:t>
      </w:r>
    </w:p>
    <w:p>
      <w:pPr>
        <w:spacing w:line="240" w:lineRule="auto" w:before="7"/>
        <w:rPr>
          <w:rFonts w:ascii="宋体" w:hAnsi="宋体" w:cs="宋体" w:eastAsia="宋体" w:hint="default"/>
          <w:sz w:val="17"/>
          <w:szCs w:val="17"/>
        </w:rPr>
      </w:pPr>
    </w:p>
    <w:p>
      <w:pPr>
        <w:pStyle w:val="BodyText"/>
        <w:spacing w:line="304" w:lineRule="auto"/>
        <w:ind w:left="153" w:right="1031" w:firstLine="360"/>
        <w:jc w:val="left"/>
      </w:pPr>
      <w:r>
        <w:rPr/>
        <w:t>公司根据</w:t>
      </w:r>
      <w:r>
        <w:rPr>
          <w:rFonts w:ascii="Times New Roman" w:hAnsi="Times New Roman" w:cs="Times New Roman" w:eastAsia="Times New Roman" w:hint="default"/>
        </w:rPr>
        <w:t>2007</w:t>
      </w:r>
      <w:r>
        <w:rPr/>
        <w:t>年第一次临时股东大会决议和修改后章程的规定，申请新增注册资本人民币</w:t>
      </w:r>
      <w:r>
        <w:rPr>
          <w:rFonts w:ascii="Times New Roman" w:hAnsi="Times New Roman" w:cs="Times New Roman" w:eastAsia="Times New Roman" w:hint="default"/>
        </w:rPr>
        <w:t>72,700,000</w:t>
      </w:r>
      <w:r>
        <w:rPr/>
        <w:t>元。经中国证券监 督管理委员会</w:t>
      </w:r>
      <w:r>
        <w:rPr>
          <w:rFonts w:ascii="Times New Roman" w:hAnsi="Times New Roman" w:cs="Times New Roman" w:eastAsia="Times New Roman" w:hint="default"/>
        </w:rPr>
        <w:t>“</w:t>
      </w:r>
      <w:r>
        <w:rPr/>
        <w:t>证监发行字（</w:t>
      </w:r>
      <w:r>
        <w:rPr>
          <w:rFonts w:ascii="Times New Roman" w:hAnsi="Times New Roman" w:cs="Times New Roman" w:eastAsia="Times New Roman" w:hint="default"/>
        </w:rPr>
        <w:t>2007</w:t>
      </w:r>
      <w:r>
        <w:rPr/>
        <w:t>）</w:t>
      </w:r>
      <w:r>
        <w:rPr>
          <w:rFonts w:ascii="Times New Roman" w:hAnsi="Times New Roman" w:cs="Times New Roman" w:eastAsia="Times New Roman" w:hint="default"/>
        </w:rPr>
        <w:t>384</w:t>
      </w:r>
      <w:r>
        <w:rPr/>
        <w:t>号</w:t>
      </w:r>
      <w:r>
        <w:rPr>
          <w:rFonts w:ascii="Times New Roman" w:hAnsi="Times New Roman" w:cs="Times New Roman" w:eastAsia="Times New Roman" w:hint="default"/>
        </w:rPr>
        <w:t>”</w:t>
      </w:r>
      <w:r>
        <w:rPr/>
        <w:t>文核准，公司向江苏开元国际集团轻工业品进出口股份有限公司、中原证券股份</w:t>
      </w:r>
      <w:r>
        <w:rPr>
          <w:spacing w:val="-68"/>
        </w:rPr>
        <w:t> </w:t>
      </w:r>
      <w:r>
        <w:rPr>
          <w:spacing w:val="-68"/>
        </w:rPr>
      </w:r>
      <w:r>
        <w:rPr/>
        <w:t>有限公司、长江证券有限责任公司、尹太阳、上海合邦投资有限公司、上海景贤投资有限公司、珠海市华粤投资有限公司、 邱梅芳、东吴证券有限责任公司和安徽安粮国际发展股份有限公司非公开发行人民币普通股（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72,700,000</w:t>
      </w:r>
      <w:r>
        <w:rPr/>
        <w:t>股，每股面</w:t>
      </w:r>
      <w:r>
        <w:rPr>
          <w:spacing w:val="-44"/>
        </w:rPr>
        <w:t> </w:t>
      </w:r>
      <w:r>
        <w:rPr>
          <w:spacing w:val="-44"/>
        </w:rPr>
      </w:r>
      <w:r>
        <w:rPr/>
        <w:t>值</w:t>
      </w:r>
      <w:r>
        <w:rPr>
          <w:rFonts w:ascii="Times New Roman" w:hAnsi="Times New Roman" w:cs="Times New Roman" w:eastAsia="Times New Roman" w:hint="default"/>
        </w:rPr>
        <w:t>1.00</w:t>
      </w:r>
      <w:r>
        <w:rPr/>
        <w:t>元，每股定向增发价</w:t>
      </w:r>
      <w:r>
        <w:rPr>
          <w:rFonts w:ascii="Times New Roman" w:hAnsi="Times New Roman" w:cs="Times New Roman" w:eastAsia="Times New Roman" w:hint="default"/>
        </w:rPr>
        <w:t>8.35</w:t>
      </w:r>
      <w:r>
        <w:rPr/>
        <w:t>元，变更后的注册资本为人民币</w:t>
      </w:r>
      <w:r>
        <w:rPr>
          <w:rFonts w:ascii="Times New Roman" w:hAnsi="Times New Roman" w:cs="Times New Roman" w:eastAsia="Times New Roman" w:hint="default"/>
        </w:rPr>
        <w:t>502,700,000</w:t>
      </w:r>
      <w:r>
        <w:rPr/>
        <w:t>元。</w:t>
      </w:r>
    </w:p>
    <w:p>
      <w:pPr>
        <w:spacing w:line="240" w:lineRule="auto" w:before="3"/>
        <w:rPr>
          <w:rFonts w:ascii="宋体" w:hAnsi="宋体" w:cs="宋体" w:eastAsia="宋体" w:hint="default"/>
          <w:sz w:val="17"/>
          <w:szCs w:val="17"/>
        </w:rPr>
      </w:pPr>
    </w:p>
    <w:p>
      <w:pPr>
        <w:pStyle w:val="BodyText"/>
        <w:spacing w:line="300" w:lineRule="auto"/>
        <w:ind w:left="153" w:right="1031" w:firstLine="360"/>
        <w:jc w:val="left"/>
      </w:pPr>
      <w:r>
        <w:rPr>
          <w:spacing w:val="-2"/>
        </w:rPr>
        <w:t>公司根据</w:t>
      </w:r>
      <w:r>
        <w:rPr>
          <w:rFonts w:ascii="Times New Roman" w:hAnsi="Times New Roman" w:cs="Times New Roman" w:eastAsia="Times New Roman" w:hint="default"/>
          <w:spacing w:val="-2"/>
        </w:rPr>
        <w:t>2007</w:t>
      </w:r>
      <w:r>
        <w:rPr>
          <w:spacing w:val="-2"/>
        </w:rPr>
        <w:t>年度股东大会决议和修改后章程的规定，申请新增的注册资本为人民币</w:t>
      </w:r>
      <w:r>
        <w:rPr>
          <w:rFonts w:ascii="Times New Roman" w:hAnsi="Times New Roman" w:cs="Times New Roman" w:eastAsia="Times New Roman" w:hint="default"/>
          <w:spacing w:val="-2"/>
        </w:rPr>
        <w:t>216,161,000</w:t>
      </w:r>
      <w:r>
        <w:rPr>
          <w:spacing w:val="-2"/>
        </w:rPr>
        <w:t>元，公司以</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w:t>
      </w:r>
      <w:r>
        <w:rPr>
          <w:rFonts w:ascii="Times New Roman" w:hAnsi="Times New Roman" w:cs="Times New Roman" w:eastAsia="Times New Roman" w:hint="default"/>
        </w:rPr>
        <w:t> </w:t>
      </w:r>
      <w:r>
        <w:rPr/>
        <w:t>日非公开发行后的总股本</w:t>
      </w:r>
      <w:r>
        <w:rPr>
          <w:rFonts w:ascii="Times New Roman" w:hAnsi="Times New Roman" w:cs="Times New Roman" w:eastAsia="Times New Roman" w:hint="default"/>
        </w:rPr>
        <w:t>50,270</w:t>
      </w:r>
      <w:r>
        <w:rPr/>
        <w:t>万股计算，按每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4.3</w:t>
      </w:r>
      <w:r>
        <w:rPr/>
        <w:t>股的比例，以资本公积向全体股东转增股份总额</w:t>
      </w:r>
      <w:r>
        <w:rPr>
          <w:rFonts w:ascii="Times New Roman" w:hAnsi="Times New Roman" w:cs="Times New Roman" w:eastAsia="Times New Roman" w:hint="default"/>
        </w:rPr>
        <w:t>216,161,000</w:t>
      </w:r>
      <w:r>
        <w:rPr/>
        <w:t>股， 每股面值</w:t>
      </w:r>
      <w:r>
        <w:rPr>
          <w:rFonts w:ascii="Times New Roman" w:hAnsi="Times New Roman" w:cs="Times New Roman" w:eastAsia="Times New Roman" w:hint="default"/>
        </w:rPr>
        <w:t>1</w:t>
      </w:r>
      <w:r>
        <w:rPr/>
        <w:t>元，共计增加股本</w:t>
      </w:r>
      <w:r>
        <w:rPr>
          <w:rFonts w:ascii="Times New Roman" w:hAnsi="Times New Roman" w:cs="Times New Roman" w:eastAsia="Times New Roman" w:hint="default"/>
        </w:rPr>
        <w:t>216,161,000</w:t>
      </w:r>
      <w:r>
        <w:rPr/>
        <w:t>元。变更后注册资本为人民币</w:t>
      </w:r>
      <w:r>
        <w:rPr>
          <w:rFonts w:ascii="Times New Roman" w:hAnsi="Times New Roman" w:cs="Times New Roman" w:eastAsia="Times New Roman" w:hint="default"/>
        </w:rPr>
        <w:t>718,861,000</w:t>
      </w:r>
      <w:r>
        <w:rPr/>
        <w:t>元。</w:t>
      </w:r>
    </w:p>
    <w:p>
      <w:pPr>
        <w:spacing w:line="240" w:lineRule="auto" w:before="7"/>
        <w:rPr>
          <w:rFonts w:ascii="宋体" w:hAnsi="宋体" w:cs="宋体" w:eastAsia="宋体" w:hint="default"/>
          <w:sz w:val="17"/>
          <w:szCs w:val="17"/>
        </w:rPr>
      </w:pPr>
    </w:p>
    <w:p>
      <w:pPr>
        <w:pStyle w:val="BodyText"/>
        <w:spacing w:line="300" w:lineRule="auto"/>
        <w:ind w:right="1128" w:firstLine="359"/>
        <w:jc w:val="both"/>
      </w:pPr>
      <w:r>
        <w:rPr/>
        <w:t>公司根据</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26</w:t>
      </w:r>
      <w:r>
        <w:rPr/>
        <w:t>日召开的第五届董事会第十八次会议决议，</w:t>
      </w:r>
      <w:r>
        <w:rPr>
          <w:rFonts w:ascii="Times New Roman" w:hAnsi="Times New Roman" w:cs="Times New Roman" w:eastAsia="Times New Roman" w:hint="default"/>
        </w:rPr>
        <w:t>2014</w:t>
      </w:r>
      <w:r>
        <w:rPr>
          <w:rFonts w:ascii="Times New Roman" w:hAnsi="Times New Roman" w:cs="Times New Roman" w:eastAsia="Times New Roman" w:hint="default"/>
          <w:spacing w:val="43"/>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12</w:t>
      </w:r>
      <w:r>
        <w:rPr/>
        <w:t>日召开的</w:t>
      </w:r>
      <w:r>
        <w:rPr>
          <w:rFonts w:ascii="Times New Roman" w:hAnsi="Times New Roman" w:cs="Times New Roman" w:eastAsia="Times New Roman" w:hint="default"/>
        </w:rPr>
        <w:t>2014</w:t>
      </w:r>
      <w:r>
        <w:rPr/>
        <w:t>年第二次临时股东大会 决议和修改后的章程规定，经</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日中国证券监督管理委员会《关于核准石家庄常山纺织股份有限公司向北京北明</w:t>
      </w:r>
      <w:r>
        <w:rPr>
          <w:spacing w:val="-83"/>
        </w:rPr>
        <w:t> </w:t>
      </w:r>
      <w:r>
        <w:rPr>
          <w:spacing w:val="-83"/>
        </w:rPr>
      </w:r>
      <w:r>
        <w:rPr>
          <w:spacing w:val="-1"/>
        </w:rPr>
        <w:t>伟业控股有限公司等发行股份购买资产并募集配套资金的批复》（证监许可</w:t>
      </w:r>
      <w:r>
        <w:rPr>
          <w:rFonts w:ascii="Times New Roman" w:hAnsi="Times New Roman" w:cs="Times New Roman" w:eastAsia="Times New Roman" w:hint="default"/>
          <w:spacing w:val="-1"/>
        </w:rPr>
        <w:t>[2015]469</w:t>
      </w:r>
      <w:r>
        <w:rPr>
          <w:spacing w:val="-1"/>
        </w:rPr>
        <w:t>号）文件核准，</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28</w:t>
      </w:r>
      <w:r>
        <w:rPr>
          <w:spacing w:val="-1"/>
        </w:rPr>
        <w:t>日公司向</w:t>
      </w:r>
      <w:r>
        <w:rPr>
          <w:spacing w:val="-52"/>
        </w:rPr>
        <w:t> </w:t>
      </w:r>
      <w:r>
        <w:rPr>
          <w:spacing w:val="-1"/>
        </w:rPr>
        <w:t>北京北明伟业控股有限公司等</w:t>
      </w:r>
      <w:r>
        <w:rPr>
          <w:rFonts w:ascii="Times New Roman" w:hAnsi="Times New Roman" w:cs="Times New Roman" w:eastAsia="Times New Roman" w:hint="default"/>
          <w:spacing w:val="-1"/>
        </w:rPr>
        <w:t>47</w:t>
      </w:r>
      <w:r>
        <w:rPr>
          <w:spacing w:val="-1"/>
        </w:rPr>
        <w:t>名交易对方发行</w:t>
      </w:r>
      <w:r>
        <w:rPr>
          <w:rFonts w:ascii="Times New Roman" w:hAnsi="Times New Roman" w:cs="Times New Roman" w:eastAsia="Times New Roman" w:hint="default"/>
          <w:spacing w:val="-1"/>
        </w:rPr>
        <w:t>441,056,890</w:t>
      </w:r>
      <w:r>
        <w:rPr>
          <w:spacing w:val="-1"/>
        </w:rPr>
        <w:t>股人民币普通股，每股面值为人民币</w:t>
      </w:r>
      <w:r>
        <w:rPr>
          <w:rFonts w:ascii="Times New Roman" w:hAnsi="Times New Roman" w:cs="Times New Roman" w:eastAsia="Times New Roman" w:hint="default"/>
          <w:spacing w:val="-1"/>
        </w:rPr>
        <w:t>1.00</w:t>
      </w:r>
      <w:r>
        <w:rPr>
          <w:spacing w:val="-1"/>
        </w:rPr>
        <w:t>元，用于购买其持有的</w:t>
      </w:r>
      <w:r>
        <w:rPr>
          <w:spacing w:val="-65"/>
        </w:rPr>
        <w:t> </w:t>
      </w:r>
      <w:r>
        <w:rPr>
          <w:spacing w:val="-65"/>
        </w:rPr>
      </w:r>
      <w:r>
        <w:rPr/>
        <w:t>北明软件有限公司</w:t>
      </w:r>
      <w:r>
        <w:rPr>
          <w:rFonts w:ascii="Times New Roman" w:hAnsi="Times New Roman" w:cs="Times New Roman" w:eastAsia="Times New Roman" w:hint="default"/>
        </w:rPr>
        <w:t>100%</w:t>
      </w:r>
      <w:r>
        <w:rPr/>
        <w:t>的股权，发行后的注册资本为人民币</w:t>
      </w:r>
      <w:r>
        <w:rPr>
          <w:rFonts w:ascii="Times New Roman" w:hAnsi="Times New Roman" w:cs="Times New Roman" w:eastAsia="Times New Roman" w:hint="default"/>
        </w:rPr>
        <w:t>1,159,917,890</w:t>
      </w:r>
      <w:r>
        <w:rPr/>
        <w:t>元，已经中兴财光华会计师事务所（特殊普通合</w:t>
      </w:r>
      <w:r>
        <w:rPr>
          <w:spacing w:val="-27"/>
        </w:rPr>
        <w:t> </w:t>
      </w:r>
      <w:r>
        <w:rPr>
          <w:spacing w:val="-27"/>
        </w:rPr>
      </w:r>
      <w:r>
        <w:rPr/>
        <w:t>伙）</w:t>
      </w:r>
      <w:r>
        <w:rPr>
          <w:rFonts w:ascii="Times New Roman" w:hAnsi="Times New Roman" w:cs="Times New Roman" w:eastAsia="Times New Roman" w:hint="default"/>
        </w:rPr>
        <w:t>“</w:t>
      </w:r>
      <w:r>
        <w:rPr/>
        <w:t>中兴财光华审验字（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03002</w:t>
      </w:r>
      <w:r>
        <w:rPr/>
        <w:t>号</w:t>
      </w:r>
      <w:r>
        <w:rPr>
          <w:rFonts w:ascii="Times New Roman" w:hAnsi="Times New Roman" w:cs="Times New Roman" w:eastAsia="Times New Roman" w:hint="default"/>
        </w:rPr>
        <w:t>”</w:t>
      </w:r>
      <w:r>
        <w:rPr/>
        <w:t>验资报告验证。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14</w:t>
      </w:r>
      <w:r>
        <w:rPr/>
        <w:t>日公司募集配套资金非公开发行 </w:t>
      </w:r>
      <w:r>
        <w:rPr>
          <w:rFonts w:ascii="Times New Roman" w:hAnsi="Times New Roman" w:cs="Times New Roman" w:eastAsia="Times New Roman" w:hint="default"/>
        </w:rPr>
        <w:t>111,524,388</w:t>
      </w:r>
      <w:r>
        <w:rPr/>
        <w:t>股人</w:t>
      </w:r>
      <w:r>
        <w:rPr>
          <w:spacing w:val="-73"/>
        </w:rPr>
        <w:t> </w:t>
      </w:r>
      <w:r>
        <w:rPr/>
        <w:t>民币普通股，每股面值为人民币</w:t>
      </w:r>
      <w:r>
        <w:rPr>
          <w:rFonts w:ascii="Times New Roman" w:hAnsi="Times New Roman" w:cs="Times New Roman" w:eastAsia="Times New Roman" w:hint="default"/>
        </w:rPr>
        <w:t>1.00</w:t>
      </w:r>
      <w:r>
        <w:rPr/>
        <w:t>元，发行后的注册资本为人民币</w:t>
      </w:r>
      <w:r>
        <w:rPr>
          <w:rFonts w:ascii="Times New Roman" w:hAnsi="Times New Roman" w:cs="Times New Roman" w:eastAsia="Times New Roman" w:hint="default"/>
        </w:rPr>
        <w:t>1,271,442,278</w:t>
      </w:r>
      <w:r>
        <w:rPr/>
        <w:t>元，已经中兴财光华会计师事务所（特殊</w:t>
      </w:r>
      <w:r>
        <w:rPr>
          <w:spacing w:val="-87"/>
        </w:rPr>
        <w:t> </w:t>
      </w:r>
      <w:r>
        <w:rPr>
          <w:spacing w:val="-87"/>
        </w:rPr>
      </w:r>
      <w:r>
        <w:rPr/>
        <w:t>普通合伙）</w:t>
      </w:r>
      <w:r>
        <w:rPr>
          <w:rFonts w:ascii="Times New Roman" w:hAnsi="Times New Roman" w:cs="Times New Roman" w:eastAsia="Times New Roman" w:hint="default"/>
        </w:rPr>
        <w:t>“</w:t>
      </w:r>
      <w:r>
        <w:rPr/>
        <w:t>中兴财光华审验字（</w:t>
      </w:r>
      <w:r>
        <w:rPr>
          <w:rFonts w:ascii="Times New Roman" w:hAnsi="Times New Roman" w:cs="Times New Roman" w:eastAsia="Times New Roman" w:hint="default"/>
        </w:rPr>
        <w:t>2015</w:t>
      </w:r>
      <w:r>
        <w:rPr/>
        <w:t>）第</w:t>
      </w:r>
      <w:r>
        <w:rPr>
          <w:rFonts w:ascii="Times New Roman" w:hAnsi="Times New Roman" w:cs="Times New Roman" w:eastAsia="Times New Roman" w:hint="default"/>
        </w:rPr>
        <w:t>03003</w:t>
      </w:r>
      <w:r>
        <w:rPr/>
        <w:t>号</w:t>
      </w:r>
      <w:r>
        <w:rPr>
          <w:rFonts w:ascii="Times New Roman" w:hAnsi="Times New Roman" w:cs="Times New Roman" w:eastAsia="Times New Roman" w:hint="default"/>
        </w:rPr>
        <w:t>”</w:t>
      </w:r>
      <w:r>
        <w:rPr/>
        <w:t>验资报告验证。</w:t>
      </w:r>
    </w:p>
    <w:p>
      <w:pPr>
        <w:spacing w:line="240" w:lineRule="auto" w:before="7"/>
        <w:rPr>
          <w:rFonts w:ascii="宋体" w:hAnsi="宋体" w:cs="宋体" w:eastAsia="宋体" w:hint="default"/>
          <w:sz w:val="17"/>
          <w:szCs w:val="17"/>
        </w:rPr>
      </w:pPr>
    </w:p>
    <w:p>
      <w:pPr>
        <w:pStyle w:val="BodyText"/>
        <w:spacing w:line="300" w:lineRule="auto"/>
        <w:ind w:left="153" w:right="1039" w:firstLine="360"/>
        <w:jc w:val="left"/>
      </w:pPr>
      <w:r>
        <w:rPr>
          <w:spacing w:val="-2"/>
        </w:rPr>
        <w:t>公司根据</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28</w:t>
      </w:r>
      <w:r>
        <w:rPr>
          <w:spacing w:val="-2"/>
        </w:rPr>
        <w:t>日召开的第六届董事会第十五次会议决议、</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23</w:t>
      </w:r>
      <w:r>
        <w:rPr>
          <w:spacing w:val="-2"/>
        </w:rPr>
        <w:t>日召开的</w:t>
      </w:r>
      <w:r>
        <w:rPr>
          <w:rFonts w:ascii="Times New Roman" w:hAnsi="Times New Roman" w:cs="Times New Roman" w:eastAsia="Times New Roman" w:hint="default"/>
          <w:spacing w:val="-2"/>
        </w:rPr>
        <w:t>2016</w:t>
      </w:r>
      <w:r>
        <w:rPr>
          <w:spacing w:val="-2"/>
        </w:rPr>
        <w:t>年度股东大会决议和修改后</w:t>
      </w:r>
      <w:r>
        <w:rPr/>
        <w:t> 的公司章程规定，公司增加注册资本人民币</w:t>
      </w:r>
      <w:r>
        <w:rPr>
          <w:rFonts w:ascii="Times New Roman" w:hAnsi="Times New Roman" w:cs="Times New Roman" w:eastAsia="Times New Roman" w:hint="default"/>
        </w:rPr>
        <w:t>381,432,683.00</w:t>
      </w:r>
      <w:r>
        <w:rPr/>
        <w:t>元，由资本公积转增股本，转增基准日期为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日，变更 </w:t>
      </w:r>
      <w:r>
        <w:rPr>
          <w:spacing w:val="-4"/>
        </w:rPr>
        <w:t>后注册资本为人民币</w:t>
      </w:r>
      <w:r>
        <w:rPr>
          <w:rFonts w:ascii="Times New Roman" w:hAnsi="Times New Roman" w:cs="Times New Roman" w:eastAsia="Times New Roman" w:hint="default"/>
          <w:spacing w:val="-4"/>
        </w:rPr>
        <w:t>1,652,874,961.00</w:t>
      </w:r>
      <w:r>
        <w:rPr>
          <w:spacing w:val="-4"/>
        </w:rPr>
        <w:t>元。本次增资已经中兴财光华会计师事务所（特殊普通合伙）</w:t>
      </w:r>
      <w:r>
        <w:rPr>
          <w:rFonts w:ascii="Times New Roman" w:hAnsi="Times New Roman" w:cs="Times New Roman" w:eastAsia="Times New Roman" w:hint="default"/>
          <w:spacing w:val="-4"/>
        </w:rPr>
        <w:t>“</w:t>
      </w:r>
      <w:r>
        <w:rPr>
          <w:spacing w:val="-4"/>
        </w:rPr>
        <w:t>中兴财光华审验字（</w:t>
      </w:r>
      <w:r>
        <w:rPr>
          <w:rFonts w:ascii="Times New Roman" w:hAnsi="Times New Roman" w:cs="Times New Roman" w:eastAsia="Times New Roman" w:hint="default"/>
          <w:spacing w:val="-4"/>
        </w:rPr>
        <w:t>2017</w:t>
      </w:r>
      <w:r>
        <w:rPr>
          <w:spacing w:val="-4"/>
        </w:rPr>
        <w:t>）</w:t>
      </w:r>
      <w:r>
        <w:rPr>
          <w:spacing w:val="-82"/>
        </w:rPr>
        <w:t> </w:t>
      </w:r>
      <w:r>
        <w:rPr/>
        <w:t>第</w:t>
      </w:r>
      <w:r>
        <w:rPr>
          <w:rFonts w:ascii="Times New Roman" w:hAnsi="Times New Roman" w:cs="Times New Roman" w:eastAsia="Times New Roman" w:hint="default"/>
        </w:rPr>
        <w:t>103008</w:t>
      </w:r>
      <w:r>
        <w:rPr/>
        <w:t>号</w:t>
      </w:r>
      <w:r>
        <w:rPr>
          <w:rFonts w:ascii="Times New Roman" w:hAnsi="Times New Roman" w:cs="Times New Roman" w:eastAsia="Times New Roman" w:hint="default"/>
        </w:rPr>
        <w:t>”</w:t>
      </w:r>
      <w:r>
        <w:rPr/>
        <w:t>验资报告验证。</w:t>
      </w:r>
    </w:p>
    <w:p>
      <w:pPr>
        <w:spacing w:line="240" w:lineRule="auto" w:before="7"/>
        <w:rPr>
          <w:rFonts w:ascii="宋体" w:hAnsi="宋体" w:cs="宋体" w:eastAsia="宋体" w:hint="default"/>
          <w:sz w:val="17"/>
          <w:szCs w:val="17"/>
        </w:rPr>
      </w:pPr>
    </w:p>
    <w:p>
      <w:pPr>
        <w:pStyle w:val="BodyText"/>
        <w:spacing w:line="300" w:lineRule="auto"/>
        <w:ind w:left="153" w:right="1131" w:firstLine="360"/>
        <w:jc w:val="both"/>
      </w:pPr>
      <w:r>
        <w:rPr>
          <w:spacing w:val="-3"/>
        </w:rPr>
        <w:t>公司分别于</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13</w:t>
      </w:r>
      <w:r>
        <w:rPr>
          <w:spacing w:val="-3"/>
        </w:rPr>
        <w:t>日和</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29</w:t>
      </w:r>
      <w:r>
        <w:rPr>
          <w:spacing w:val="-3"/>
        </w:rPr>
        <w:t>日召开董事会七届三次会议和</w:t>
      </w:r>
      <w:r>
        <w:rPr>
          <w:rFonts w:ascii="Times New Roman" w:hAnsi="Times New Roman" w:cs="Times New Roman" w:eastAsia="Times New Roman" w:hint="default"/>
          <w:spacing w:val="-3"/>
        </w:rPr>
        <w:t>2018</w:t>
      </w:r>
      <w:r>
        <w:rPr>
          <w:spacing w:val="-3"/>
        </w:rPr>
        <w:t>年度第</w:t>
      </w:r>
      <w:r>
        <w:rPr>
          <w:rFonts w:ascii="Times New Roman" w:hAnsi="Times New Roman" w:cs="Times New Roman" w:eastAsia="Times New Roman" w:hint="default"/>
          <w:spacing w:val="-3"/>
        </w:rPr>
        <w:t>4</w:t>
      </w:r>
      <w:r>
        <w:rPr>
          <w:spacing w:val="-3"/>
        </w:rPr>
        <w:t>次临时股东大会，审议通过了《关</w:t>
      </w:r>
      <w:r>
        <w:rPr/>
        <w:t> </w:t>
      </w:r>
      <w:r>
        <w:rPr>
          <w:spacing w:val="-2"/>
        </w:rPr>
        <w:t>于以集中竞价交易方式回购公司股份的议案》。截止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28</w:t>
      </w:r>
      <w:r>
        <w:rPr>
          <w:spacing w:val="-2"/>
        </w:rPr>
        <w:t>日，公司回购股份期限届满并实施完毕。公司以集中竞价</w:t>
      </w:r>
      <w:r>
        <w:rPr>
          <w:spacing w:val="-58"/>
        </w:rPr>
        <w:t> </w:t>
      </w:r>
      <w:r>
        <w:rPr>
          <w:spacing w:val="-58"/>
        </w:rPr>
      </w:r>
      <w:r>
        <w:rPr/>
        <w:t>方式回购股份</w:t>
      </w:r>
      <w:r>
        <w:rPr>
          <w:rFonts w:ascii="Times New Roman" w:hAnsi="Times New Roman" w:cs="Times New Roman" w:eastAsia="Times New Roman" w:hint="default"/>
        </w:rPr>
        <w:t>54,258,240</w:t>
      </w:r>
      <w:r>
        <w:rPr/>
        <w:t>股，截止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日，公司已办理完毕上述回购股份的注销事宜，回购注销变更后的注册资本</w:t>
      </w:r>
      <w:r>
        <w:rPr>
          <w:spacing w:val="-85"/>
        </w:rPr>
        <w:t> </w:t>
      </w:r>
      <w:r>
        <w:rPr>
          <w:spacing w:val="-85"/>
        </w:rPr>
      </w:r>
      <w:r>
        <w:rPr/>
        <w:t>为人民币</w:t>
      </w:r>
      <w:r>
        <w:rPr>
          <w:rFonts w:ascii="Times New Roman" w:hAnsi="Times New Roman" w:cs="Times New Roman" w:eastAsia="Times New Roman" w:hint="default"/>
        </w:rPr>
        <w:t>1,598,616,721</w:t>
      </w:r>
      <w:r>
        <w:rPr/>
        <w:t>元。</w:t>
      </w:r>
    </w:p>
    <w:p>
      <w:pPr>
        <w:spacing w:line="240" w:lineRule="auto" w:before="7"/>
        <w:rPr>
          <w:rFonts w:ascii="宋体" w:hAnsi="宋体" w:cs="宋体" w:eastAsia="宋体" w:hint="default"/>
          <w:sz w:val="17"/>
          <w:szCs w:val="17"/>
        </w:rPr>
      </w:pPr>
    </w:p>
    <w:p>
      <w:pPr>
        <w:pStyle w:val="BodyText"/>
        <w:spacing w:line="300" w:lineRule="auto"/>
        <w:ind w:left="153" w:right="1128" w:firstLine="360"/>
        <w:jc w:val="both"/>
      </w:pPr>
      <w:r>
        <w:rPr>
          <w:spacing w:val="-2"/>
        </w:rPr>
        <w:t>因公司发展需要，经第六届董事会第十五次会议和</w:t>
      </w:r>
      <w:r>
        <w:rPr>
          <w:rFonts w:ascii="Times New Roman" w:hAnsi="Times New Roman" w:cs="Times New Roman" w:eastAsia="Times New Roman" w:hint="default"/>
          <w:spacing w:val="-2"/>
        </w:rPr>
        <w:t>2016</w:t>
      </w:r>
      <w:r>
        <w:rPr>
          <w:spacing w:val="-2"/>
        </w:rPr>
        <w:t>年度股东大会审议通过《关于变更公司全称的议案》，公司名称</w:t>
      </w:r>
      <w:r>
        <w:rPr/>
        <w:t> 由</w:t>
      </w:r>
      <w:r>
        <w:rPr>
          <w:rFonts w:ascii="Times New Roman" w:hAnsi="Times New Roman" w:cs="Times New Roman" w:eastAsia="Times New Roman" w:hint="default"/>
        </w:rPr>
        <w:t>“</w:t>
      </w:r>
      <w:r>
        <w:rPr/>
        <w:t>石家庄常山纺织股份有限公司</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变更为</w:t>
      </w:r>
      <w:r>
        <w:rPr>
          <w:rFonts w:ascii="Times New Roman" w:hAnsi="Times New Roman" w:cs="Times New Roman" w:eastAsia="Times New Roman" w:hint="default"/>
        </w:rPr>
        <w:t>“</w:t>
      </w:r>
      <w:r>
        <w:rPr/>
        <w:t>石家庄常山北明科技股份有限公司</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22</w:t>
      </w:r>
      <w:r>
        <w:rPr/>
        <w:t>日完成了工商变更登</w:t>
      </w:r>
      <w:r>
        <w:rPr>
          <w:spacing w:val="-81"/>
        </w:rPr>
        <w:t> </w:t>
      </w:r>
      <w:r>
        <w:rPr>
          <w:spacing w:val="-81"/>
        </w:rPr>
      </w:r>
      <w:r>
        <w:rPr/>
        <w:t>记手续，公司名称由</w:t>
      </w:r>
      <w:r>
        <w:rPr>
          <w:rFonts w:ascii="Times New Roman" w:hAnsi="Times New Roman" w:cs="Times New Roman" w:eastAsia="Times New Roman" w:hint="default"/>
        </w:rPr>
        <w:t>“</w:t>
      </w:r>
      <w:r>
        <w:rPr/>
        <w:t>石家庄常山纺织股份有限公司</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石家庄常山北明科技股份有限公司</w:t>
      </w:r>
      <w:r>
        <w:rPr>
          <w:rFonts w:ascii="Times New Roman" w:hAnsi="Times New Roman" w:cs="Times New Roman" w:eastAsia="Times New Roman" w:hint="default"/>
        </w:rPr>
        <w:t>”</w:t>
      </w:r>
      <w:r>
        <w:rPr/>
        <w:t>。</w:t>
      </w:r>
    </w:p>
    <w:p>
      <w:pPr>
        <w:spacing w:line="240" w:lineRule="auto" w:before="8"/>
        <w:rPr>
          <w:rFonts w:ascii="宋体" w:hAnsi="宋体" w:cs="宋体" w:eastAsia="宋体" w:hint="default"/>
          <w:sz w:val="17"/>
          <w:szCs w:val="17"/>
        </w:rPr>
      </w:pPr>
    </w:p>
    <w:p>
      <w:pPr>
        <w:pStyle w:val="BodyText"/>
        <w:spacing w:line="338" w:lineRule="auto"/>
        <w:ind w:left="514" w:right="1066"/>
        <w:jc w:val="left"/>
      </w:pPr>
      <w:r>
        <w:rPr/>
        <w:t>本公司第一大股东为石家庄常山纺织集团有限责任公司，截止报告期末持有本公司</w:t>
      </w:r>
      <w:r>
        <w:rPr>
          <w:spacing w:val="-47"/>
        </w:rPr>
        <w:t> </w:t>
      </w:r>
      <w:r>
        <w:rPr>
          <w:rFonts w:ascii="Times New Roman" w:hAnsi="Times New Roman" w:cs="Times New Roman" w:eastAsia="Times New Roman" w:hint="default"/>
        </w:rPr>
        <w:t>455,296,184</w:t>
      </w:r>
      <w:r>
        <w:rPr>
          <w:rFonts w:ascii="Times New Roman" w:hAnsi="Times New Roman" w:cs="Times New Roman" w:eastAsia="Times New Roman" w:hint="default"/>
          <w:spacing w:val="-2"/>
        </w:rPr>
        <w:t> </w:t>
      </w:r>
      <w:r>
        <w:rPr/>
        <w:t>股，持股比例</w:t>
      </w:r>
      <w:r>
        <w:rPr>
          <w:spacing w:val="-47"/>
        </w:rPr>
        <w:t> </w:t>
      </w:r>
      <w:r>
        <w:rPr>
          <w:rFonts w:ascii="Times New Roman" w:hAnsi="Times New Roman" w:cs="Times New Roman" w:eastAsia="Times New Roman" w:hint="default"/>
        </w:rPr>
        <w:t>28.48%</w:t>
      </w:r>
      <w:r>
        <w:rPr/>
        <w:t>。 公司在石家庄市工商行政管理局领取统一社会信用代码</w:t>
      </w:r>
      <w:r>
        <w:rPr>
          <w:spacing w:val="-47"/>
        </w:rPr>
        <w:t> </w:t>
      </w:r>
      <w:r>
        <w:rPr>
          <w:rFonts w:ascii="Times New Roman" w:hAnsi="Times New Roman" w:cs="Times New Roman" w:eastAsia="Times New Roman" w:hint="default"/>
        </w:rPr>
        <w:t>91130100700715920E</w:t>
      </w:r>
      <w:r>
        <w:rPr>
          <w:rFonts w:ascii="Times New Roman" w:hAnsi="Times New Roman" w:cs="Times New Roman" w:eastAsia="Times New Roman" w:hint="default"/>
          <w:spacing w:val="-2"/>
        </w:rPr>
        <w:t> </w:t>
      </w:r>
      <w:r>
        <w:rPr/>
        <w:t>的企业法人营业执照。 公司注册地：石家庄市长安区和平东路</w:t>
      </w:r>
      <w:r>
        <w:rPr>
          <w:spacing w:val="-46"/>
        </w:rPr>
        <w:t> </w:t>
      </w:r>
      <w:r>
        <w:rPr>
          <w:rFonts w:ascii="Times New Roman" w:hAnsi="Times New Roman" w:cs="Times New Roman" w:eastAsia="Times New Roman" w:hint="default"/>
        </w:rPr>
        <w:t>183</w:t>
      </w:r>
      <w:r>
        <w:rPr>
          <w:rFonts w:ascii="Times New Roman" w:hAnsi="Times New Roman" w:cs="Times New Roman" w:eastAsia="Times New Roman" w:hint="default"/>
          <w:spacing w:val="-1"/>
        </w:rPr>
        <w:t> </w:t>
      </w:r>
      <w:r>
        <w:rPr/>
        <w:t>号。</w:t>
      </w:r>
    </w:p>
    <w:p>
      <w:pPr>
        <w:pStyle w:val="BodyText"/>
        <w:spacing w:line="348" w:lineRule="auto" w:before="20"/>
        <w:ind w:left="513" w:right="4727"/>
        <w:jc w:val="left"/>
      </w:pPr>
      <w:r>
        <w:rPr/>
        <w:t>公司总部地址：石家庄市长安区和平东路</w:t>
      </w:r>
      <w:r>
        <w:rPr>
          <w:spacing w:val="-46"/>
        </w:rPr>
        <w:t> </w:t>
      </w:r>
      <w:r>
        <w:rPr>
          <w:rFonts w:ascii="Times New Roman" w:hAnsi="Times New Roman" w:cs="Times New Roman" w:eastAsia="Times New Roman" w:hint="default"/>
        </w:rPr>
        <w:t>183</w:t>
      </w:r>
      <w:r>
        <w:rPr>
          <w:rFonts w:ascii="Times New Roman" w:hAnsi="Times New Roman" w:cs="Times New Roman" w:eastAsia="Times New Roman" w:hint="default"/>
          <w:spacing w:val="-1"/>
        </w:rPr>
        <w:t> </w:t>
      </w:r>
      <w:r>
        <w:rPr/>
        <w:t>号。 法定代表人：肖荣智。 </w:t>
      </w:r>
      <w:r>
        <w:rPr>
          <w:spacing w:val="-3"/>
        </w:rPr>
        <w:t>注册资本：（人民币）壹拾伍亿玖仟捌佰陆拾壹万陆仟柒佰贰拾壹元整。</w:t>
      </w:r>
    </w:p>
    <w:p>
      <w:pPr>
        <w:pStyle w:val="BodyText"/>
        <w:spacing w:line="240" w:lineRule="auto" w:before="34"/>
        <w:ind w:left="513" w:right="0"/>
        <w:jc w:val="left"/>
      </w:pPr>
      <w:r>
        <w:rPr/>
        <w:t>公司经营范围：计算机软件技术开发、技术服务、技术咨询，棉花、办公设备、电子元器件、通信设备、计算机及零配</w:t>
      </w:r>
    </w:p>
    <w:p>
      <w:pPr>
        <w:spacing w:after="0" w:line="240"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153" w:right="1031"/>
        <w:jc w:val="left"/>
      </w:pPr>
      <w:r>
        <w:rPr>
          <w:spacing w:val="-2"/>
        </w:rPr>
        <w:t>件、计算机软件、仪器仪表、光伏设备的批发零售；通信设备、计算机零配件的租赁，计算机系统集成；自营和代理各类商</w:t>
      </w:r>
      <w:r>
        <w:rPr>
          <w:spacing w:val="-65"/>
        </w:rPr>
        <w:t> </w:t>
      </w:r>
      <w:r>
        <w:rPr>
          <w:spacing w:val="-65"/>
        </w:rPr>
      </w:r>
      <w:r>
        <w:rPr>
          <w:spacing w:val="-2"/>
        </w:rPr>
        <w:t>品及技术的进出口业务；天然纤维和人造纤维的纺织品、针织品、服装加工；家用服饰、纺织品、产业用纺织品的设计、开</w:t>
      </w:r>
      <w:r>
        <w:rPr>
          <w:spacing w:val="-65"/>
        </w:rPr>
        <w:t> </w:t>
      </w:r>
      <w:r>
        <w:rPr>
          <w:spacing w:val="-65"/>
        </w:rPr>
      </w:r>
      <w:r>
        <w:rPr>
          <w:spacing w:val="-2"/>
        </w:rPr>
        <w:t>发、制造（限分支机构经营）、销售；本企业和本企业成员企业生产、科研所需的原辅料、机械设备、仪器仪表、零配件及</w:t>
      </w:r>
      <w:r>
        <w:rPr>
          <w:spacing w:val="-69"/>
        </w:rPr>
        <w:t> </w:t>
      </w:r>
      <w:r>
        <w:rPr>
          <w:spacing w:val="-69"/>
        </w:rPr>
      </w:r>
      <w:r>
        <w:rPr>
          <w:spacing w:val="-2"/>
        </w:rPr>
        <w:t>相关技术的进出口业务（国家限定公司经营或禁止出口的商品除外）；机电设备（特种设备除外）、新风净化器及配件的生</w:t>
      </w:r>
      <w:r>
        <w:rPr>
          <w:spacing w:val="-70"/>
        </w:rPr>
        <w:t> </w:t>
      </w:r>
      <w:r>
        <w:rPr>
          <w:spacing w:val="-70"/>
        </w:rPr>
      </w:r>
      <w:r>
        <w:rPr/>
        <w:t>产（限分支机构经营）、销售；经营本企业的进料加工；化学原料及产品（不含危险化学品及其他前置性行政许可项目）； 房屋租赁。（依法须经批准的项目，经相关部门批准后方可开展经营活动）</w:t>
      </w:r>
    </w:p>
    <w:p>
      <w:pPr>
        <w:pStyle w:val="BodyText"/>
        <w:spacing w:line="300" w:lineRule="auto" w:before="19"/>
        <w:ind w:left="153" w:right="1130" w:firstLine="360"/>
        <w:jc w:val="both"/>
      </w:pPr>
      <w:r>
        <w:rPr/>
        <w:t>本公司</w:t>
      </w:r>
      <w:r>
        <w:rPr>
          <w:rFonts w:ascii="Times New Roman" w:hAnsi="Times New Roman" w:cs="Times New Roman" w:eastAsia="Times New Roman" w:hint="default"/>
        </w:rPr>
        <w:t>2019</w:t>
      </w:r>
      <w:r>
        <w:rPr/>
        <w:t>年度纳入合并范围的子公司共</w:t>
      </w:r>
      <w:r>
        <w:rPr>
          <w:rFonts w:ascii="Times New Roman" w:hAnsi="Times New Roman" w:cs="Times New Roman" w:eastAsia="Times New Roman" w:hint="default"/>
        </w:rPr>
        <w:t>36</w:t>
      </w:r>
      <w:r>
        <w:rPr/>
        <w:t>户，本年度比上年度增加</w:t>
      </w:r>
      <w:r>
        <w:rPr>
          <w:rFonts w:ascii="Times New Roman" w:hAnsi="Times New Roman" w:cs="Times New Roman" w:eastAsia="Times New Roman" w:hint="default"/>
        </w:rPr>
        <w:t>8</w:t>
      </w:r>
      <w:r>
        <w:rPr/>
        <w:t>户，减少</w:t>
      </w:r>
      <w:r>
        <w:rPr>
          <w:rFonts w:ascii="Times New Roman" w:hAnsi="Times New Roman" w:cs="Times New Roman" w:eastAsia="Times New Roman" w:hint="default"/>
        </w:rPr>
        <w:t>2</w:t>
      </w:r>
      <w:r>
        <w:rPr/>
        <w:t>户，详见本附注八</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 </w:t>
      </w:r>
      <w:r>
        <w:rPr/>
        <w:t>和本附注九</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w:t>
      </w:r>
    </w:p>
    <w:p>
      <w:pPr>
        <w:spacing w:line="240" w:lineRule="auto" w:before="7"/>
        <w:rPr>
          <w:rFonts w:ascii="宋体" w:hAnsi="宋体" w:cs="宋体" w:eastAsia="宋体" w:hint="default"/>
          <w:sz w:val="17"/>
          <w:szCs w:val="17"/>
        </w:rPr>
      </w:pPr>
    </w:p>
    <w:p>
      <w:pPr>
        <w:pStyle w:val="BodyText"/>
        <w:spacing w:line="240" w:lineRule="auto"/>
        <w:ind w:left="516" w:right="0"/>
        <w:jc w:val="left"/>
      </w:pPr>
      <w:r>
        <w:rPr/>
        <w:t>本财务报表及财务报表附注业经本公司第七届十一次董事会会议于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日批准报出。</w:t>
      </w:r>
    </w:p>
    <w:p>
      <w:pPr>
        <w:spacing w:line="240" w:lineRule="auto" w:before="2"/>
        <w:rPr>
          <w:rFonts w:ascii="宋体" w:hAnsi="宋体" w:cs="宋体" w:eastAsia="宋体" w:hint="default"/>
          <w:sz w:val="24"/>
          <w:szCs w:val="24"/>
        </w:rPr>
      </w:pPr>
    </w:p>
    <w:p>
      <w:pPr>
        <w:pStyle w:val="Heading2"/>
        <w:spacing w:line="240" w:lineRule="auto"/>
        <w:ind w:right="0"/>
        <w:jc w:val="left"/>
        <w:rPr>
          <w:b w:val="0"/>
          <w:bCs w:val="0"/>
        </w:rPr>
      </w:pP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128" w:firstLine="360"/>
        <w:jc w:val="both"/>
      </w:pPr>
      <w:r>
        <w:rPr/>
        <w:t>本公司财务报表以持续经营假设为基础，根据实际发生的交易和事项，按照财政部于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日及以后颁布的《企 </w:t>
      </w:r>
      <w:r>
        <w:rPr>
          <w:spacing w:val="-3"/>
        </w:rPr>
        <w:t>业会计准则</w:t>
      </w:r>
      <w:r>
        <w:rPr>
          <w:rFonts w:ascii="Times New Roman" w:hAnsi="Times New Roman" w:cs="Times New Roman" w:eastAsia="Times New Roman" w:hint="default"/>
          <w:spacing w:val="-3"/>
        </w:rPr>
        <w:t>——</w:t>
      </w:r>
      <w:r>
        <w:rPr>
          <w:spacing w:val="-3"/>
        </w:rPr>
        <w:t>基本准则》和各项具体会计准则、企业会计准则应用指南、企业会计准则解释及其他相关规定（以下合称</w:t>
      </w:r>
      <w:r>
        <w:rPr>
          <w:rFonts w:ascii="Times New Roman" w:hAnsi="Times New Roman" w:cs="Times New Roman" w:eastAsia="Times New Roman" w:hint="default"/>
          <w:spacing w:val="-3"/>
        </w:rPr>
        <w:t>“</w:t>
      </w:r>
      <w:r>
        <w:rPr>
          <w:spacing w:val="-3"/>
        </w:rPr>
        <w:t>企</w:t>
      </w:r>
      <w:r>
        <w:rPr/>
        <w:t> 业会计准则</w:t>
      </w:r>
      <w:r>
        <w:rPr>
          <w:rFonts w:ascii="Times New Roman" w:hAnsi="Times New Roman" w:cs="Times New Roman" w:eastAsia="Times New Roman" w:hint="default"/>
        </w:rPr>
        <w:t>”</w:t>
      </w:r>
      <w:r>
        <w:rPr/>
        <w:t>），以及中国证券监督管理委员会《公开发行证券的公司信息披露编报规则第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p>
    <w:p>
      <w:pPr>
        <w:pStyle w:val="BodyText"/>
        <w:spacing w:line="240" w:lineRule="auto" w:before="13"/>
        <w:ind w:right="0"/>
        <w:jc w:val="left"/>
      </w:pPr>
      <w:r>
        <w:rPr/>
        <w:t>（</w:t>
      </w:r>
      <w:r>
        <w:rPr>
          <w:rFonts w:ascii="Times New Roman" w:hAnsi="Times New Roman" w:cs="Times New Roman" w:eastAsia="Times New Roman" w:hint="default"/>
        </w:rPr>
        <w:t>2014</w:t>
      </w:r>
      <w:r>
        <w:rPr/>
        <w:t>年修订）的披露规定编制。</w:t>
      </w:r>
    </w:p>
    <w:p>
      <w:pPr>
        <w:spacing w:line="240" w:lineRule="auto" w:before="4"/>
        <w:rPr>
          <w:rFonts w:ascii="宋体" w:hAnsi="宋体" w:cs="宋体" w:eastAsia="宋体" w:hint="default"/>
          <w:sz w:val="21"/>
          <w:szCs w:val="21"/>
        </w:rPr>
      </w:pPr>
    </w:p>
    <w:p>
      <w:pPr>
        <w:pStyle w:val="BodyText"/>
        <w:spacing w:line="316" w:lineRule="auto"/>
        <w:ind w:right="1131" w:firstLine="360"/>
        <w:jc w:val="both"/>
      </w:pPr>
      <w:r>
        <w:rPr>
          <w:spacing w:val="-2"/>
        </w:rPr>
        <w:t>根据企业会计准则的相关规定，本公司会计核算以权责发生制为基础。除某些金融工具外，本财务报表均以历史成本为</w:t>
      </w:r>
      <w:r>
        <w:rPr/>
        <w:t> 计量基础。资产如果发生减值，则按照相关规定计提相应的减值准备。</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公司自本报告期末至少</w:t>
      </w:r>
      <w:r>
        <w:rPr>
          <w:rFonts w:ascii="Times New Roman" w:hAnsi="Times New Roman" w:cs="Times New Roman" w:eastAsia="Times New Roman" w:hint="default"/>
        </w:rPr>
        <w:t>12</w:t>
      </w:r>
      <w:r>
        <w:rPr/>
        <w:t>个月内具备持续经营能力，无影响持续经营能力的重大事项。</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具体会计政策和会计估计提示：</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210" w:firstLine="360"/>
        <w:jc w:val="left"/>
      </w:pPr>
      <w:r>
        <w:rPr/>
        <w:t>本财务报表符合企业会计准则的要求，真实、完整地反映了本公司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日的合并及公司的财务状况以及</w:t>
      </w:r>
      <w:r>
        <w:rPr>
          <w:rFonts w:ascii="Times New Roman" w:hAnsi="Times New Roman" w:cs="Times New Roman" w:eastAsia="Times New Roman" w:hint="default"/>
        </w:rPr>
        <w:t>2019 </w:t>
      </w:r>
      <w:r>
        <w:rPr/>
        <w:t>年度合并及公司的经营成果和现金流量。</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0" w:firstLine="360"/>
        <w:jc w:val="left"/>
      </w:pPr>
      <w:r>
        <w:rPr/>
        <w:t>本公司的会计期间分为年度和中期，会计中期指短于一个完整的会计年度的报告期间。本公司会计年度采用公历年度， 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0"/>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153" w:right="1211" w:firstLine="360"/>
        <w:jc w:val="left"/>
      </w:pPr>
      <w:r>
        <w:rPr/>
        <w:t>正常营业周期是指本公司从购买用于加工的资产起至实现现金或现金等价物的期间。本公司以</w:t>
      </w:r>
      <w:r>
        <w:rPr>
          <w:rFonts w:ascii="Times New Roman" w:hAnsi="Times New Roman" w:cs="Times New Roman" w:eastAsia="Times New Roman" w:hint="default"/>
        </w:rPr>
        <w:t>12</w:t>
      </w:r>
      <w:r>
        <w:rPr/>
        <w:t>个月作为一个营业周 期，并以其作为资产和负债的流动性划分标准。</w:t>
      </w:r>
    </w:p>
    <w:p>
      <w:pPr>
        <w:spacing w:after="0" w:line="300" w:lineRule="auto"/>
        <w:jc w:val="left"/>
        <w:sectPr>
          <w:footerReference w:type="default" r:id="rId17"/>
          <w:pgSz w:w="11910" w:h="16840"/>
          <w:pgMar w:footer="982" w:header="747"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本公司以人民币为记账本位币。</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360"/>
        <w:jc w:val="both"/>
      </w:pPr>
      <w:r>
        <w:rPr>
          <w:spacing w:val="-2"/>
        </w:rPr>
        <w:t>企业合并，是指将两个或两个以上单独的企业合并形成一个报告主体的交易或事项。企业合并分为同一控制下企业合并</w:t>
      </w:r>
      <w:r>
        <w:rPr/>
        <w:t> 和非同一控制下企业合并。</w:t>
      </w:r>
    </w:p>
    <w:p>
      <w:pPr>
        <w:pStyle w:val="BodyText"/>
        <w:spacing w:line="528" w:lineRule="exact" w:before="22"/>
        <w:ind w:left="514" w:right="0" w:hanging="143"/>
        <w:jc w:val="left"/>
      </w:pPr>
      <w:r>
        <w:rPr/>
        <w:t>（</w:t>
      </w:r>
      <w:r>
        <w:rPr>
          <w:rFonts w:ascii="Times New Roman" w:hAnsi="Times New Roman" w:cs="Times New Roman" w:eastAsia="Times New Roman" w:hint="default"/>
        </w:rPr>
        <w:t>1</w:t>
      </w:r>
      <w:r>
        <w:rPr/>
        <w:t>）同一控制下企业合并 </w:t>
      </w:r>
      <w:r>
        <w:rPr>
          <w:spacing w:val="-2"/>
        </w:rPr>
        <w:t>参与合并的企业在合并前后均受同一方或相同的多方最终控制，且该控制并非暂时性的，为同一控制下的企业合并。同</w:t>
      </w:r>
    </w:p>
    <w:p>
      <w:pPr>
        <w:pStyle w:val="BodyText"/>
        <w:spacing w:line="316" w:lineRule="auto"/>
        <w:ind w:left="153" w:right="0"/>
        <w:jc w:val="left"/>
      </w:pPr>
      <w:r>
        <w:rPr>
          <w:spacing w:val="-4"/>
        </w:rPr>
        <w:t>一控制下的企业合并，在合并日取得对其他参与合并企业控制权的一方为合并方，参与合并的其他企业为被合并方。合并日，</w:t>
      </w:r>
      <w:r>
        <w:rPr>
          <w:spacing w:val="-44"/>
        </w:rPr>
        <w:t> </w:t>
      </w:r>
      <w:r>
        <w:rPr>
          <w:spacing w:val="-44"/>
        </w:rPr>
      </w:r>
      <w:r>
        <w:rPr/>
        <w:t>是指合并方实际取得对被合并方控制权的日期。</w:t>
      </w:r>
    </w:p>
    <w:p>
      <w:pPr>
        <w:spacing w:line="240" w:lineRule="auto" w:before="12"/>
        <w:rPr>
          <w:rFonts w:ascii="宋体" w:hAnsi="宋体" w:cs="宋体" w:eastAsia="宋体" w:hint="default"/>
          <w:sz w:val="17"/>
          <w:szCs w:val="17"/>
        </w:rPr>
      </w:pPr>
    </w:p>
    <w:p>
      <w:pPr>
        <w:pStyle w:val="BodyText"/>
        <w:spacing w:line="316" w:lineRule="auto"/>
        <w:ind w:left="153" w:right="1048" w:firstLine="360"/>
        <w:jc w:val="both"/>
      </w:pPr>
      <w:r>
        <w:rPr>
          <w:spacing w:val="-2"/>
        </w:rPr>
        <w:t>合并方取得的资产和负债均按合并日在被合并方的账面价值计量。合并方取得的净资产账面价值与支付的合并对价账面</w:t>
      </w:r>
      <w:r>
        <w:rPr/>
        <w:t> 价值（或发行股份面值总额）的差额，调整资本公积（股本溢价）；资本公积（股本溢价）不足以冲减的，调整留存收益。</w:t>
      </w:r>
    </w:p>
    <w:p>
      <w:pPr>
        <w:spacing w:line="240" w:lineRule="auto" w:before="12"/>
        <w:rPr>
          <w:rFonts w:ascii="宋体" w:hAnsi="宋体" w:cs="宋体" w:eastAsia="宋体" w:hint="default"/>
          <w:sz w:val="17"/>
          <w:szCs w:val="17"/>
        </w:rPr>
      </w:pPr>
    </w:p>
    <w:p>
      <w:pPr>
        <w:pStyle w:val="BodyText"/>
        <w:spacing w:line="240" w:lineRule="auto"/>
        <w:ind w:left="516" w:right="0"/>
        <w:jc w:val="left"/>
      </w:pPr>
      <w:r>
        <w:rPr/>
        <w:t>合并方为进行企业合并发生的各项直接费用，于发生时计入当期损益。</w:t>
      </w:r>
    </w:p>
    <w:p>
      <w:pPr>
        <w:pStyle w:val="BodyText"/>
        <w:spacing w:line="510" w:lineRule="atLeast" w:before="31"/>
        <w:ind w:left="513" w:right="0" w:hanging="70"/>
        <w:jc w:val="left"/>
      </w:pPr>
      <w:r>
        <w:rPr/>
        <w:t>（</w:t>
      </w:r>
      <w:r>
        <w:rPr>
          <w:rFonts w:ascii="Times New Roman" w:hAnsi="Times New Roman" w:cs="Times New Roman" w:eastAsia="Times New Roman" w:hint="default"/>
        </w:rPr>
        <w:t>2</w:t>
      </w:r>
      <w:r>
        <w:rPr/>
        <w:t>）非同一控制下企业合并 </w:t>
      </w:r>
      <w:r>
        <w:rPr>
          <w:spacing w:val="-2"/>
        </w:rPr>
        <w:t>参与合并的企业在合并前后不受同一方或相同的多方最终控制的，为非同一控制下的企业合并。非同一控制下的企业合</w:t>
      </w:r>
    </w:p>
    <w:p>
      <w:pPr>
        <w:pStyle w:val="BodyText"/>
        <w:spacing w:line="316" w:lineRule="auto" w:before="76"/>
        <w:ind w:left="153" w:right="0"/>
        <w:jc w:val="left"/>
      </w:pPr>
      <w:r>
        <w:rPr>
          <w:spacing w:val="-2"/>
        </w:rPr>
        <w:t>并，在购买日取得对其他参与合并企业控制权的一方为购买方，参与合并的其他企业为被购买方。购买日，是指为购买方实</w:t>
      </w:r>
      <w:r>
        <w:rPr>
          <w:spacing w:val="-66"/>
        </w:rPr>
        <w:t> </w:t>
      </w:r>
      <w:r>
        <w:rPr>
          <w:spacing w:val="-66"/>
        </w:rPr>
      </w:r>
      <w:r>
        <w:rPr/>
        <w:t>际取得对被购买方控制权的日期。</w:t>
      </w:r>
    </w:p>
    <w:p>
      <w:pPr>
        <w:spacing w:line="240" w:lineRule="auto" w:before="12"/>
        <w:rPr>
          <w:rFonts w:ascii="宋体" w:hAnsi="宋体" w:cs="宋体" w:eastAsia="宋体" w:hint="default"/>
          <w:sz w:val="17"/>
          <w:szCs w:val="17"/>
        </w:rPr>
      </w:pPr>
    </w:p>
    <w:p>
      <w:pPr>
        <w:pStyle w:val="BodyText"/>
        <w:spacing w:line="316" w:lineRule="auto"/>
        <w:ind w:left="153" w:right="1130" w:firstLine="360"/>
        <w:jc w:val="both"/>
      </w:pPr>
      <w:r>
        <w:rPr>
          <w:spacing w:val="-2"/>
        </w:rPr>
        <w:t>对于非同一控制下的企业合并，合并成本包含购买日购买方为取得对被购买方的控制权而付出的资产、发生或承担的负</w:t>
      </w:r>
      <w:r>
        <w:rPr/>
        <w:t> </w:t>
      </w:r>
      <w:r>
        <w:rPr>
          <w:spacing w:val="-2"/>
        </w:rPr>
        <w:t>债以及发行的权益性证券的公允价值，为企业合并发生的审计、法律服务、评估咨询等中介费用以及其他管理费用于发生时</w:t>
      </w:r>
      <w:r>
        <w:rPr>
          <w:spacing w:val="-66"/>
        </w:rPr>
        <w:t> </w:t>
      </w:r>
      <w:r>
        <w:rPr>
          <w:spacing w:val="-66"/>
        </w:rPr>
      </w:r>
      <w:r>
        <w:rPr>
          <w:spacing w:val="-2"/>
        </w:rPr>
        <w:t>计入当期损益。购买方作为合并对价发行的权益性证券或债务性证券的交易费用，计入权益性证券或债务性证券的初始确认</w:t>
      </w:r>
      <w:r>
        <w:rPr>
          <w:spacing w:val="-64"/>
        </w:rPr>
        <w:t> </w:t>
      </w:r>
      <w:r>
        <w:rPr>
          <w:spacing w:val="-64"/>
        </w:rPr>
      </w:r>
      <w:r>
        <w:rPr>
          <w:spacing w:val="-2"/>
        </w:rPr>
        <w:t>金额。所涉及的或有对价按其在购买日的公允价值计入合并成本，购买日后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个月内出现对购买日已存在情况的新的或进一</w:t>
      </w:r>
      <w:r>
        <w:rPr>
          <w:spacing w:val="-62"/>
        </w:rPr>
        <w:t> </w:t>
      </w:r>
      <w:r>
        <w:rPr>
          <w:spacing w:val="-2"/>
        </w:rPr>
        <w:t>步证据而需要调整或有对价的，相应调整合并商誉。购买方发生的合并成本及在合并中取得的可辨认净资产按购买日的公允</w:t>
      </w:r>
      <w:r>
        <w:rPr>
          <w:spacing w:val="-64"/>
        </w:rPr>
        <w:t> </w:t>
      </w:r>
      <w:r>
        <w:rPr>
          <w:spacing w:val="-64"/>
        </w:rPr>
      </w:r>
      <w:r>
        <w:rPr>
          <w:spacing w:val="-2"/>
        </w:rPr>
        <w:t>价值计量。合并成本大于合并中取得的被购买方于购买日可辨认净资产公允价值份额的差额，确认为商誉。合并成本小于合</w:t>
      </w:r>
      <w:r>
        <w:rPr>
          <w:spacing w:val="-66"/>
        </w:rPr>
        <w:t> </w:t>
      </w:r>
      <w:r>
        <w:rPr>
          <w:spacing w:val="-66"/>
        </w:rPr>
      </w:r>
      <w:r>
        <w:rPr>
          <w:spacing w:val="-2"/>
        </w:rPr>
        <w:t>并中取得的被购买方可辨认净资产公允价值份额的，首先对取得的被购买方各项可辨认资产、负债及或有负债的公允价值以</w:t>
      </w:r>
      <w:r>
        <w:rPr>
          <w:spacing w:val="-64"/>
        </w:rPr>
        <w:t> </w:t>
      </w:r>
      <w:r>
        <w:rPr>
          <w:spacing w:val="-64"/>
        </w:rPr>
      </w:r>
      <w:r>
        <w:rPr>
          <w:spacing w:val="-2"/>
        </w:rPr>
        <w:t>及合并成本的计量进行复核，复核后合并成本仍小于合并中取得的被购买方可辨认净资产公允价值份额的，其差额计入当期</w:t>
      </w:r>
      <w:r>
        <w:rPr>
          <w:spacing w:val="-64"/>
        </w:rPr>
        <w:t> </w:t>
      </w:r>
      <w:r>
        <w:rPr>
          <w:spacing w:val="-64"/>
        </w:rPr>
      </w:r>
      <w:r>
        <w:rPr/>
        <w:t>损益。</w:t>
      </w:r>
    </w:p>
    <w:p>
      <w:pPr>
        <w:spacing w:line="240" w:lineRule="auto" w:before="12"/>
        <w:rPr>
          <w:rFonts w:ascii="宋体" w:hAnsi="宋体" w:cs="宋体" w:eastAsia="宋体" w:hint="default"/>
          <w:sz w:val="17"/>
          <w:szCs w:val="17"/>
        </w:rPr>
      </w:pPr>
    </w:p>
    <w:p>
      <w:pPr>
        <w:pStyle w:val="BodyText"/>
        <w:spacing w:line="312" w:lineRule="auto"/>
        <w:ind w:left="153" w:right="1127" w:firstLine="360"/>
        <w:jc w:val="both"/>
      </w:pPr>
      <w:r>
        <w:rPr/>
        <w:t>购买方取得被购买方的可抵扣暂时性差异，在购买日因不符合递延所得税资产确认条件而未予确认的，在购买日后</w:t>
      </w:r>
      <w:r>
        <w:rPr>
          <w:rFonts w:ascii="Times New Roman" w:hAnsi="Times New Roman" w:cs="Times New Roman" w:eastAsia="Times New Roman" w:hint="default"/>
        </w:rPr>
        <w:t>12 </w:t>
      </w: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6"/>
        </w:rPr>
        <w:t> </w:t>
      </w:r>
      <w:r>
        <w:rPr>
          <w:spacing w:val="-66"/>
        </w:rPr>
      </w:r>
      <w:r>
        <w:rPr/>
        <w:t>以外，确认与企业合并相关的递延所得税资产的，计入当期损益。</w:t>
      </w:r>
    </w:p>
    <w:p>
      <w:pPr>
        <w:spacing w:line="240" w:lineRule="auto" w:before="3"/>
        <w:rPr>
          <w:rFonts w:ascii="宋体" w:hAnsi="宋体" w:cs="宋体" w:eastAsia="宋体" w:hint="default"/>
          <w:sz w:val="18"/>
          <w:szCs w:val="18"/>
        </w:rPr>
      </w:pPr>
    </w:p>
    <w:p>
      <w:pPr>
        <w:pStyle w:val="BodyText"/>
        <w:spacing w:line="300" w:lineRule="auto"/>
        <w:ind w:left="153" w:right="0" w:firstLine="360"/>
        <w:jc w:val="left"/>
      </w:pPr>
      <w:r>
        <w:rPr>
          <w:spacing w:val="-5"/>
        </w:rPr>
        <w:t>通过多次交易分步实现的非同一控制下企业合并，根据《财政部关于印发企业会计准则解释第</w:t>
      </w:r>
      <w:r>
        <w:rPr>
          <w:rFonts w:ascii="Times New Roman" w:hAnsi="Times New Roman" w:cs="Times New Roman" w:eastAsia="Times New Roman" w:hint="default"/>
          <w:spacing w:val="-5"/>
        </w:rPr>
        <w:t>5</w:t>
      </w:r>
      <w:r>
        <w:rPr>
          <w:spacing w:val="-5"/>
        </w:rPr>
        <w:t>号的通知》（财会〔</w:t>
      </w:r>
      <w:r>
        <w:rPr>
          <w:rFonts w:ascii="Times New Roman" w:hAnsi="Times New Roman" w:cs="Times New Roman" w:eastAsia="Times New Roman" w:hint="default"/>
          <w:spacing w:val="-5"/>
        </w:rPr>
        <w:t>2012</w:t>
      </w:r>
      <w:r>
        <w:rPr>
          <w:spacing w:val="-5"/>
        </w:rPr>
        <w:t>〕</w:t>
      </w:r>
      <w:r>
        <w:rPr/>
        <w:t> </w:t>
      </w:r>
      <w:r>
        <w:rPr>
          <w:rFonts w:ascii="Times New Roman" w:hAnsi="Times New Roman" w:cs="Times New Roman" w:eastAsia="Times New Roman" w:hint="default"/>
          <w:spacing w:val="-3"/>
        </w:rPr>
        <w:t>19</w:t>
      </w:r>
      <w:r>
        <w:rPr>
          <w:spacing w:val="-3"/>
        </w:rPr>
        <w:t>号）和《企业会计准则第</w:t>
      </w:r>
      <w:r>
        <w:rPr>
          <w:rFonts w:ascii="Times New Roman" w:hAnsi="Times New Roman" w:cs="Times New Roman" w:eastAsia="Times New Roman" w:hint="default"/>
          <w:spacing w:val="-3"/>
        </w:rPr>
        <w:t>33</w:t>
      </w:r>
      <w:r>
        <w:rPr>
          <w:spacing w:val="-3"/>
        </w:rPr>
        <w:t>号</w:t>
      </w:r>
      <w:r>
        <w:rPr>
          <w:rFonts w:ascii="Times New Roman" w:hAnsi="Times New Roman" w:cs="Times New Roman" w:eastAsia="Times New Roman" w:hint="default"/>
          <w:spacing w:val="-3"/>
        </w:rPr>
        <w:t>——</w:t>
      </w:r>
      <w:r>
        <w:rPr>
          <w:spacing w:val="-3"/>
        </w:rPr>
        <w:t>合并财务报表》第五十一条关于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的判断标准，判断该多次交易是否属于</w:t>
      </w:r>
      <w:r>
        <w:rPr>
          <w:rFonts w:ascii="Times New Roman" w:hAnsi="Times New Roman" w:cs="Times New Roman" w:eastAsia="Times New Roman" w:hint="default"/>
          <w:spacing w:val="-3"/>
        </w:rPr>
        <w:t>“</w:t>
      </w:r>
      <w:r>
        <w:rPr>
          <w:spacing w:val="-3"/>
        </w:rPr>
        <w:t>一</w:t>
      </w:r>
      <w:r>
        <w:rPr>
          <w:spacing w:val="-60"/>
        </w:rPr>
        <w:t> </w:t>
      </w:r>
      <w:r>
        <w:rPr/>
        <w:t>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的，参考本部分前面各段描述及本附注</w:t>
      </w:r>
      <w:r>
        <w:rPr>
          <w:spacing w:val="-17"/>
        </w:rPr>
        <w:t> </w:t>
      </w:r>
      <w:r>
        <w:rPr>
          <w:rFonts w:ascii="Times New Roman" w:hAnsi="Times New Roman" w:cs="Times New Roman" w:eastAsia="Times New Roman" w:hint="default"/>
        </w:rPr>
        <w:t>“</w:t>
      </w:r>
      <w:r>
        <w:rPr/>
        <w:t>长期股权投资</w:t>
      </w:r>
      <w:r>
        <w:rPr>
          <w:rFonts w:ascii="Times New Roman" w:hAnsi="Times New Roman" w:cs="Times New Roman" w:eastAsia="Times New Roman" w:hint="default"/>
        </w:rPr>
        <w:t>”</w:t>
      </w:r>
      <w:r>
        <w:rPr/>
        <w:t>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 </w:t>
      </w:r>
      <w:r>
        <w:rPr/>
        <w:t>的，区分个别财务报表和合并财务报表进行相关会计处理：</w:t>
      </w:r>
    </w:p>
    <w:p>
      <w:pPr>
        <w:spacing w:line="240" w:lineRule="auto" w:before="12"/>
        <w:rPr>
          <w:rFonts w:ascii="宋体" w:hAnsi="宋体" w:cs="宋体" w:eastAsia="宋体" w:hint="default"/>
          <w:sz w:val="18"/>
          <w:szCs w:val="18"/>
        </w:rPr>
      </w:pPr>
    </w:p>
    <w:p>
      <w:pPr>
        <w:pStyle w:val="BodyText"/>
        <w:spacing w:line="316" w:lineRule="auto"/>
        <w:ind w:right="1129" w:firstLine="360"/>
        <w:jc w:val="both"/>
      </w:pPr>
      <w:r>
        <w:rPr>
          <w:spacing w:val="-2"/>
        </w:rPr>
        <w:t>在个别财务报表中，以购买日之前所持被购买方的股权投资的账面价值与购买日新增投资成本之和，作为该项投资的初</w:t>
      </w:r>
      <w:r>
        <w:rPr/>
        <w:t> </w:t>
      </w:r>
      <w:r>
        <w:rPr>
          <w:spacing w:val="-2"/>
        </w:rPr>
        <w:t>始投资成本；购买日之前持有的被购买方的股权涉及其他综合收益的，在处置该项投资时将与其相关的其他综合收益采用与</w:t>
      </w:r>
    </w:p>
    <w:p>
      <w:pPr>
        <w:spacing w:after="0" w:line="316" w:lineRule="auto"/>
        <w:jc w:val="both"/>
        <w:sectPr>
          <w:footerReference w:type="default" r:id="rId18"/>
          <w:pgSz w:w="11910" w:h="16840"/>
          <w:pgMar w:footer="982" w:header="747" w:top="1060" w:bottom="1180" w:left="980" w:right="0"/>
          <w:pgNumType w:start="101"/>
        </w:sectPr>
      </w:pPr>
    </w:p>
    <w:p>
      <w:pPr>
        <w:spacing w:line="240" w:lineRule="auto" w:before="12"/>
        <w:rPr>
          <w:rFonts w:ascii="宋体" w:hAnsi="宋体" w:cs="宋体" w:eastAsia="宋体" w:hint="default"/>
          <w:sz w:val="25"/>
          <w:szCs w:val="25"/>
        </w:rPr>
      </w:pPr>
    </w:p>
    <w:p>
      <w:pPr>
        <w:pStyle w:val="BodyText"/>
        <w:spacing w:line="316" w:lineRule="auto" w:before="44"/>
        <w:ind w:left="153" w:right="0"/>
        <w:jc w:val="left"/>
      </w:pPr>
      <w:r>
        <w:rPr>
          <w:spacing w:val="-2"/>
        </w:rPr>
        <w:t>被购买方直接处置相关资产或负债相同的基础进行会计处理（即，除了按照权益法核算的在被购买方重新计量设定受益计划</w:t>
      </w:r>
      <w:r>
        <w:rPr>
          <w:spacing w:val="-64"/>
        </w:rPr>
        <w:t> </w:t>
      </w:r>
      <w:r>
        <w:rPr>
          <w:spacing w:val="-64"/>
        </w:rPr>
      </w:r>
      <w:r>
        <w:rPr/>
        <w:t>净负债或净资产导致的变动中的相应份额以外，其余转入当期投资收益）。</w:t>
      </w:r>
    </w:p>
    <w:p>
      <w:pPr>
        <w:spacing w:line="240" w:lineRule="auto" w:before="12"/>
        <w:rPr>
          <w:rFonts w:ascii="宋体" w:hAnsi="宋体" w:cs="宋体" w:eastAsia="宋体" w:hint="default"/>
          <w:sz w:val="17"/>
          <w:szCs w:val="17"/>
        </w:rPr>
      </w:pPr>
    </w:p>
    <w:p>
      <w:pPr>
        <w:pStyle w:val="BodyText"/>
        <w:spacing w:line="319" w:lineRule="auto"/>
        <w:ind w:left="153" w:right="1130" w:firstLine="360"/>
        <w:jc w:val="both"/>
      </w:pPr>
      <w:r>
        <w:rPr>
          <w:spacing w:val="-2"/>
        </w:rPr>
        <w:t>在合并财务报表中，对于购买日之前持有的被购买方的股权，按照该股权在购买日的公允价值进行重新计量，公允价值</w:t>
      </w:r>
      <w:r>
        <w:rPr/>
        <w:t> </w:t>
      </w:r>
      <w:r>
        <w:rPr>
          <w:spacing w:val="-2"/>
        </w:rPr>
        <w:t>与其账面价值的差额计入当期投资收益；购买日之前持有的被购买方的股权涉及其他综合收益的，与其相关的其他综合收益</w:t>
      </w:r>
      <w:r>
        <w:rPr>
          <w:spacing w:val="-64"/>
        </w:rPr>
        <w:t> </w:t>
      </w:r>
      <w:r>
        <w:rPr>
          <w:spacing w:val="-64"/>
        </w:rPr>
      </w:r>
      <w:r>
        <w:rPr>
          <w:spacing w:val="-2"/>
        </w:rPr>
        <w:t>应当采用与被购买方直接处置相关资产或负债相同的基础进行会计处理（即，除了按照权益法核算的在被购买方重新计量设</w:t>
      </w:r>
      <w:r>
        <w:rPr>
          <w:spacing w:val="-64"/>
        </w:rPr>
        <w:t> </w:t>
      </w:r>
      <w:r>
        <w:rPr>
          <w:spacing w:val="-64"/>
        </w:rPr>
      </w:r>
      <w:r>
        <w:rPr/>
        <w:t>定受益计划净负债或净资产导致的变动中的相应份额以外，其余转为购买日所属当期投资收益）。</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pStyle w:val="BodyText"/>
        <w:spacing w:line="510" w:lineRule="atLeast" w:before="87"/>
        <w:ind w:left="513" w:right="0" w:hanging="215"/>
        <w:jc w:val="left"/>
      </w:pPr>
      <w:r>
        <w:rPr/>
        <w:t>（</w:t>
      </w:r>
      <w:r>
        <w:rPr>
          <w:rFonts w:ascii="Times New Roman" w:hAnsi="Times New Roman" w:cs="Times New Roman" w:eastAsia="Times New Roman" w:hint="default"/>
        </w:rPr>
        <w:t>1</w:t>
      </w:r>
      <w:r>
        <w:rPr/>
        <w:t>）合并财务报表范围的确定原则 </w:t>
      </w:r>
      <w:r>
        <w:rPr>
          <w:spacing w:val="-2"/>
        </w:rPr>
        <w:t>合并财务报表的合并范围以控制为基础予以确定。控制是指本公司拥有对被投资方的权力，通过参与被投资方的相关活</w:t>
      </w:r>
    </w:p>
    <w:p>
      <w:pPr>
        <w:pStyle w:val="BodyText"/>
        <w:spacing w:line="316" w:lineRule="auto" w:before="76"/>
        <w:ind w:left="153" w:right="0"/>
        <w:jc w:val="left"/>
      </w:pPr>
      <w:r>
        <w:rPr>
          <w:spacing w:val="-2"/>
        </w:rPr>
        <w:t>动而享有可变回报，并且有能力运用对被投资方的权力影响该回报金额。合并范围包括本公司及全部子公司。子公司，是指</w:t>
      </w:r>
      <w:r>
        <w:rPr>
          <w:spacing w:val="-66"/>
        </w:rPr>
        <w:t> </w:t>
      </w:r>
      <w:r>
        <w:rPr>
          <w:spacing w:val="-66"/>
        </w:rPr>
      </w:r>
      <w:r>
        <w:rPr/>
        <w:t>被本公司控制的主体。</w:t>
      </w:r>
    </w:p>
    <w:p>
      <w:pPr>
        <w:spacing w:line="240" w:lineRule="auto" w:before="12"/>
        <w:rPr>
          <w:rFonts w:ascii="宋体" w:hAnsi="宋体" w:cs="宋体" w:eastAsia="宋体" w:hint="default"/>
          <w:sz w:val="17"/>
          <w:szCs w:val="17"/>
        </w:rPr>
      </w:pPr>
    </w:p>
    <w:p>
      <w:pPr>
        <w:pStyle w:val="BodyText"/>
        <w:spacing w:line="240" w:lineRule="auto"/>
        <w:ind w:left="513" w:right="0"/>
        <w:jc w:val="left"/>
      </w:pPr>
      <w:r>
        <w:rPr/>
        <w:t>一旦相关事实和情况的变化导致上述控制定义涉及的相关要素发生了变化，本公司将进行重新评估。</w:t>
      </w:r>
    </w:p>
    <w:p>
      <w:pPr>
        <w:pStyle w:val="BodyText"/>
        <w:spacing w:line="510" w:lineRule="atLeast" w:before="31"/>
        <w:ind w:left="514" w:right="0" w:hanging="143"/>
        <w:jc w:val="left"/>
      </w:pPr>
      <w:r>
        <w:rPr/>
        <w:t>（</w:t>
      </w:r>
      <w:r>
        <w:rPr>
          <w:rFonts w:ascii="Times New Roman" w:hAnsi="Times New Roman" w:cs="Times New Roman" w:eastAsia="Times New Roman" w:hint="default"/>
        </w:rPr>
        <w:t>2</w:t>
      </w:r>
      <w:r>
        <w:rPr/>
        <w:t>）合并财务报表编制的方法 </w:t>
      </w:r>
      <w:r>
        <w:rPr>
          <w:spacing w:val="-2"/>
        </w:rPr>
        <w:t>从取得子公司的净资产和生产经营决策的实际控制权之日起，本公司开始将其纳入合并范围；从丧失实际控制权之日起</w:t>
      </w:r>
    </w:p>
    <w:p>
      <w:pPr>
        <w:pStyle w:val="BodyText"/>
        <w:spacing w:line="316" w:lineRule="auto" w:before="76"/>
        <w:ind w:right="0"/>
        <w:jc w:val="left"/>
      </w:pPr>
      <w:r>
        <w:rPr>
          <w:spacing w:val="-4"/>
        </w:rPr>
        <w:t>停止纳入合并范围。对于处置的子公司，处置日前的经营成果和现金流量已经适当地包括在合并利润表和合并现金流量表中；</w:t>
      </w:r>
      <w:r>
        <w:rPr>
          <w:spacing w:val="-44"/>
        </w:rPr>
        <w:t> </w:t>
      </w:r>
      <w:r>
        <w:rPr>
          <w:spacing w:val="-44"/>
        </w:rPr>
      </w:r>
      <w:r>
        <w:rPr>
          <w:spacing w:val="-2"/>
        </w:rPr>
        <w:t>当期处置的子公司，不调整合并资产负债表的期初数。非同一控制下企业合并增加的子公司，其购买日后的经营成果及现金</w:t>
      </w:r>
      <w:r>
        <w:rPr>
          <w:spacing w:val="-66"/>
        </w:rPr>
        <w:t> </w:t>
      </w:r>
      <w:r>
        <w:rPr>
          <w:spacing w:val="-66"/>
        </w:rPr>
      </w:r>
      <w:r>
        <w:rPr>
          <w:spacing w:val="-2"/>
        </w:rPr>
        <w:t>流量已经适当地包括在合并利润表和合并现金流量表中，且不调整合并财务报表的期初数和对比数。同一控制下企业合并增</w:t>
      </w:r>
      <w:r>
        <w:rPr>
          <w:spacing w:val="-64"/>
        </w:rPr>
        <w:t> </w:t>
      </w:r>
      <w:r>
        <w:rPr>
          <w:spacing w:val="-64"/>
        </w:rPr>
      </w:r>
      <w:r>
        <w:rPr>
          <w:spacing w:val="-2"/>
        </w:rPr>
        <w:t>加的子公司及吸收合并下的被合并方，其自合并当期期初至合并日的经营成果和现金流量已经适当地包括在合并利润表和合</w:t>
      </w:r>
      <w:r>
        <w:rPr>
          <w:spacing w:val="-64"/>
        </w:rPr>
        <w:t> </w:t>
      </w:r>
      <w:r>
        <w:rPr>
          <w:spacing w:val="-64"/>
        </w:rPr>
      </w:r>
      <w:r>
        <w:rPr/>
        <w:t>并现金流量表中，并且同时调整合并财务报表的对比数。</w:t>
      </w:r>
    </w:p>
    <w:p>
      <w:pPr>
        <w:spacing w:line="240" w:lineRule="auto" w:before="12"/>
        <w:rPr>
          <w:rFonts w:ascii="宋体" w:hAnsi="宋体" w:cs="宋体" w:eastAsia="宋体" w:hint="default"/>
          <w:sz w:val="17"/>
          <w:szCs w:val="17"/>
        </w:rPr>
      </w:pPr>
    </w:p>
    <w:p>
      <w:pPr>
        <w:pStyle w:val="BodyText"/>
        <w:spacing w:line="316" w:lineRule="auto"/>
        <w:ind w:right="1130" w:firstLine="360"/>
        <w:jc w:val="both"/>
      </w:pPr>
      <w:r>
        <w:rPr>
          <w:spacing w:val="-2"/>
        </w:rPr>
        <w:t>在编制合并财务报表时，子公司与本公司采用的会计政策或会计期间不一致的，按照本公司的会计政策和会计期间对子</w:t>
      </w:r>
      <w:r>
        <w:rPr/>
        <w:t> </w:t>
      </w:r>
      <w:r>
        <w:rPr>
          <w:spacing w:val="-2"/>
        </w:rPr>
        <w:t>公司财务报表进行必要的调整。对于非同一控制下企业合并取得的子公司，以购买日可辨认净资产公允价值为基础对其财务</w:t>
      </w:r>
      <w:r>
        <w:rPr>
          <w:spacing w:val="-64"/>
        </w:rPr>
        <w:t> </w:t>
      </w:r>
      <w:r>
        <w:rPr>
          <w:spacing w:val="-64"/>
        </w:rPr>
      </w:r>
      <w:r>
        <w:rPr/>
        <w:t>报表进行调整。</w:t>
      </w:r>
    </w:p>
    <w:p>
      <w:pPr>
        <w:pStyle w:val="BodyText"/>
        <w:spacing w:line="528" w:lineRule="exact" w:before="22"/>
        <w:ind w:left="514" w:right="0"/>
        <w:jc w:val="left"/>
      </w:pPr>
      <w:r>
        <w:rPr/>
        <w:t>公司内所有重大往来余额、交易及未实现利润在合并财务报表编制时予以抵销。 子公司的股东权益及当期净损益中不属于本公司所拥有的部分分别作为少数股东权益及少数股东损益在合并财务报表</w:t>
      </w:r>
    </w:p>
    <w:p>
      <w:pPr>
        <w:pStyle w:val="BodyText"/>
        <w:spacing w:line="300" w:lineRule="auto"/>
        <w:ind w:right="1129"/>
        <w:jc w:val="both"/>
      </w:pPr>
      <w:r>
        <w:rPr/>
        <w:t>中股东权益及净利润项下单独列示。子公司当期净损益中属于少数股东权益的份额，在合并利润表中净利润项目下以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少数</w:t>
      </w:r>
      <w:r>
        <w:rPr>
          <w:spacing w:val="-79"/>
        </w:rPr>
        <w:t> </w:t>
      </w:r>
      <w:r>
        <w:rPr/>
        <w:t>股东损益</w:t>
      </w:r>
      <w:r>
        <w:rPr>
          <w:rFonts w:ascii="Times New Roman" w:hAnsi="Times New Roman" w:cs="Times New Roman" w:eastAsia="Times New Roman" w:hint="default"/>
        </w:rPr>
        <w:t>”</w:t>
      </w:r>
      <w:r>
        <w:rPr/>
        <w:t>项目列示。少数股东分担的子公司的亏损超过了少数股东在该子公司期初股东权益中所享有的份额，仍冲减少数</w:t>
      </w:r>
      <w:r>
        <w:rPr>
          <w:spacing w:val="-77"/>
        </w:rPr>
        <w:t> </w:t>
      </w:r>
      <w:r>
        <w:rPr>
          <w:spacing w:val="-77"/>
        </w:rPr>
      </w:r>
      <w:r>
        <w:rPr/>
        <w:t>股东权益。</w:t>
      </w:r>
    </w:p>
    <w:p>
      <w:pPr>
        <w:spacing w:line="240" w:lineRule="auto" w:before="12"/>
        <w:rPr>
          <w:rFonts w:ascii="宋体" w:hAnsi="宋体" w:cs="宋体" w:eastAsia="宋体" w:hint="default"/>
          <w:sz w:val="18"/>
          <w:szCs w:val="18"/>
        </w:rPr>
      </w:pPr>
    </w:p>
    <w:p>
      <w:pPr>
        <w:pStyle w:val="BodyText"/>
        <w:spacing w:line="312" w:lineRule="auto"/>
        <w:ind w:right="1128" w:firstLine="360"/>
        <w:jc w:val="both"/>
      </w:pPr>
      <w:r>
        <w:rPr>
          <w:spacing w:val="-2"/>
        </w:rPr>
        <w:t>当因处置部分股权投资或其他原因丧失了对原有子公司的控制权时，对于剩余股权，按照其在丧失控制权日的公允价值</w:t>
      </w:r>
      <w:r>
        <w:rPr/>
        <w:t> </w:t>
      </w:r>
      <w:r>
        <w:rPr>
          <w:spacing w:val="-2"/>
        </w:rPr>
        <w:t>进行重新计量。处置股权取得的对价与剩余股权公允价值之和，减去按原持股比例计算应享有原有子公司自购买日开始持续</w:t>
      </w:r>
      <w:r>
        <w:rPr>
          <w:spacing w:val="-64"/>
        </w:rPr>
        <w:t> </w:t>
      </w:r>
      <w:r>
        <w:rPr>
          <w:spacing w:val="-64"/>
        </w:rPr>
      </w:r>
      <w:r>
        <w:rPr>
          <w:spacing w:val="-2"/>
        </w:rPr>
        <w:t>计算的净资产的份额之间的差额，计入丧失控制权当期的投资收益。与原有子公司股权投资相关的其他综合收益，在丧失控</w:t>
      </w:r>
      <w:r>
        <w:rPr>
          <w:spacing w:val="-66"/>
        </w:rPr>
        <w:t> </w:t>
      </w:r>
      <w:r>
        <w:rPr>
          <w:spacing w:val="-66"/>
        </w:rPr>
      </w:r>
      <w:r>
        <w:rPr>
          <w:spacing w:val="-2"/>
        </w:rPr>
        <w:t>制权时采用与被购买方直接处置相关资产或负债相同的基础进行会计处理（即，除了在该原有子公司重新计量设定受益计划</w:t>
      </w:r>
      <w:r>
        <w:rPr>
          <w:spacing w:val="-64"/>
        </w:rPr>
        <w:t> </w:t>
      </w:r>
      <w:r>
        <w:rPr>
          <w:spacing w:val="-64"/>
        </w:rPr>
      </w:r>
      <w:r>
        <w:rPr/>
        <w:t>净负债或净资产导致的变动以外，其余一并转为当期投资收益）。其后，对该部分剩余股权按照《企业会计准则第</w:t>
      </w:r>
      <w:r>
        <w:rPr>
          <w:rFonts w:ascii="Times New Roman" w:hAnsi="Times New Roman" w:cs="Times New Roman" w:eastAsia="Times New Roman" w:hint="default"/>
        </w:rPr>
        <w:t>2</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39"/>
        </w:rPr>
        <w:t> </w:t>
      </w:r>
      <w:r>
        <w:rPr/>
        <w:t>长期股权投资》或《企业会计准则第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金融工具确认和计量》等相关规定进行后续计量，详见本附注五、</w:t>
      </w:r>
      <w:r>
        <w:rPr>
          <w:rFonts w:ascii="Times New Roman" w:hAnsi="Times New Roman" w:cs="Times New Roman" w:eastAsia="Times New Roman" w:hint="default"/>
        </w:rPr>
        <w:t>16“</w:t>
      </w:r>
      <w:r>
        <w:rPr/>
        <w:t>长期股</w:t>
      </w:r>
      <w:r>
        <w:rPr>
          <w:spacing w:val="-77"/>
        </w:rPr>
        <w:t> </w:t>
      </w:r>
      <w:r>
        <w:rPr>
          <w:spacing w:val="-77"/>
        </w:rPr>
      </w:r>
      <w:r>
        <w:rPr/>
        <w:t>权投资</w:t>
      </w:r>
      <w:r>
        <w:rPr>
          <w:rFonts w:ascii="Times New Roman" w:hAnsi="Times New Roman" w:cs="Times New Roman" w:eastAsia="Times New Roman" w:hint="default"/>
        </w:rPr>
        <w:t>”</w:t>
      </w:r>
      <w:r>
        <w:rPr/>
        <w:t>或本附注五、</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16"/>
          <w:szCs w:val="16"/>
        </w:rPr>
      </w:pPr>
    </w:p>
    <w:p>
      <w:pPr>
        <w:pStyle w:val="BodyText"/>
        <w:spacing w:line="316" w:lineRule="auto"/>
        <w:ind w:right="1129" w:firstLine="360"/>
        <w:jc w:val="both"/>
      </w:pPr>
      <w:r>
        <w:rPr>
          <w:spacing w:val="-2"/>
        </w:rPr>
        <w:t>本公司通过多次交易分步处置对子公司股权投资直至丧失控制权的，需区分处置对子公司股权投资直至丧失控制权的各</w:t>
      </w:r>
      <w:r>
        <w:rPr/>
        <w:t> </w:t>
      </w:r>
      <w:r>
        <w:rPr>
          <w:spacing w:val="-2"/>
        </w:rPr>
        <w:t>项交易是否属于一揽子交易。处置对子公司股权投资的各项交易的条款、条件以及经济影响符合以下一种或多种情况，通常</w:t>
      </w:r>
    </w:p>
    <w:p>
      <w:pPr>
        <w:spacing w:after="0" w:line="316" w:lineRule="auto"/>
        <w:jc w:val="both"/>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09" w:lineRule="auto" w:before="44"/>
        <w:ind w:left="153" w:right="1031"/>
        <w:jc w:val="left"/>
      </w:pPr>
      <w:r>
        <w:rPr>
          <w:spacing w:val="-2"/>
        </w:rPr>
        <w:t>表明应将多次交易事项作为一揽子交易进行会计处理：①这些交易是同时或者在考虑了彼此影响的情况下订立的；②这些交</w:t>
      </w:r>
      <w:r>
        <w:rPr>
          <w:spacing w:val="-64"/>
        </w:rPr>
        <w:t> </w:t>
      </w:r>
      <w:r>
        <w:rPr>
          <w:spacing w:val="-64"/>
        </w:rPr>
      </w:r>
      <w:r>
        <w:rPr/>
        <w:t>易整体才能达成一项完整的商业结果；③一项交易的发生取决于其他至少一项交易的发生；④一项交易单独看是不经济的， 但是和其他交易一并考虑时是经济的。不属于一揽子交易的，对其中的每一项交易视情况分别按照</w:t>
      </w:r>
      <w:r>
        <w:rPr>
          <w:rFonts w:ascii="Times New Roman" w:hAnsi="Times New Roman" w:cs="Times New Roman" w:eastAsia="Times New Roman" w:hint="default"/>
        </w:rPr>
        <w:t>“</w:t>
      </w:r>
      <w:r>
        <w:rPr/>
        <w:t>不丧失控制权的情况下</w:t>
      </w:r>
      <w:r>
        <w:rPr>
          <w:spacing w:val="-78"/>
        </w:rPr>
        <w:t> </w:t>
      </w:r>
      <w:r>
        <w:rPr>
          <w:spacing w:val="-78"/>
        </w:rPr>
      </w:r>
      <w:r>
        <w:rPr/>
        <w:t>部分处置对子公司的长期股权投资</w:t>
      </w:r>
      <w:r>
        <w:rPr>
          <w:rFonts w:ascii="Times New Roman" w:hAnsi="Times New Roman" w:cs="Times New Roman" w:eastAsia="Times New Roman" w:hint="default"/>
        </w:rPr>
        <w:t>”</w:t>
      </w:r>
      <w:r>
        <w:rPr/>
        <w:t>（详见本附注五、</w:t>
      </w:r>
      <w:r>
        <w:rPr>
          <w:rFonts w:ascii="Times New Roman" w:hAnsi="Times New Roman" w:cs="Times New Roman" w:eastAsia="Times New Roman" w:hint="default"/>
        </w:rPr>
        <w:t>16</w:t>
      </w:r>
      <w:r>
        <w:rPr/>
        <w:t>、（</w:t>
      </w:r>
      <w:r>
        <w:rPr>
          <w:rFonts w:ascii="Times New Roman" w:hAnsi="Times New Roman" w:cs="Times New Roman" w:eastAsia="Times New Roman" w:hint="default"/>
        </w:rPr>
        <w:t>2</w:t>
      </w:r>
      <w:r>
        <w:rPr/>
        <w:t>）④）和</w:t>
      </w:r>
      <w:r>
        <w:rPr>
          <w:rFonts w:ascii="Times New Roman" w:hAnsi="Times New Roman" w:cs="Times New Roman" w:eastAsia="Times New Roman" w:hint="default"/>
        </w:rPr>
        <w:t>“</w:t>
      </w:r>
      <w:r>
        <w:rPr/>
        <w:t>因处置部分股权投资或其他原因丧失了对原有子公</w:t>
      </w:r>
      <w:r>
        <w:rPr>
          <w:spacing w:val="-70"/>
        </w:rPr>
        <w:t> </w:t>
      </w:r>
      <w:r>
        <w:rPr>
          <w:spacing w:val="-70"/>
        </w:rPr>
      </w:r>
      <w:r>
        <w:rPr>
          <w:spacing w:val="-2"/>
        </w:rPr>
        <w:t>司的控制权</w:t>
      </w:r>
      <w:r>
        <w:rPr>
          <w:rFonts w:ascii="Times New Roman" w:hAnsi="Times New Roman" w:cs="Times New Roman" w:eastAsia="Times New Roman" w:hint="default"/>
          <w:spacing w:val="-2"/>
        </w:rPr>
        <w:t>”</w:t>
      </w:r>
      <w:r>
        <w:rPr>
          <w:spacing w:val="-2"/>
        </w:rPr>
        <w:t>（详见前段）适用的原则进行会计处理。处置对子公司股权投资直至丧失控制权的各项交易属于一揽子交易的，</w:t>
      </w:r>
      <w:r>
        <w:rPr>
          <w:spacing w:val="-52"/>
        </w:rPr>
        <w:t> </w:t>
      </w:r>
      <w:r>
        <w:rPr>
          <w:spacing w:val="-52"/>
        </w:rPr>
      </w:r>
      <w:r>
        <w:rPr>
          <w:spacing w:val="-2"/>
        </w:rPr>
        <w:t>将各项交易作为一项处置子公司并丧失控制权的交易进行会计处理；但是，在丧失控制权之前每一次处置价款与处置投资对</w:t>
      </w:r>
      <w:r>
        <w:rPr>
          <w:spacing w:val="-64"/>
        </w:rPr>
        <w:t> </w:t>
      </w:r>
      <w:r>
        <w:rPr>
          <w:spacing w:val="-64"/>
        </w:rPr>
      </w:r>
      <w:r>
        <w:rPr>
          <w:spacing w:val="-2"/>
        </w:rPr>
        <w:t>应的享有该子公司净资产份额的差额，在合并财务报表中确认为其他综合收益，在丧失控制权时一并转入丧失控制权当期的</w:t>
      </w:r>
      <w:r>
        <w:rPr>
          <w:spacing w:val="-64"/>
        </w:rPr>
        <w:t> </w:t>
      </w:r>
      <w:r>
        <w:rPr>
          <w:spacing w:val="-64"/>
        </w:rPr>
      </w:r>
      <w:r>
        <w:rPr/>
        <w:t>损益。</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131" w:firstLine="360"/>
        <w:jc w:val="both"/>
      </w:pPr>
      <w:r>
        <w:rPr>
          <w:spacing w:val="-2"/>
        </w:rPr>
        <w:t>本公司现金及现金等价物包括库存现金、可以随时用于支付的存款以及本公司持有的期限短（一般为从购买日起，三个</w:t>
      </w:r>
      <w:r>
        <w:rPr/>
        <w:t> 月内到期）、流动性强、易于转换为已知金额的现金、价值变动风险很小的投资。</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8</w:t>
      </w:r>
      <w:r>
        <w:rPr/>
        <w:t>、外币业务和外币报表折算</w:t>
      </w:r>
      <w:r>
        <w:rPr>
          <w:b w:val="0"/>
          <w:bCs w:val="0"/>
        </w:rPr>
      </w:r>
    </w:p>
    <w:p>
      <w:pPr>
        <w:pStyle w:val="BodyText"/>
        <w:spacing w:line="510" w:lineRule="atLeast" w:before="86"/>
        <w:ind w:left="513" w:right="0"/>
        <w:jc w:val="left"/>
      </w:pPr>
      <w:r>
        <w:rPr/>
        <w:t>（</w:t>
      </w:r>
      <w:r>
        <w:rPr>
          <w:rFonts w:ascii="Times New Roman" w:hAnsi="Times New Roman" w:cs="Times New Roman" w:eastAsia="Times New Roman" w:hint="default"/>
        </w:rPr>
        <w:t>1</w:t>
      </w:r>
      <w:r>
        <w:rPr/>
        <w:t>）外币交易的折算方法 </w:t>
      </w:r>
      <w:r>
        <w:rPr>
          <w:spacing w:val="-4"/>
        </w:rPr>
        <w:t>本公司发生的外币交易在初始确认时，按交易日的即期汇率（通常指中国人民银行公布的当日外汇牌价的中间价，下同）</w:t>
      </w:r>
    </w:p>
    <w:p>
      <w:pPr>
        <w:pStyle w:val="BodyText"/>
        <w:spacing w:line="316" w:lineRule="auto" w:before="76"/>
        <w:ind w:left="153" w:right="1117"/>
        <w:jc w:val="left"/>
      </w:pPr>
      <w:r>
        <w:rPr>
          <w:spacing w:val="-2"/>
        </w:rPr>
        <w:t>折算为记账本位币金额，但公司发生的外币兑换业务或涉及外币兑换的交易事项，按照实际采用的汇率折算为记账本位币金</w:t>
      </w:r>
      <w:r>
        <w:rPr>
          <w:spacing w:val="-64"/>
        </w:rPr>
        <w:t> </w:t>
      </w:r>
      <w:r>
        <w:rPr>
          <w:spacing w:val="-64"/>
        </w:rPr>
      </w:r>
      <w:r>
        <w:rPr/>
        <w:t>额。</w:t>
      </w:r>
    </w:p>
    <w:p>
      <w:pPr>
        <w:pStyle w:val="BodyText"/>
        <w:spacing w:line="528" w:lineRule="exact" w:before="22"/>
        <w:ind w:left="513" w:right="0"/>
        <w:jc w:val="left"/>
      </w:pPr>
      <w:r>
        <w:rPr/>
        <w:t>（</w:t>
      </w:r>
      <w:r>
        <w:rPr>
          <w:rFonts w:ascii="Times New Roman" w:hAnsi="Times New Roman" w:cs="Times New Roman" w:eastAsia="Times New Roman" w:hint="default"/>
        </w:rPr>
        <w:t>2</w:t>
      </w:r>
      <w:r>
        <w:rPr/>
        <w:t>）对于外币货币性项目和外币非货币性项目的折算方法 </w:t>
      </w:r>
      <w:r>
        <w:rPr>
          <w:spacing w:val="-2"/>
        </w:rPr>
        <w:t>资产负债表日，对于外币货币性项目采用资产负债表日即期汇率折算，由此产生的汇兑差额，除：①属于与购建符合资</w:t>
      </w:r>
    </w:p>
    <w:p>
      <w:pPr>
        <w:pStyle w:val="BodyText"/>
        <w:spacing w:line="316" w:lineRule="auto"/>
        <w:ind w:left="153" w:right="0"/>
        <w:jc w:val="left"/>
      </w:pPr>
      <w:r>
        <w:rPr>
          <w:spacing w:val="-2"/>
        </w:rPr>
        <w:t>本化条件的资产相关的外币专门借款产生的汇兑差额按照借款费用资本化的原则处理；②可供出售的外币货币性项目除摊余</w:t>
      </w:r>
      <w:r>
        <w:rPr>
          <w:spacing w:val="-64"/>
        </w:rPr>
        <w:t> </w:t>
      </w:r>
      <w:r>
        <w:rPr>
          <w:spacing w:val="-64"/>
        </w:rPr>
      </w:r>
      <w:r>
        <w:rPr/>
        <w:t>成本之外的其他账面余额变动产生的汇兑差额计入其他综合收益之外，均计入当期损益。</w:t>
      </w:r>
    </w:p>
    <w:p>
      <w:pPr>
        <w:spacing w:line="240" w:lineRule="auto" w:before="12"/>
        <w:rPr>
          <w:rFonts w:ascii="宋体" w:hAnsi="宋体" w:cs="宋体" w:eastAsia="宋体" w:hint="default"/>
          <w:sz w:val="17"/>
          <w:szCs w:val="17"/>
        </w:rPr>
      </w:pPr>
    </w:p>
    <w:p>
      <w:pPr>
        <w:pStyle w:val="BodyText"/>
        <w:spacing w:line="316" w:lineRule="auto"/>
        <w:ind w:left="153" w:right="1130" w:firstLine="360"/>
        <w:jc w:val="both"/>
      </w:pPr>
      <w:r>
        <w:rPr>
          <w:spacing w:val="-2"/>
        </w:rPr>
        <w:t>以历史成本计量的外币非货币性项目，仍采用交易发生日的即期汇率折算的记账本位币金额计量。以公允价值计量的外</w:t>
      </w:r>
      <w:r>
        <w:rPr/>
        <w:t> </w:t>
      </w:r>
      <w:r>
        <w:rPr>
          <w:spacing w:val="-2"/>
        </w:rPr>
        <w:t>币非货币性项目，采用公允价值确定日的即期汇率折算，折算后的记账本位币金额与原记账本位币金额的差额，作为公允价</w:t>
      </w:r>
      <w:r>
        <w:rPr>
          <w:spacing w:val="-66"/>
        </w:rPr>
        <w:t> </w:t>
      </w:r>
      <w:r>
        <w:rPr>
          <w:spacing w:val="-66"/>
        </w:rPr>
      </w:r>
      <w:r>
        <w:rPr/>
        <w:t>值变动（含汇率变动）处理，计入当期损益或确认为其他综合收益。</w:t>
      </w:r>
    </w:p>
    <w:p>
      <w:pPr>
        <w:pStyle w:val="BodyText"/>
        <w:spacing w:line="528" w:lineRule="exact" w:before="22"/>
        <w:ind w:left="513" w:right="0"/>
        <w:jc w:val="left"/>
      </w:pPr>
      <w:r>
        <w:rPr/>
        <w:t>（</w:t>
      </w:r>
      <w:r>
        <w:rPr>
          <w:rFonts w:ascii="Times New Roman" w:hAnsi="Times New Roman" w:cs="Times New Roman" w:eastAsia="Times New Roman" w:hint="default"/>
        </w:rPr>
        <w:t>3</w:t>
      </w:r>
      <w:r>
        <w:rPr/>
        <w:t>）外币财务报表的折算方法 </w:t>
      </w:r>
      <w:r>
        <w:rPr>
          <w:spacing w:val="-2"/>
        </w:rPr>
        <w:t>编制合并财务报表涉及境外经营的，如有实质上构成对境外经营净投资的外币货币性项目，因汇率变动而产生的汇兑差</w:t>
      </w:r>
    </w:p>
    <w:p>
      <w:pPr>
        <w:pStyle w:val="BodyText"/>
        <w:spacing w:line="245" w:lineRule="exact"/>
        <w:ind w:left="153" w:right="0"/>
        <w:jc w:val="left"/>
      </w:pPr>
      <w:r>
        <w:rPr/>
        <w:t>额，作为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确认为其他综合收益；处置境外经营时，计入处置当期损益。</w:t>
      </w:r>
    </w:p>
    <w:p>
      <w:pPr>
        <w:spacing w:line="240" w:lineRule="auto" w:before="4"/>
        <w:rPr>
          <w:rFonts w:ascii="宋体" w:hAnsi="宋体" w:cs="宋体" w:eastAsia="宋体" w:hint="default"/>
          <w:sz w:val="21"/>
          <w:szCs w:val="21"/>
        </w:rPr>
      </w:pPr>
    </w:p>
    <w:p>
      <w:pPr>
        <w:pStyle w:val="BodyText"/>
        <w:spacing w:line="314" w:lineRule="auto"/>
        <w:ind w:right="1129" w:firstLine="360"/>
        <w:jc w:val="both"/>
      </w:pPr>
      <w:r>
        <w:rPr>
          <w:spacing w:val="-2"/>
        </w:rPr>
        <w:t>境外经营的外币财务报表按以下方法折算为人民币报表：资产负债表中的资产和负债项目，采用资产负债表日的即期汇</w:t>
      </w:r>
      <w:r>
        <w:rPr/>
        <w:t> </w:t>
      </w:r>
      <w:r>
        <w:rPr>
          <w:spacing w:val="-2"/>
        </w:rPr>
        <w:t>率折算；股东权益类项目除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项目外，其他项目采用发生时的即期汇率折算。利润表中的收入和费用项目，采用</w:t>
      </w:r>
      <w:r>
        <w:rPr>
          <w:spacing w:val="-44"/>
        </w:rPr>
        <w:t> </w:t>
      </w:r>
      <w:r>
        <w:rPr>
          <w:spacing w:val="-44"/>
        </w:rPr>
      </w:r>
      <w:r>
        <w:rPr>
          <w:spacing w:val="-2"/>
        </w:rPr>
        <w:t>交易发生日的即期汇率折算。年初未分配利润为上一年折算后的年末未分配利润；年末未分配利润按折算后的利润分配各项</w:t>
      </w:r>
      <w:r>
        <w:rPr>
          <w:spacing w:val="-64"/>
        </w:rPr>
        <w:t> </w:t>
      </w:r>
      <w:r>
        <w:rPr>
          <w:spacing w:val="-64"/>
        </w:rPr>
      </w:r>
      <w:r>
        <w:rPr>
          <w:spacing w:val="-2"/>
        </w:rPr>
        <w:t>目计算列示；折算后资产类项目与负债类项目和股东权益类项目合计数的差额，作为外币报表折算差额，确认为其他综合收</w:t>
      </w:r>
      <w:r>
        <w:rPr>
          <w:spacing w:val="-66"/>
        </w:rPr>
        <w:t> </w:t>
      </w:r>
      <w:r>
        <w:rPr>
          <w:spacing w:val="-66"/>
        </w:rPr>
      </w:r>
      <w:r>
        <w:rPr>
          <w:spacing w:val="-2"/>
        </w:rPr>
        <w:t>益。处置境外经营并丧失控制权时，将资产负债表中股东权益项目下列示的、与该境外经营相关的外币报表折算差额，全部</w:t>
      </w:r>
      <w:r>
        <w:rPr>
          <w:spacing w:val="-66"/>
        </w:rPr>
        <w:t> </w:t>
      </w:r>
      <w:r>
        <w:rPr>
          <w:spacing w:val="-66"/>
        </w:rPr>
      </w:r>
      <w:r>
        <w:rPr/>
        <w:t>或按处置该境外经营的比例转入处置当期损益。</w:t>
      </w:r>
    </w:p>
    <w:p>
      <w:pPr>
        <w:spacing w:line="240" w:lineRule="auto" w:before="1"/>
        <w:rPr>
          <w:rFonts w:ascii="宋体" w:hAnsi="宋体" w:cs="宋体" w:eastAsia="宋体" w:hint="default"/>
          <w:sz w:val="18"/>
          <w:szCs w:val="18"/>
        </w:rPr>
      </w:pPr>
    </w:p>
    <w:p>
      <w:pPr>
        <w:pStyle w:val="BodyText"/>
        <w:spacing w:line="316" w:lineRule="auto"/>
        <w:ind w:right="1131" w:firstLine="360"/>
        <w:jc w:val="both"/>
      </w:pPr>
      <w:r>
        <w:rPr>
          <w:spacing w:val="-2"/>
        </w:rPr>
        <w:t>外币现金流量以及境外子公司的现金流量，采用现金流量发生日的即期汇率折算。汇率变动对现金的影响额作为调节项</w:t>
      </w:r>
      <w:r>
        <w:rPr/>
        <w:t> 目，在现金流量表中单独列报。</w:t>
      </w:r>
    </w:p>
    <w:p>
      <w:pPr>
        <w:spacing w:after="0" w:line="316" w:lineRule="auto"/>
        <w:jc w:val="both"/>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13" w:right="0"/>
        <w:jc w:val="left"/>
      </w:pPr>
      <w:r>
        <w:rPr/>
        <w:t>年初数和上年实际数按照上年财务报表折算后的数额列示。</w:t>
      </w:r>
    </w:p>
    <w:p>
      <w:pPr>
        <w:spacing w:line="240" w:lineRule="auto" w:before="5"/>
        <w:rPr>
          <w:rFonts w:ascii="宋体" w:hAnsi="宋体" w:cs="宋体" w:eastAsia="宋体" w:hint="default"/>
          <w:sz w:val="22"/>
          <w:szCs w:val="22"/>
        </w:rPr>
      </w:pPr>
    </w:p>
    <w:p>
      <w:pPr>
        <w:pStyle w:val="BodyText"/>
        <w:spacing w:line="316" w:lineRule="auto"/>
        <w:ind w:left="153" w:right="1031" w:firstLine="360"/>
        <w:jc w:val="left"/>
      </w:pPr>
      <w:r>
        <w:rPr>
          <w:spacing w:val="-2"/>
        </w:rPr>
        <w:t>在处置本公司在境外经营的全部所有者权益或因处置部分股权投资或其他原因丧失了对境外经营控制权时，将资产负债</w:t>
      </w:r>
      <w:r>
        <w:rPr/>
        <w:t> 表中股东权益项目下列示的、与该境外经营相关的归属于母公司所有者权益的外币报表折算差额，全部转入处置当期损益。</w:t>
      </w:r>
    </w:p>
    <w:p>
      <w:pPr>
        <w:spacing w:line="240" w:lineRule="auto" w:before="12"/>
        <w:rPr>
          <w:rFonts w:ascii="宋体" w:hAnsi="宋体" w:cs="宋体" w:eastAsia="宋体" w:hint="default"/>
          <w:sz w:val="17"/>
          <w:szCs w:val="17"/>
        </w:rPr>
      </w:pPr>
    </w:p>
    <w:p>
      <w:pPr>
        <w:pStyle w:val="BodyText"/>
        <w:spacing w:line="319" w:lineRule="auto"/>
        <w:ind w:left="153" w:right="1031" w:firstLine="360"/>
        <w:jc w:val="left"/>
      </w:pPr>
      <w:r>
        <w:rPr>
          <w:spacing w:val="-2"/>
        </w:rPr>
        <w:t>在处置部分股权投资或其他原因导致持有境外经营权益比例降低但不丧失对境外经营控制权时，与该境外经营处置部分</w:t>
      </w:r>
      <w:r>
        <w:rPr/>
        <w:t> 相关的外币报表折算差额将归属于少数股东权益，不转入当期损益。在处置境外经营为联营企业或合营企业的部分股权时， 与该境外经营相关的外币报表折算差额，按处置该境外经营的比例转入处置当期损益。</w:t>
      </w:r>
    </w:p>
    <w:p>
      <w:pPr>
        <w:spacing w:line="240" w:lineRule="auto" w:before="3"/>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53" w:right="0" w:firstLine="360"/>
        <w:jc w:val="left"/>
      </w:pPr>
      <w:r>
        <w:rPr>
          <w:spacing w:val="-4"/>
        </w:rPr>
        <w:t>金融工具，是指形成一方的金融资产并形成其他方的金融负债或权益工具的合同。当本公司成为金融工具合同的一方时，</w:t>
      </w:r>
      <w:r>
        <w:rPr/>
        <w:t> 确认相关的金融资产或金融负债。</w:t>
      </w:r>
    </w:p>
    <w:p>
      <w:pPr>
        <w:pStyle w:val="BodyText"/>
        <w:spacing w:line="316" w:lineRule="auto" w:before="139"/>
        <w:ind w:left="153" w:right="1129" w:firstLine="360"/>
        <w:jc w:val="both"/>
      </w:pPr>
      <w:r>
        <w:rPr>
          <w:spacing w:val="-2"/>
        </w:rPr>
        <w:t>金融资产和金融负债在初始确认时以公允价值计量：①对于以公允价值计量且其变动计入当期损益的金融资产和金融负</w:t>
      </w:r>
      <w:r>
        <w:rPr/>
        <w:t> </w:t>
      </w:r>
      <w:r>
        <w:rPr>
          <w:spacing w:val="-2"/>
        </w:rPr>
        <w:t>债，相关交易费用直接计入当期损益；②对于其他类别的金融资产和金融负债，相关交易费用计入初始确认金额。金融资产</w:t>
      </w:r>
      <w:r>
        <w:rPr>
          <w:spacing w:val="-66"/>
        </w:rPr>
        <w:t> </w:t>
      </w:r>
      <w:r>
        <w:rPr>
          <w:spacing w:val="-66"/>
        </w:rPr>
      </w:r>
      <w:r>
        <w:rPr/>
        <w:t>和金融负债的后续计量取决于其分类。</w:t>
      </w:r>
    </w:p>
    <w:p>
      <w:pPr>
        <w:pStyle w:val="BodyText"/>
        <w:spacing w:line="316" w:lineRule="auto" w:before="139"/>
        <w:ind w:left="153" w:right="0" w:firstLine="360"/>
        <w:jc w:val="left"/>
      </w:pPr>
      <w:r>
        <w:rPr>
          <w:spacing w:val="-4"/>
        </w:rPr>
        <w:t>金融资产或金融负债满足下列条件之一的，表明持有目的是交易性的：①取得相关金融资产或承担相关金融负债的目的，</w:t>
      </w:r>
      <w:r>
        <w:rPr/>
        <w:t> </w:t>
      </w:r>
      <w:r>
        <w:rPr>
          <w:spacing w:val="-2"/>
        </w:rPr>
        <w:t>主要是为了近期内出售或回购；②初始确认时属于集中管理的可辨认金融工具组合的一部分，且有客观证据表明近期实际存</w:t>
      </w:r>
      <w:r>
        <w:rPr>
          <w:spacing w:val="-64"/>
        </w:rPr>
        <w:t> </w:t>
      </w:r>
      <w:r>
        <w:rPr>
          <w:spacing w:val="-64"/>
        </w:rPr>
      </w:r>
      <w:r>
        <w:rPr/>
        <w:t>在短期获利模式；③属于衍生工具，但符合财务担保合同定义的衍生工具以及被指定为有效套期工具的衍生工具除外。</w:t>
      </w:r>
    </w:p>
    <w:p>
      <w:pPr>
        <w:pStyle w:val="BodyText"/>
        <w:spacing w:line="432" w:lineRule="exact" w:before="3"/>
        <w:ind w:left="514" w:right="1117"/>
        <w:jc w:val="left"/>
      </w:pPr>
      <w:r>
        <w:rPr/>
        <w:t>（</w:t>
      </w:r>
      <w:r>
        <w:rPr>
          <w:rFonts w:ascii="Times New Roman" w:hAnsi="Times New Roman" w:cs="Times New Roman" w:eastAsia="Times New Roman" w:hint="default"/>
        </w:rPr>
        <w:t>1</w:t>
      </w:r>
      <w:r>
        <w:rPr/>
        <w:t>）债务工具 </w:t>
      </w:r>
      <w:r>
        <w:rPr>
          <w:spacing w:val="-2"/>
        </w:rPr>
        <w:t>债务工具是指从发行方角度分析符合金融负债定义的工具。债务工具的分类和后续计量取决于本公司管理金融资产的业</w:t>
      </w:r>
    </w:p>
    <w:p>
      <w:pPr>
        <w:pStyle w:val="BodyText"/>
        <w:spacing w:line="316" w:lineRule="auto" w:before="15"/>
        <w:ind w:right="1131"/>
        <w:jc w:val="both"/>
      </w:pPr>
      <w:r>
        <w:rPr>
          <w:spacing w:val="-2"/>
        </w:rPr>
        <w:t>务模式，以及金融资产的合同现金流量特征。不能通过现金流量特征测试的，直接分类为以公允价值计量且其变动计入当期</w:t>
      </w:r>
      <w:r>
        <w:rPr>
          <w:spacing w:val="-66"/>
        </w:rPr>
        <w:t> </w:t>
      </w:r>
      <w:r>
        <w:rPr>
          <w:spacing w:val="-66"/>
        </w:rPr>
      </w:r>
      <w:r>
        <w:rPr>
          <w:spacing w:val="-2"/>
        </w:rPr>
        <w:t>损益的金融资产；能够通过现金流量特征测试的，其分类取决于管理金融资产的业务模式，以及是否将其指定为以公允价值</w:t>
      </w:r>
      <w:r>
        <w:rPr>
          <w:spacing w:val="-66"/>
        </w:rPr>
        <w:t> </w:t>
      </w:r>
      <w:r>
        <w:rPr>
          <w:spacing w:val="-66"/>
        </w:rPr>
      </w:r>
      <w:r>
        <w:rPr/>
        <w:t>计量且其变动计入当期损益的金融资产。</w:t>
      </w:r>
    </w:p>
    <w:p>
      <w:pPr>
        <w:pStyle w:val="BodyText"/>
        <w:spacing w:line="316" w:lineRule="auto" w:before="139"/>
        <w:ind w:right="1030" w:firstLine="360"/>
        <w:jc w:val="left"/>
      </w:pPr>
      <w:r>
        <w:rPr>
          <w:spacing w:val="-2"/>
        </w:rPr>
        <w:t>①以摊余成本计量。本公司管理此类金融资产的业务模式为以收取合同现金流量为目标，且此类金融资产的合同现金流</w:t>
      </w:r>
      <w:r>
        <w:rPr/>
        <w:t> </w:t>
      </w:r>
      <w:r>
        <w:rPr>
          <w:spacing w:val="-2"/>
        </w:rPr>
        <w:t>量特征与基本借贷安排相一致，即在特定日期产生的现金流量，仅为对本金和以未偿付本金金额为基础的利息的支付，同时</w:t>
      </w:r>
      <w:r>
        <w:rPr>
          <w:spacing w:val="-66"/>
        </w:rPr>
        <w:t> </w:t>
      </w:r>
      <w:r>
        <w:rPr>
          <w:spacing w:val="-66"/>
        </w:rPr>
      </w:r>
      <w:r>
        <w:rPr/>
        <w:t>并未指定此类金融资产为以公允价值计量且其变动计入当期损益。本公司对于此类金融资产按照实际利率法确认利息收入。 此类金融资产因终止确认产生的利得或损失以及因减值导致的损失直接计入当期损益。</w:t>
      </w:r>
    </w:p>
    <w:p>
      <w:pPr>
        <w:pStyle w:val="BodyText"/>
        <w:spacing w:line="316" w:lineRule="auto" w:before="139"/>
        <w:ind w:right="1131" w:firstLine="360"/>
        <w:jc w:val="both"/>
      </w:pPr>
      <w:r>
        <w:rPr>
          <w:spacing w:val="-2"/>
        </w:rPr>
        <w:t>②以公允价值计量且其变动计入其他综合收益。本公司管理此类金融资产的业务模式为既以收取合同现金流量为目标又</w:t>
      </w:r>
      <w:r>
        <w:rPr/>
        <w:t> </w:t>
      </w:r>
      <w:r>
        <w:rPr>
          <w:spacing w:val="-2"/>
        </w:rPr>
        <w:t>以出售为目标，且此类金融资产的合同现金流量特征与基本借贷安排相一致，即在特定日期产生的现金流量，仅为对本金和</w:t>
      </w:r>
      <w:r>
        <w:rPr>
          <w:spacing w:val="-66"/>
        </w:rPr>
        <w:t> </w:t>
      </w:r>
      <w:r>
        <w:rPr>
          <w:spacing w:val="-66"/>
        </w:rPr>
      </w:r>
      <w:r>
        <w:rPr>
          <w:spacing w:val="-2"/>
        </w:rPr>
        <w:t>以未偿付本金金额为基础的利息的支付，同时并未指定此类金融资产为以公允价值计量且其变动计入当期损益。此类金融资</w:t>
      </w:r>
      <w:r>
        <w:rPr>
          <w:spacing w:val="-64"/>
        </w:rPr>
        <w:t> </w:t>
      </w:r>
      <w:r>
        <w:rPr>
          <w:spacing w:val="-64"/>
        </w:rPr>
      </w:r>
      <w:r>
        <w:rPr>
          <w:spacing w:val="-2"/>
        </w:rPr>
        <w:t>产按照公允价值计量且其变动计入其他综合收益，但减值损失或利得、汇兑损益和按照实际利率法计算的利息收入计入当期</w:t>
      </w:r>
      <w:r>
        <w:rPr>
          <w:spacing w:val="-64"/>
        </w:rPr>
        <w:t> </w:t>
      </w:r>
      <w:r>
        <w:rPr>
          <w:spacing w:val="-64"/>
        </w:rPr>
      </w:r>
      <w:r>
        <w:rPr>
          <w:spacing w:val="-2"/>
        </w:rPr>
        <w:t>损益。此类金融资产终止确认时，累计计入其他综合收益的公允价值变动将结转计入当期损益。此类金融资产列示为其他债</w:t>
      </w:r>
      <w:r>
        <w:rPr>
          <w:spacing w:val="-66"/>
        </w:rPr>
        <w:t> </w:t>
      </w:r>
      <w:r>
        <w:rPr>
          <w:spacing w:val="-66"/>
        </w:rPr>
      </w:r>
      <w:r>
        <w:rPr/>
        <w:t>权投资。</w:t>
      </w:r>
    </w:p>
    <w:p>
      <w:pPr>
        <w:pStyle w:val="BodyText"/>
        <w:spacing w:line="316" w:lineRule="auto" w:before="139"/>
        <w:ind w:right="0" w:firstLine="360"/>
        <w:jc w:val="left"/>
      </w:pPr>
      <w:r>
        <w:rPr>
          <w:spacing w:val="-2"/>
        </w:rPr>
        <w:t>③以公允价值计量且其变动计入当期损益。本公司将持有的未划分为以摊余成本计量和以公允价值计量且其变动计入其</w:t>
      </w:r>
      <w:r>
        <w:rPr/>
        <w:t> </w:t>
      </w:r>
      <w:r>
        <w:rPr>
          <w:spacing w:val="-4"/>
        </w:rPr>
        <w:t>他综合收益的债务工具，以公允价值计量且其变动计入当期损益，分类为以公允价值计量且其变动计入当期损益的金融资产，</w:t>
      </w:r>
      <w:r>
        <w:rPr>
          <w:spacing w:val="-44"/>
        </w:rPr>
        <w:t> </w:t>
      </w:r>
      <w:r>
        <w:rPr>
          <w:spacing w:val="-44"/>
        </w:rPr>
      </w:r>
      <w:r>
        <w:rPr/>
        <w:t>列示为交易性金融资产或其他非流动金融资产。</w:t>
      </w:r>
    </w:p>
    <w:p>
      <w:pPr>
        <w:pStyle w:val="BodyText"/>
        <w:spacing w:line="432" w:lineRule="exact" w:before="3"/>
        <w:ind w:left="514" w:right="1117"/>
        <w:jc w:val="left"/>
      </w:pPr>
      <w:r>
        <w:rPr/>
        <w:t>（</w:t>
      </w:r>
      <w:r>
        <w:rPr>
          <w:rFonts w:ascii="Times New Roman" w:hAnsi="Times New Roman" w:cs="Times New Roman" w:eastAsia="Times New Roman" w:hint="default"/>
        </w:rPr>
        <w:t>2</w:t>
      </w:r>
      <w:r>
        <w:rPr/>
        <w:t>）权益工具 </w:t>
      </w:r>
      <w:r>
        <w:rPr>
          <w:spacing w:val="-2"/>
        </w:rPr>
        <w:t>权益工具是指从发行方角度分析符合权益工具定义的工具。权益工具投资以公允价值计量且其变动计入当期损益，列示</w:t>
      </w:r>
    </w:p>
    <w:p>
      <w:pPr>
        <w:pStyle w:val="BodyText"/>
        <w:spacing w:line="316" w:lineRule="auto" w:before="15"/>
        <w:ind w:right="1129"/>
        <w:jc w:val="both"/>
      </w:pPr>
      <w:r>
        <w:rPr>
          <w:spacing w:val="-2"/>
        </w:rPr>
        <w:t>为交易性金融资产，但本公司管理层指定为以公允价值计量且其变动计入其他综合收益除外。指定为以公允价值计量且其变</w:t>
      </w:r>
      <w:r>
        <w:rPr>
          <w:spacing w:val="-64"/>
        </w:rPr>
        <w:t> </w:t>
      </w:r>
      <w:r>
        <w:rPr>
          <w:spacing w:val="-64"/>
        </w:rPr>
      </w:r>
      <w:r>
        <w:rPr>
          <w:spacing w:val="-2"/>
        </w:rPr>
        <w:t>动计入综合收益的，列示为其他权益工具投资，相关公允价值变动不得结转至当期损益，且该指定一经作出不得撤销。相关</w:t>
      </w:r>
      <w:r>
        <w:rPr>
          <w:spacing w:val="-66"/>
        </w:rPr>
        <w:t> </w:t>
      </w:r>
      <w:r>
        <w:rPr>
          <w:spacing w:val="-66"/>
        </w:rPr>
      </w:r>
      <w:r>
        <w:rPr>
          <w:spacing w:val="-2"/>
        </w:rPr>
        <w:t>股利收入计入当期损益。其他权益工具投资不计提减值准备，终止确认时，之前计入其他综合收益的累计利得或损失从其他</w:t>
      </w:r>
    </w:p>
    <w:p>
      <w:pPr>
        <w:spacing w:after="0" w:line="316" w:lineRule="auto"/>
        <w:jc w:val="both"/>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153" w:right="0"/>
        <w:jc w:val="both"/>
      </w:pPr>
      <w:r>
        <w:rPr/>
        <w:t>综合收益转出，计入留存收益。</w:t>
      </w:r>
    </w:p>
    <w:p>
      <w:pPr>
        <w:spacing w:line="240" w:lineRule="auto" w:before="0"/>
        <w:rPr>
          <w:rFonts w:ascii="宋体" w:hAnsi="宋体" w:cs="宋体" w:eastAsia="宋体" w:hint="default"/>
          <w:sz w:val="15"/>
          <w:szCs w:val="15"/>
        </w:rPr>
      </w:pPr>
    </w:p>
    <w:p>
      <w:pPr>
        <w:pStyle w:val="BodyText"/>
        <w:spacing w:line="415" w:lineRule="auto"/>
        <w:ind w:left="513" w:right="2651"/>
        <w:jc w:val="left"/>
      </w:pPr>
      <w:r>
        <w:rPr/>
        <w:t>（</w:t>
      </w:r>
      <w:r>
        <w:rPr>
          <w:rFonts w:ascii="Times New Roman" w:hAnsi="Times New Roman" w:cs="Times New Roman" w:eastAsia="Times New Roman" w:hint="default"/>
        </w:rPr>
        <w:t>3</w:t>
      </w:r>
      <w:r>
        <w:rPr/>
        <w:t>）金融负债 金融负债于初始确认时分类为以公允价值计量且其变动计入当期损益的金融负债及其他金融负债。</w:t>
      </w:r>
    </w:p>
    <w:p>
      <w:pPr>
        <w:pStyle w:val="BodyText"/>
        <w:spacing w:line="316" w:lineRule="auto" w:before="65"/>
        <w:ind w:left="153" w:right="1048" w:firstLine="360"/>
        <w:jc w:val="both"/>
      </w:pPr>
      <w:r>
        <w:rPr>
          <w:spacing w:val="-2"/>
        </w:rPr>
        <w:t>以公允价值计量且其变动计入当期损益的金融负债，包括交易性金融负债和指定为以公允价值计量且其变动计入当期损</w:t>
      </w:r>
      <w:r>
        <w:rPr/>
        <w:t> 益的金融负债。满足以下条件之一时，金融负债可在初始计量时指定为以公允价值计量且其变动计入当期损益的金融负债：</w:t>
      </w:r>
    </w:p>
    <w:p>
      <w:pPr>
        <w:pStyle w:val="BodyText"/>
        <w:spacing w:line="316" w:lineRule="auto" w:before="19"/>
        <w:ind w:left="153" w:right="1130"/>
        <w:jc w:val="both"/>
      </w:pPr>
      <w:r>
        <w:rPr>
          <w:spacing w:val="-2"/>
        </w:rPr>
        <w:t>①该项指定能够消除或显著减少会计错配；②根据正式书面文件载明的风险管理或投资策略，以公允价值为基础对金融负债</w:t>
      </w:r>
      <w:r>
        <w:rPr>
          <w:spacing w:val="-64"/>
        </w:rPr>
        <w:t> </w:t>
      </w:r>
      <w:r>
        <w:rPr>
          <w:spacing w:val="-64"/>
        </w:rPr>
      </w:r>
      <w:r>
        <w:rPr>
          <w:spacing w:val="-2"/>
        </w:rPr>
        <w:t>组合或金融资产和金融负债组合进行管理和业绩评价，并在公司内部以此为基础向关键管理人员报告。该指定一经作出，不</w:t>
      </w:r>
      <w:r>
        <w:rPr>
          <w:spacing w:val="-66"/>
        </w:rPr>
        <w:t> </w:t>
      </w:r>
      <w:r>
        <w:rPr>
          <w:spacing w:val="-66"/>
        </w:rPr>
      </w:r>
      <w:r>
        <w:rPr/>
        <w:t>得撤销。</w:t>
      </w:r>
    </w:p>
    <w:p>
      <w:pPr>
        <w:pStyle w:val="BodyText"/>
        <w:spacing w:line="316" w:lineRule="auto" w:before="139"/>
        <w:ind w:left="153" w:right="1131" w:firstLine="360"/>
        <w:jc w:val="both"/>
      </w:pPr>
      <w:r>
        <w:rPr>
          <w:spacing w:val="-2"/>
        </w:rPr>
        <w:t>指定为以公允价值计量且变动计入当期损益的金融负债，由公司自身信用风险变动引起的公允价值的变动金额，计入其</w:t>
      </w:r>
      <w:r>
        <w:rPr/>
        <w:t> </w:t>
      </w:r>
      <w:r>
        <w:rPr>
          <w:spacing w:val="-2"/>
        </w:rPr>
        <w:t>他综合收益；其他公允价值变动，计入当期损益。该金融负债终止确认时，之前计入其他综合收益的累计利得或损失从其他</w:t>
      </w:r>
      <w:r>
        <w:rPr>
          <w:spacing w:val="-66"/>
        </w:rPr>
        <w:t> </w:t>
      </w:r>
      <w:r>
        <w:rPr>
          <w:spacing w:val="-66"/>
        </w:rPr>
      </w:r>
      <w:r>
        <w:rPr/>
        <w:t>综合收益转出，计入留存收益。</w:t>
      </w:r>
    </w:p>
    <w:p>
      <w:pPr>
        <w:pStyle w:val="BodyText"/>
        <w:spacing w:line="316" w:lineRule="auto" w:before="139"/>
        <w:ind w:left="153" w:right="1048" w:firstLine="360"/>
        <w:jc w:val="both"/>
      </w:pPr>
      <w:r>
        <w:rPr/>
        <w:t>本公司其他金融负债主要包括短期借款、长期借款、长期应付款、应付债券等。对于此类金融负债，采用实际利率法， 按照摊余成本进行后续计量。</w:t>
      </w:r>
    </w:p>
    <w:p>
      <w:pPr>
        <w:pStyle w:val="BodyText"/>
        <w:spacing w:line="415" w:lineRule="auto" w:before="139"/>
        <w:ind w:left="513" w:right="6611"/>
        <w:jc w:val="left"/>
      </w:pPr>
      <w:r>
        <w:rPr/>
        <w:t>（</w:t>
      </w:r>
      <w:r>
        <w:rPr>
          <w:rFonts w:ascii="Times New Roman" w:hAnsi="Times New Roman" w:cs="Times New Roman" w:eastAsia="Times New Roman" w:hint="default"/>
        </w:rPr>
        <w:t>4</w:t>
      </w:r>
      <w:r>
        <w:rPr/>
        <w:t>）金融资产和金融负债的终止确认 金融资产满足下列条件之一的，予以终止确认：</w:t>
      </w:r>
    </w:p>
    <w:p>
      <w:pPr>
        <w:pStyle w:val="BodyText"/>
        <w:spacing w:line="240" w:lineRule="auto" w:before="65"/>
        <w:ind w:left="513" w:right="0"/>
        <w:jc w:val="left"/>
      </w:pPr>
      <w:r>
        <w:rPr/>
        <w:t>①收取该金融资产现金流量的合同权利终止；</w:t>
      </w:r>
    </w:p>
    <w:p>
      <w:pPr>
        <w:spacing w:line="240" w:lineRule="auto" w:before="0"/>
        <w:rPr>
          <w:rFonts w:ascii="宋体" w:hAnsi="宋体" w:cs="宋体" w:eastAsia="宋体" w:hint="default"/>
          <w:sz w:val="15"/>
          <w:szCs w:val="15"/>
        </w:rPr>
      </w:pPr>
    </w:p>
    <w:p>
      <w:pPr>
        <w:pStyle w:val="BodyText"/>
        <w:spacing w:line="240" w:lineRule="auto"/>
        <w:ind w:left="513" w:right="0"/>
        <w:jc w:val="left"/>
      </w:pPr>
      <w:r>
        <w:rPr/>
        <w:t>②该金融资产已转移，且本公司将金融资产所有权上几乎所有的风险和报酬转移给转入方；</w:t>
      </w:r>
    </w:p>
    <w:p>
      <w:pPr>
        <w:spacing w:line="240" w:lineRule="auto" w:before="0"/>
        <w:rPr>
          <w:rFonts w:ascii="宋体" w:hAnsi="宋体" w:cs="宋体" w:eastAsia="宋体" w:hint="default"/>
          <w:sz w:val="15"/>
          <w:szCs w:val="15"/>
        </w:rPr>
      </w:pPr>
    </w:p>
    <w:p>
      <w:pPr>
        <w:pStyle w:val="BodyText"/>
        <w:spacing w:line="316" w:lineRule="auto"/>
        <w:ind w:left="153" w:right="1130" w:firstLine="360"/>
        <w:jc w:val="both"/>
      </w:pPr>
      <w:r>
        <w:rPr>
          <w:spacing w:val="-2"/>
        </w:rPr>
        <w:t>③该金融资产已转移，虽然本公司既没有转移也没有保留金融资产所有权上几乎所有的风险和报酬，但是放弃了对该金</w:t>
      </w:r>
      <w:r>
        <w:rPr/>
        <w:t> 融资产的控制。</w:t>
      </w:r>
    </w:p>
    <w:p>
      <w:pPr>
        <w:pStyle w:val="BodyText"/>
        <w:spacing w:line="240" w:lineRule="auto" w:before="139"/>
        <w:ind w:left="513" w:right="0"/>
        <w:jc w:val="left"/>
      </w:pPr>
      <w:r>
        <w:rPr/>
        <w:t>金融负债（或其一部分）的现时义务已经解除的，本公司终止确认该金融负债（或该部分金融负债）。</w:t>
      </w:r>
    </w:p>
    <w:p>
      <w:pPr>
        <w:pStyle w:val="BodyText"/>
        <w:spacing w:line="420" w:lineRule="atLeast" w:before="25"/>
        <w:ind w:left="513" w:right="0"/>
        <w:jc w:val="left"/>
      </w:pPr>
      <w:r>
        <w:rPr/>
        <w:t>（</w:t>
      </w:r>
      <w:r>
        <w:rPr>
          <w:rFonts w:ascii="Times New Roman" w:hAnsi="Times New Roman" w:cs="Times New Roman" w:eastAsia="Times New Roman" w:hint="default"/>
        </w:rPr>
        <w:t>5</w:t>
      </w:r>
      <w:r>
        <w:rPr/>
        <w:t>）金融工具的减值 </w:t>
      </w:r>
      <w:r>
        <w:rPr>
          <w:spacing w:val="-2"/>
        </w:rPr>
        <w:t>本公司以预期信用损失为基础进行金融工具减值会计处理并确认损失准备。预期信用损失，是指以发生违约的风险为权</w:t>
      </w:r>
    </w:p>
    <w:p>
      <w:pPr>
        <w:pStyle w:val="BodyText"/>
        <w:spacing w:line="316" w:lineRule="auto" w:before="76"/>
        <w:ind w:left="153" w:right="1131"/>
        <w:jc w:val="both"/>
      </w:pPr>
      <w:r>
        <w:rPr>
          <w:spacing w:val="-2"/>
        </w:rPr>
        <w:t>重的金融工具信用损失的加权平均值。信用损失，是指按照原实际利率折现的、根据合同应收的所有合同现金流量与预期收</w:t>
      </w:r>
      <w:r>
        <w:rPr>
          <w:spacing w:val="-66"/>
        </w:rPr>
        <w:t> </w:t>
      </w:r>
      <w:r>
        <w:rPr>
          <w:spacing w:val="-66"/>
        </w:rPr>
      </w:r>
      <w:r>
        <w:rPr/>
        <w:t>取的所有现金流量之间的差额，即全部现金短缺的现值。</w:t>
      </w:r>
    </w:p>
    <w:p>
      <w:pPr>
        <w:pStyle w:val="BodyText"/>
        <w:spacing w:line="316" w:lineRule="auto" w:before="139"/>
        <w:ind w:left="153" w:right="1125" w:firstLine="360"/>
        <w:jc w:val="both"/>
      </w:pPr>
      <w:r>
        <w:rPr/>
        <w:t>本公司计量金融工具预期信用损失的方法反映的因素包括：通过评价一系列可能的结果而确定的无偏概率加权平均金</w:t>
      </w:r>
      <w:r>
        <w:rPr>
          <w:spacing w:val="2"/>
        </w:rPr>
        <w:t> </w:t>
      </w:r>
      <w:r>
        <w:rPr>
          <w:spacing w:val="-2"/>
        </w:rPr>
        <w:t>额；货币时间价值；在资产负债表日无须付出不必要的额外成本或努力即可获得的有关过去事项、当前状况以及未来经济状</w:t>
      </w:r>
      <w:r>
        <w:rPr>
          <w:spacing w:val="-66"/>
        </w:rPr>
        <w:t> </w:t>
      </w:r>
      <w:r>
        <w:rPr>
          <w:spacing w:val="-66"/>
        </w:rPr>
      </w:r>
      <w:r>
        <w:rPr/>
        <w:t>况预测的合理且有依据的信息。本公司按照下列方法确定相关金融工具的预期信用损失：</w:t>
      </w:r>
    </w:p>
    <w:p>
      <w:pPr>
        <w:pStyle w:val="BodyText"/>
        <w:spacing w:line="240" w:lineRule="auto" w:before="139"/>
        <w:ind w:left="513" w:right="0"/>
        <w:jc w:val="left"/>
      </w:pPr>
      <w:r>
        <w:rPr/>
        <w:t>①对于金融资产，信用损失为本公司应收取的合同现金流量与预期收取的现金流量之间差额的现值；</w:t>
      </w:r>
    </w:p>
    <w:p>
      <w:pPr>
        <w:spacing w:line="240" w:lineRule="auto" w:before="0"/>
        <w:rPr>
          <w:rFonts w:ascii="宋体" w:hAnsi="宋体" w:cs="宋体" w:eastAsia="宋体" w:hint="default"/>
          <w:sz w:val="15"/>
          <w:szCs w:val="15"/>
        </w:rPr>
      </w:pPr>
    </w:p>
    <w:p>
      <w:pPr>
        <w:pStyle w:val="BodyText"/>
        <w:spacing w:line="240" w:lineRule="auto"/>
        <w:ind w:left="513" w:right="0"/>
        <w:jc w:val="left"/>
      </w:pPr>
      <w:r>
        <w:rPr/>
        <w:t>②对于租赁应收款项，信用损失为本公司应收取的合同现金流量与预期收取的现金流量之间差额的现值；</w:t>
      </w:r>
    </w:p>
    <w:p>
      <w:pPr>
        <w:spacing w:line="240" w:lineRule="auto" w:before="0"/>
        <w:rPr>
          <w:rFonts w:ascii="宋体" w:hAnsi="宋体" w:cs="宋体" w:eastAsia="宋体" w:hint="default"/>
          <w:sz w:val="15"/>
          <w:szCs w:val="15"/>
        </w:rPr>
      </w:pPr>
    </w:p>
    <w:p>
      <w:pPr>
        <w:pStyle w:val="BodyText"/>
        <w:spacing w:line="316" w:lineRule="auto"/>
        <w:ind w:left="153" w:right="1130" w:firstLine="360"/>
        <w:jc w:val="both"/>
      </w:pPr>
      <w:r>
        <w:rPr>
          <w:spacing w:val="-2"/>
        </w:rPr>
        <w:t>③对于未提用的贷款承诺，信用损失为在贷款承诺持有人提用相应贷款的情况下，本公司应收取的合同现金流量与预期</w:t>
      </w:r>
      <w:r>
        <w:rPr/>
        <w:t> 收取的现金流量之间差额的现值。本公司对贷款承诺预期信用损失的估计，与其对该贷款承诺提用情况的预期保持一致；</w:t>
      </w:r>
    </w:p>
    <w:p>
      <w:pPr>
        <w:pStyle w:val="BodyText"/>
        <w:spacing w:line="316" w:lineRule="auto" w:before="139"/>
        <w:ind w:left="153" w:right="1130" w:firstLine="360"/>
        <w:jc w:val="both"/>
      </w:pPr>
      <w:r>
        <w:rPr>
          <w:spacing w:val="-2"/>
        </w:rPr>
        <w:t>④对于财务担保合同，信用损失为本公司就该合同持有人发生的信用损失向其做出赔付的预计付款额，减去本公司预期</w:t>
      </w:r>
      <w:r>
        <w:rPr/>
        <w:t> 向该合同持有人、债务人或任何其他方收取的金额之间差额的现值；</w:t>
      </w:r>
    </w:p>
    <w:p>
      <w:pPr>
        <w:pStyle w:val="BodyText"/>
        <w:spacing w:line="316" w:lineRule="auto" w:before="139"/>
        <w:ind w:left="153" w:right="1130" w:firstLine="360"/>
        <w:jc w:val="both"/>
      </w:pPr>
      <w:r>
        <w:rPr>
          <w:spacing w:val="-2"/>
        </w:rPr>
        <w:t>⑤对于资产负债表日已发生信用减值但并非购买或源生已发生信用减值的金融资产，信用损失为该金融资产账面余额与</w:t>
      </w:r>
      <w:r>
        <w:rPr/>
        <w:t> 按原实际利率折现的估计未来现金流量的现值之间的差额。</w:t>
      </w:r>
    </w:p>
    <w:p>
      <w:pPr>
        <w:pStyle w:val="BodyText"/>
        <w:spacing w:line="316" w:lineRule="auto" w:before="139"/>
        <w:ind w:left="153" w:right="1131" w:firstLine="360"/>
        <w:jc w:val="both"/>
      </w:pPr>
      <w:r>
        <w:rPr>
          <w:spacing w:val="-2"/>
        </w:rPr>
        <w:t>对于购买或源生的未发生信用减值的金融工具，每个资产负债表日，考虑合理且有依据的信息（包括前瞻性信息），评</w:t>
      </w:r>
      <w:r>
        <w:rPr/>
        <w:t> </w:t>
      </w:r>
      <w:r>
        <w:rPr>
          <w:spacing w:val="-2"/>
        </w:rPr>
        <w:t>估其信用风险自初始确认后是否显著增加，按照三阶段分别确认预期信用损失。信用风险自初始确认后未显著增加的，处于</w:t>
      </w:r>
    </w:p>
    <w:p>
      <w:pPr>
        <w:spacing w:after="0" w:line="316" w:lineRule="auto"/>
        <w:jc w:val="both"/>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12" w:lineRule="auto" w:before="44"/>
        <w:ind w:left="153" w:right="1131"/>
        <w:jc w:val="both"/>
      </w:pPr>
      <w:r>
        <w:rPr>
          <w:spacing w:val="-2"/>
        </w:rPr>
        <w:t>第一阶段，按照该金融工具未来</w:t>
      </w:r>
      <w:r>
        <w:rPr>
          <w:rFonts w:ascii="Times New Roman" w:hAnsi="Times New Roman" w:cs="Times New Roman" w:eastAsia="Times New Roman" w:hint="default"/>
          <w:spacing w:val="-2"/>
        </w:rPr>
        <w:t>12</w:t>
      </w:r>
      <w:r>
        <w:rPr>
          <w:spacing w:val="-2"/>
        </w:rPr>
        <w:t>个月内的预期信用损失计量损失准备；信用风险自初始确认后已显著增加但尚未发生信用</w:t>
      </w:r>
      <w:r>
        <w:rPr>
          <w:spacing w:val="-62"/>
        </w:rPr>
        <w:t> </w:t>
      </w:r>
      <w:r>
        <w:rPr>
          <w:spacing w:val="-62"/>
        </w:rPr>
      </w:r>
      <w:r>
        <w:rPr>
          <w:spacing w:val="-2"/>
        </w:rPr>
        <w:t>减值的，处于第二阶段，按照该金融工具整个存续期的预期信用损失计量损失准备；自初始确认后已经发生信用减值的，处</w:t>
      </w:r>
      <w:r>
        <w:rPr>
          <w:spacing w:val="-66"/>
        </w:rPr>
        <w:t> </w:t>
      </w:r>
      <w:r>
        <w:rPr>
          <w:spacing w:val="-66"/>
        </w:rPr>
      </w:r>
      <w:r>
        <w:rPr>
          <w:spacing w:val="-2"/>
        </w:rPr>
        <w:t>于第三阶段，按照该金融工具整个存续期的预期信用损失计量损失准备。处于第一阶段和第二阶段的金融工具，按照其账面</w:t>
      </w:r>
      <w:r>
        <w:rPr>
          <w:spacing w:val="-66"/>
        </w:rPr>
        <w:t> </w:t>
      </w:r>
      <w:r>
        <w:rPr>
          <w:spacing w:val="-66"/>
        </w:rPr>
      </w:r>
      <w:r>
        <w:rPr/>
        <w:t>余额和实际利率计算利息收入；处于第三阶段的金融工具，按照其摊余成本和实际利率计算确定利息收入。</w:t>
      </w:r>
    </w:p>
    <w:p>
      <w:pPr>
        <w:pStyle w:val="BodyText"/>
        <w:spacing w:line="316" w:lineRule="auto" w:before="142"/>
        <w:ind w:left="153" w:right="0" w:firstLine="360"/>
        <w:jc w:val="left"/>
      </w:pPr>
      <w:r>
        <w:rPr>
          <w:spacing w:val="-2"/>
        </w:rPr>
        <w:t>对于购买或源生的已发生信用减值的金融资产，在资产负债表日仅将自初始确认后整个存续期内预期信用损失的累计变</w:t>
      </w:r>
      <w:r>
        <w:rPr/>
        <w:t> 动确认为损失准备，其利息收入按照金融资产的摊余成本和经信用调整的实际利率计算确定。</w:t>
      </w:r>
    </w:p>
    <w:p>
      <w:pPr>
        <w:pStyle w:val="BodyText"/>
        <w:spacing w:line="316" w:lineRule="auto" w:before="139"/>
        <w:ind w:left="153" w:right="0" w:firstLine="360"/>
        <w:jc w:val="left"/>
      </w:pPr>
      <w:r>
        <w:rPr>
          <w:spacing w:val="-2"/>
        </w:rPr>
        <w:t>损失准备的增加或转回，作为减值损失或利得，计入当期损益。对于持有的以公允价值计量且其变动计入其他综合收益</w:t>
      </w:r>
      <w:r>
        <w:rPr/>
        <w:t> 的债务工具，减值损失或利得计入当期损益的同时调整其他综合收益。</w:t>
      </w:r>
    </w:p>
    <w:p>
      <w:pPr>
        <w:pStyle w:val="BodyText"/>
        <w:spacing w:line="432" w:lineRule="exact" w:before="3"/>
        <w:ind w:left="513" w:right="0"/>
        <w:jc w:val="left"/>
      </w:pPr>
      <w:r>
        <w:rPr/>
        <w:t>（</w:t>
      </w:r>
      <w:r>
        <w:rPr>
          <w:rFonts w:ascii="Times New Roman" w:hAnsi="Times New Roman" w:cs="Times New Roman" w:eastAsia="Times New Roman" w:hint="default"/>
        </w:rPr>
        <w:t>6</w:t>
      </w:r>
      <w:r>
        <w:rPr/>
        <w:t>）金融资产和金融负债的抵销 </w:t>
      </w:r>
      <w:r>
        <w:rPr>
          <w:spacing w:val="-2"/>
        </w:rPr>
        <w:t>当本公司具有抵销已确认金融资产和金融负债的法定权利，且目前可执行该种法定权利，同时本公司计划以净额结算或</w:t>
      </w:r>
    </w:p>
    <w:p>
      <w:pPr>
        <w:pStyle w:val="BodyText"/>
        <w:spacing w:line="316" w:lineRule="auto" w:before="15"/>
        <w:ind w:left="153" w:right="1131"/>
        <w:jc w:val="both"/>
      </w:pPr>
      <w:r>
        <w:rPr>
          <w:spacing w:val="-2"/>
        </w:rPr>
        <w:t>同时变现该金融资产和清偿该金融负债时，金融资产和金融负债以相互抵销后的金额在资产负债表内列示。除此以外，金融</w:t>
      </w:r>
      <w:r>
        <w:rPr>
          <w:spacing w:val="-66"/>
        </w:rPr>
        <w:t> </w:t>
      </w:r>
      <w:r>
        <w:rPr>
          <w:spacing w:val="-66"/>
        </w:rPr>
      </w:r>
      <w:r>
        <w:rPr/>
        <w:t>资产和金融负债在资产负债表内分别列示，不予相互抵销。</w:t>
      </w:r>
    </w:p>
    <w:p>
      <w:pPr>
        <w:pStyle w:val="BodyText"/>
        <w:spacing w:line="300" w:lineRule="auto" w:before="139"/>
        <w:ind w:left="513" w:right="0"/>
        <w:jc w:val="left"/>
      </w:pPr>
      <w:r>
        <w:rPr/>
        <w:t>（</w:t>
      </w:r>
      <w:r>
        <w:rPr>
          <w:rFonts w:ascii="Times New Roman" w:hAnsi="Times New Roman" w:cs="Times New Roman" w:eastAsia="Times New Roman" w:hint="default"/>
        </w:rPr>
        <w:t>7</w:t>
      </w:r>
      <w:r>
        <w:rPr/>
        <w:t>）金融工具的公允价值确定 </w:t>
      </w:r>
      <w:r>
        <w:rPr>
          <w:spacing w:val="-2"/>
        </w:rPr>
        <w:t>存在活跃市场的金融工具，以市场参与者在计量日发生的有序交易中，出售一项资产所能收到或者转移一项负债所需支</w:t>
      </w:r>
    </w:p>
    <w:p>
      <w:pPr>
        <w:pStyle w:val="BodyText"/>
        <w:spacing w:line="316" w:lineRule="auto" w:before="31"/>
        <w:ind w:left="153" w:right="1131"/>
        <w:jc w:val="both"/>
      </w:pPr>
      <w:r>
        <w:rPr>
          <w:spacing w:val="-2"/>
        </w:rPr>
        <w:t>付的价格确定其公允价值。不存在活跃市场的金融工具，采用估值技术确定其公允价值。在估值时，本公司采用在当前情况</w:t>
      </w:r>
      <w:r>
        <w:rPr>
          <w:spacing w:val="-66"/>
        </w:rPr>
        <w:t> </w:t>
      </w:r>
      <w:r>
        <w:rPr>
          <w:spacing w:val="-66"/>
        </w:rPr>
      </w:r>
      <w:r>
        <w:rPr>
          <w:spacing w:val="-2"/>
        </w:rPr>
        <w:t>下适用并且有足够可利用数据和其他信息支持的估值技术，选择与市场参与者在相关资产或负债的交易中所考虑的资产或负</w:t>
      </w:r>
      <w:r>
        <w:rPr>
          <w:spacing w:val="-64"/>
        </w:rPr>
        <w:t> </w:t>
      </w:r>
      <w:r>
        <w:rPr>
          <w:spacing w:val="-64"/>
        </w:rPr>
      </w:r>
      <w:r>
        <w:rPr>
          <w:spacing w:val="-2"/>
        </w:rPr>
        <w:t>债特征相一致的输入值，并尽可能优先使用相关可观察输入值。在相关可观察输入值无法取得或取得不切实可行时，使用不</w:t>
      </w:r>
      <w:r>
        <w:rPr>
          <w:spacing w:val="-66"/>
        </w:rPr>
        <w:t> </w:t>
      </w:r>
      <w:r>
        <w:rPr>
          <w:spacing w:val="-66"/>
        </w:rPr>
      </w:r>
      <w:r>
        <w:rPr/>
        <w:t>可观察输入值。</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10</w:t>
      </w:r>
      <w:r>
        <w:rPr/>
        <w:t>、应收票据</w:t>
      </w:r>
      <w:r>
        <w:rPr>
          <w:b w:val="0"/>
          <w:bCs w:val="0"/>
        </w:rPr>
      </w:r>
    </w:p>
    <w:p>
      <w:pPr>
        <w:pStyle w:val="BodyText"/>
        <w:spacing w:line="430" w:lineRule="atLeast" w:before="152"/>
        <w:ind w:left="513" w:right="0"/>
        <w:jc w:val="left"/>
      </w:pPr>
      <w:r>
        <w:rPr/>
        <w:t>对于应收票据，无论是否存在重大融资成分，本公司均按照整个存续期的预期信用损失计量损失准备。 </w:t>
      </w:r>
      <w:r>
        <w:rPr>
          <w:spacing w:val="-2"/>
        </w:rPr>
        <w:t>当单项应收票据无法以合理成本取得评估预期信用损失的信息时，本公司依据信用风险特征，将应收票据划分为若干组</w:t>
      </w:r>
    </w:p>
    <w:p>
      <w:pPr>
        <w:pStyle w:val="BodyText"/>
        <w:spacing w:line="240" w:lineRule="auto" w:before="76"/>
        <w:ind w:left="153" w:right="0"/>
        <w:jc w:val="both"/>
      </w:pPr>
      <w:r>
        <w:rPr/>
        <w:t>合，在组合基础上计算预期信用损失。</w:t>
      </w:r>
    </w:p>
    <w:p>
      <w:pPr>
        <w:spacing w:line="240" w:lineRule="auto" w:before="0"/>
        <w:rPr>
          <w:rFonts w:ascii="宋体" w:hAnsi="宋体" w:cs="宋体" w:eastAsia="宋体" w:hint="default"/>
          <w:sz w:val="15"/>
          <w:szCs w:val="15"/>
        </w:rPr>
      </w:pPr>
    </w:p>
    <w:p>
      <w:pPr>
        <w:pStyle w:val="BodyText"/>
        <w:spacing w:line="316" w:lineRule="auto"/>
        <w:ind w:left="153" w:right="0" w:firstLine="360"/>
        <w:jc w:val="left"/>
      </w:pPr>
      <w:r>
        <w:rPr>
          <w:spacing w:val="-2"/>
        </w:rPr>
        <w:t>对于划分为组合的应收票据，本公司参考历史信用损失经验，结合当前状况以及对未来经济状况的预测，通过违约风险</w:t>
      </w:r>
      <w:r>
        <w:rPr/>
        <w:t> 敞口和整个存续期预期信用损失率，该组合预期信用损失为</w:t>
      </w:r>
      <w:r>
        <w:rPr>
          <w:rFonts w:ascii="Times New Roman" w:hAnsi="Times New Roman" w:cs="Times New Roman" w:eastAsia="Times New Roman" w:hint="default"/>
        </w:rPr>
        <w:t>0%</w:t>
      </w:r>
      <w:r>
        <w:rPr/>
        <w:t>。确定组合的依据如下：</w:t>
      </w:r>
    </w:p>
    <w:tbl>
      <w:tblPr>
        <w:tblW w:w="0" w:type="auto"/>
        <w:jc w:val="left"/>
        <w:tblInd w:w="146" w:type="dxa"/>
        <w:tblLayout w:type="fixed"/>
        <w:tblCellMar>
          <w:top w:w="0" w:type="dxa"/>
          <w:left w:w="0" w:type="dxa"/>
          <w:bottom w:w="0" w:type="dxa"/>
          <w:right w:w="0" w:type="dxa"/>
        </w:tblCellMar>
        <w:tblLook w:val="01E0"/>
      </w:tblPr>
      <w:tblGrid>
        <w:gridCol w:w="3410"/>
        <w:gridCol w:w="6148"/>
      </w:tblGrid>
      <w:tr>
        <w:trPr>
          <w:trHeight w:val="427" w:hRule="exact"/>
        </w:trPr>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6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347" w:hRule="exact"/>
        </w:trPr>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6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以银行为承兑人划分组合</w:t>
            </w:r>
          </w:p>
        </w:tc>
      </w:tr>
      <w:tr>
        <w:trPr>
          <w:trHeight w:val="348" w:hRule="exact"/>
        </w:trPr>
        <w:tc>
          <w:tcPr>
            <w:tcW w:w="3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61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以公司为承兑人划分组合</w:t>
            </w:r>
          </w:p>
        </w:tc>
      </w:tr>
    </w:tbl>
    <w:p>
      <w:pPr>
        <w:spacing w:line="240" w:lineRule="auto" w:before="4"/>
        <w:rPr>
          <w:rFonts w:ascii="宋体" w:hAnsi="宋体" w:cs="宋体" w:eastAsia="宋体" w:hint="default"/>
          <w:sz w:val="18"/>
          <w:szCs w:val="18"/>
        </w:rPr>
      </w:pPr>
    </w:p>
    <w:p>
      <w:pPr>
        <w:pStyle w:val="Heading3"/>
        <w:spacing w:line="240" w:lineRule="auto" w:before="35"/>
        <w:ind w:right="0"/>
        <w:jc w:val="left"/>
        <w:rPr>
          <w:b w:val="0"/>
          <w:bCs w:val="0"/>
        </w:rPr>
      </w:pPr>
      <w:r>
        <w:rPr>
          <w:rFonts w:ascii="Times New Roman" w:hAnsi="Times New Roman" w:cs="Times New Roman" w:eastAsia="Times New Roman" w:hint="default"/>
        </w:rPr>
        <w:t>11</w:t>
      </w:r>
      <w:r>
        <w:rPr/>
        <w:t>、应收账款</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left="153" w:right="1128" w:firstLine="360"/>
        <w:jc w:val="both"/>
      </w:pPr>
      <w:r>
        <w:rPr/>
        <w:t>对于划分为组合</w:t>
      </w:r>
      <w:r>
        <w:rPr>
          <w:rFonts w:ascii="Times New Roman" w:hAnsi="Times New Roman" w:cs="Times New Roman" w:eastAsia="Times New Roman" w:hint="default"/>
        </w:rPr>
        <w:t>1</w:t>
      </w:r>
      <w:r>
        <w:rPr/>
        <w:t>的应收账款，本公司参考历史信用损失经验，结合当前状况以及对未来经济状况的预测，编制应收账 款账龄与整个存续期预期信用损失率对照表，计算预期信用损失。对于划分为组合</w:t>
      </w:r>
      <w:r>
        <w:rPr>
          <w:rFonts w:ascii="Times New Roman" w:hAnsi="Times New Roman" w:cs="Times New Roman" w:eastAsia="Times New Roman" w:hint="default"/>
        </w:rPr>
        <w:t>2</w:t>
      </w:r>
      <w:r>
        <w:rPr/>
        <w:t>的应收账款，本公司参考历史信用损失</w:t>
      </w:r>
      <w:r>
        <w:rPr>
          <w:spacing w:val="-84"/>
        </w:rPr>
        <w:t> </w:t>
      </w:r>
      <w:r>
        <w:rPr>
          <w:spacing w:val="-84"/>
        </w:rPr>
      </w:r>
      <w:r>
        <w:rPr>
          <w:spacing w:val="-2"/>
        </w:rPr>
        <w:t>经验，结合当前状况以及对未来经济状况的预测，编制应收账款账龄与整个存续期预期信用损失率对照表，计算预期信用损</w:t>
      </w:r>
      <w:r>
        <w:rPr>
          <w:spacing w:val="-66"/>
        </w:rPr>
        <w:t> </w:t>
      </w:r>
      <w:r>
        <w:rPr>
          <w:spacing w:val="-66"/>
        </w:rPr>
      </w:r>
      <w:r>
        <w:rPr/>
        <w:t>失。对于划分为组合</w:t>
      </w:r>
      <w:r>
        <w:rPr>
          <w:rFonts w:ascii="Times New Roman" w:hAnsi="Times New Roman" w:cs="Times New Roman" w:eastAsia="Times New Roman" w:hint="default"/>
        </w:rPr>
        <w:t>3</w:t>
      </w:r>
      <w:r>
        <w:rPr/>
        <w:t>的应收账款，本公司参考历史信用损失经验，结合当前状况以及对未来经济状况的预测，通过违约风</w:t>
      </w:r>
      <w:r>
        <w:rPr>
          <w:spacing w:val="-83"/>
        </w:rPr>
        <w:t> </w:t>
      </w:r>
      <w:r>
        <w:rPr>
          <w:spacing w:val="-83"/>
        </w:rPr>
      </w:r>
      <w:r>
        <w:rPr/>
        <w:t>险敞口和整个存续期预期信用损失率，该组合预期信用损失为</w:t>
      </w:r>
      <w:r>
        <w:rPr>
          <w:rFonts w:ascii="Times New Roman" w:hAnsi="Times New Roman" w:cs="Times New Roman" w:eastAsia="Times New Roman" w:hint="default"/>
        </w:rPr>
        <w:t>0%</w:t>
      </w:r>
      <w:r>
        <w:rPr/>
        <w:t>。确定应收账款组合的依据如下：</w:t>
      </w:r>
    </w:p>
    <w:tbl>
      <w:tblPr>
        <w:tblW w:w="0" w:type="auto"/>
        <w:jc w:val="left"/>
        <w:tblInd w:w="146" w:type="dxa"/>
        <w:tblLayout w:type="fixed"/>
        <w:tblCellMar>
          <w:top w:w="0" w:type="dxa"/>
          <w:left w:w="0" w:type="dxa"/>
          <w:bottom w:w="0" w:type="dxa"/>
          <w:right w:w="0" w:type="dxa"/>
        </w:tblCellMar>
        <w:tblLook w:val="01E0"/>
      </w:tblPr>
      <w:tblGrid>
        <w:gridCol w:w="3982"/>
        <w:gridCol w:w="5576"/>
      </w:tblGrid>
      <w:tr>
        <w:trPr>
          <w:trHeight w:val="427" w:hRule="exact"/>
        </w:trPr>
        <w:tc>
          <w:tcPr>
            <w:tcW w:w="3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426" w:hRule="exact"/>
        </w:trPr>
        <w:tc>
          <w:tcPr>
            <w:tcW w:w="3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应收账款组合</w:t>
            </w:r>
            <w:r>
              <w:rPr>
                <w:rFonts w:ascii="Times New Roman" w:hAnsi="Times New Roman" w:cs="Times New Roman" w:eastAsia="Times New Roman" w:hint="default"/>
                <w:sz w:val="18"/>
                <w:szCs w:val="18"/>
              </w:rPr>
              <w:t>1</w:t>
            </w:r>
          </w:p>
        </w:tc>
        <w:tc>
          <w:tcPr>
            <w:tcW w:w="5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纺织业务以应收款项的账龄为信用风险特征划分组合</w:t>
            </w:r>
          </w:p>
        </w:tc>
      </w:tr>
      <w:tr>
        <w:trPr>
          <w:trHeight w:val="428" w:hRule="exact"/>
        </w:trPr>
        <w:tc>
          <w:tcPr>
            <w:tcW w:w="3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应收账款组合</w:t>
            </w:r>
            <w:r>
              <w:rPr>
                <w:rFonts w:ascii="Times New Roman" w:hAnsi="Times New Roman" w:cs="Times New Roman" w:eastAsia="Times New Roman" w:hint="default"/>
                <w:sz w:val="18"/>
                <w:szCs w:val="18"/>
              </w:rPr>
              <w:t>2</w:t>
            </w:r>
          </w:p>
        </w:tc>
        <w:tc>
          <w:tcPr>
            <w:tcW w:w="55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软件业务以应收款项的账龄为信用风险特征划分组合</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12"/>
        <w:rPr>
          <w:rFonts w:ascii="宋体" w:hAnsi="宋体" w:cs="宋体" w:eastAsia="宋体" w:hint="default"/>
          <w:sz w:val="27"/>
          <w:szCs w:val="27"/>
        </w:rPr>
      </w:pPr>
    </w:p>
    <w:p>
      <w:pPr>
        <w:spacing w:line="456" w:lineRule="exact"/>
        <w:ind w:left="139"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79pt;height:22.8pt;mso-position-horizontal-relative:char;mso-position-vertical-relative:line" coordorigin="0,0" coordsize="9580,456">
            <v:group style="position:absolute;left:7;top:14;width:3982;height:2" coordorigin="7,14" coordsize="3982,2">
              <v:shape style="position:absolute;left:7;top:14;width:3982;height:2" coordorigin="7,14" coordsize="3982,0" path="m7,14l3989,14e" filled="false" stroked="true" strokeweight=".72003pt" strokecolor="#000000">
                <v:path arrowok="t"/>
              </v:shape>
            </v:group>
            <v:group style="position:absolute;left:4003;top:14;width:5562;height:2" coordorigin="4003,14" coordsize="5562,2">
              <v:shape style="position:absolute;left:4003;top:14;width:5562;height:2" coordorigin="4003,14" coordsize="5562,0" path="m4003,14l9565,14e" filled="false" stroked="true" strokeweight=".72003pt" strokecolor="#000000">
                <v:path arrowok="t"/>
              </v:shape>
            </v:group>
            <v:group style="position:absolute;left:14;top:7;width:2;height:442" coordorigin="14,7" coordsize="2,442">
              <v:shape style="position:absolute;left:14;top:7;width:2;height:442" coordorigin="14,7" coordsize="0,442" path="m14,7l14,449e" filled="false" stroked="true" strokeweight=".72pt" strokecolor="#000000">
                <v:path arrowok="t"/>
              </v:shape>
            </v:group>
            <v:group style="position:absolute;left:7;top:442;width:3982;height:2" coordorigin="7,442" coordsize="3982,2">
              <v:shape style="position:absolute;left:7;top:442;width:3982;height:2" coordorigin="7,442" coordsize="3982,0" path="m7,442l3989,442e" filled="false" stroked="true" strokeweight=".72003pt" strokecolor="#000000">
                <v:path arrowok="t"/>
              </v:shape>
            </v:group>
            <v:group style="position:absolute;left:3996;top:7;width:2;height:442" coordorigin="3996,7" coordsize="2,442">
              <v:shape style="position:absolute;left:3996;top:7;width:2;height:442" coordorigin="3996,7" coordsize="0,442" path="m3996,7l3996,449e" filled="false" stroked="true" strokeweight=".72pt" strokecolor="#000000">
                <v:path arrowok="t"/>
              </v:shape>
            </v:group>
            <v:group style="position:absolute;left:4003;top:442;width:5562;height:2" coordorigin="4003,442" coordsize="5562,2">
              <v:shape style="position:absolute;left:4003;top:442;width:5562;height:2" coordorigin="4003,442" coordsize="5562,0" path="m4003,442l9565,442e" filled="false" stroked="true" strokeweight=".72003pt" strokecolor="#000000">
                <v:path arrowok="t"/>
              </v:shape>
            </v:group>
            <v:group style="position:absolute;left:9572;top:7;width:2;height:442" coordorigin="9572,7" coordsize="2,442">
              <v:shape style="position:absolute;left:9572;top:7;width:2;height:442" coordorigin="9572,7" coordsize="0,442" path="m9572,7l9572,449e" filled="false" stroked="true" strokeweight=".71997pt" strokecolor="#000000">
                <v:path arrowok="t"/>
              </v:shape>
              <v:shape style="position:absolute;left:14;top:14;width:3982;height:428" type="#_x0000_t202" filled="false" stroked="false">
                <v:textbox inset="0,0,0,0">
                  <w:txbxContent>
                    <w:p>
                      <w:pPr>
                        <w:spacing w:before="69"/>
                        <w:ind w:left="9"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应收账款组合</w:t>
                      </w:r>
                      <w:r>
                        <w:rPr>
                          <w:rFonts w:ascii="Times New Roman" w:hAnsi="Times New Roman" w:cs="Times New Roman" w:eastAsia="Times New Roman" w:hint="default"/>
                          <w:sz w:val="18"/>
                          <w:szCs w:val="18"/>
                        </w:rPr>
                        <w:t>3</w:t>
                      </w:r>
                    </w:p>
                  </w:txbxContent>
                </v:textbox>
                <w10:wrap type="none"/>
              </v:shape>
              <v:shape style="position:absolute;left:3996;top:14;width:5577;height:428" type="#_x0000_t202" filled="false" stroked="false">
                <v:textbox inset="0,0,0,0">
                  <w:txbxContent>
                    <w:p>
                      <w:pPr>
                        <w:spacing w:before="69"/>
                        <w:ind w:left="10" w:right="0" w:firstLine="0"/>
                        <w:jc w:val="left"/>
                        <w:rPr>
                          <w:rFonts w:ascii="宋体" w:hAnsi="宋体" w:cs="宋体" w:eastAsia="宋体" w:hint="default"/>
                          <w:sz w:val="18"/>
                          <w:szCs w:val="18"/>
                        </w:rPr>
                      </w:pPr>
                      <w:r>
                        <w:rPr>
                          <w:rFonts w:ascii="宋体" w:hAnsi="宋体" w:cs="宋体" w:eastAsia="宋体" w:hint="default"/>
                          <w:sz w:val="18"/>
                          <w:szCs w:val="18"/>
                        </w:rPr>
                        <w:t>合并范围内关联方及单独测试未减值应收款项组合</w:t>
                      </w:r>
                    </w:p>
                  </w:txbxContent>
                </v:textbox>
                <w10:wrap type="none"/>
              </v:shape>
            </v:group>
          </v:group>
        </w:pict>
      </w:r>
      <w:r>
        <w:rPr>
          <w:rFonts w:ascii="宋体" w:hAnsi="宋体" w:cs="宋体" w:eastAsia="宋体" w:hint="default"/>
          <w:position w:val="-8"/>
          <w:sz w:val="20"/>
          <w:szCs w:val="20"/>
        </w:rPr>
      </w:r>
    </w:p>
    <w:p>
      <w:pPr>
        <w:spacing w:line="240" w:lineRule="auto" w:before="0"/>
        <w:rPr>
          <w:rFonts w:ascii="宋体" w:hAnsi="宋体" w:cs="宋体" w:eastAsia="宋体" w:hint="default"/>
          <w:sz w:val="6"/>
          <w:szCs w:val="6"/>
        </w:rPr>
      </w:pPr>
    </w:p>
    <w:p>
      <w:pPr>
        <w:pStyle w:val="BodyText"/>
        <w:spacing w:line="240" w:lineRule="auto" w:before="44"/>
        <w:ind w:left="514" w:right="0"/>
        <w:jc w:val="left"/>
      </w:pPr>
      <w:r>
        <w:rPr/>
        <w:t>应收账款组合</w:t>
      </w:r>
      <w:r>
        <w:rPr>
          <w:rFonts w:ascii="Times New Roman" w:hAnsi="Times New Roman" w:cs="Times New Roman" w:eastAsia="Times New Roman" w:hint="default"/>
        </w:rPr>
        <w:t>1</w:t>
      </w:r>
      <w:r>
        <w:rPr/>
        <w:t>的应收账款账龄与整个存续期预期信用损失率对照表：</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4913"/>
        <w:gridCol w:w="4645"/>
      </w:tblGrid>
      <w:tr>
        <w:trPr>
          <w:trHeight w:val="427" w:hRule="exact"/>
        </w:trPr>
        <w:tc>
          <w:tcPr>
            <w:tcW w:w="4913" w:type="dxa"/>
            <w:tcBorders>
              <w:top w:val="single" w:sz="6" w:space="0" w:color="000000"/>
              <w:left w:val="single" w:sz="6" w:space="0" w:color="000000"/>
              <w:bottom w:val="single" w:sz="6" w:space="0" w:color="000000"/>
              <w:right w:val="single" w:sz="6" w:space="0" w:color="000000"/>
            </w:tcBorders>
          </w:tcPr>
          <w:p>
            <w:pPr>
              <w:pStyle w:val="TableParagraph"/>
              <w:tabs>
                <w:tab w:pos="397" w:val="left" w:leader="none"/>
              </w:tabs>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账</w:t>
              <w:tab/>
              <w:t>龄</w:t>
            </w:r>
          </w:p>
        </w:tc>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325" w:right="0"/>
              <w:jc w:val="left"/>
              <w:rPr>
                <w:rFonts w:ascii="宋体" w:hAnsi="宋体" w:cs="宋体" w:eastAsia="宋体" w:hint="default"/>
                <w:sz w:val="18"/>
                <w:szCs w:val="18"/>
              </w:rPr>
            </w:pPr>
            <w:r>
              <w:rPr>
                <w:rFonts w:ascii="宋体" w:hAnsi="宋体" w:cs="宋体" w:eastAsia="宋体" w:hint="default"/>
                <w:sz w:val="18"/>
                <w:szCs w:val="18"/>
              </w:rPr>
              <w:t>应收账款预期信用损失率</w:t>
            </w:r>
          </w:p>
        </w:tc>
      </w:tr>
      <w:tr>
        <w:trPr>
          <w:trHeight w:val="427" w:hRule="exact"/>
        </w:trPr>
        <w:tc>
          <w:tcPr>
            <w:tcW w:w="4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年，下同）</w:t>
            </w:r>
          </w:p>
        </w:tc>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w:t>
            </w:r>
          </w:p>
        </w:tc>
      </w:tr>
      <w:tr>
        <w:trPr>
          <w:trHeight w:val="427" w:hRule="exact"/>
        </w:trPr>
        <w:tc>
          <w:tcPr>
            <w:tcW w:w="4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6%</w:t>
            </w:r>
          </w:p>
        </w:tc>
      </w:tr>
      <w:tr>
        <w:trPr>
          <w:trHeight w:val="427" w:hRule="exact"/>
        </w:trPr>
        <w:tc>
          <w:tcPr>
            <w:tcW w:w="4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15%</w:t>
            </w:r>
          </w:p>
        </w:tc>
      </w:tr>
      <w:tr>
        <w:trPr>
          <w:trHeight w:val="427" w:hRule="exact"/>
        </w:trPr>
        <w:tc>
          <w:tcPr>
            <w:tcW w:w="4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40%</w:t>
            </w:r>
          </w:p>
        </w:tc>
      </w:tr>
    </w:tbl>
    <w:p>
      <w:pPr>
        <w:spacing w:line="240" w:lineRule="auto" w:before="8"/>
        <w:rPr>
          <w:rFonts w:ascii="宋体" w:hAnsi="宋体" w:cs="宋体" w:eastAsia="宋体" w:hint="default"/>
          <w:sz w:val="6"/>
          <w:szCs w:val="6"/>
        </w:rPr>
      </w:pPr>
    </w:p>
    <w:p>
      <w:pPr>
        <w:pStyle w:val="BodyText"/>
        <w:spacing w:line="240" w:lineRule="auto" w:before="44"/>
        <w:ind w:left="514" w:right="0"/>
        <w:jc w:val="left"/>
      </w:pPr>
      <w:r>
        <w:rPr/>
        <w:t>应收账款组合</w:t>
      </w:r>
      <w:r>
        <w:rPr>
          <w:rFonts w:ascii="Times New Roman" w:hAnsi="Times New Roman" w:cs="Times New Roman" w:eastAsia="Times New Roman" w:hint="default"/>
        </w:rPr>
        <w:t>1</w:t>
      </w:r>
      <w:r>
        <w:rPr/>
        <w:t>的应收账款账龄与整个存续期预期信用损失率对照表：</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4913"/>
        <w:gridCol w:w="4645"/>
      </w:tblGrid>
      <w:tr>
        <w:trPr>
          <w:trHeight w:val="427" w:hRule="exact"/>
        </w:trPr>
        <w:tc>
          <w:tcPr>
            <w:tcW w:w="4913" w:type="dxa"/>
            <w:tcBorders>
              <w:top w:val="single" w:sz="6" w:space="0" w:color="000000"/>
              <w:left w:val="single" w:sz="6" w:space="0" w:color="000000"/>
              <w:bottom w:val="single" w:sz="6" w:space="0" w:color="000000"/>
              <w:right w:val="single" w:sz="6" w:space="0" w:color="000000"/>
            </w:tcBorders>
          </w:tcPr>
          <w:p>
            <w:pPr>
              <w:pStyle w:val="TableParagraph"/>
              <w:tabs>
                <w:tab w:pos="397" w:val="left" w:leader="none"/>
              </w:tabs>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账</w:t>
              <w:tab/>
              <w:t>龄</w:t>
            </w:r>
          </w:p>
        </w:tc>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70" w:right="0"/>
              <w:jc w:val="left"/>
              <w:rPr>
                <w:rFonts w:ascii="宋体" w:hAnsi="宋体" w:cs="宋体" w:eastAsia="宋体" w:hint="default"/>
                <w:sz w:val="18"/>
                <w:szCs w:val="18"/>
              </w:rPr>
            </w:pPr>
            <w:r>
              <w:rPr>
                <w:rFonts w:ascii="宋体" w:hAnsi="宋体" w:cs="宋体" w:eastAsia="宋体" w:hint="default"/>
                <w:sz w:val="18"/>
                <w:szCs w:val="18"/>
              </w:rPr>
              <w:t>应收账款预期信用损失率（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7" w:hRule="exact"/>
        </w:trPr>
        <w:tc>
          <w:tcPr>
            <w:tcW w:w="4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6</w:t>
            </w:r>
            <w:r>
              <w:rPr>
                <w:rFonts w:ascii="宋体" w:hAnsi="宋体" w:cs="宋体" w:eastAsia="宋体" w:hint="default"/>
                <w:sz w:val="18"/>
                <w:szCs w:val="18"/>
              </w:rPr>
              <w:t>个月</w:t>
            </w:r>
          </w:p>
        </w:tc>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w:t>
            </w:r>
          </w:p>
        </w:tc>
      </w:tr>
      <w:tr>
        <w:trPr>
          <w:trHeight w:val="426" w:hRule="exact"/>
        </w:trPr>
        <w:tc>
          <w:tcPr>
            <w:tcW w:w="4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个月至</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5</w:t>
            </w:r>
          </w:p>
        </w:tc>
      </w:tr>
      <w:tr>
        <w:trPr>
          <w:trHeight w:val="427" w:hRule="exact"/>
        </w:trPr>
        <w:tc>
          <w:tcPr>
            <w:tcW w:w="4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10</w:t>
            </w:r>
          </w:p>
        </w:tc>
      </w:tr>
      <w:tr>
        <w:trPr>
          <w:trHeight w:val="427" w:hRule="exact"/>
        </w:trPr>
        <w:tc>
          <w:tcPr>
            <w:tcW w:w="4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30</w:t>
            </w:r>
          </w:p>
        </w:tc>
      </w:tr>
      <w:tr>
        <w:trPr>
          <w:trHeight w:val="427" w:hRule="exact"/>
        </w:trPr>
        <w:tc>
          <w:tcPr>
            <w:tcW w:w="4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至</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50</w:t>
            </w:r>
          </w:p>
        </w:tc>
      </w:tr>
      <w:tr>
        <w:trPr>
          <w:trHeight w:val="427" w:hRule="exact"/>
        </w:trPr>
        <w:tc>
          <w:tcPr>
            <w:tcW w:w="4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至</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80</w:t>
            </w:r>
          </w:p>
        </w:tc>
      </w:tr>
      <w:tr>
        <w:trPr>
          <w:trHeight w:val="427" w:hRule="exact"/>
        </w:trPr>
        <w:tc>
          <w:tcPr>
            <w:tcW w:w="4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12</w:t>
      </w:r>
      <w:r>
        <w:rPr/>
        <w:t>、其他应收款</w:t>
      </w:r>
      <w:r>
        <w:rPr>
          <w:b w:val="0"/>
          <w:bCs w:val="0"/>
        </w:rPr>
      </w:r>
    </w:p>
    <w:p>
      <w:pPr>
        <w:pStyle w:val="BodyText"/>
        <w:spacing w:line="430" w:lineRule="atLeast" w:before="153"/>
        <w:ind w:left="513" w:right="0" w:hanging="360"/>
        <w:jc w:val="left"/>
      </w:pPr>
      <w:r>
        <w:rPr/>
        <w:t>其他应收款的预期信用损失的确定方法及会计处理方法 </w:t>
      </w:r>
      <w:r>
        <w:rPr>
          <w:spacing w:val="-2"/>
        </w:rPr>
        <w:t>当单项其他应收款无法以合理成本取得评估预期信用损失的信息时，本公司依据信用风险特征将其他应收款划分为若干</w:t>
      </w:r>
    </w:p>
    <w:p>
      <w:pPr>
        <w:pStyle w:val="BodyText"/>
        <w:spacing w:line="240" w:lineRule="auto" w:before="75"/>
        <w:ind w:left="153" w:right="0"/>
        <w:jc w:val="left"/>
      </w:pPr>
      <w:r>
        <w:rPr/>
        <w:t>组合，在组合基础上计算预期信用损失。确定组合的依据如下：</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3584"/>
        <w:gridCol w:w="5974"/>
      </w:tblGrid>
      <w:tr>
        <w:trPr>
          <w:trHeight w:val="427"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427"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其他应收款组合</w:t>
            </w:r>
            <w:r>
              <w:rPr>
                <w:rFonts w:ascii="Times New Roman" w:hAnsi="Times New Roman" w:cs="Times New Roman" w:eastAsia="Times New Roman" w:hint="default"/>
                <w:sz w:val="18"/>
                <w:szCs w:val="18"/>
              </w:rPr>
              <w:t>1</w:t>
            </w:r>
          </w:p>
        </w:tc>
        <w:tc>
          <w:tcPr>
            <w:tcW w:w="5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纺织业务押金、往来及其他应收款项</w:t>
            </w:r>
          </w:p>
        </w:tc>
      </w:tr>
      <w:tr>
        <w:trPr>
          <w:trHeight w:val="427"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其他应收款组合</w:t>
            </w:r>
            <w:r>
              <w:rPr>
                <w:rFonts w:ascii="Times New Roman" w:hAnsi="Times New Roman" w:cs="Times New Roman" w:eastAsia="Times New Roman" w:hint="default"/>
                <w:sz w:val="18"/>
                <w:szCs w:val="18"/>
              </w:rPr>
              <w:t>2</w:t>
            </w:r>
          </w:p>
        </w:tc>
        <w:tc>
          <w:tcPr>
            <w:tcW w:w="5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软件业务押金、往来及其他应收款项</w:t>
            </w:r>
          </w:p>
        </w:tc>
      </w:tr>
      <w:tr>
        <w:trPr>
          <w:trHeight w:val="427"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其他应收款组合</w:t>
            </w:r>
            <w:r>
              <w:rPr>
                <w:rFonts w:ascii="Times New Roman" w:hAnsi="Times New Roman" w:cs="Times New Roman" w:eastAsia="Times New Roman" w:hint="default"/>
                <w:sz w:val="18"/>
                <w:szCs w:val="18"/>
              </w:rPr>
              <w:t>3</w:t>
            </w:r>
          </w:p>
        </w:tc>
        <w:tc>
          <w:tcPr>
            <w:tcW w:w="5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合并范围内关联方及单独测试未减值应收款项组合</w:t>
            </w:r>
          </w:p>
        </w:tc>
      </w:tr>
    </w:tbl>
    <w:p>
      <w:pPr>
        <w:spacing w:line="240" w:lineRule="auto" w:before="8"/>
        <w:rPr>
          <w:rFonts w:ascii="宋体" w:hAnsi="宋体" w:cs="宋体" w:eastAsia="宋体" w:hint="default"/>
          <w:sz w:val="6"/>
          <w:szCs w:val="6"/>
        </w:rPr>
      </w:pPr>
    </w:p>
    <w:p>
      <w:pPr>
        <w:pStyle w:val="BodyText"/>
        <w:spacing w:line="300" w:lineRule="auto" w:before="44"/>
        <w:ind w:left="153" w:right="1128" w:firstLine="360"/>
        <w:jc w:val="both"/>
      </w:pPr>
      <w:r>
        <w:rPr/>
        <w:t>对于划分为组合</w:t>
      </w:r>
      <w:r>
        <w:rPr>
          <w:rFonts w:ascii="Times New Roman" w:hAnsi="Times New Roman" w:cs="Times New Roman" w:eastAsia="Times New Roman" w:hint="default"/>
        </w:rPr>
        <w:t>1</w:t>
      </w:r>
      <w:r>
        <w:rPr/>
        <w:t>的其他应收款，本公司参考历史信用损失经验，结合当前状况以及对未来经济状况的预测，通过违约 风险敞口和未来</w:t>
      </w:r>
      <w:r>
        <w:rPr>
          <w:rFonts w:ascii="Times New Roman" w:hAnsi="Times New Roman" w:cs="Times New Roman" w:eastAsia="Times New Roman" w:hint="default"/>
        </w:rPr>
        <w:t>12</w:t>
      </w:r>
      <w:r>
        <w:rPr/>
        <w:t>个月内或整个存续期预期信用损失率，计算预期信用损失。对于划分为组合</w:t>
      </w:r>
      <w:r>
        <w:rPr>
          <w:rFonts w:ascii="Times New Roman" w:hAnsi="Times New Roman" w:cs="Times New Roman" w:eastAsia="Times New Roman" w:hint="default"/>
        </w:rPr>
        <w:t>2</w:t>
      </w:r>
      <w:r>
        <w:rPr/>
        <w:t>的其他应收款，本公司参考</w:t>
      </w:r>
      <w:r>
        <w:rPr>
          <w:spacing w:val="-84"/>
        </w:rPr>
        <w:t> </w:t>
      </w:r>
      <w:r>
        <w:rPr>
          <w:spacing w:val="-84"/>
        </w:rPr>
      </w:r>
      <w:r>
        <w:rPr>
          <w:spacing w:val="-2"/>
        </w:rPr>
        <w:t>历史信用损失经验，结合当前状况以及对未来经济状况的预测，通过违约风险敞口和未来</w:t>
      </w:r>
      <w:r>
        <w:rPr>
          <w:rFonts w:ascii="Times New Roman" w:hAnsi="Times New Roman" w:cs="Times New Roman" w:eastAsia="Times New Roman" w:hint="default"/>
          <w:spacing w:val="-2"/>
        </w:rPr>
        <w:t>12</w:t>
      </w:r>
      <w:r>
        <w:rPr>
          <w:spacing w:val="-2"/>
        </w:rPr>
        <w:t>个月内或整个存续期预期信用损</w:t>
      </w:r>
      <w:r>
        <w:rPr>
          <w:spacing w:val="-62"/>
        </w:rPr>
        <w:t> </w:t>
      </w:r>
      <w:r>
        <w:rPr/>
        <w:t>失率，计算预期信用损失。对于划分为组合</w:t>
      </w:r>
      <w:r>
        <w:rPr>
          <w:rFonts w:ascii="Times New Roman" w:hAnsi="Times New Roman" w:cs="Times New Roman" w:eastAsia="Times New Roman" w:hint="default"/>
        </w:rPr>
        <w:t>3</w:t>
      </w:r>
      <w:r>
        <w:rPr/>
        <w:t>的其他应收款，本公司参考历史信用损失经验，结合当前状况以及对未来经济</w:t>
      </w:r>
      <w:r>
        <w:rPr>
          <w:spacing w:val="-83"/>
        </w:rPr>
        <w:t> </w:t>
      </w:r>
      <w:r>
        <w:rPr>
          <w:spacing w:val="-83"/>
        </w:rPr>
      </w:r>
      <w:r>
        <w:rPr/>
        <w:t>状况的预测，通过违约风险敞口和未来</w:t>
      </w:r>
      <w:r>
        <w:rPr>
          <w:rFonts w:ascii="Times New Roman" w:hAnsi="Times New Roman" w:cs="Times New Roman" w:eastAsia="Times New Roman" w:hint="default"/>
        </w:rPr>
        <w:t>12</w:t>
      </w:r>
      <w:r>
        <w:rPr/>
        <w:t>个月内或整个存续期预期信用损失率，该组合预期信用损失为</w:t>
      </w:r>
      <w:r>
        <w:rPr>
          <w:rFonts w:ascii="Times New Roman" w:hAnsi="Times New Roman" w:cs="Times New Roman" w:eastAsia="Times New Roman" w:hint="default"/>
        </w:rPr>
        <w:t>0%</w:t>
      </w:r>
      <w:r>
        <w:rPr/>
        <w:t>。</w:t>
      </w:r>
    </w:p>
    <w:p>
      <w:pPr>
        <w:pStyle w:val="BodyText"/>
        <w:spacing w:line="240" w:lineRule="auto" w:before="133"/>
        <w:ind w:left="513" w:right="0"/>
        <w:jc w:val="left"/>
      </w:pPr>
      <w:r>
        <w:rPr/>
        <w:t>其他应收款组合</w:t>
      </w:r>
      <w:r>
        <w:rPr>
          <w:rFonts w:ascii="Times New Roman" w:hAnsi="Times New Roman" w:cs="Times New Roman" w:eastAsia="Times New Roman" w:hint="default"/>
        </w:rPr>
        <w:t>1</w:t>
      </w:r>
      <w:r>
        <w:rPr/>
        <w:t>的账龄与整个存续期预期信用损失率对照表：</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4913"/>
        <w:gridCol w:w="4645"/>
      </w:tblGrid>
      <w:tr>
        <w:trPr>
          <w:trHeight w:val="427" w:hRule="exact"/>
        </w:trPr>
        <w:tc>
          <w:tcPr>
            <w:tcW w:w="4913" w:type="dxa"/>
            <w:tcBorders>
              <w:top w:val="single" w:sz="6" w:space="0" w:color="000000"/>
              <w:left w:val="single" w:sz="6" w:space="0" w:color="000000"/>
              <w:bottom w:val="single" w:sz="6" w:space="0" w:color="000000"/>
              <w:right w:val="single" w:sz="6" w:space="0" w:color="000000"/>
            </w:tcBorders>
          </w:tcPr>
          <w:p>
            <w:pPr>
              <w:pStyle w:val="TableParagraph"/>
              <w:tabs>
                <w:tab w:pos="397" w:val="left" w:leader="none"/>
              </w:tabs>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账</w:t>
              <w:tab/>
              <w:t>龄</w:t>
            </w:r>
          </w:p>
        </w:tc>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235" w:right="0"/>
              <w:jc w:val="left"/>
              <w:rPr>
                <w:rFonts w:ascii="宋体" w:hAnsi="宋体" w:cs="宋体" w:eastAsia="宋体" w:hint="default"/>
                <w:sz w:val="18"/>
                <w:szCs w:val="18"/>
              </w:rPr>
            </w:pPr>
            <w:r>
              <w:rPr>
                <w:rFonts w:ascii="宋体" w:hAnsi="宋体" w:cs="宋体" w:eastAsia="宋体" w:hint="default"/>
                <w:sz w:val="18"/>
                <w:szCs w:val="18"/>
              </w:rPr>
              <w:t>其他应收款预期信用损失率</w:t>
            </w:r>
          </w:p>
        </w:tc>
      </w:tr>
      <w:tr>
        <w:trPr>
          <w:trHeight w:val="427" w:hRule="exact"/>
        </w:trPr>
        <w:tc>
          <w:tcPr>
            <w:tcW w:w="4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年，下同）</w:t>
            </w:r>
          </w:p>
        </w:tc>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4913"/>
        <w:gridCol w:w="4645"/>
      </w:tblGrid>
      <w:tr>
        <w:trPr>
          <w:trHeight w:val="427" w:hRule="exact"/>
        </w:trPr>
        <w:tc>
          <w:tcPr>
            <w:tcW w:w="4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6%</w:t>
            </w:r>
          </w:p>
        </w:tc>
      </w:tr>
      <w:tr>
        <w:trPr>
          <w:trHeight w:val="427" w:hRule="exact"/>
        </w:trPr>
        <w:tc>
          <w:tcPr>
            <w:tcW w:w="4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15%</w:t>
            </w:r>
          </w:p>
        </w:tc>
      </w:tr>
      <w:tr>
        <w:trPr>
          <w:trHeight w:val="427" w:hRule="exact"/>
        </w:trPr>
        <w:tc>
          <w:tcPr>
            <w:tcW w:w="4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40%</w:t>
            </w:r>
          </w:p>
        </w:tc>
      </w:tr>
    </w:tbl>
    <w:p>
      <w:pPr>
        <w:spacing w:line="240" w:lineRule="auto" w:before="8"/>
        <w:rPr>
          <w:rFonts w:ascii="宋体" w:hAnsi="宋体" w:cs="宋体" w:eastAsia="宋体" w:hint="default"/>
          <w:sz w:val="6"/>
          <w:szCs w:val="6"/>
        </w:rPr>
      </w:pPr>
    </w:p>
    <w:p>
      <w:pPr>
        <w:pStyle w:val="BodyText"/>
        <w:spacing w:line="240" w:lineRule="auto" w:before="44"/>
        <w:ind w:left="514" w:right="0"/>
        <w:jc w:val="left"/>
      </w:pPr>
      <w:r>
        <w:rPr/>
        <w:t>其他应收款组合</w:t>
      </w:r>
      <w:r>
        <w:rPr>
          <w:rFonts w:ascii="Times New Roman" w:hAnsi="Times New Roman" w:cs="Times New Roman" w:eastAsia="Times New Roman" w:hint="default"/>
        </w:rPr>
        <w:t>2</w:t>
      </w:r>
      <w:r>
        <w:rPr/>
        <w:t>的账龄与整个存续期预期信用损失率对照表：</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4913"/>
        <w:gridCol w:w="4645"/>
      </w:tblGrid>
      <w:tr>
        <w:trPr>
          <w:trHeight w:val="427" w:hRule="exact"/>
        </w:trPr>
        <w:tc>
          <w:tcPr>
            <w:tcW w:w="4913" w:type="dxa"/>
            <w:tcBorders>
              <w:top w:val="single" w:sz="6" w:space="0" w:color="000000"/>
              <w:left w:val="single" w:sz="6" w:space="0" w:color="000000"/>
              <w:bottom w:val="single" w:sz="6" w:space="0" w:color="000000"/>
              <w:right w:val="single" w:sz="6" w:space="0" w:color="000000"/>
            </w:tcBorders>
          </w:tcPr>
          <w:p>
            <w:pPr>
              <w:pStyle w:val="TableParagraph"/>
              <w:tabs>
                <w:tab w:pos="397" w:val="left" w:leader="none"/>
              </w:tabs>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账</w:t>
              <w:tab/>
              <w:t>龄</w:t>
            </w:r>
          </w:p>
        </w:tc>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980" w:right="0"/>
              <w:jc w:val="left"/>
              <w:rPr>
                <w:rFonts w:ascii="宋体" w:hAnsi="宋体" w:cs="宋体" w:eastAsia="宋体" w:hint="default"/>
                <w:sz w:val="18"/>
                <w:szCs w:val="18"/>
              </w:rPr>
            </w:pPr>
            <w:r>
              <w:rPr>
                <w:rFonts w:ascii="宋体" w:hAnsi="宋体" w:cs="宋体" w:eastAsia="宋体" w:hint="default"/>
                <w:sz w:val="18"/>
                <w:szCs w:val="18"/>
              </w:rPr>
              <w:t>其他应收款预期信用损失率（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7" w:hRule="exact"/>
        </w:trPr>
        <w:tc>
          <w:tcPr>
            <w:tcW w:w="4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6</w:t>
            </w:r>
            <w:r>
              <w:rPr>
                <w:rFonts w:ascii="宋体" w:hAnsi="宋体" w:cs="宋体" w:eastAsia="宋体" w:hint="default"/>
                <w:sz w:val="18"/>
                <w:szCs w:val="18"/>
              </w:rPr>
              <w:t>个月</w:t>
            </w:r>
          </w:p>
        </w:tc>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w:t>
            </w:r>
          </w:p>
        </w:tc>
      </w:tr>
      <w:tr>
        <w:trPr>
          <w:trHeight w:val="426" w:hRule="exact"/>
        </w:trPr>
        <w:tc>
          <w:tcPr>
            <w:tcW w:w="4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个月至</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5</w:t>
            </w:r>
          </w:p>
        </w:tc>
      </w:tr>
      <w:tr>
        <w:trPr>
          <w:trHeight w:val="427" w:hRule="exact"/>
        </w:trPr>
        <w:tc>
          <w:tcPr>
            <w:tcW w:w="4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10</w:t>
            </w:r>
          </w:p>
        </w:tc>
      </w:tr>
      <w:tr>
        <w:trPr>
          <w:trHeight w:val="427" w:hRule="exact"/>
        </w:trPr>
        <w:tc>
          <w:tcPr>
            <w:tcW w:w="4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30</w:t>
            </w:r>
          </w:p>
        </w:tc>
      </w:tr>
      <w:tr>
        <w:trPr>
          <w:trHeight w:val="427" w:hRule="exact"/>
        </w:trPr>
        <w:tc>
          <w:tcPr>
            <w:tcW w:w="4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至</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50</w:t>
            </w:r>
          </w:p>
        </w:tc>
      </w:tr>
      <w:tr>
        <w:trPr>
          <w:trHeight w:val="427" w:hRule="exact"/>
        </w:trPr>
        <w:tc>
          <w:tcPr>
            <w:tcW w:w="4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至</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80</w:t>
            </w:r>
          </w:p>
        </w:tc>
      </w:tr>
      <w:tr>
        <w:trPr>
          <w:trHeight w:val="427" w:hRule="exact"/>
        </w:trPr>
        <w:tc>
          <w:tcPr>
            <w:tcW w:w="49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46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both"/>
        <w:rPr>
          <w:b w:val="0"/>
          <w:bCs w:val="0"/>
        </w:rPr>
      </w:pPr>
      <w:r>
        <w:rPr>
          <w:rFonts w:ascii="Times New Roman" w:hAnsi="Times New Roman" w:cs="Times New Roman" w:eastAsia="Times New Roman" w:hint="default"/>
        </w:rPr>
        <w:t>13</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508" w:lineRule="auto"/>
        <w:ind w:left="371" w:right="4053" w:hanging="144"/>
        <w:jc w:val="left"/>
      </w:pPr>
      <w:r>
        <w:rPr/>
        <w:t>（</w:t>
      </w:r>
      <w:r>
        <w:rPr>
          <w:rFonts w:ascii="Times New Roman" w:hAnsi="Times New Roman" w:cs="Times New Roman" w:eastAsia="Times New Roman" w:hint="default"/>
        </w:rPr>
        <w:t>1</w:t>
      </w:r>
      <w:r>
        <w:rPr/>
        <w:t>）存货的分类 本公司存货分原材料、在产品、包装物、库存商品、委托加工材料、物资采购等。</w:t>
      </w:r>
    </w:p>
    <w:p>
      <w:pPr>
        <w:pStyle w:val="BodyText"/>
        <w:spacing w:line="240" w:lineRule="auto" w:before="91"/>
        <w:ind w:left="299" w:right="0"/>
        <w:jc w:val="left"/>
      </w:pPr>
      <w:r>
        <w:rPr/>
        <w:t>（</w:t>
      </w:r>
      <w:r>
        <w:rPr>
          <w:rFonts w:ascii="Times New Roman" w:hAnsi="Times New Roman" w:cs="Times New Roman" w:eastAsia="Times New Roman" w:hint="default"/>
        </w:rPr>
        <w:t>2</w:t>
      </w:r>
      <w:r>
        <w:rPr/>
        <w:t>）存货取得和发出的计价方法</w:t>
      </w:r>
    </w:p>
    <w:p>
      <w:pPr>
        <w:spacing w:line="240" w:lineRule="auto" w:before="4"/>
        <w:rPr>
          <w:rFonts w:ascii="宋体" w:hAnsi="宋体" w:cs="宋体" w:eastAsia="宋体" w:hint="default"/>
          <w:sz w:val="21"/>
          <w:szCs w:val="21"/>
        </w:rPr>
      </w:pPr>
    </w:p>
    <w:p>
      <w:pPr>
        <w:pStyle w:val="BodyText"/>
        <w:spacing w:line="316" w:lineRule="auto"/>
        <w:ind w:left="153" w:right="0" w:firstLine="300"/>
        <w:jc w:val="left"/>
      </w:pPr>
      <w:r>
        <w:rPr>
          <w:spacing w:val="-1"/>
        </w:rPr>
        <w:t>本公司存货取得时按实际成本计价。原料、在产品、库存商品、发出商品等发出时采用加权平均法计价，材料按计划成</w:t>
      </w:r>
      <w:r>
        <w:rPr/>
        <w:t> 本计价，材料成本差异按上月余额法计算结转。</w:t>
      </w:r>
    </w:p>
    <w:p>
      <w:pPr>
        <w:spacing w:line="240" w:lineRule="auto" w:before="12"/>
        <w:rPr>
          <w:rFonts w:ascii="宋体" w:hAnsi="宋体" w:cs="宋体" w:eastAsia="宋体" w:hint="default"/>
          <w:sz w:val="17"/>
          <w:szCs w:val="17"/>
        </w:rPr>
      </w:pPr>
    </w:p>
    <w:p>
      <w:pPr>
        <w:pStyle w:val="BodyText"/>
        <w:spacing w:line="240" w:lineRule="auto"/>
        <w:ind w:left="454" w:right="0"/>
        <w:jc w:val="left"/>
      </w:pPr>
      <w:r>
        <w:rPr/>
        <w:t>北明软件存货发出时，采取先进先出法确定其发生的实际成本。</w:t>
      </w:r>
    </w:p>
    <w:p>
      <w:pPr>
        <w:pStyle w:val="BodyText"/>
        <w:spacing w:line="510" w:lineRule="atLeast" w:before="31"/>
        <w:ind w:left="513" w:right="0" w:hanging="53"/>
        <w:jc w:val="left"/>
      </w:pPr>
      <w:r>
        <w:rPr/>
        <w:t>（</w:t>
      </w:r>
      <w:r>
        <w:rPr>
          <w:rFonts w:ascii="Times New Roman" w:hAnsi="Times New Roman" w:cs="Times New Roman" w:eastAsia="Times New Roman" w:hint="default"/>
        </w:rPr>
        <w:t>3</w:t>
      </w:r>
      <w:r>
        <w:rPr/>
        <w:t>）存货跌价准备计提方法 </w:t>
      </w:r>
      <w:r>
        <w:rPr>
          <w:spacing w:val="-2"/>
        </w:rPr>
        <w:t>在资产负债表日，存货按照成本与可变现净值孰低计量。当其可变现净值低于成本时，提取存货跌价准备。存货跌价准</w:t>
      </w:r>
    </w:p>
    <w:p>
      <w:pPr>
        <w:pStyle w:val="BodyText"/>
        <w:spacing w:line="316" w:lineRule="auto" w:before="76"/>
        <w:ind w:left="153" w:right="1129"/>
        <w:jc w:val="both"/>
      </w:pPr>
      <w:r>
        <w:rPr>
          <w:spacing w:val="-2"/>
        </w:rPr>
        <w:t>备通常按单个存货项目的成本高于其可变现净值的差额提取。对于数量繁多、单价较低的存货，按存货类别计提存货跌价准</w:t>
      </w:r>
      <w:r>
        <w:rPr>
          <w:spacing w:val="-66"/>
        </w:rPr>
        <w:t> </w:t>
      </w:r>
      <w:r>
        <w:rPr>
          <w:spacing w:val="-66"/>
        </w:rPr>
      </w:r>
      <w:r>
        <w:rPr>
          <w:spacing w:val="-2"/>
        </w:rPr>
        <w:t>备；对在同一地区生产和销售的产品系列相关、具有相同或类似最终用途或目的，且难以与其他项目分开计量的存货，可合</w:t>
      </w:r>
      <w:r>
        <w:rPr>
          <w:spacing w:val="-66"/>
        </w:rPr>
        <w:t> </w:t>
      </w:r>
      <w:r>
        <w:rPr>
          <w:spacing w:val="-66"/>
        </w:rPr>
      </w:r>
      <w:r>
        <w:rPr/>
        <w:t>并计提存货跌价准备。</w:t>
      </w:r>
    </w:p>
    <w:p>
      <w:pPr>
        <w:spacing w:line="240" w:lineRule="auto" w:before="12"/>
        <w:rPr>
          <w:rFonts w:ascii="宋体" w:hAnsi="宋体" w:cs="宋体" w:eastAsia="宋体" w:hint="default"/>
          <w:sz w:val="17"/>
          <w:szCs w:val="17"/>
        </w:rPr>
      </w:pPr>
    </w:p>
    <w:p>
      <w:pPr>
        <w:pStyle w:val="BodyText"/>
        <w:spacing w:line="316" w:lineRule="auto"/>
        <w:ind w:left="153" w:right="0" w:firstLine="360"/>
        <w:jc w:val="left"/>
      </w:pPr>
      <w:r>
        <w:rPr>
          <w:spacing w:val="-2"/>
        </w:rPr>
        <w:t>计提存货跌价准备后，如果以前减记存货价值的影响因素已经消失，导致存货的可变现净值高于其账面价值的，在原已</w:t>
      </w:r>
      <w:r>
        <w:rPr/>
        <w:t> 计提的存货跌价准备金额内予以转回，转回的金额计入当期损益。</w:t>
      </w:r>
    </w:p>
    <w:p>
      <w:pPr>
        <w:spacing w:line="240" w:lineRule="auto" w:before="12"/>
        <w:rPr>
          <w:rFonts w:ascii="宋体" w:hAnsi="宋体" w:cs="宋体" w:eastAsia="宋体" w:hint="default"/>
          <w:sz w:val="17"/>
          <w:szCs w:val="17"/>
        </w:rPr>
      </w:pPr>
    </w:p>
    <w:p>
      <w:pPr>
        <w:pStyle w:val="BodyText"/>
        <w:spacing w:line="240" w:lineRule="auto"/>
        <w:ind w:left="461" w:right="0"/>
        <w:jc w:val="left"/>
      </w:pPr>
      <w:r>
        <w:rPr/>
        <w:t>（</w:t>
      </w:r>
      <w:r>
        <w:rPr>
          <w:rFonts w:ascii="Times New Roman" w:hAnsi="Times New Roman" w:cs="Times New Roman" w:eastAsia="Times New Roman" w:hint="default"/>
        </w:rPr>
        <w:t>4</w:t>
      </w:r>
      <w:r>
        <w:rPr/>
        <w:t>）存货可变现净值的确认方法</w:t>
      </w:r>
    </w:p>
    <w:p>
      <w:pPr>
        <w:spacing w:line="240" w:lineRule="auto" w:before="4"/>
        <w:rPr>
          <w:rFonts w:ascii="宋体" w:hAnsi="宋体" w:cs="宋体" w:eastAsia="宋体" w:hint="default"/>
          <w:sz w:val="21"/>
          <w:szCs w:val="21"/>
        </w:rPr>
      </w:pPr>
    </w:p>
    <w:p>
      <w:pPr>
        <w:pStyle w:val="BodyText"/>
        <w:spacing w:line="316" w:lineRule="auto"/>
        <w:ind w:left="153" w:right="0" w:firstLine="360"/>
        <w:jc w:val="left"/>
      </w:pPr>
      <w:r>
        <w:rPr/>
        <w:t>可变现净值是指在日常活动中，存货的估计售价减去至完工时估计将要发生的成本、</w:t>
      </w:r>
      <w:r>
        <w:rPr>
          <w:spacing w:val="-9"/>
        </w:rPr>
        <w:t> </w:t>
      </w:r>
      <w:r>
        <w:rPr/>
        <w:t>估计的销售费用以及相关税费后</w:t>
      </w:r>
      <w:r>
        <w:rPr/>
        <w:t> </w:t>
      </w:r>
      <w:r>
        <w:rPr>
          <w:spacing w:val="-4"/>
        </w:rPr>
        <w:t>的金额。在确定存货的可变现净值时，以取得的确凿证据为基础，同时考虑持有存货的目的以及资产负债表日后事项的影响。</w:t>
      </w:r>
    </w:p>
    <w:p>
      <w:pPr>
        <w:spacing w:line="240" w:lineRule="auto" w:before="12"/>
        <w:rPr>
          <w:rFonts w:ascii="宋体" w:hAnsi="宋体" w:cs="宋体" w:eastAsia="宋体" w:hint="default"/>
          <w:sz w:val="17"/>
          <w:szCs w:val="17"/>
        </w:rPr>
      </w:pPr>
    </w:p>
    <w:p>
      <w:pPr>
        <w:pStyle w:val="BodyText"/>
        <w:spacing w:line="240" w:lineRule="auto"/>
        <w:ind w:left="444" w:right="0"/>
        <w:jc w:val="left"/>
      </w:pPr>
      <w:r>
        <w:rPr/>
        <w:t>（</w:t>
      </w:r>
      <w:r>
        <w:rPr>
          <w:rFonts w:ascii="Times New Roman" w:hAnsi="Times New Roman" w:cs="Times New Roman" w:eastAsia="Times New Roman" w:hint="default"/>
        </w:rPr>
        <w:t>5</w:t>
      </w:r>
      <w:r>
        <w:rPr/>
        <w:t>）本公司存货盘存制度采用永续盘存制</w:t>
      </w:r>
    </w:p>
    <w:p>
      <w:pPr>
        <w:spacing w:after="0" w:line="240"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444" w:right="0"/>
        <w:jc w:val="left"/>
      </w:pPr>
      <w:r>
        <w:rPr/>
        <w:t>（</w:t>
      </w:r>
      <w:r>
        <w:rPr>
          <w:rFonts w:ascii="Times New Roman" w:hAnsi="Times New Roman" w:cs="Times New Roman" w:eastAsia="Times New Roman" w:hint="default"/>
        </w:rPr>
        <w:t>6</w:t>
      </w:r>
      <w:r>
        <w:rPr/>
        <w:t>）低值易耗品和包装物的摊销方法</w:t>
      </w:r>
    </w:p>
    <w:p>
      <w:pPr>
        <w:spacing w:line="240" w:lineRule="auto" w:before="4"/>
        <w:rPr>
          <w:rFonts w:ascii="宋体" w:hAnsi="宋体" w:cs="宋体" w:eastAsia="宋体" w:hint="default"/>
          <w:sz w:val="21"/>
          <w:szCs w:val="21"/>
        </w:rPr>
      </w:pPr>
    </w:p>
    <w:p>
      <w:pPr>
        <w:pStyle w:val="BodyText"/>
        <w:spacing w:line="240" w:lineRule="auto"/>
        <w:ind w:left="527" w:right="0"/>
        <w:jc w:val="left"/>
      </w:pPr>
      <w:r>
        <w:rPr/>
        <w:t>低值易耗品在领用时采用一次摊销法摊销；</w:t>
      </w:r>
      <w:r>
        <w:rPr>
          <w:spacing w:val="-21"/>
        </w:rPr>
        <w:t> </w:t>
      </w:r>
      <w:r>
        <w:rPr/>
        <w:t>包装物在领用时采用一次摊销法摊销。</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14</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right="1128" w:firstLine="360"/>
        <w:jc w:val="both"/>
      </w:pPr>
      <w:r>
        <w:rPr>
          <w:spacing w:val="-2"/>
        </w:rPr>
        <w:t>本公司将通过出售（包括具有商业实质的非货币性资产交换，下同）而非持续使用一项非流动资产或处置组收回其账面</w:t>
      </w:r>
      <w:r>
        <w:rPr/>
        <w:t> 价值，并同时满足以下两个条件的，划分为持有待售类别：</w:t>
      </w:r>
      <w:r>
        <w:rPr>
          <w:rFonts w:ascii="Times New Roman" w:hAnsi="Times New Roman" w:cs="Times New Roman" w:eastAsia="Times New Roman" w:hint="default"/>
        </w:rPr>
        <w:t>(1)</w:t>
      </w:r>
      <w:r>
        <w:rPr/>
        <w:t>某项非流动资产或处置组根据类似交易中出售此类资产或处</w:t>
      </w:r>
      <w:r>
        <w:rPr>
          <w:spacing w:val="-33"/>
        </w:rPr>
        <w:t> </w:t>
      </w:r>
      <w:r>
        <w:rPr>
          <w:spacing w:val="-33"/>
        </w:rPr>
      </w:r>
      <w:r>
        <w:rPr/>
        <w:t>置组的惯例，在当前状况下即可立即出售；</w:t>
      </w:r>
      <w:r>
        <w:rPr>
          <w:rFonts w:ascii="Times New Roman" w:hAnsi="Times New Roman" w:cs="Times New Roman" w:eastAsia="Times New Roman" w:hint="default"/>
        </w:rPr>
        <w:t>(2)</w:t>
      </w:r>
      <w:r>
        <w:rPr>
          <w:rFonts w:ascii="Times New Roman" w:hAnsi="Times New Roman" w:cs="Times New Roman" w:eastAsia="Times New Roman" w:hint="default"/>
          <w:spacing w:val="21"/>
        </w:rPr>
        <w:t> </w:t>
      </w:r>
      <w:r>
        <w:rPr/>
        <w:t>本公司已经就出售计划作出决议且获得确定的购买承诺，预计出售将在一年 内完成。（有关规定要求相关权力机构或者监管部门批准后方可出售的，已经获得批准。）</w:t>
      </w:r>
    </w:p>
    <w:p>
      <w:pPr>
        <w:spacing w:line="240" w:lineRule="auto" w:before="7"/>
        <w:rPr>
          <w:rFonts w:ascii="宋体" w:hAnsi="宋体" w:cs="宋体" w:eastAsia="宋体" w:hint="default"/>
          <w:sz w:val="18"/>
          <w:szCs w:val="18"/>
        </w:rPr>
      </w:pPr>
    </w:p>
    <w:p>
      <w:pPr>
        <w:pStyle w:val="BodyText"/>
        <w:spacing w:line="300" w:lineRule="auto"/>
        <w:ind w:right="1128" w:firstLine="360"/>
        <w:jc w:val="both"/>
      </w:pPr>
      <w:r>
        <w:rPr>
          <w:spacing w:val="-2"/>
        </w:rPr>
        <w:t>本公司将专为转售而取得的非流动资产或处置组，在取得日满足</w:t>
      </w:r>
      <w:r>
        <w:rPr>
          <w:rFonts w:ascii="Times New Roman" w:hAnsi="Times New Roman" w:cs="Times New Roman" w:eastAsia="Times New Roman" w:hint="default"/>
          <w:spacing w:val="-2"/>
        </w:rPr>
        <w:t>“</w:t>
      </w:r>
      <w:r>
        <w:rPr>
          <w:spacing w:val="-2"/>
        </w:rPr>
        <w:t>预计出售将在一年内完成</w:t>
      </w:r>
      <w:r>
        <w:rPr>
          <w:rFonts w:ascii="Times New Roman" w:hAnsi="Times New Roman" w:cs="Times New Roman" w:eastAsia="Times New Roman" w:hint="default"/>
          <w:spacing w:val="-2"/>
        </w:rPr>
        <w:t>”</w:t>
      </w:r>
      <w:r>
        <w:rPr>
          <w:spacing w:val="-2"/>
        </w:rPr>
        <w:t>的规定条件，且短期（通常</w:t>
      </w:r>
      <w:r>
        <w:rPr/>
        <w:t> 为</w:t>
      </w:r>
      <w:r>
        <w:rPr>
          <w:rFonts w:ascii="Times New Roman" w:hAnsi="Times New Roman" w:cs="Times New Roman" w:eastAsia="Times New Roman" w:hint="default"/>
        </w:rPr>
        <w:t>3</w:t>
      </w:r>
      <w:r>
        <w:rPr/>
        <w:t>个月）内很可能满足持有待售类别的其他划分条件的，在取得日划分为持有待售类别。</w:t>
      </w:r>
    </w:p>
    <w:p>
      <w:pPr>
        <w:spacing w:line="240" w:lineRule="auto" w:before="7"/>
        <w:rPr>
          <w:rFonts w:ascii="宋体" w:hAnsi="宋体" w:cs="宋体" w:eastAsia="宋体" w:hint="default"/>
          <w:sz w:val="17"/>
          <w:szCs w:val="17"/>
        </w:rPr>
      </w:pPr>
    </w:p>
    <w:p>
      <w:pPr>
        <w:pStyle w:val="BodyText"/>
        <w:spacing w:line="314" w:lineRule="auto"/>
        <w:ind w:right="1030" w:firstLine="360"/>
        <w:jc w:val="left"/>
      </w:pPr>
      <w:r>
        <w:rPr>
          <w:spacing w:val="-2"/>
        </w:rPr>
        <w:t>本公司初始计量或在资产负债表日重新计量划分为持有待售的非流动资产和处置组时，其账面价值高于公允价值减去出</w:t>
      </w:r>
      <w:r>
        <w:rPr/>
        <w:t> 售费用后的净额的，将账面价值减记至公允价值减去出售费用后的净额，减记的金额确认为资产减值损失，计入当期损益， </w:t>
      </w:r>
      <w:r>
        <w:rPr>
          <w:spacing w:val="-2"/>
        </w:rPr>
        <w:t>同时计提持有待售资产减值准备。对于持有待售的处置组确认的资产减值损失金额，先抵减处置组中商誉的账面价值，再根</w:t>
      </w:r>
      <w:r>
        <w:rPr>
          <w:spacing w:val="-66"/>
        </w:rPr>
        <w:t> </w:t>
      </w:r>
      <w:r>
        <w:rPr>
          <w:spacing w:val="-66"/>
        </w:rPr>
      </w:r>
      <w:r>
        <w:rPr>
          <w:spacing w:val="-2"/>
        </w:rPr>
        <w:t>据处置组中适用《企业会计准则第</w:t>
      </w: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持有待售的非流动资产、处置组和终止经营》计量规定的各项非流动资产账面价</w:t>
      </w:r>
      <w:r>
        <w:rPr>
          <w:spacing w:val="-64"/>
        </w:rPr>
        <w:t> </w:t>
      </w:r>
      <w:r>
        <w:rPr>
          <w:spacing w:val="-64"/>
        </w:rPr>
      </w:r>
      <w:r>
        <w:rPr/>
        <w:t>值所占比重，按比例抵减其账面价值。</w:t>
      </w:r>
    </w:p>
    <w:p>
      <w:pPr>
        <w:spacing w:line="240" w:lineRule="auto" w:before="1"/>
        <w:rPr>
          <w:rFonts w:ascii="宋体" w:hAnsi="宋体" w:cs="宋体" w:eastAsia="宋体" w:hint="default"/>
          <w:sz w:val="18"/>
          <w:szCs w:val="18"/>
        </w:rPr>
      </w:pPr>
    </w:p>
    <w:p>
      <w:pPr>
        <w:pStyle w:val="BodyText"/>
        <w:spacing w:line="312" w:lineRule="auto"/>
        <w:ind w:right="1129" w:firstLine="360"/>
        <w:jc w:val="both"/>
      </w:pPr>
      <w:r>
        <w:rPr>
          <w:spacing w:val="-2"/>
        </w:rPr>
        <w:t>后续资产负债表日持有待售的非流动资产公允价值减去出售费用后的净额增加的，以前减记的金额予以恢复，并在划分</w:t>
      </w:r>
      <w:r>
        <w:rPr/>
        <w:t> </w:t>
      </w:r>
      <w:r>
        <w:rPr>
          <w:spacing w:val="-2"/>
        </w:rPr>
        <w:t>为持有待售类别后确认的资产减值损失金额内转回，转回金额计入当期损益。划分为持有待售类别前确认的资产减值损失不</w:t>
      </w:r>
      <w:r>
        <w:rPr>
          <w:spacing w:val="-64"/>
        </w:rPr>
        <w:t> </w:t>
      </w:r>
      <w:r>
        <w:rPr>
          <w:spacing w:val="-64"/>
        </w:rPr>
      </w:r>
      <w:r>
        <w:rPr>
          <w:spacing w:val="-2"/>
        </w:rPr>
        <w:t>转回。持有待售的处置组以前减记的金额应当予以恢复，并在划分为持有待售类别后适用《企业会计准则第</w:t>
      </w: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持有待</w:t>
      </w:r>
      <w:r>
        <w:rPr>
          <w:spacing w:val="-64"/>
        </w:rPr>
        <w:t> </w:t>
      </w:r>
      <w:r>
        <w:rPr>
          <w:spacing w:val="-2"/>
        </w:rPr>
        <w:t>售的非流动资产、处置组和终止经营》计量规定的非流动资产确认的资产减值损失金额内转回，转回金额计入当期损益。已</w:t>
      </w:r>
      <w:r>
        <w:rPr>
          <w:spacing w:val="-66"/>
        </w:rPr>
        <w:t> </w:t>
      </w:r>
      <w:r>
        <w:rPr>
          <w:spacing w:val="-66"/>
        </w:rPr>
      </w:r>
      <w:r>
        <w:rPr>
          <w:spacing w:val="-2"/>
        </w:rPr>
        <w:t>抵减的商誉账面价值，以及适用《企业会计准则第</w:t>
      </w: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持有待售的非流动资产、处置组和终止经营》计量规定的非流动</w:t>
      </w:r>
      <w:r>
        <w:rPr>
          <w:spacing w:val="-64"/>
        </w:rPr>
        <w:t> </w:t>
      </w:r>
      <w:r>
        <w:rPr>
          <w:spacing w:val="-64"/>
        </w:rPr>
      </w:r>
      <w:r>
        <w:rPr/>
        <w:t>资产在划分为持有待售类别前确认的资产减值损失不得转回。</w:t>
      </w:r>
    </w:p>
    <w:p>
      <w:pPr>
        <w:spacing w:line="240" w:lineRule="auto" w:before="3"/>
        <w:rPr>
          <w:rFonts w:ascii="宋体" w:hAnsi="宋体" w:cs="宋体" w:eastAsia="宋体" w:hint="default"/>
          <w:sz w:val="18"/>
          <w:szCs w:val="18"/>
        </w:rPr>
      </w:pPr>
    </w:p>
    <w:p>
      <w:pPr>
        <w:pStyle w:val="BodyText"/>
        <w:spacing w:line="316" w:lineRule="auto"/>
        <w:ind w:right="1129" w:firstLine="360"/>
        <w:jc w:val="both"/>
      </w:pPr>
      <w:r>
        <w:rPr>
          <w:spacing w:val="-2"/>
        </w:rPr>
        <w:t>持有待售的非流动资产或处置组中的非流动资产不计提折旧或摊销，持有待售的处置组中负债的利息和其他费用继续予</w:t>
      </w:r>
      <w:r>
        <w:rPr/>
        <w:t> 以确认。</w:t>
      </w:r>
    </w:p>
    <w:p>
      <w:pPr>
        <w:spacing w:line="240" w:lineRule="auto" w:before="12"/>
        <w:rPr>
          <w:rFonts w:ascii="宋体" w:hAnsi="宋体" w:cs="宋体" w:eastAsia="宋体" w:hint="default"/>
          <w:sz w:val="17"/>
          <w:szCs w:val="17"/>
        </w:rPr>
      </w:pPr>
    </w:p>
    <w:p>
      <w:pPr>
        <w:pStyle w:val="BodyText"/>
        <w:spacing w:line="309" w:lineRule="auto"/>
        <w:ind w:right="1128" w:firstLine="360"/>
        <w:jc w:val="both"/>
      </w:pPr>
      <w:r>
        <w:rPr>
          <w:spacing w:val="-2"/>
        </w:rPr>
        <w:t>非流动资产或处置组因不再满足持有待售类别的划分条件时，本公司不再将其继续划分为持有待售类别或非流动资产从</w:t>
      </w:r>
      <w:r>
        <w:rPr/>
        <w:t> 持有待售的处置组中移除，并按照以下两者孰低计量：（</w:t>
      </w:r>
      <w:r>
        <w:rPr>
          <w:rFonts w:ascii="Times New Roman" w:hAnsi="Times New Roman" w:cs="Times New Roman" w:eastAsia="Times New Roman" w:hint="default"/>
        </w:rPr>
        <w:t>1</w:t>
      </w:r>
      <w:r>
        <w:rPr/>
        <w:t>）划分为持有待售类别前的账面价值，按照假定不划分为持有待</w:t>
      </w:r>
      <w:r>
        <w:rPr>
          <w:spacing w:val="-83"/>
        </w:rPr>
        <w:t> </w:t>
      </w:r>
      <w:r>
        <w:rPr>
          <w:spacing w:val="-83"/>
        </w:rPr>
      </w:r>
      <w:r>
        <w:rPr/>
        <w:t>售类别情况下本应确认的折旧、摊销或减值等进行调整后的金额；（</w:t>
      </w:r>
      <w:r>
        <w:rPr>
          <w:rFonts w:ascii="Times New Roman" w:hAnsi="Times New Roman" w:cs="Times New Roman" w:eastAsia="Times New Roman" w:hint="default"/>
        </w:rPr>
        <w:t>2</w:t>
      </w:r>
      <w:r>
        <w:rPr/>
        <w:t>）可收回金额。</w:t>
      </w:r>
    </w:p>
    <w:p>
      <w:pPr>
        <w:spacing w:line="240" w:lineRule="auto" w:before="12"/>
        <w:rPr>
          <w:rFonts w:ascii="宋体" w:hAnsi="宋体" w:cs="宋体" w:eastAsia="宋体" w:hint="default"/>
          <w:sz w:val="16"/>
          <w:szCs w:val="16"/>
        </w:rPr>
      </w:pPr>
    </w:p>
    <w:p>
      <w:pPr>
        <w:pStyle w:val="BodyText"/>
        <w:spacing w:line="240" w:lineRule="auto"/>
        <w:ind w:left="587" w:right="0"/>
        <w:jc w:val="left"/>
      </w:pPr>
      <w:r>
        <w:rPr/>
        <w:t>终止确认持有待售的非流动资产或处置组时，本公司将尚未确认的利得或损失计入当期损益。</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15</w:t>
      </w:r>
      <w:r>
        <w:rPr/>
        <w:t>、长期应收款</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131" w:firstLine="360"/>
        <w:jc w:val="both"/>
      </w:pPr>
      <w:r>
        <w:rPr>
          <w:spacing w:val="-2"/>
        </w:rPr>
        <w:t>当单项长期应收款无法以合理成本取得评估预期信用损失的信息时，本公司依据信用风险特征将长期应收款划分为若干</w:t>
      </w:r>
      <w:r>
        <w:rPr/>
        <w:t> 组合，在组合基础上计算预期信用损失。确定组合的依据如下：</w:t>
      </w:r>
    </w:p>
    <w:tbl>
      <w:tblPr>
        <w:tblW w:w="0" w:type="auto"/>
        <w:jc w:val="left"/>
        <w:tblInd w:w="146" w:type="dxa"/>
        <w:tblLayout w:type="fixed"/>
        <w:tblCellMar>
          <w:top w:w="0" w:type="dxa"/>
          <w:left w:w="0" w:type="dxa"/>
          <w:bottom w:w="0" w:type="dxa"/>
          <w:right w:w="0" w:type="dxa"/>
        </w:tblCellMar>
        <w:tblLook w:val="01E0"/>
      </w:tblPr>
      <w:tblGrid>
        <w:gridCol w:w="3584"/>
        <w:gridCol w:w="5974"/>
      </w:tblGrid>
      <w:tr>
        <w:trPr>
          <w:trHeight w:val="427"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5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348" w:hRule="exact"/>
        </w:trPr>
        <w:tc>
          <w:tcPr>
            <w:tcW w:w="3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长期应收款组合</w:t>
            </w:r>
          </w:p>
        </w:tc>
        <w:tc>
          <w:tcPr>
            <w:tcW w:w="59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应收项目建设款项</w:t>
            </w:r>
          </w:p>
        </w:tc>
      </w:tr>
    </w:tbl>
    <w:p>
      <w:pPr>
        <w:spacing w:line="240" w:lineRule="auto" w:before="3"/>
        <w:rPr>
          <w:rFonts w:ascii="宋体" w:hAnsi="宋体" w:cs="宋体" w:eastAsia="宋体" w:hint="default"/>
          <w:sz w:val="7"/>
          <w:szCs w:val="7"/>
        </w:rPr>
      </w:pPr>
    </w:p>
    <w:p>
      <w:pPr>
        <w:pStyle w:val="BodyText"/>
        <w:spacing w:line="316" w:lineRule="auto" w:before="44"/>
        <w:ind w:right="0" w:firstLine="360"/>
        <w:jc w:val="left"/>
      </w:pPr>
      <w:r>
        <w:rPr>
          <w:spacing w:val="-2"/>
        </w:rPr>
        <w:t>对于划分为组合的长期应收款，本公司参考历史信用损失经验，结合当前状况以及对未来经济状况的预测，通过违约风</w:t>
      </w:r>
      <w:r>
        <w:rPr/>
        <w:t> 险敞口和未来</w:t>
      </w:r>
      <w:r>
        <w:rPr>
          <w:rFonts w:ascii="Times New Roman" w:hAnsi="Times New Roman" w:cs="Times New Roman" w:eastAsia="Times New Roman" w:hint="default"/>
        </w:rPr>
        <w:t>12</w:t>
      </w:r>
      <w:r>
        <w:rPr/>
        <w:t>个月内或整个存续期预期信用损失率，该组合预期信用损失为</w:t>
      </w:r>
      <w:r>
        <w:rPr>
          <w:rFonts w:ascii="Times New Roman" w:hAnsi="Times New Roman" w:cs="Times New Roman" w:eastAsia="Times New Roman" w:hint="default"/>
        </w:rPr>
        <w:t>0%</w:t>
      </w:r>
      <w:r>
        <w:rPr/>
        <w:t>。</w:t>
      </w:r>
    </w:p>
    <w:p>
      <w:pPr>
        <w:spacing w:after="0" w:line="316" w:lineRule="auto"/>
        <w:jc w:val="left"/>
        <w:sectPr>
          <w:pgSz w:w="11910" w:h="16840"/>
          <w:pgMar w:header="747"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16</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290"/>
        <w:jc w:val="both"/>
      </w:pPr>
      <w:r>
        <w:rPr>
          <w:spacing w:val="-1"/>
        </w:rPr>
        <w:t>本部分所指的长期股权投资是指本公司对被投资单位具有控制、共同控制或重大影响的长期股权投资。本公司对被投资</w:t>
      </w:r>
      <w:r>
        <w:rPr/>
        <w:t> </w:t>
      </w:r>
      <w:r>
        <w:rPr>
          <w:spacing w:val="-2"/>
        </w:rPr>
        <w:t>单位不具有控制、共同控制或重大影响的长期股权投资，作为交易性金融资产或其他权益工具投资核算，其会计政策详见附</w:t>
      </w:r>
      <w:r>
        <w:rPr>
          <w:spacing w:val="-66"/>
        </w:rPr>
        <w:t> </w:t>
      </w:r>
      <w:r>
        <w:rPr>
          <w:spacing w:val="-66"/>
        </w:rPr>
      </w:r>
      <w:r>
        <w:rPr/>
        <w:t>注五、</w:t>
      </w:r>
      <w:r>
        <w:rPr>
          <w:rFonts w:ascii="Times New Roman" w:hAnsi="Times New Roman" w:cs="Times New Roman" w:eastAsia="Times New Roman" w:hint="default"/>
        </w:rPr>
        <w:t>9“</w:t>
      </w:r>
      <w:r>
        <w:rPr/>
        <w:t>金融工具</w:t>
      </w:r>
      <w:r>
        <w:rPr>
          <w:rFonts w:ascii="Times New Roman" w:hAnsi="Times New Roman" w:cs="Times New Roman" w:eastAsia="Times New Roman" w:hint="default"/>
        </w:rPr>
        <w:t>”</w:t>
      </w:r>
      <w:r>
        <w:rPr/>
        <w:t>。</w:t>
      </w:r>
    </w:p>
    <w:p>
      <w:pPr>
        <w:spacing w:line="240" w:lineRule="auto" w:before="6"/>
        <w:rPr>
          <w:rFonts w:ascii="宋体" w:hAnsi="宋体" w:cs="宋体" w:eastAsia="宋体" w:hint="default"/>
          <w:sz w:val="16"/>
          <w:szCs w:val="16"/>
        </w:rPr>
      </w:pPr>
    </w:p>
    <w:p>
      <w:pPr>
        <w:pStyle w:val="BodyText"/>
        <w:spacing w:line="316" w:lineRule="auto"/>
        <w:ind w:right="1131" w:firstLine="360"/>
        <w:jc w:val="both"/>
      </w:pPr>
      <w:r>
        <w:rPr>
          <w:spacing w:val="-2"/>
        </w:rPr>
        <w:t>共同控制，是指本公司按照相关约定对某项安排所共有的控制，并且该安排的相关活动必须经过分享控制权的参与方一</w:t>
      </w:r>
      <w:r>
        <w:rPr/>
        <w:t> </w:t>
      </w:r>
      <w:r>
        <w:rPr>
          <w:spacing w:val="-2"/>
        </w:rPr>
        <w:t>致同意后才能决策。重大影响，是指本公司对被投资单位的财务和经营政策有参与决策的权力，但并不能够控制或者与其他</w:t>
      </w:r>
      <w:r>
        <w:rPr>
          <w:spacing w:val="-66"/>
        </w:rPr>
        <w:t> </w:t>
      </w:r>
      <w:r>
        <w:rPr>
          <w:spacing w:val="-66"/>
        </w:rPr>
      </w:r>
      <w:r>
        <w:rPr/>
        <w:t>方一起共同控制这些政策的制定。</w:t>
      </w:r>
    </w:p>
    <w:p>
      <w:pPr>
        <w:pStyle w:val="BodyText"/>
        <w:spacing w:line="528" w:lineRule="exact" w:before="22"/>
        <w:ind w:left="514" w:right="0" w:hanging="143"/>
        <w:jc w:val="left"/>
      </w:pPr>
      <w:r>
        <w:rPr/>
        <w:t>（</w:t>
      </w:r>
      <w:r>
        <w:rPr>
          <w:rFonts w:ascii="Times New Roman" w:hAnsi="Times New Roman" w:cs="Times New Roman" w:eastAsia="Times New Roman" w:hint="default"/>
        </w:rPr>
        <w:t>1</w:t>
      </w:r>
      <w:r>
        <w:rPr/>
        <w:t>）投资成本的确定 </w:t>
      </w:r>
      <w:r>
        <w:rPr>
          <w:spacing w:val="-2"/>
        </w:rPr>
        <w:t>对于同一控制下的企业合并取得的长期股权投资，在合并日按照被合并方股东权益在最终控制方合并财务报表中的账面</w:t>
      </w:r>
    </w:p>
    <w:p>
      <w:pPr>
        <w:pStyle w:val="BodyText"/>
        <w:spacing w:line="314" w:lineRule="auto"/>
        <w:ind w:right="1030"/>
        <w:jc w:val="left"/>
      </w:pPr>
      <w:r>
        <w:rPr>
          <w:spacing w:val="-2"/>
        </w:rPr>
        <w:t>价值的份额作为长期股权投资的初始投资成本。长期股权投资初始投资成本与支付的现金、转让的非现金资产以及所承担债</w:t>
      </w:r>
      <w:r>
        <w:rPr>
          <w:spacing w:val="-64"/>
        </w:rPr>
        <w:t> </w:t>
      </w:r>
      <w:r>
        <w:rPr>
          <w:spacing w:val="-64"/>
        </w:rPr>
      </w:r>
      <w:r>
        <w:rPr>
          <w:spacing w:val="-2"/>
        </w:rPr>
        <w:t>务账面价值之间的差额，调整资本公积；资本公积不足冲减的，调整留存收益。以发行权益性证券作为合并对价的，在合并</w:t>
      </w:r>
      <w:r>
        <w:rPr>
          <w:spacing w:val="-66"/>
        </w:rPr>
        <w:t> </w:t>
      </w:r>
      <w:r>
        <w:rPr>
          <w:spacing w:val="-66"/>
        </w:rPr>
      </w:r>
      <w:r>
        <w:rPr>
          <w:spacing w:val="-2"/>
        </w:rPr>
        <w:t>日按照被合并方股东权益在最终控制方合并财务报表中的账面价值的份额作为长期股权投资的初始投资成本，按照发行股份</w:t>
      </w:r>
      <w:r>
        <w:rPr>
          <w:spacing w:val="-64"/>
        </w:rPr>
        <w:t> </w:t>
      </w:r>
      <w:r>
        <w:rPr>
          <w:spacing w:val="-64"/>
        </w:rPr>
      </w:r>
      <w:r>
        <w:rPr>
          <w:spacing w:val="-4"/>
        </w:rPr>
        <w:t>的面值总额作为股本，长期股权投资初始投资成本与所发行股份面值总额之间的差额，调整资本公积；资本公积不足冲减的，</w:t>
      </w:r>
      <w:r>
        <w:rPr>
          <w:spacing w:val="-44"/>
        </w:rPr>
        <w:t> </w:t>
      </w:r>
      <w:r>
        <w:rPr>
          <w:spacing w:val="-44"/>
        </w:rPr>
      </w:r>
      <w:r>
        <w:rPr/>
        <w:t>调整留存收益。通过多次交易分步取得同一控制下被合并方的股权，最终形成同一控制下企业合并的，应分别是否属于</w:t>
      </w:r>
      <w:r>
        <w:rPr>
          <w:rFonts w:ascii="Times New Roman" w:hAnsi="Times New Roman" w:cs="Times New Roman" w:eastAsia="Times New Roman" w:hint="default"/>
        </w:rPr>
        <w:t>“</w:t>
      </w:r>
      <w:r>
        <w:rPr/>
        <w:t>一</w:t>
      </w:r>
      <w:r>
        <w:rPr>
          <w:spacing w:val="-76"/>
        </w:rPr>
        <w:t> </w:t>
      </w:r>
      <w:r>
        <w:rPr>
          <w:spacing w:val="-1"/>
        </w:rPr>
        <w:t>揽子交易</w:t>
      </w:r>
      <w:r>
        <w:rPr>
          <w:rFonts w:ascii="Times New Roman" w:hAnsi="Times New Roman" w:cs="Times New Roman" w:eastAsia="Times New Roman" w:hint="default"/>
          <w:spacing w:val="-1"/>
        </w:rPr>
        <w:t>”</w:t>
      </w:r>
      <w:r>
        <w:rPr>
          <w:spacing w:val="-1"/>
        </w:rPr>
        <w:t>进行处理：属于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的，将各项交易作为一项取得控制权的交易进行会计处理。不属于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w:t>
      </w:r>
      <w:r>
        <w:rPr>
          <w:spacing w:val="-66"/>
        </w:rPr>
        <w:t> </w:t>
      </w:r>
      <w:r>
        <w:rPr/>
        <w:t>在合并日按照应享有被合并方股东权益在最终控制方合并财务报表中的账面价值的份额作为长期股权投资的初始投资成本， 长期股权投资初始投资成本与达到合并前的长期股权投资账面价值加上合并日进一步取得股份新支付对价的账面价值之和</w:t>
      </w:r>
      <w:r>
        <w:rPr>
          <w:spacing w:val="-9"/>
        </w:rPr>
        <w:t> </w:t>
      </w:r>
      <w:r>
        <w:rPr>
          <w:spacing w:val="-9"/>
        </w:rPr>
      </w:r>
      <w:r>
        <w:rPr>
          <w:spacing w:val="-2"/>
        </w:rPr>
        <w:t>的差额，调整资本公积；资本公积不足冲减的，调整留存收益。合并日之前持有的股权投资因采用权益法核算或为可供出售</w:t>
      </w:r>
      <w:r>
        <w:rPr>
          <w:spacing w:val="-66"/>
        </w:rPr>
        <w:t> </w:t>
      </w:r>
      <w:r>
        <w:rPr>
          <w:spacing w:val="-66"/>
        </w:rPr>
      </w:r>
      <w:r>
        <w:rPr/>
        <w:t>金融资产而确认的其他综合收益，暂不进行会计处理。</w:t>
      </w:r>
    </w:p>
    <w:p>
      <w:pPr>
        <w:spacing w:line="240" w:lineRule="auto" w:before="1"/>
        <w:rPr>
          <w:rFonts w:ascii="宋体" w:hAnsi="宋体" w:cs="宋体" w:eastAsia="宋体" w:hint="default"/>
          <w:sz w:val="18"/>
          <w:szCs w:val="18"/>
        </w:rPr>
      </w:pPr>
    </w:p>
    <w:p>
      <w:pPr>
        <w:pStyle w:val="BodyText"/>
        <w:spacing w:line="312" w:lineRule="auto"/>
        <w:ind w:right="1038" w:firstLine="343"/>
        <w:jc w:val="left"/>
      </w:pPr>
      <w:r>
        <w:rPr/>
        <w:t>对于非同一控制下的企业合并取得的长期股权投资，在购买日按照合并成本作为长期股权投资的初始投资成本，合并成 </w:t>
      </w:r>
      <w:r>
        <w:rPr>
          <w:spacing w:val="-4"/>
        </w:rPr>
        <w:t>本包括购买方付出的资产、发生或承担的负债、发行的权益性证券的公允价值之和。通过多次交易分步取得被购买方的股权，</w:t>
      </w:r>
      <w:r>
        <w:rPr>
          <w:spacing w:val="-44"/>
        </w:rPr>
        <w:t> </w:t>
      </w:r>
      <w:r>
        <w:rPr>
          <w:spacing w:val="-44"/>
        </w:rPr>
      </w:r>
      <w:r>
        <w:rPr/>
        <w:t>最终形成非同一控制下的企业合并的，应分别是否属于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 </w:t>
      </w:r>
      <w:r>
        <w:rPr>
          <w:spacing w:val="-3"/>
        </w:rPr>
        <w:t>取得控制权的交易进行会计处理。不属于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的，按照原持有被购买方的股权投资账面价值加上新增投资成本之和，</w:t>
      </w:r>
      <w:r>
        <w:rPr>
          <w:spacing w:val="-75"/>
        </w:rPr>
        <w:t> </w:t>
      </w:r>
      <w:r>
        <w:rPr>
          <w:spacing w:val="-75"/>
        </w:rPr>
      </w:r>
      <w:r>
        <w:rPr>
          <w:spacing w:val="-2"/>
        </w:rPr>
        <w:t>作为改按成本法核算的长期股权投资的初始投资成本。原持有的股权采用权益法核算的，相关其他综合收益暂不进行会计处</w:t>
      </w:r>
      <w:r>
        <w:rPr>
          <w:spacing w:val="-64"/>
        </w:rPr>
        <w:t> </w:t>
      </w:r>
      <w:r>
        <w:rPr>
          <w:spacing w:val="-64"/>
        </w:rPr>
      </w:r>
      <w:r>
        <w:rPr>
          <w:spacing w:val="-2"/>
        </w:rPr>
        <w:t>理。原持有股权投资为可供出售金融资产的，其公允价值与账面价值之间的差额，以及原计入其他综合收益的累计公允价值</w:t>
      </w:r>
      <w:r>
        <w:rPr>
          <w:spacing w:val="-66"/>
        </w:rPr>
        <w:t> </w:t>
      </w:r>
      <w:r>
        <w:rPr>
          <w:spacing w:val="-66"/>
        </w:rPr>
      </w:r>
      <w:r>
        <w:rPr/>
        <w:t>变动转入当期损益。</w:t>
      </w:r>
    </w:p>
    <w:p>
      <w:pPr>
        <w:pStyle w:val="BodyText"/>
        <w:spacing w:line="528" w:lineRule="exact" w:before="26"/>
        <w:ind w:left="444" w:right="0" w:hanging="218"/>
        <w:jc w:val="left"/>
      </w:pPr>
      <w:r>
        <w:rPr>
          <w:spacing w:val="-2"/>
        </w:rPr>
        <w:t>合并方或购买方为企业合并发生的审计、法律服务、评估咨询等中介费用以及其他相关管理费用，于发生时计入当期损益。</w:t>
      </w:r>
      <w:r>
        <w:rPr>
          <w:spacing w:val="-50"/>
        </w:rPr>
        <w:t> </w:t>
      </w:r>
      <w:r>
        <w:rPr>
          <w:spacing w:val="-50"/>
        </w:rPr>
      </w:r>
      <w:r>
        <w:rPr/>
        <w:t>除企业合并形成的长期股权投资外的其他股权投资，按成本进行初始计量，该成本视长期股权投资取得方式的不同，分</w:t>
      </w:r>
    </w:p>
    <w:p>
      <w:pPr>
        <w:pStyle w:val="BodyText"/>
        <w:spacing w:line="314" w:lineRule="auto"/>
        <w:ind w:right="1129"/>
        <w:jc w:val="both"/>
      </w:pPr>
      <w:r>
        <w:rPr>
          <w:spacing w:val="-2"/>
        </w:rPr>
        <w:t>别按照本公司实际支付的现金购买价款、本公司发行的权益性证券的公允价值、投资合同或协议约定的价值、非货币性资产</w:t>
      </w:r>
      <w:r>
        <w:rPr>
          <w:spacing w:val="-66"/>
        </w:rPr>
        <w:t> </w:t>
      </w:r>
      <w:r>
        <w:rPr>
          <w:spacing w:val="-66"/>
        </w:rPr>
      </w:r>
      <w:r>
        <w:rPr>
          <w:spacing w:val="-2"/>
        </w:rPr>
        <w:t>交换交易中换出资产的公允价值或原账面价值、该项长期股权投资自身的公允价值等方式确定。与取得长期股权投资直接相</w:t>
      </w:r>
      <w:r>
        <w:rPr>
          <w:spacing w:val="-64"/>
        </w:rPr>
        <w:t> </w:t>
      </w:r>
      <w:r>
        <w:rPr>
          <w:spacing w:val="-64"/>
        </w:rPr>
      </w:r>
      <w:r>
        <w:rPr>
          <w:spacing w:val="-2"/>
        </w:rPr>
        <w:t>关的费用、税金及其他必要支出也计入投资成本。对于因追加投资能够对被投资单位实施重大影响或实施共同控制但不构成</w:t>
      </w:r>
      <w:r>
        <w:rPr>
          <w:spacing w:val="-64"/>
        </w:rPr>
        <w:t> </w:t>
      </w:r>
      <w:r>
        <w:rPr>
          <w:spacing w:val="-64"/>
        </w:rPr>
      </w:r>
      <w:r>
        <w:rPr>
          <w:spacing w:val="-2"/>
        </w:rPr>
        <w:t>控制的，长期股权投资成本为按照《企业会计准则第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金融工具确认和计量》确定的原持有股权投资的公允价值加上</w:t>
      </w:r>
      <w:r>
        <w:rPr>
          <w:spacing w:val="-64"/>
        </w:rPr>
        <w:t> </w:t>
      </w:r>
      <w:r>
        <w:rPr>
          <w:spacing w:val="-64"/>
        </w:rPr>
      </w:r>
      <w:r>
        <w:rPr/>
        <w:t>新增投资成本之和。</w:t>
      </w:r>
    </w:p>
    <w:p>
      <w:pPr>
        <w:pStyle w:val="BodyText"/>
        <w:spacing w:line="528" w:lineRule="exact" w:before="24"/>
        <w:ind w:left="444" w:right="0"/>
        <w:jc w:val="left"/>
      </w:pPr>
      <w:r>
        <w:rPr/>
        <w:t>（</w:t>
      </w:r>
      <w:r>
        <w:rPr>
          <w:rFonts w:ascii="Times New Roman" w:hAnsi="Times New Roman" w:cs="Times New Roman" w:eastAsia="Times New Roman" w:hint="default"/>
        </w:rPr>
        <w:t>2</w:t>
      </w:r>
      <w:r>
        <w:rPr/>
        <w:t>）后续计量及损益确认方法 </w:t>
      </w:r>
      <w:r>
        <w:rPr>
          <w:spacing w:val="-1"/>
        </w:rPr>
        <w:t>对被投资单位具有共同控制（构成共同经营者除外）或重大影响的长期股权投资，采用权益法核算。此外，公司财务报</w:t>
      </w:r>
    </w:p>
    <w:p>
      <w:pPr>
        <w:pStyle w:val="BodyText"/>
        <w:spacing w:line="232" w:lineRule="exact"/>
        <w:ind w:right="0"/>
        <w:jc w:val="left"/>
      </w:pPr>
      <w:r>
        <w:rPr/>
        <w:t>表采用成本法核算能够对被投资单位实施控制的长期股权投资。</w:t>
      </w:r>
    </w:p>
    <w:p>
      <w:pPr>
        <w:spacing w:line="240" w:lineRule="auto" w:before="5"/>
        <w:rPr>
          <w:rFonts w:ascii="宋体" w:hAnsi="宋体" w:cs="宋体" w:eastAsia="宋体" w:hint="default"/>
          <w:sz w:val="22"/>
          <w:szCs w:val="22"/>
        </w:rPr>
      </w:pPr>
    </w:p>
    <w:p>
      <w:pPr>
        <w:pStyle w:val="BodyText"/>
        <w:spacing w:line="240" w:lineRule="auto"/>
        <w:ind w:left="444" w:right="0"/>
        <w:jc w:val="left"/>
      </w:pPr>
      <w:r>
        <w:rPr/>
        <w:t>①成本法核算的长期股权投资</w:t>
      </w:r>
    </w:p>
    <w:p>
      <w:pPr>
        <w:spacing w:after="0" w:line="240"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153" w:right="1131" w:firstLine="290"/>
        <w:jc w:val="both"/>
      </w:pPr>
      <w:r>
        <w:rPr>
          <w:spacing w:val="-1"/>
        </w:rPr>
        <w:t>采用成本法核算时，长期股权投资按初始投资成本计价，追加或收回投资调整长期股权投资的成本。除取得投资时实际</w:t>
      </w:r>
      <w:r>
        <w:rPr/>
        <w:t> </w:t>
      </w:r>
      <w:r>
        <w:rPr>
          <w:spacing w:val="-2"/>
        </w:rPr>
        <w:t>支付的价款或者对价中包含的已宣告但尚未发放的现金股利或者利润外，当期投资收益按照享有被投资单位宣告发放的现金</w:t>
      </w:r>
      <w:r>
        <w:rPr>
          <w:spacing w:val="-64"/>
        </w:rPr>
        <w:t> </w:t>
      </w:r>
      <w:r>
        <w:rPr>
          <w:spacing w:val="-64"/>
        </w:rPr>
      </w:r>
      <w:r>
        <w:rPr/>
        <w:t>股利或利润确认。</w:t>
      </w:r>
    </w:p>
    <w:p>
      <w:pPr>
        <w:pStyle w:val="BodyText"/>
        <w:spacing w:line="528" w:lineRule="exact" w:before="22"/>
        <w:ind w:left="444" w:right="0"/>
        <w:jc w:val="left"/>
      </w:pPr>
      <w:r>
        <w:rPr/>
        <w:t>②权益法核算的长期股权投资 </w:t>
      </w:r>
      <w:r>
        <w:rPr>
          <w:spacing w:val="-1"/>
        </w:rPr>
        <w:t>采用权益法核算时，长期股权投资的初始投资成本大于投资时应享有被投资单位可辨认净资产公允价值份额的，不调整</w:t>
      </w:r>
    </w:p>
    <w:p>
      <w:pPr>
        <w:pStyle w:val="BodyText"/>
        <w:spacing w:line="316" w:lineRule="auto"/>
        <w:ind w:left="153" w:right="0"/>
        <w:jc w:val="left"/>
      </w:pPr>
      <w:r>
        <w:rPr>
          <w:spacing w:val="-2"/>
        </w:rPr>
        <w:t>长期股权投资的初始投资成本；初始投资成本小于投资时应享有被投资单位可辨认净资产公允价值份额的，其差额计入当期</w:t>
      </w:r>
      <w:r>
        <w:rPr>
          <w:spacing w:val="-64"/>
        </w:rPr>
        <w:t> </w:t>
      </w:r>
      <w:r>
        <w:rPr>
          <w:spacing w:val="-64"/>
        </w:rPr>
      </w:r>
      <w:r>
        <w:rPr/>
        <w:t>损益，同时调整长期股权投资的成本。</w:t>
      </w:r>
    </w:p>
    <w:p>
      <w:pPr>
        <w:spacing w:line="240" w:lineRule="auto" w:before="12"/>
        <w:rPr>
          <w:rFonts w:ascii="宋体" w:hAnsi="宋体" w:cs="宋体" w:eastAsia="宋体" w:hint="default"/>
          <w:sz w:val="17"/>
          <w:szCs w:val="17"/>
        </w:rPr>
      </w:pPr>
    </w:p>
    <w:p>
      <w:pPr>
        <w:pStyle w:val="BodyText"/>
        <w:spacing w:line="316" w:lineRule="auto"/>
        <w:ind w:left="153" w:right="1031" w:firstLine="290"/>
        <w:jc w:val="left"/>
      </w:pPr>
      <w:r>
        <w:rPr/>
        <w:t>采用权益法核算时，按照应享有或应分担的被投资单位实现的净损益和其他综合收益的份额，分别确认投资收益和其他 </w:t>
      </w:r>
      <w:r>
        <w:rPr>
          <w:spacing w:val="-2"/>
        </w:rPr>
        <w:t>综合收益，同时调整长期股权投资的账面价值；按照被投资单位宣告分派的利润或现金股利计算应享有的部分，相应减少长</w:t>
      </w:r>
      <w:r>
        <w:rPr>
          <w:spacing w:val="-66"/>
        </w:rPr>
        <w:t> </w:t>
      </w:r>
      <w:r>
        <w:rPr>
          <w:spacing w:val="-66"/>
        </w:rPr>
      </w:r>
      <w:r>
        <w:rPr>
          <w:spacing w:val="-2"/>
        </w:rPr>
        <w:t>期股权投资的账面价值；对于被投资单位除净损益、其他综合收益和利润分配以外所有者权益的其他变动，调整长期股权投</w:t>
      </w:r>
      <w:r>
        <w:rPr>
          <w:spacing w:val="-66"/>
        </w:rPr>
        <w:t> </w:t>
      </w:r>
      <w:r>
        <w:rPr>
          <w:spacing w:val="-66"/>
        </w:rPr>
      </w:r>
      <w:r>
        <w:rPr>
          <w:spacing w:val="-2"/>
        </w:rPr>
        <w:t>资的账面价值并计入资本公积。在确认应享有被投资单位净损益的份额时，以取得投资时被投资单位各项可辨认资产等的公</w:t>
      </w:r>
      <w:r>
        <w:rPr>
          <w:spacing w:val="-64"/>
        </w:rPr>
        <w:t> </w:t>
      </w:r>
      <w:r>
        <w:rPr>
          <w:spacing w:val="-64"/>
        </w:rPr>
      </w:r>
      <w:r>
        <w:rPr>
          <w:spacing w:val="-2"/>
        </w:rPr>
        <w:t>允价值为基础，对被投资单位的净利润进行调整后确认。被投资单位采用的会计政策及会计期间与本公司不一致的，按照本</w:t>
      </w:r>
      <w:r>
        <w:rPr>
          <w:spacing w:val="-66"/>
        </w:rPr>
        <w:t> </w:t>
      </w:r>
      <w:r>
        <w:rPr>
          <w:spacing w:val="-66"/>
        </w:rPr>
      </w:r>
      <w:r>
        <w:rPr>
          <w:spacing w:val="-2"/>
        </w:rPr>
        <w:t>公司的会计政策及会计期间对被投资单位的财务报表进行调整，并据以确认投资收益和其他综合收益。对于本公司与联营企</w:t>
      </w:r>
      <w:r>
        <w:rPr>
          <w:spacing w:val="-64"/>
        </w:rPr>
        <w:t> </w:t>
      </w:r>
      <w:r>
        <w:rPr>
          <w:spacing w:val="-64"/>
        </w:rPr>
      </w:r>
      <w:r>
        <w:rPr>
          <w:spacing w:val="-2"/>
        </w:rPr>
        <w:t>业及合营企业之间发生的交易，投出或出售的资产不构成业务的，未实现内部交易损益按照享有的比例计算归属于本公司的</w:t>
      </w:r>
      <w:r>
        <w:rPr>
          <w:spacing w:val="-64"/>
        </w:rPr>
        <w:t> </w:t>
      </w:r>
      <w:r>
        <w:rPr>
          <w:spacing w:val="-64"/>
        </w:rPr>
      </w:r>
      <w:r>
        <w:rPr>
          <w:spacing w:val="-4"/>
        </w:rPr>
        <w:t>部分予以抵销，在此基础上确认投资损益。但本公司与被投资单位发生的未实现内部交易损失，属于所转让资产减值损失的，</w:t>
      </w:r>
      <w:r>
        <w:rPr>
          <w:spacing w:val="-44"/>
        </w:rPr>
        <w:t> </w:t>
      </w:r>
      <w:r>
        <w:rPr>
          <w:spacing w:val="-44"/>
        </w:rPr>
      </w:r>
      <w:r>
        <w:rPr>
          <w:spacing w:val="-2"/>
        </w:rPr>
        <w:t>不予以抵销。本公司向合营企业或联营企业投出的资产构成业务的，投资方因此取得长期股权投资但未取得控制权的，以投</w:t>
      </w:r>
      <w:r>
        <w:rPr>
          <w:spacing w:val="-66"/>
        </w:rPr>
        <w:t> </w:t>
      </w:r>
      <w:r>
        <w:rPr>
          <w:spacing w:val="-66"/>
        </w:rPr>
      </w:r>
      <w:r>
        <w:rPr/>
        <w:t>出业务的公允价值作为新增长期股权投资的初始投资成本，初始投资成本与投出业务的账面价值之差，全额计入当期损益。 </w:t>
      </w:r>
      <w:r>
        <w:rPr>
          <w:spacing w:val="-2"/>
        </w:rPr>
        <w:t>本公司向合营企业或联营企业出售的资产构成业务的，取得的对价与业务的账面价值之差，全额计入当期损益。本公司自联</w:t>
      </w:r>
      <w:r>
        <w:rPr>
          <w:spacing w:val="-66"/>
        </w:rPr>
        <w:t> </w:t>
      </w:r>
      <w:r>
        <w:rPr>
          <w:spacing w:val="-66"/>
        </w:rPr>
      </w:r>
      <w:r>
        <w:rPr>
          <w:spacing w:val="-2"/>
        </w:rPr>
        <w:t>营企业及合营企业购入的资产构成业务的，按《企业会计准则第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企业合并》的规定进行会计处理，全额确认与交易</w:t>
      </w:r>
      <w:r>
        <w:rPr>
          <w:spacing w:val="-64"/>
        </w:rPr>
        <w:t> </w:t>
      </w:r>
      <w:r>
        <w:rPr>
          <w:spacing w:val="-64"/>
        </w:rPr>
      </w:r>
      <w:r>
        <w:rPr/>
        <w:t>相关的利得或损失。</w:t>
      </w:r>
    </w:p>
    <w:p>
      <w:pPr>
        <w:spacing w:line="240" w:lineRule="auto" w:before="12"/>
        <w:rPr>
          <w:rFonts w:ascii="宋体" w:hAnsi="宋体" w:cs="宋体" w:eastAsia="宋体" w:hint="default"/>
          <w:sz w:val="17"/>
          <w:szCs w:val="17"/>
        </w:rPr>
      </w:pPr>
    </w:p>
    <w:p>
      <w:pPr>
        <w:pStyle w:val="BodyText"/>
        <w:spacing w:line="316" w:lineRule="auto"/>
        <w:ind w:left="153" w:right="1131" w:firstLine="290"/>
        <w:jc w:val="both"/>
      </w:pPr>
      <w:r>
        <w:rPr>
          <w:spacing w:val="-1"/>
        </w:rPr>
        <w:t>在确认应分担被投资单位发生的净亏损时，以长期股权投资的账面价值和其他实质上构成对被投资单位净投资的长期权</w:t>
      </w:r>
      <w:r>
        <w:rPr/>
        <w:t> </w:t>
      </w:r>
      <w:r>
        <w:rPr>
          <w:spacing w:val="-2"/>
        </w:rPr>
        <w:t>益减记至零为限。此外，如本公司对被投资单位负有承担额外损失的义务，则按预计承担的义务确认预计负债，计入当期投</w:t>
      </w:r>
      <w:r>
        <w:rPr>
          <w:spacing w:val="-66"/>
        </w:rPr>
        <w:t> </w:t>
      </w:r>
      <w:r>
        <w:rPr>
          <w:spacing w:val="-66"/>
        </w:rPr>
      </w:r>
      <w:r>
        <w:rPr/>
        <w:t>资损失。被投资单位以后期间实现净利润的，本公司在收益分享额弥补未确认的亏损分担额后，恢复确认收益分享额。</w:t>
      </w:r>
    </w:p>
    <w:p>
      <w:pPr>
        <w:pStyle w:val="BodyText"/>
        <w:spacing w:line="528" w:lineRule="exact" w:before="22"/>
        <w:ind w:left="444" w:right="0"/>
        <w:jc w:val="left"/>
      </w:pPr>
      <w:r>
        <w:rPr/>
        <w:t>③收购少数股权 </w:t>
      </w:r>
      <w:r>
        <w:rPr>
          <w:spacing w:val="-1"/>
        </w:rPr>
        <w:t>在编制合并财务报表时，因购买少数股权新增的长期股权投资与按照新增持股比例计算应享有子公司自购买日（或合并</w:t>
      </w:r>
    </w:p>
    <w:p>
      <w:pPr>
        <w:pStyle w:val="BodyText"/>
        <w:spacing w:line="232" w:lineRule="exact"/>
        <w:ind w:left="153" w:right="0"/>
        <w:jc w:val="left"/>
      </w:pPr>
      <w:r>
        <w:rPr/>
        <w:t>日）开始持续计算的净资产份额之间的差额，调整资本公积，资本公积不足冲减的，调整留存收益。</w:t>
      </w:r>
    </w:p>
    <w:p>
      <w:pPr>
        <w:pStyle w:val="BodyText"/>
        <w:spacing w:line="520" w:lineRule="atLeast" w:before="8"/>
        <w:ind w:left="444" w:right="0"/>
        <w:jc w:val="left"/>
      </w:pPr>
      <w:r>
        <w:rPr/>
        <w:t>④处置长期股权投资 </w:t>
      </w:r>
      <w:r>
        <w:rPr>
          <w:spacing w:val="-1"/>
        </w:rPr>
        <w:t>在合并财务报表中，母公司在不丧失控制权的情况下部分处置对子公司的长期股权投资，处置价款与处置长期股权投资</w:t>
      </w:r>
    </w:p>
    <w:p>
      <w:pPr>
        <w:pStyle w:val="BodyText"/>
        <w:spacing w:line="316" w:lineRule="auto" w:before="76"/>
        <w:ind w:left="153" w:right="0"/>
        <w:jc w:val="left"/>
      </w:pPr>
      <w:r>
        <w:rPr>
          <w:spacing w:val="-2"/>
        </w:rPr>
        <w:t>相对应享有子公司净资产的差额计入股东权益；母公司部分处置对子公司的长期股权投资导致丧失对子公司控制权的，按本</w:t>
      </w:r>
      <w:r>
        <w:rPr>
          <w:spacing w:val="-64"/>
        </w:rPr>
        <w:t> </w:t>
      </w:r>
      <w:r>
        <w:rPr>
          <w:spacing w:val="-64"/>
        </w:rPr>
      </w:r>
      <w:r>
        <w:rPr/>
        <w:t>附注五、</w:t>
      </w:r>
      <w:r>
        <w:rPr>
          <w:rFonts w:ascii="Times New Roman" w:hAnsi="Times New Roman" w:cs="Times New Roman" w:eastAsia="Times New Roman" w:hint="default"/>
        </w:rPr>
        <w:t>6</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合并财务报表编制的方法</w:t>
      </w:r>
      <w:r>
        <w:rPr>
          <w:rFonts w:ascii="Times New Roman" w:hAnsi="Times New Roman" w:cs="Times New Roman" w:eastAsia="Times New Roman" w:hint="default"/>
        </w:rPr>
        <w:t>”</w:t>
      </w:r>
      <w:r>
        <w:rPr/>
        <w:t>中所述的相关会计政策处理。</w:t>
      </w:r>
    </w:p>
    <w:p>
      <w:pPr>
        <w:pStyle w:val="BodyText"/>
        <w:spacing w:line="528" w:lineRule="exact" w:before="3"/>
        <w:ind w:left="444" w:right="0"/>
        <w:jc w:val="left"/>
      </w:pPr>
      <w:r>
        <w:rPr/>
        <w:t>其他情形下的长期股权投资处置，对于处置的股权，其账面价值与实际取得价款的差额，计入当期损益。 </w:t>
      </w:r>
      <w:r>
        <w:rPr>
          <w:spacing w:val="-1"/>
        </w:rPr>
        <w:t>采用权益法核算的长期股权投资，处置后的剩余股权仍采用权益法核算的，在处置时将原计入股东权益的其他综合收益</w:t>
      </w:r>
    </w:p>
    <w:p>
      <w:pPr>
        <w:pStyle w:val="BodyText"/>
        <w:spacing w:line="316" w:lineRule="auto"/>
        <w:ind w:right="0"/>
        <w:jc w:val="left"/>
      </w:pPr>
      <w:r>
        <w:rPr>
          <w:spacing w:val="-2"/>
        </w:rPr>
        <w:t>部分按相应的比例采用与被投资单位直接处置相关资产或负债相同的基础进行会计处理。因被投资方除净损益、其他综合收</w:t>
      </w:r>
      <w:r>
        <w:rPr>
          <w:spacing w:val="-64"/>
        </w:rPr>
        <w:t> </w:t>
      </w:r>
      <w:r>
        <w:rPr>
          <w:spacing w:val="-64"/>
        </w:rPr>
      </w:r>
      <w:r>
        <w:rPr/>
        <w:t>益和利润分配以外的其他所有者权益变动而确认的所有者权益，按比例结转入当期损益。</w:t>
      </w:r>
    </w:p>
    <w:p>
      <w:pPr>
        <w:spacing w:line="240" w:lineRule="auto" w:before="12"/>
        <w:rPr>
          <w:rFonts w:ascii="宋体" w:hAnsi="宋体" w:cs="宋体" w:eastAsia="宋体" w:hint="default"/>
          <w:sz w:val="17"/>
          <w:szCs w:val="17"/>
        </w:rPr>
      </w:pPr>
    </w:p>
    <w:p>
      <w:pPr>
        <w:pStyle w:val="BodyText"/>
        <w:spacing w:line="316" w:lineRule="auto"/>
        <w:ind w:right="1131" w:firstLine="290"/>
        <w:jc w:val="both"/>
      </w:pPr>
      <w:r>
        <w:rPr>
          <w:spacing w:val="-1"/>
        </w:rPr>
        <w:t>采用成本法核算的长期股权投资，处置后剩余股权仍采用成本法核算的，其在取得对被投资单位的控制之前因采用权益</w:t>
      </w:r>
      <w:r>
        <w:rPr/>
        <w:t> </w:t>
      </w:r>
      <w:r>
        <w:rPr>
          <w:spacing w:val="-2"/>
        </w:rPr>
        <w:t>法核算或金融工具确认和计量准则核算而确认的其他综合收益，采用与被投资单位直接处置相关资产或负债相同的基础进行</w:t>
      </w:r>
      <w:r>
        <w:rPr>
          <w:spacing w:val="-64"/>
        </w:rPr>
        <w:t> </w:t>
      </w:r>
      <w:r>
        <w:rPr>
          <w:spacing w:val="-64"/>
        </w:rPr>
      </w:r>
      <w:r>
        <w:rPr>
          <w:spacing w:val="-2"/>
        </w:rPr>
        <w:t>会计处理，并按比例结转当期损益；因采用权益法核算而确认的被投资单位净资产中除净损益、其他综合收益和利润分配以</w:t>
      </w:r>
    </w:p>
    <w:p>
      <w:pPr>
        <w:spacing w:after="0" w:line="316" w:lineRule="auto"/>
        <w:jc w:val="both"/>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153" w:right="0"/>
        <w:jc w:val="left"/>
      </w:pPr>
      <w:r>
        <w:rPr/>
        <w:t>外的其他所有者权益变动按比例结转当期损益。</w:t>
      </w:r>
    </w:p>
    <w:p>
      <w:pPr>
        <w:spacing w:line="240" w:lineRule="auto" w:before="5"/>
        <w:rPr>
          <w:rFonts w:ascii="宋体" w:hAnsi="宋体" w:cs="宋体" w:eastAsia="宋体" w:hint="default"/>
          <w:sz w:val="22"/>
          <w:szCs w:val="22"/>
        </w:rPr>
      </w:pPr>
    </w:p>
    <w:p>
      <w:pPr>
        <w:pStyle w:val="BodyText"/>
        <w:spacing w:line="316" w:lineRule="auto"/>
        <w:ind w:left="153" w:right="1131" w:firstLine="290"/>
        <w:jc w:val="both"/>
      </w:pPr>
      <w:r>
        <w:rPr>
          <w:spacing w:val="-1"/>
        </w:rPr>
        <w:t>本公司因处置部分股权投资丧失了对被投资单位的控制的，在编制个别财务报表时，处置后的剩余股权能够对被投资单</w:t>
      </w:r>
      <w:r>
        <w:rPr/>
        <w:t> </w:t>
      </w:r>
      <w:r>
        <w:rPr>
          <w:spacing w:val="-2"/>
        </w:rPr>
        <w:t>位实施共同控制或施加重大影响的，改按权益法核算，并对该剩余股权视同自取得时即采用权益法核算进行调整；处置后的</w:t>
      </w:r>
      <w:r>
        <w:rPr>
          <w:spacing w:val="-66"/>
        </w:rPr>
        <w:t> </w:t>
      </w:r>
      <w:r>
        <w:rPr>
          <w:spacing w:val="-66"/>
        </w:rPr>
      </w:r>
      <w:r>
        <w:rPr>
          <w:spacing w:val="-2"/>
        </w:rPr>
        <w:t>剩余股权不能对被投资单位实施共同控制或施加重大影响的，改按金融工具确认和计量准则的有关规定进行会计处理，其在</w:t>
      </w:r>
      <w:r>
        <w:rPr>
          <w:spacing w:val="-64"/>
        </w:rPr>
        <w:t> </w:t>
      </w:r>
      <w:r>
        <w:rPr>
          <w:spacing w:val="-64"/>
        </w:rPr>
      </w:r>
      <w:r>
        <w:rPr>
          <w:spacing w:val="-2"/>
        </w:rPr>
        <w:t>丧失控制之日的公允价值与账面价值之间的差额计入当期损益。对于本公司取得对被投资单位的控制之前，因采用权益法核</w:t>
      </w:r>
      <w:r>
        <w:rPr>
          <w:spacing w:val="-64"/>
        </w:rPr>
        <w:t> </w:t>
      </w:r>
      <w:r>
        <w:rPr>
          <w:spacing w:val="-64"/>
        </w:rPr>
      </w:r>
      <w:r>
        <w:rPr>
          <w:spacing w:val="-2"/>
        </w:rPr>
        <w:t>算或金融工具确认和计量准则核算而确认的其他综合收益，在丧失对被投资单位控制时采用与被投资单位直接处置相关资产</w:t>
      </w:r>
      <w:r>
        <w:rPr>
          <w:spacing w:val="-64"/>
        </w:rPr>
        <w:t> </w:t>
      </w:r>
      <w:r>
        <w:rPr>
          <w:spacing w:val="-64"/>
        </w:rPr>
      </w:r>
      <w:r>
        <w:rPr>
          <w:spacing w:val="-2"/>
        </w:rPr>
        <w:t>或负债相同的基础进行会计处理，因采用权益法核算而确认的被投资单位净资产中除净损益、其他综合收益和利润分配以外</w:t>
      </w:r>
      <w:r>
        <w:rPr>
          <w:spacing w:val="-64"/>
        </w:rPr>
        <w:t> </w:t>
      </w:r>
      <w:r>
        <w:rPr>
          <w:spacing w:val="-64"/>
        </w:rPr>
      </w:r>
      <w:r>
        <w:rPr>
          <w:spacing w:val="-2"/>
        </w:rPr>
        <w:t>的其他所有者权益变动在丧失对被投资单位控制时结转入当期损益。其中，处置后的剩余股权采用权益法核算的，其他综合</w:t>
      </w:r>
      <w:r>
        <w:rPr>
          <w:spacing w:val="-66"/>
        </w:rPr>
        <w:t> </w:t>
      </w:r>
      <w:r>
        <w:rPr>
          <w:spacing w:val="-66"/>
        </w:rPr>
      </w:r>
      <w:r>
        <w:rPr>
          <w:spacing w:val="-2"/>
        </w:rPr>
        <w:t>收益和其他所有者权益按比例结转；处置后的剩余股权改按金融工具确认和计量准则进行会计处理的，其他综合收益和其他</w:t>
      </w:r>
      <w:r>
        <w:rPr>
          <w:spacing w:val="-64"/>
        </w:rPr>
        <w:t> </w:t>
      </w:r>
      <w:r>
        <w:rPr>
          <w:spacing w:val="-64"/>
        </w:rPr>
      </w:r>
      <w:r>
        <w:rPr/>
        <w:t>所有者权益全部结转。</w:t>
      </w:r>
    </w:p>
    <w:p>
      <w:pPr>
        <w:spacing w:line="240" w:lineRule="auto" w:before="12"/>
        <w:rPr>
          <w:rFonts w:ascii="宋体" w:hAnsi="宋体" w:cs="宋体" w:eastAsia="宋体" w:hint="default"/>
          <w:sz w:val="17"/>
          <w:szCs w:val="17"/>
        </w:rPr>
      </w:pPr>
    </w:p>
    <w:p>
      <w:pPr>
        <w:pStyle w:val="BodyText"/>
        <w:spacing w:line="316" w:lineRule="auto"/>
        <w:ind w:left="153" w:right="1031" w:firstLine="290"/>
        <w:jc w:val="left"/>
      </w:pPr>
      <w:r>
        <w:rPr/>
        <w:t>本公司因处置部分股权投资丧失了对被投资单位的共同控制或重大影响的，处置后的剩余股权改按金融工具确认和计量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 </w:t>
      </w:r>
      <w:r>
        <w:rPr>
          <w:spacing w:val="-2"/>
        </w:rPr>
        <w:t>因被投资方除净损益、其他综合收益和利润分配以外的其他所有者权益变动而确认的所有者权益，在终止采用权益法时全部</w:t>
      </w:r>
      <w:r>
        <w:rPr>
          <w:spacing w:val="-64"/>
        </w:rPr>
        <w:t> </w:t>
      </w:r>
      <w:r>
        <w:rPr>
          <w:spacing w:val="-64"/>
        </w:rPr>
      </w:r>
      <w:r>
        <w:rPr/>
        <w:t>转入当期投资收益。</w:t>
      </w:r>
    </w:p>
    <w:p>
      <w:pPr>
        <w:spacing w:line="240" w:lineRule="auto" w:before="12"/>
        <w:rPr>
          <w:rFonts w:ascii="宋体" w:hAnsi="宋体" w:cs="宋体" w:eastAsia="宋体" w:hint="default"/>
          <w:sz w:val="17"/>
          <w:szCs w:val="17"/>
        </w:rPr>
      </w:pPr>
    </w:p>
    <w:p>
      <w:pPr>
        <w:pStyle w:val="BodyText"/>
        <w:spacing w:line="319" w:lineRule="auto"/>
        <w:ind w:left="153" w:right="1131" w:firstLine="290"/>
        <w:jc w:val="both"/>
      </w:pPr>
      <w:r>
        <w:rPr>
          <w:spacing w:val="-1"/>
        </w:rPr>
        <w:t>本公司通过多次交易分步处置对子公司股权投资直至丧失控制权，如果上述交易属于一揽子交易的，将各项交易作为一</w:t>
      </w:r>
      <w:r>
        <w:rPr/>
        <w:t> </w:t>
      </w:r>
      <w:r>
        <w:rPr>
          <w:spacing w:val="-2"/>
        </w:rPr>
        <w:t>项处置子公司股权投资并丧失控制权的交易进行会计处理，在丧失控制权之前每一次处置价款与所处置的股权对应的长期股</w:t>
      </w:r>
      <w:r>
        <w:rPr>
          <w:spacing w:val="-64"/>
        </w:rPr>
        <w:t> </w:t>
      </w:r>
      <w:r>
        <w:rPr>
          <w:spacing w:val="-64"/>
        </w:rPr>
      </w:r>
      <w:r>
        <w:rPr/>
        <w:t>权投资账面价值之间的差额，先确认为其他综合收益，到丧失控制权时再一并转入丧失控制权的当期损益。</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17</w:t>
      </w:r>
      <w:r>
        <w:rPr/>
        <w:t>、投资性房地产</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left="153" w:right="8951"/>
        <w:jc w:val="left"/>
      </w:pPr>
      <w:r>
        <w:rPr/>
        <w:t>投资性房地产计量模式 成本法计量 折旧或摊销方法</w:t>
      </w:r>
    </w:p>
    <w:p>
      <w:pPr>
        <w:pStyle w:val="BodyText"/>
        <w:spacing w:line="316" w:lineRule="auto" w:before="25"/>
        <w:ind w:left="153" w:right="1041" w:firstLine="360"/>
        <w:jc w:val="both"/>
      </w:pPr>
      <w:r>
        <w:rPr>
          <w:spacing w:val="-4"/>
        </w:rPr>
        <w:t>投资性房地产是指为赚取租金或资本增值，或两者兼有而持有的房地产。本公司投资性房地产包括已出租的土地使用权、</w:t>
      </w:r>
      <w:r>
        <w:rPr/>
        <w:t> 持有并准备增值后转让的土地使用权、已出租的建筑物。</w:t>
      </w:r>
    </w:p>
    <w:p>
      <w:pPr>
        <w:spacing w:line="240" w:lineRule="auto" w:before="12"/>
        <w:rPr>
          <w:rFonts w:ascii="宋体" w:hAnsi="宋体" w:cs="宋体" w:eastAsia="宋体" w:hint="default"/>
          <w:sz w:val="17"/>
          <w:szCs w:val="17"/>
        </w:rPr>
      </w:pPr>
    </w:p>
    <w:p>
      <w:pPr>
        <w:pStyle w:val="BodyText"/>
        <w:spacing w:line="316" w:lineRule="auto"/>
        <w:ind w:left="153" w:right="1129" w:firstLine="380"/>
        <w:jc w:val="both"/>
      </w:pPr>
      <w:r>
        <w:rPr/>
        <w:t>本公司投资性房地产按照取得时的成本进行初始计量，与投资性房地产有关的后续支出，如果与该资产有关的经济利</w:t>
      </w:r>
      <w:r>
        <w:rPr>
          <w:spacing w:val="1"/>
        </w:rPr>
        <w:t> </w:t>
      </w:r>
      <w:r>
        <w:rPr/>
        <w:t>益很可能流入且其成本能可靠地计量，则计入投资性房地产成本，其他后续支出，在发生时计入当期损益。</w:t>
      </w:r>
    </w:p>
    <w:p>
      <w:pPr>
        <w:spacing w:line="240" w:lineRule="auto" w:before="12"/>
        <w:rPr>
          <w:rFonts w:ascii="宋体" w:hAnsi="宋体" w:cs="宋体" w:eastAsia="宋体" w:hint="default"/>
          <w:sz w:val="17"/>
          <w:szCs w:val="17"/>
        </w:rPr>
      </w:pPr>
    </w:p>
    <w:p>
      <w:pPr>
        <w:pStyle w:val="BodyText"/>
        <w:spacing w:line="240" w:lineRule="auto"/>
        <w:ind w:left="534" w:right="0"/>
        <w:jc w:val="left"/>
      </w:pPr>
      <w:r>
        <w:rPr/>
        <w:t>本公司投资性房地产采用成本模式进行后续计量，并按照固定资产或无形资产的有关规定，按期计提折旧或摊销。</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18</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3" w:right="1129" w:firstLine="360"/>
        <w:jc w:val="both"/>
      </w:pPr>
      <w:r>
        <w:rPr>
          <w:spacing w:val="-2"/>
        </w:rPr>
        <w:t>本公司固定资产是指为生产商品、提供劳务、出租或经营管理而持有的，使用寿命超过一个会计年度的有形资产。与该</w:t>
      </w:r>
      <w:r>
        <w:rPr/>
        <w:t> 固定资产有关的经济利益很可能流入企业，并且该固定资产的成本能够可靠地计量时，固定资产才能予以确认。</w:t>
      </w:r>
      <w:r>
        <w:rPr>
          <w:spacing w:val="7"/>
        </w:rPr>
        <w:t> </w:t>
      </w:r>
      <w:r>
        <w:rPr/>
        <w:t>本公</w:t>
      </w:r>
      <w:r>
        <w:rPr/>
        <w:t> 司固定资产按照取得时的实际成本进行初始计量。</w:t>
      </w:r>
    </w:p>
    <w:p>
      <w:pPr>
        <w:spacing w:after="0" w:line="319" w:lineRule="auto"/>
        <w:jc w:val="both"/>
        <w:sectPr>
          <w:pgSz w:w="11910" w:h="16840"/>
          <w:pgMar w:header="747" w:footer="982" w:top="1060" w:bottom="118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6.47-2.43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11.88-3.39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11.88-7.92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19.00-5.28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19.00-5.28</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0"/>
        <w:jc w:val="left"/>
      </w:pPr>
      <w:r>
        <w:rPr/>
        <w:t>本公司租入的固定资产符合下列一项或数项标准时，确认为融资租入固定资产：</w:t>
      </w:r>
    </w:p>
    <w:p>
      <w:pPr>
        <w:pStyle w:val="BodyText"/>
        <w:spacing w:line="240" w:lineRule="auto" w:before="117"/>
        <w:ind w:left="513" w:right="0"/>
        <w:jc w:val="left"/>
      </w:pPr>
      <w:r>
        <w:rPr/>
        <w:t>①在租赁期届满时，租赁资产的所有权转移给本公司。</w:t>
      </w:r>
    </w:p>
    <w:p>
      <w:pPr>
        <w:pStyle w:val="BodyText"/>
        <w:spacing w:line="319" w:lineRule="auto" w:before="115"/>
        <w:ind w:left="153" w:right="0" w:firstLine="360"/>
        <w:jc w:val="left"/>
      </w:pPr>
      <w:r>
        <w:rPr>
          <w:spacing w:val="-2"/>
        </w:rPr>
        <w:t>②本公司有购买租赁资产的选择权，所订立的购买价款预计将远低于行使选择权时租赁资产的公允价值，因而在租赁开</w:t>
      </w:r>
      <w:r>
        <w:rPr/>
        <w:t> 始日就可以合理确定本公司将会行使这种选择权。</w:t>
      </w:r>
    </w:p>
    <w:p>
      <w:pPr>
        <w:pStyle w:val="BodyText"/>
        <w:spacing w:line="240" w:lineRule="auto" w:before="56"/>
        <w:ind w:left="513" w:right="0"/>
        <w:jc w:val="left"/>
      </w:pPr>
      <w:r>
        <w:rPr/>
        <w:t>③即使资产的所有权不转移，但租赁期占租赁资产使用寿命的大部分。</w:t>
      </w:r>
    </w:p>
    <w:p>
      <w:pPr>
        <w:pStyle w:val="BodyText"/>
        <w:spacing w:line="240" w:lineRule="auto" w:before="117"/>
        <w:ind w:left="513" w:right="0"/>
        <w:jc w:val="left"/>
      </w:pPr>
      <w:r>
        <w:rPr/>
        <w:t>④本公司在租赁开始日的最低租赁付款额现值，几乎相当于租赁开始日租赁资产公允价值。</w:t>
      </w:r>
    </w:p>
    <w:p>
      <w:pPr>
        <w:pStyle w:val="BodyText"/>
        <w:spacing w:line="319" w:lineRule="auto" w:before="115"/>
        <w:ind w:left="153" w:right="1031" w:firstLine="360"/>
        <w:jc w:val="left"/>
      </w:pPr>
      <w:r>
        <w:rPr>
          <w:spacing w:val="-2"/>
        </w:rPr>
        <w:t>⑤租赁资产性质特殊，如果不作较大改造，只有本公司才能使用。融资租入的固定资产，能够合理确定租赁期届满时将</w:t>
      </w:r>
      <w:r>
        <w:rPr/>
        <w:t> 会取得租赁资产所有权的，在租赁资产尚可使用年限内计提折旧；无法合理确定租赁期届满时能够取得租赁资产所有权的， 在租赁期与租赁资产尚可使用年限两者中较短的期间内计提折旧。</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19</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123" w:firstLine="319"/>
        <w:jc w:val="left"/>
      </w:pPr>
      <w:r>
        <w:rPr>
          <w:spacing w:val="-1"/>
        </w:rPr>
        <w:t>本公司在建工程成本按实际工程支出确定﹐包括在建期间发生的各项必要工程支出、工程达到预定可使用状态前的应予</w:t>
      </w:r>
      <w:r>
        <w:rPr/>
        <w:t> 资本化的借款费用以及其他相关费用等。</w:t>
      </w:r>
    </w:p>
    <w:p>
      <w:pPr>
        <w:spacing w:line="240" w:lineRule="auto" w:before="1"/>
        <w:rPr>
          <w:rFonts w:ascii="宋体" w:hAnsi="宋体" w:cs="宋体" w:eastAsia="宋体" w:hint="default"/>
          <w:sz w:val="18"/>
          <w:szCs w:val="18"/>
        </w:rPr>
      </w:pPr>
    </w:p>
    <w:p>
      <w:pPr>
        <w:pStyle w:val="BodyText"/>
        <w:spacing w:line="240" w:lineRule="auto"/>
        <w:ind w:left="444" w:right="0"/>
        <w:jc w:val="left"/>
      </w:pPr>
      <w:r>
        <w:rPr/>
        <w:t>在建工程在达到预定可使用状态时转入固定资产。</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20</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8" w:firstLine="319"/>
        <w:jc w:val="both"/>
      </w:pPr>
      <w:r>
        <w:rPr>
          <w:spacing w:val="-1"/>
        </w:rPr>
        <w:t>借款费用包括借款利息、折价或溢价的摊销、辅助费用以及因外币借款而发生的汇兑差额等。可直接归属于符合资本化</w:t>
      </w:r>
      <w:r>
        <w:rPr/>
        <w:t> </w:t>
      </w:r>
      <w:r>
        <w:rPr>
          <w:spacing w:val="-2"/>
        </w:rPr>
        <w:t>条件的资产的购建或者生产的借款费用，在资产支出已经发生、借款费用已经发生、为使资产达到预定可使用或可销售状态</w:t>
      </w:r>
      <w:r>
        <w:rPr>
          <w:spacing w:val="-66"/>
        </w:rPr>
        <w:t> </w:t>
      </w:r>
      <w:r>
        <w:rPr>
          <w:spacing w:val="-66"/>
        </w:rPr>
      </w:r>
      <w:r>
        <w:rPr>
          <w:spacing w:val="-2"/>
        </w:rPr>
        <w:t>所必要的购建或生产活动已经开始时，开始资本化；构建或者生产的符合资本化条件的资产达到预定可使用状态或者可销售</w:t>
      </w:r>
      <w:r>
        <w:rPr>
          <w:spacing w:val="-64"/>
        </w:rPr>
        <w:t> </w:t>
      </w:r>
      <w:r>
        <w:rPr>
          <w:spacing w:val="-64"/>
        </w:rPr>
      </w:r>
      <w:r>
        <w:rPr/>
        <w:t>状态时，停止资本化。其余借款费用在发生当期确认为费用。</w:t>
      </w:r>
    </w:p>
    <w:p>
      <w:pPr>
        <w:spacing w:line="240" w:lineRule="auto" w:before="12"/>
        <w:rPr>
          <w:rFonts w:ascii="宋体" w:hAnsi="宋体" w:cs="宋体" w:eastAsia="宋体" w:hint="default"/>
          <w:sz w:val="17"/>
          <w:szCs w:val="17"/>
        </w:rPr>
      </w:pPr>
    </w:p>
    <w:p>
      <w:pPr>
        <w:pStyle w:val="BodyText"/>
        <w:spacing w:line="316" w:lineRule="auto"/>
        <w:ind w:right="1131" w:firstLine="319"/>
        <w:jc w:val="both"/>
      </w:pPr>
      <w:r>
        <w:rPr>
          <w:spacing w:val="-1"/>
        </w:rPr>
        <w:t>专门借款当期实际发生的利息费用，减去尚未动用的借款资金存入银行取得的利息收入或进行暂时性投资取得的投资收</w:t>
      </w:r>
      <w:r>
        <w:rPr/>
        <w:t> </w:t>
      </w:r>
      <w:r>
        <w:rPr>
          <w:spacing w:val="-2"/>
        </w:rPr>
        <w:t>益后的金额予以资本化；一般借款根据累计资产支出超过专门借款部分的资产支出加权平均数乘以所占用一般借款的资本化</w:t>
      </w:r>
      <w:r>
        <w:rPr>
          <w:spacing w:val="-64"/>
        </w:rPr>
        <w:t> </w:t>
      </w:r>
      <w:r>
        <w:rPr>
          <w:spacing w:val="-64"/>
        </w:rPr>
      </w:r>
      <w:r>
        <w:rPr/>
        <w:t>率，确定资本化金额。资本化率根据一般借款的加权平均利率计算确定。</w:t>
      </w:r>
    </w:p>
    <w:p>
      <w:pPr>
        <w:pStyle w:val="BodyText"/>
        <w:spacing w:line="528" w:lineRule="exact" w:before="22"/>
        <w:ind w:left="546" w:right="0"/>
        <w:jc w:val="left"/>
      </w:pPr>
      <w:r>
        <w:rPr/>
        <w:t>资本化期间内，外币专门借款的汇兑差额全部予以资本化；外币一般借款的汇兑差额计入当期损益。 符合资本化条件的资产指需要经过相当长时间的购建或者生产活动才能达到预定可使用或可销售状态的固定资产、投</w:t>
      </w:r>
    </w:p>
    <w:p>
      <w:pPr>
        <w:pStyle w:val="BodyText"/>
        <w:spacing w:line="232" w:lineRule="exact"/>
        <w:ind w:right="0"/>
        <w:jc w:val="left"/>
      </w:pPr>
      <w:r>
        <w:rPr/>
        <w:t>资性房地产和存货等资产。</w:t>
      </w:r>
    </w:p>
    <w:p>
      <w:pPr>
        <w:spacing w:after="0" w:line="232" w:lineRule="exact"/>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02" w:lineRule="auto" w:before="44"/>
        <w:ind w:left="153" w:right="1128" w:firstLine="362"/>
        <w:jc w:val="both"/>
      </w:pPr>
      <w:r>
        <w:rPr/>
        <w:t>如果符合资本化条件的资产在购建或生产过程中发生非正常中断、并且中断时间连续超过</w:t>
      </w:r>
      <w:r>
        <w:rPr>
          <w:rFonts w:ascii="Times New Roman" w:hAnsi="Times New Roman" w:cs="Times New Roman" w:eastAsia="Times New Roman" w:hint="default"/>
        </w:rPr>
        <w:t>3</w:t>
      </w:r>
      <w:r>
        <w:rPr/>
        <w:t>个月的，暂停借款费用的资 本化，直至资产的购建或生产活动重新开始。</w:t>
      </w:r>
    </w:p>
    <w:p>
      <w:pPr>
        <w:spacing w:line="240" w:lineRule="auto" w:before="2"/>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21</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8" w:firstLine="319"/>
        <w:jc w:val="both"/>
      </w:pPr>
      <w:r>
        <w:rPr>
          <w:spacing w:val="-1"/>
        </w:rPr>
        <w:t>本公司无形资产按照成本进行初始计量，并于取得无形资产时分析判断其使用寿命。使用寿命为有限的，自无形资产可</w:t>
      </w:r>
      <w:r>
        <w:rPr/>
        <w:t> </w:t>
      </w:r>
      <w:r>
        <w:rPr>
          <w:spacing w:val="-2"/>
        </w:rPr>
        <w:t>供使用时起，采用能反映与该资产有关的经济利益的预期实现方式的摊销方法，在预计使用年限内摊销；无法可靠确定预期</w:t>
      </w:r>
      <w:r>
        <w:rPr>
          <w:spacing w:val="-66"/>
        </w:rPr>
        <w:t> </w:t>
      </w:r>
      <w:r>
        <w:rPr>
          <w:spacing w:val="-66"/>
        </w:rPr>
      </w:r>
      <w:r>
        <w:rPr/>
        <w:t>实现方式的，采用直线法摊销；使用寿命不确定的无形资产，不作摊销。</w:t>
      </w:r>
    </w:p>
    <w:p>
      <w:pPr>
        <w:pStyle w:val="BodyText"/>
        <w:spacing w:line="528" w:lineRule="exact" w:before="22"/>
        <w:ind w:left="473" w:right="0"/>
        <w:jc w:val="left"/>
      </w:pPr>
      <w:r>
        <w:rPr/>
        <w:t>使用寿命不确定的判断依据： </w:t>
      </w:r>
      <w:r>
        <w:rPr>
          <w:spacing w:val="2"/>
        </w:rPr>
        <w:t>本公司将无法预见该资产为公司带来经济利益的期限，或使用期限不确定等无形资产确定为使用寿命不确定的无形资</w:t>
      </w:r>
      <w:r>
        <w:rPr/>
      </w:r>
    </w:p>
    <w:p>
      <w:pPr>
        <w:pStyle w:val="BodyText"/>
        <w:spacing w:line="316" w:lineRule="auto"/>
        <w:ind w:right="1129"/>
        <w:jc w:val="both"/>
      </w:pPr>
      <w:r>
        <w:rPr>
          <w:spacing w:val="-2"/>
        </w:rPr>
        <w:t>产。使用寿命不确定的判断依据为：来源于合同性权利或其他法定权利，但合同规定或法律规定无明确使用年限；综合同行</w:t>
      </w:r>
      <w:r>
        <w:rPr>
          <w:spacing w:val="-66"/>
        </w:rPr>
        <w:t> </w:t>
      </w:r>
      <w:r>
        <w:rPr>
          <w:spacing w:val="-66"/>
        </w:rPr>
      </w:r>
      <w:r>
        <w:rPr/>
        <w:t>业情况或相关专家论证等，仍无法判断无形资产为公司带来经济利益的期限。</w:t>
      </w:r>
    </w:p>
    <w:p>
      <w:pPr>
        <w:spacing w:line="240" w:lineRule="auto" w:before="12"/>
        <w:rPr>
          <w:rFonts w:ascii="宋体" w:hAnsi="宋体" w:cs="宋体" w:eastAsia="宋体" w:hint="default"/>
          <w:sz w:val="17"/>
          <w:szCs w:val="17"/>
        </w:rPr>
      </w:pPr>
    </w:p>
    <w:p>
      <w:pPr>
        <w:pStyle w:val="BodyText"/>
        <w:spacing w:line="316" w:lineRule="auto"/>
        <w:ind w:right="1128" w:firstLine="319"/>
        <w:jc w:val="both"/>
      </w:pPr>
      <w:r>
        <w:rPr>
          <w:spacing w:val="-1"/>
        </w:rPr>
        <w:t>每年年末，对使用寿命不确定无形资产使用寿命进行复核，主要采取自下而上的方式，由无形资产使用相关部门进行基</w:t>
      </w:r>
      <w:r>
        <w:rPr/>
        <w:t> 础复核，评价使用寿命不确定判断依据是否存在变化等。</w:t>
      </w:r>
    </w:p>
    <w:p>
      <w:pPr>
        <w:pStyle w:val="BodyText"/>
        <w:spacing w:line="528" w:lineRule="exact" w:before="22"/>
        <w:ind w:left="516" w:right="1028" w:hanging="44"/>
        <w:jc w:val="left"/>
      </w:pPr>
      <w:r>
        <w:rPr/>
        <w:t>使用寿命有限的无形资产使用寿命估计： 本公司对使用寿命有限的无形资产，估计其使用寿命时通常考虑以下因素：①运用该资产生产的产品通常的寿命周期、</w:t>
      </w:r>
    </w:p>
    <w:p>
      <w:pPr>
        <w:pStyle w:val="BodyText"/>
        <w:spacing w:line="319" w:lineRule="auto"/>
        <w:ind w:right="1129"/>
        <w:jc w:val="both"/>
      </w:pPr>
      <w:r>
        <w:rPr>
          <w:spacing w:val="-2"/>
        </w:rPr>
        <w:t>可获得的类似资产使用寿命的信息；②技术、工艺等方面的现阶段情况及对未来发展趋势的估计；③以该资产生产的产品或</w:t>
      </w:r>
      <w:r>
        <w:rPr>
          <w:spacing w:val="-66"/>
        </w:rPr>
        <w:t> </w:t>
      </w:r>
      <w:r>
        <w:rPr>
          <w:spacing w:val="-66"/>
        </w:rPr>
      </w:r>
      <w:r>
        <w:rPr>
          <w:spacing w:val="-2"/>
        </w:rPr>
        <w:t>提供劳务的市场需求情况；④现在或潜在的竞争者预期采取的行动；⑤为维持该资产带来经济利益能力的预期维护支出，以</w:t>
      </w:r>
      <w:r>
        <w:rPr>
          <w:spacing w:val="-66"/>
        </w:rPr>
        <w:t> </w:t>
      </w:r>
      <w:r>
        <w:rPr>
          <w:spacing w:val="-66"/>
        </w:rPr>
      </w:r>
      <w:r>
        <w:rPr>
          <w:spacing w:val="-2"/>
        </w:rPr>
        <w:t>及公司预计支付有关支出的能力；⑥对该资产控制期限的相关法律规定或类似限制，如特许使用期、租赁期等；⑦与公司持</w:t>
      </w:r>
      <w:r>
        <w:rPr>
          <w:spacing w:val="-66"/>
        </w:rPr>
        <w:t> </w:t>
      </w:r>
      <w:r>
        <w:rPr>
          <w:spacing w:val="-66"/>
        </w:rPr>
      </w:r>
      <w:r>
        <w:rPr/>
        <w:t>有其他资产使用寿命的关联性等。</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0"/>
          <w:szCs w:val="10"/>
        </w:rPr>
      </w:pPr>
    </w:p>
    <w:tbl>
      <w:tblPr>
        <w:tblW w:w="0" w:type="auto"/>
        <w:jc w:val="left"/>
        <w:tblInd w:w="146" w:type="dxa"/>
        <w:tblLayout w:type="fixed"/>
        <w:tblCellMar>
          <w:top w:w="0" w:type="dxa"/>
          <w:left w:w="0" w:type="dxa"/>
          <w:bottom w:w="0" w:type="dxa"/>
          <w:right w:w="0" w:type="dxa"/>
        </w:tblCellMar>
        <w:tblLook w:val="01E0"/>
      </w:tblPr>
      <w:tblGrid>
        <w:gridCol w:w="2222"/>
        <w:gridCol w:w="2480"/>
        <w:gridCol w:w="4855"/>
      </w:tblGrid>
      <w:tr>
        <w:trPr>
          <w:trHeight w:val="347" w:hRule="exact"/>
        </w:trPr>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009"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52"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18" w:right="0"/>
              <w:jc w:val="center"/>
              <w:rPr>
                <w:rFonts w:ascii="宋体" w:hAnsi="宋体" w:cs="宋体" w:eastAsia="宋体" w:hint="default"/>
                <w:sz w:val="18"/>
                <w:szCs w:val="18"/>
              </w:rPr>
            </w:pPr>
            <w:r>
              <w:rPr>
                <w:rFonts w:ascii="宋体" w:hAnsi="宋体" w:cs="宋体" w:eastAsia="宋体" w:hint="default"/>
                <w:sz w:val="18"/>
                <w:szCs w:val="18"/>
              </w:rPr>
              <w:t>依</w:t>
            </w:r>
            <w:r>
              <w:rPr>
                <w:rFonts w:ascii="宋体" w:hAnsi="宋体" w:cs="宋体" w:eastAsia="宋体" w:hint="default"/>
                <w:spacing w:val="55"/>
                <w:sz w:val="18"/>
                <w:szCs w:val="18"/>
              </w:rPr>
              <w:t> </w:t>
            </w:r>
            <w:r>
              <w:rPr>
                <w:rFonts w:ascii="宋体" w:hAnsi="宋体" w:cs="宋体" w:eastAsia="宋体" w:hint="default"/>
                <w:sz w:val="18"/>
                <w:szCs w:val="18"/>
              </w:rPr>
              <w:t>据</w:t>
            </w:r>
          </w:p>
        </w:tc>
      </w:tr>
      <w:tr>
        <w:trPr>
          <w:trHeight w:val="347" w:hRule="exact"/>
        </w:trPr>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土地</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受益年限</w:t>
            </w:r>
          </w:p>
        </w:tc>
      </w:tr>
      <w:tr>
        <w:trPr>
          <w:trHeight w:val="347" w:hRule="exact"/>
        </w:trPr>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10-20</w:t>
            </w:r>
            <w:r>
              <w:rPr>
                <w:rFonts w:ascii="宋体" w:hAnsi="宋体" w:cs="宋体" w:eastAsia="宋体" w:hint="default"/>
                <w:sz w:val="18"/>
                <w:szCs w:val="18"/>
              </w:rPr>
              <w:t>年</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受益年限</w:t>
            </w:r>
          </w:p>
        </w:tc>
      </w:tr>
      <w:tr>
        <w:trPr>
          <w:trHeight w:val="347" w:hRule="exact"/>
        </w:trPr>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年</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受益年限</w:t>
            </w:r>
          </w:p>
        </w:tc>
      </w:tr>
      <w:tr>
        <w:trPr>
          <w:trHeight w:val="348" w:hRule="exact"/>
        </w:trPr>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专有技术</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宋体" w:hAnsi="宋体" w:cs="宋体" w:eastAsia="宋体" w:hint="default"/>
                <w:sz w:val="18"/>
                <w:szCs w:val="18"/>
              </w:rPr>
              <w:t>年</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受益年限</w:t>
            </w:r>
          </w:p>
        </w:tc>
      </w:tr>
      <w:tr>
        <w:trPr>
          <w:trHeight w:val="347" w:hRule="exact"/>
        </w:trPr>
        <w:tc>
          <w:tcPr>
            <w:tcW w:w="2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2-10</w:t>
            </w:r>
            <w:r>
              <w:rPr>
                <w:rFonts w:ascii="宋体" w:hAnsi="宋体" w:cs="宋体" w:eastAsia="宋体" w:hint="default"/>
                <w:sz w:val="18"/>
                <w:szCs w:val="18"/>
              </w:rPr>
              <w:t>年</w:t>
            </w:r>
          </w:p>
        </w:tc>
        <w:tc>
          <w:tcPr>
            <w:tcW w:w="48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受益年限</w:t>
            </w:r>
          </w:p>
        </w:tc>
      </w:tr>
    </w:tbl>
    <w:p>
      <w:pPr>
        <w:spacing w:line="240" w:lineRule="auto" w:before="8"/>
        <w:rPr>
          <w:rFonts w:ascii="宋体" w:hAnsi="宋体" w:cs="宋体" w:eastAsia="宋体" w:hint="default"/>
          <w:sz w:val="6"/>
          <w:szCs w:val="6"/>
        </w:rPr>
      </w:pPr>
    </w:p>
    <w:p>
      <w:pPr>
        <w:pStyle w:val="BodyText"/>
        <w:spacing w:line="316" w:lineRule="auto" w:before="44"/>
        <w:ind w:right="0" w:firstLine="360"/>
        <w:jc w:val="left"/>
      </w:pPr>
      <w:r>
        <w:rPr>
          <w:spacing w:val="-2"/>
        </w:rPr>
        <w:t>本公司于每年年度终了，对使用寿命有限的无形资产的使用寿命及摊销方法进行复核，与以前估计不同的，调整原先估</w:t>
      </w:r>
      <w:r>
        <w:rPr/>
        <w:t> 计数，并按会计估计变更处理。</w:t>
      </w:r>
    </w:p>
    <w:p>
      <w:pPr>
        <w:spacing w:line="240" w:lineRule="auto" w:before="1"/>
        <w:rPr>
          <w:rFonts w:ascii="宋体" w:hAnsi="宋体" w:cs="宋体" w:eastAsia="宋体" w:hint="default"/>
          <w:sz w:val="18"/>
          <w:szCs w:val="18"/>
        </w:rPr>
      </w:pPr>
    </w:p>
    <w:p>
      <w:pPr>
        <w:pStyle w:val="BodyText"/>
        <w:spacing w:line="240" w:lineRule="auto"/>
        <w:ind w:left="516" w:right="0"/>
        <w:jc w:val="left"/>
      </w:pPr>
      <w:r>
        <w:rPr/>
        <w:t>本公司期末预计某项无形资产已经不能给企业带来未来经济利益的，将该项无形资产的账面价值全部转入当期损益。</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439" w:lineRule="auto"/>
        <w:ind w:left="513" w:right="1121"/>
        <w:jc w:val="left"/>
      </w:pPr>
      <w:r>
        <w:rPr/>
        <w:t>内部研究开发项目的研究阶段和开发阶段具体标准，以及开发阶段支出符合资本化条件的具体标准 内部研究开发项目研究阶段的支出，于发生时计入当期损益。 开发阶段的支出，同时满足下列条件的，确认为无形资产：（</w:t>
      </w:r>
      <w:r>
        <w:rPr>
          <w:rFonts w:ascii="Times New Roman" w:hAnsi="Times New Roman" w:cs="Times New Roman" w:eastAsia="Times New Roman" w:hint="default"/>
        </w:rPr>
        <w:t>1</w:t>
      </w:r>
      <w:r>
        <w:rPr/>
        <w:t>）完成该无形资产以使其能够使用或出售在技术上具有</w:t>
      </w:r>
    </w:p>
    <w:p>
      <w:pPr>
        <w:spacing w:after="0" w:line="439"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28"/>
        <w:jc w:val="both"/>
      </w:pPr>
      <w:r>
        <w:rPr>
          <w:spacing w:val="-2"/>
        </w:rPr>
        <w:t>可行性；（</w:t>
      </w:r>
      <w:r>
        <w:rPr>
          <w:rFonts w:ascii="Times New Roman" w:hAnsi="Times New Roman" w:cs="Times New Roman" w:eastAsia="Times New Roman" w:hint="default"/>
          <w:spacing w:val="-2"/>
        </w:rPr>
        <w:t>2</w:t>
      </w:r>
      <w:r>
        <w:rPr>
          <w:spacing w:val="-2"/>
        </w:rPr>
        <w:t>）具有完成该无形资产并使用或出售的意图；（</w:t>
      </w:r>
      <w:r>
        <w:rPr>
          <w:rFonts w:ascii="Times New Roman" w:hAnsi="Times New Roman" w:cs="Times New Roman" w:eastAsia="Times New Roman" w:hint="default"/>
          <w:spacing w:val="-2"/>
        </w:rPr>
        <w:t>3</w:t>
      </w:r>
      <w:r>
        <w:rPr>
          <w:spacing w:val="-2"/>
        </w:rPr>
        <w:t>）无形资产产生经济利益的方式，包括能够证明运用该无形资</w:t>
      </w:r>
      <w:r>
        <w:rPr>
          <w:spacing w:val="-62"/>
        </w:rPr>
        <w:t> </w:t>
      </w:r>
      <w:r>
        <w:rPr>
          <w:spacing w:val="-62"/>
        </w:rPr>
      </w:r>
      <w:r>
        <w:rPr/>
        <w:t>产生产的产品存在市场或无形资产自身存在市场，无形资产将在内部使用的，能证明其有用性；（</w:t>
      </w:r>
      <w:r>
        <w:rPr>
          <w:rFonts w:ascii="Times New Roman" w:hAnsi="Times New Roman" w:cs="Times New Roman" w:eastAsia="Times New Roman" w:hint="default"/>
        </w:rPr>
        <w:t>4</w:t>
      </w:r>
      <w:r>
        <w:rPr/>
        <w:t>）有足够的技术、财务</w:t>
      </w:r>
      <w:r>
        <w:rPr>
          <w:spacing w:val="-84"/>
        </w:rPr>
        <w:t> </w:t>
      </w:r>
      <w:r>
        <w:rPr>
          <w:spacing w:val="-84"/>
        </w:rPr>
      </w:r>
      <w:r>
        <w:rPr/>
        <w:t>资源和其他资源支持，以完成该无形资产的开发，并有能力使用或出售该无形资产；（</w:t>
      </w:r>
      <w:r>
        <w:rPr>
          <w:rFonts w:ascii="Times New Roman" w:hAnsi="Times New Roman" w:cs="Times New Roman" w:eastAsia="Times New Roman" w:hint="default"/>
        </w:rPr>
        <w:t>5</w:t>
      </w:r>
      <w:r>
        <w:rPr/>
        <w:t>）归属于该无形资产开发阶段的支</w:t>
      </w:r>
      <w:r>
        <w:rPr>
          <w:spacing w:val="-84"/>
        </w:rPr>
        <w:t> </w:t>
      </w:r>
      <w:r>
        <w:rPr>
          <w:spacing w:val="-84"/>
        </w:rPr>
      </w:r>
      <w:r>
        <w:rPr/>
        <w:t>出能够可靠地计量。</w:t>
      </w:r>
    </w:p>
    <w:p>
      <w:pPr>
        <w:pStyle w:val="BodyText"/>
        <w:spacing w:line="316" w:lineRule="auto" w:before="151"/>
        <w:ind w:right="1131" w:firstLine="360"/>
        <w:jc w:val="both"/>
      </w:pPr>
      <w:r>
        <w:rPr>
          <w:spacing w:val="-2"/>
        </w:rPr>
        <w:t>划分内部研究开发项目的研究阶段和开发阶段的具体标准：为获取新的技术和知识等进行的有计划的调查阶段，应确定</w:t>
      </w:r>
      <w:r>
        <w:rPr/>
        <w:t> </w:t>
      </w:r>
      <w:r>
        <w:rPr>
          <w:spacing w:val="-2"/>
        </w:rPr>
        <w:t>为研究阶段，该阶段具有计划性和探索性等特点；在进行商业性生产或使用前，将研究成果或其他知识应用于某项计划或设</w:t>
      </w:r>
      <w:r>
        <w:rPr>
          <w:spacing w:val="-66"/>
        </w:rPr>
        <w:t> </w:t>
      </w:r>
      <w:r>
        <w:rPr>
          <w:spacing w:val="-66"/>
        </w:rPr>
      </w:r>
      <w:r>
        <w:rPr>
          <w:spacing w:val="-2"/>
        </w:rPr>
        <w:t>计，以生产出新的或具有实质性改进的材料、装置、产品等阶段，应确定为开发阶段，该阶段具有针对性和形成成果的可能</w:t>
      </w:r>
      <w:r>
        <w:rPr>
          <w:spacing w:val="-66"/>
        </w:rPr>
        <w:t> </w:t>
      </w:r>
      <w:r>
        <w:rPr>
          <w:spacing w:val="-66"/>
        </w:rPr>
      </w:r>
      <w:r>
        <w:rPr/>
        <w:t>性较大等特点。</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9" w:firstLine="360"/>
        <w:jc w:val="both"/>
      </w:pPr>
      <w:r>
        <w:rPr>
          <w:spacing w:val="-2"/>
        </w:rPr>
        <w:t>对于固定资产、在建工程、使用寿命有限的无形资产、以成本模式计量的投资性房地产及对子公司、合营企业、联营企</w:t>
      </w:r>
      <w:r>
        <w:rPr/>
        <w:t> </w:t>
      </w:r>
      <w:r>
        <w:rPr>
          <w:spacing w:val="-2"/>
        </w:rPr>
        <w:t>业的长期股权投资等非流动非金融资产，本公司于资产负债表日判断是否存在减值迹象。如存在减值迹象的，则估计其可收</w:t>
      </w:r>
      <w:r>
        <w:rPr>
          <w:spacing w:val="-66"/>
        </w:rPr>
        <w:t> </w:t>
      </w:r>
      <w:r>
        <w:rPr>
          <w:spacing w:val="-66"/>
        </w:rPr>
      </w:r>
      <w:r>
        <w:rPr>
          <w:spacing w:val="-2"/>
        </w:rPr>
        <w:t>回金额，进行减值测试。商誉、使用寿命不确定的无形资产和尚未达到可使用状态的无形资产，无论是否存在减值迹象，每</w:t>
      </w:r>
      <w:r>
        <w:rPr>
          <w:spacing w:val="-66"/>
        </w:rPr>
        <w:t> </w:t>
      </w:r>
      <w:r>
        <w:rPr>
          <w:spacing w:val="-66"/>
        </w:rPr>
      </w:r>
      <w:r>
        <w:rPr/>
        <w:t>年均进行减值测试。</w:t>
      </w:r>
    </w:p>
    <w:p>
      <w:pPr>
        <w:spacing w:line="240" w:lineRule="auto" w:before="12"/>
        <w:rPr>
          <w:rFonts w:ascii="宋体" w:hAnsi="宋体" w:cs="宋体" w:eastAsia="宋体" w:hint="default"/>
          <w:sz w:val="17"/>
          <w:szCs w:val="17"/>
        </w:rPr>
      </w:pPr>
    </w:p>
    <w:p>
      <w:pPr>
        <w:pStyle w:val="BodyText"/>
        <w:spacing w:line="316" w:lineRule="auto"/>
        <w:ind w:left="153" w:right="0" w:firstLine="360"/>
        <w:jc w:val="left"/>
      </w:pPr>
      <w:r>
        <w:rPr>
          <w:spacing w:val="-2"/>
        </w:rPr>
        <w:t>减值测试结果表明资产的可收回金额低于其账面价值的，按其差额计提减值准备并计入减值损失。可收回金额为资产的</w:t>
      </w:r>
      <w:r>
        <w:rPr/>
        <w:t> </w:t>
      </w:r>
      <w:r>
        <w:rPr>
          <w:spacing w:val="-2"/>
        </w:rPr>
        <w:t>公允价值减去处置费用后的净额与资产预计未来现金流量的现值两者之间的较高者。资产的公允价值根据公平交易中销售协</w:t>
      </w:r>
      <w:r>
        <w:rPr>
          <w:spacing w:val="-64"/>
        </w:rPr>
        <w:t> </w:t>
      </w:r>
      <w:r>
        <w:rPr>
          <w:spacing w:val="-64"/>
        </w:rPr>
      </w:r>
      <w:r>
        <w:rPr>
          <w:spacing w:val="-2"/>
        </w:rPr>
        <w:t>议价格确定；不存在销售协议但存在资产活跃市场的，公允价值按照该资产的买方出价确定；不存在销售协议和资产活跃市</w:t>
      </w:r>
      <w:r>
        <w:rPr>
          <w:spacing w:val="-66"/>
        </w:rPr>
        <w:t> </w:t>
      </w:r>
      <w:r>
        <w:rPr>
          <w:spacing w:val="-66"/>
        </w:rPr>
      </w:r>
      <w:r>
        <w:rPr>
          <w:spacing w:val="-2"/>
        </w:rPr>
        <w:t>场的，则以可获取的最佳信息为基础估计资产的公允价值。处置费用包括与资产处置有关的法律费用、相关税费、搬运费以</w:t>
      </w:r>
      <w:r>
        <w:rPr>
          <w:spacing w:val="-66"/>
        </w:rPr>
        <w:t> </w:t>
      </w:r>
      <w:r>
        <w:rPr>
          <w:spacing w:val="-66"/>
        </w:rPr>
      </w:r>
      <w:r>
        <w:rPr>
          <w:spacing w:val="-2"/>
        </w:rPr>
        <w:t>及为使资产达到可销售状态所发生的直接费用。资产预计未来现金流量的现值，按照资产在持续使用过程中和最终处置时所</w:t>
      </w:r>
      <w:r>
        <w:rPr>
          <w:spacing w:val="-64"/>
        </w:rPr>
        <w:t> </w:t>
      </w:r>
      <w:r>
        <w:rPr>
          <w:spacing w:val="-64"/>
        </w:rPr>
      </w:r>
      <w:r>
        <w:rPr>
          <w:spacing w:val="-4"/>
        </w:rPr>
        <w:t>产生的预计未来现金流量，选择恰当的折现率对其进行折现后的金额加以确定。资产减值准备按单项资产为基础计算并确认，</w:t>
      </w:r>
      <w:r>
        <w:rPr>
          <w:spacing w:val="-44"/>
        </w:rPr>
        <w:t> </w:t>
      </w:r>
      <w:r>
        <w:rPr>
          <w:spacing w:val="-44"/>
        </w:rPr>
      </w:r>
      <w:r>
        <w:rPr>
          <w:spacing w:val="-2"/>
        </w:rPr>
        <w:t>如果难以对单项资产的可收回金额进行估计的，以该资产所属的资产组确定资产组的可收回金额。资产组是能够独立产生现</w:t>
      </w:r>
      <w:r>
        <w:rPr>
          <w:spacing w:val="-64"/>
        </w:rPr>
        <w:t> </w:t>
      </w:r>
      <w:r>
        <w:rPr>
          <w:spacing w:val="-64"/>
        </w:rPr>
      </w:r>
      <w:r>
        <w:rPr/>
        <w:t>金流入的最小资产组合。</w:t>
      </w:r>
    </w:p>
    <w:p>
      <w:pPr>
        <w:spacing w:line="240" w:lineRule="auto" w:before="12"/>
        <w:rPr>
          <w:rFonts w:ascii="宋体" w:hAnsi="宋体" w:cs="宋体" w:eastAsia="宋体" w:hint="default"/>
          <w:sz w:val="17"/>
          <w:szCs w:val="17"/>
        </w:rPr>
      </w:pPr>
    </w:p>
    <w:p>
      <w:pPr>
        <w:pStyle w:val="BodyText"/>
        <w:spacing w:line="316" w:lineRule="auto"/>
        <w:ind w:left="153" w:right="1130" w:firstLine="360"/>
        <w:jc w:val="both"/>
      </w:pPr>
      <w:r>
        <w:rPr>
          <w:spacing w:val="-2"/>
        </w:rPr>
        <w:t>在财务报表中单独列示的商誉，在进行减值测试时，将商誉的账面价值分摊至预期从企业合并的协同效应中受益的资产</w:t>
      </w:r>
      <w:r>
        <w:rPr/>
        <w:t> </w:t>
      </w:r>
      <w:r>
        <w:rPr>
          <w:spacing w:val="-2"/>
        </w:rPr>
        <w:t>组或资产组组合。测试结果表明包含分摊的商誉的资产组或资产组组合的可收回金额低于其账面价值的，确认相应的减值损</w:t>
      </w:r>
      <w:r>
        <w:rPr>
          <w:spacing w:val="-64"/>
        </w:rPr>
        <w:t> </w:t>
      </w:r>
      <w:r>
        <w:rPr>
          <w:spacing w:val="-64"/>
        </w:rPr>
      </w:r>
      <w:r>
        <w:rPr>
          <w:spacing w:val="-2"/>
        </w:rPr>
        <w:t>失。减值损失金额先抵减分摊至该资产组或资产组组合的商誉的账面价值，再根据资产组或资产组组合中除商誉以外的其他</w:t>
      </w:r>
      <w:r>
        <w:rPr>
          <w:spacing w:val="-64"/>
        </w:rPr>
        <w:t> </w:t>
      </w:r>
      <w:r>
        <w:rPr>
          <w:spacing w:val="-64"/>
        </w:rPr>
      </w:r>
      <w:r>
        <w:rPr/>
        <w:t>各项资产的账面价值所占比重，按比例抵减其他各项资产的账面价值。</w:t>
      </w:r>
    </w:p>
    <w:p>
      <w:pPr>
        <w:spacing w:line="240" w:lineRule="auto" w:before="1"/>
        <w:rPr>
          <w:rFonts w:ascii="宋体" w:hAnsi="宋体" w:cs="宋体" w:eastAsia="宋体" w:hint="default"/>
          <w:sz w:val="18"/>
          <w:szCs w:val="18"/>
        </w:rPr>
      </w:pPr>
    </w:p>
    <w:p>
      <w:pPr>
        <w:pStyle w:val="BodyText"/>
        <w:spacing w:line="240" w:lineRule="auto"/>
        <w:ind w:left="513" w:right="0"/>
        <w:jc w:val="left"/>
      </w:pPr>
      <w:r>
        <w:rPr/>
        <w:t>上述资产减值损失一经确认，以后期间不予转回价值得以恢复的部分。</w:t>
      </w:r>
    </w:p>
    <w:p>
      <w:pPr>
        <w:spacing w:line="240" w:lineRule="auto" w:before="10"/>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23</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130" w:firstLine="360"/>
        <w:jc w:val="both"/>
      </w:pPr>
      <w:r>
        <w:rPr>
          <w:spacing w:val="-2"/>
        </w:rPr>
        <w:t>本公司发生的长期待摊费用按实际成本计价，并按预计受益期限平均摊销。对不能使以后会计期间受益的长期待摊费用</w:t>
      </w:r>
      <w:r>
        <w:rPr/>
        <w:t> 项目，其摊余价值全部计入当期损益。</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短期薪酬主要包括工资、奖金、津贴和补贴、职工福利费、医疗保险费、生育保险费、工伤保险费、住房公积金、工会</w:t>
      </w:r>
      <w:r>
        <w:rPr/>
        <w:t> </w:t>
      </w:r>
      <w:r>
        <w:rPr>
          <w:spacing w:val="-4"/>
        </w:rPr>
        <w:t>经费和职工教育经费、非货币性福利等。本公司在职工为本公司提供服务的会计期间将实际发生的短期职工薪酬确认为负债，</w:t>
      </w:r>
      <w:r>
        <w:rPr>
          <w:spacing w:val="-44"/>
        </w:rPr>
        <w:t> </w:t>
      </w:r>
      <w:r>
        <w:rPr>
          <w:spacing w:val="-44"/>
        </w:rPr>
      </w:r>
      <w:r>
        <w:rPr/>
        <w:t>并计入当期损益或相关资产成本。其中非货币性福利按公允价值计量。</w:t>
      </w:r>
    </w:p>
    <w:p>
      <w:pPr>
        <w:spacing w:after="0" w:line="316" w:lineRule="auto"/>
        <w:jc w:val="left"/>
        <w:sectPr>
          <w:pgSz w:w="11910" w:h="16840"/>
          <w:pgMar w:header="747"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离职后福利主要包括设定提存计划。其中设定提存计划主要包括基本养老保险、失业保险以及年金等，相应的应缴存金</w:t>
      </w:r>
      <w:r>
        <w:rPr/>
        <w:t> 额于发生时计入相关资产成本或当期损益。</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0" w:firstLine="360"/>
        <w:jc w:val="left"/>
      </w:pPr>
      <w:r>
        <w:rPr>
          <w:spacing w:val="-2"/>
        </w:rPr>
        <w:t>在职工劳动合同到期之前解除与职工的劳动关系，或为鼓励职工自愿接受裁减而提出给予补偿的建议，在本公司不能单</w:t>
      </w:r>
      <w:r>
        <w:rPr/>
        <w:t> </w:t>
      </w:r>
      <w:r>
        <w:rPr>
          <w:spacing w:val="-2"/>
        </w:rPr>
        <w:t>方面撤回因解除劳动关系计划或裁减建议所提供的辞退福利时，和本公司确认与涉及支付辞退福利的重组相关的成本两者孰</w:t>
      </w:r>
      <w:r>
        <w:rPr>
          <w:spacing w:val="-64"/>
        </w:rPr>
        <w:t> </w:t>
      </w:r>
      <w:r>
        <w:rPr>
          <w:spacing w:val="-64"/>
        </w:rPr>
      </w:r>
      <w:r>
        <w:rPr>
          <w:spacing w:val="-4"/>
        </w:rPr>
        <w:t>早日，确认辞退福利产生的职工薪酬负债，并计入当期损益。但辞退福利预期在年度报告期结束后十二个月不能完全支付的，</w:t>
      </w:r>
      <w:r>
        <w:rPr>
          <w:spacing w:val="-44"/>
        </w:rPr>
        <w:t> </w:t>
      </w:r>
      <w:r>
        <w:rPr>
          <w:spacing w:val="-44"/>
        </w:rPr>
      </w:r>
      <w:r>
        <w:rPr/>
        <w:t>按照其他长期职工薪酬处理。</w:t>
      </w:r>
    </w:p>
    <w:p>
      <w:pPr>
        <w:spacing w:line="240" w:lineRule="auto" w:before="12"/>
        <w:rPr>
          <w:rFonts w:ascii="宋体" w:hAnsi="宋体" w:cs="宋体" w:eastAsia="宋体" w:hint="default"/>
          <w:sz w:val="17"/>
          <w:szCs w:val="17"/>
        </w:rPr>
      </w:pPr>
    </w:p>
    <w:p>
      <w:pPr>
        <w:pStyle w:val="BodyText"/>
        <w:spacing w:line="316" w:lineRule="auto"/>
        <w:ind w:right="0" w:firstLine="360"/>
        <w:jc w:val="left"/>
      </w:pPr>
      <w:r>
        <w:rPr>
          <w:spacing w:val="-2"/>
        </w:rPr>
        <w:t>职工内部退休计划采用上述辞退福利相同的原则处理。本公司将自职工停止提供服务日至正常退休日的期间拟支付的内</w:t>
      </w:r>
      <w:r>
        <w:rPr/>
        <w:t> 退人员工资和缴纳的社会保险费等，在符合预计负债确认条件时，计入当期损益（辞退福利）。</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本公司向职工提供的其他长期职工福利，符合设定提存计划的，按照设定提存计划进行会计处理，除此之外按照设定收</w:t>
      </w:r>
      <w:r>
        <w:rPr/>
        <w:t> 益计划进行会计处理。</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如果与或有事项相关的义务同时符合以下条件，本公司将其确认为预计负债：</w:t>
      </w:r>
    </w:p>
    <w:p>
      <w:pPr>
        <w:spacing w:line="240" w:lineRule="auto" w:before="5"/>
        <w:rPr>
          <w:rFonts w:ascii="宋体" w:hAnsi="宋体" w:cs="宋体" w:eastAsia="宋体" w:hint="default"/>
          <w:sz w:val="22"/>
          <w:szCs w:val="22"/>
        </w:rPr>
      </w:pPr>
    </w:p>
    <w:p>
      <w:pPr>
        <w:pStyle w:val="BodyText"/>
        <w:spacing w:line="240" w:lineRule="auto"/>
        <w:ind w:left="371" w:right="0"/>
        <w:jc w:val="left"/>
      </w:pPr>
      <w:r>
        <w:rPr/>
        <w:t>（</w:t>
      </w:r>
      <w:r>
        <w:rPr>
          <w:rFonts w:ascii="Times New Roman" w:hAnsi="Times New Roman" w:cs="Times New Roman" w:eastAsia="Times New Roman" w:hint="default"/>
        </w:rPr>
        <w:t>1</w:t>
      </w:r>
      <w:r>
        <w:rPr/>
        <w:t>）该义务是本公司承担的现时义务；</w:t>
      </w:r>
    </w:p>
    <w:p>
      <w:pPr>
        <w:spacing w:line="240" w:lineRule="auto" w:before="4"/>
        <w:rPr>
          <w:rFonts w:ascii="宋体" w:hAnsi="宋体" w:cs="宋体" w:eastAsia="宋体" w:hint="default"/>
          <w:sz w:val="21"/>
          <w:szCs w:val="21"/>
        </w:rPr>
      </w:pPr>
    </w:p>
    <w:p>
      <w:pPr>
        <w:pStyle w:val="BodyText"/>
        <w:spacing w:line="240" w:lineRule="auto"/>
        <w:ind w:left="371" w:right="0"/>
        <w:jc w:val="left"/>
      </w:pPr>
      <w:r>
        <w:rPr/>
        <w:t>（</w:t>
      </w:r>
      <w:r>
        <w:rPr>
          <w:rFonts w:ascii="Times New Roman" w:hAnsi="Times New Roman" w:cs="Times New Roman" w:eastAsia="Times New Roman" w:hint="default"/>
        </w:rPr>
        <w:t>2</w:t>
      </w:r>
      <w:r>
        <w:rPr/>
        <w:t>）该义务的履行很可能导致经济利益流出本公司；</w:t>
      </w:r>
    </w:p>
    <w:p>
      <w:pPr>
        <w:pStyle w:val="BodyText"/>
        <w:spacing w:line="510" w:lineRule="atLeast" w:before="18"/>
        <w:ind w:left="513" w:right="0" w:hanging="143"/>
        <w:jc w:val="left"/>
      </w:pPr>
      <w:r>
        <w:rPr/>
        <w:t>（</w:t>
      </w:r>
      <w:r>
        <w:rPr>
          <w:rFonts w:ascii="Times New Roman" w:hAnsi="Times New Roman" w:cs="Times New Roman" w:eastAsia="Times New Roman" w:hint="default"/>
        </w:rPr>
        <w:t>3</w:t>
      </w:r>
      <w:r>
        <w:rPr/>
        <w:t>）该义务的金额能够可靠地计量。 </w:t>
      </w:r>
      <w:r>
        <w:rPr>
          <w:spacing w:val="-2"/>
        </w:rPr>
        <w:t>预计负债按照履行相关现时义务所需支出的最佳估计数进行初始计量，综合考虑与或有事项有关的风险、不确定性和货</w:t>
      </w:r>
    </w:p>
    <w:p>
      <w:pPr>
        <w:pStyle w:val="BodyText"/>
        <w:spacing w:line="240" w:lineRule="auto" w:before="76"/>
        <w:ind w:left="153" w:right="0"/>
        <w:jc w:val="left"/>
      </w:pPr>
      <w:r>
        <w:rPr/>
        <w:t>币时间价值等因素。货币时间价值影响重大的，通过对相关未来现金流出进行折现后确定最佳估计数。</w:t>
      </w:r>
    </w:p>
    <w:p>
      <w:pPr>
        <w:spacing w:line="240" w:lineRule="auto" w:before="5"/>
        <w:rPr>
          <w:rFonts w:ascii="宋体" w:hAnsi="宋体" w:cs="宋体" w:eastAsia="宋体" w:hint="default"/>
          <w:sz w:val="22"/>
          <w:szCs w:val="22"/>
        </w:rPr>
      </w:pPr>
    </w:p>
    <w:p>
      <w:pPr>
        <w:pStyle w:val="BodyText"/>
        <w:spacing w:line="319" w:lineRule="auto"/>
        <w:ind w:left="153" w:right="0" w:firstLine="360"/>
        <w:jc w:val="left"/>
      </w:pPr>
      <w:r>
        <w:rPr>
          <w:spacing w:val="-2"/>
        </w:rPr>
        <w:t>如果清偿已确认预计负债所需支出全部或部分预期由第三方或其他方补偿，则补偿金额只能在基本确定能收到时，作为</w:t>
      </w:r>
      <w:r>
        <w:rPr/>
        <w:t> 资产单独确认。确认的补偿金额不超过所确认负债的账面价值。</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508" w:lineRule="auto"/>
        <w:ind w:left="444" w:right="4880" w:hanging="56"/>
        <w:jc w:val="left"/>
      </w:pPr>
      <w:r>
        <w:rPr/>
        <w:t>（</w:t>
      </w:r>
      <w:r>
        <w:rPr>
          <w:rFonts w:ascii="Times New Roman" w:hAnsi="Times New Roman" w:cs="Times New Roman" w:eastAsia="Times New Roman" w:hint="default"/>
        </w:rPr>
        <w:t>1</w:t>
      </w:r>
      <w:r>
        <w:rPr/>
        <w:t>）股份支付的种类 本公司股份支付分为以权益结算的股份支付和以现金结算的股份支付。</w:t>
      </w:r>
    </w:p>
    <w:p>
      <w:pPr>
        <w:pStyle w:val="BodyText"/>
        <w:spacing w:line="240" w:lineRule="auto" w:before="91"/>
        <w:ind w:left="371" w:right="0"/>
        <w:jc w:val="left"/>
      </w:pPr>
      <w:r>
        <w:rPr/>
        <w:t>（</w:t>
      </w:r>
      <w:r>
        <w:rPr>
          <w:rFonts w:ascii="Times New Roman" w:hAnsi="Times New Roman" w:cs="Times New Roman" w:eastAsia="Times New Roman" w:hint="default"/>
        </w:rPr>
        <w:t>2</w:t>
      </w:r>
      <w:r>
        <w:rPr/>
        <w:t>）权益工具公允价值的确定方法</w:t>
      </w:r>
    </w:p>
    <w:p>
      <w:pPr>
        <w:spacing w:line="240" w:lineRule="auto" w:before="4"/>
        <w:rPr>
          <w:rFonts w:ascii="宋体" w:hAnsi="宋体" w:cs="宋体" w:eastAsia="宋体" w:hint="default"/>
          <w:sz w:val="21"/>
          <w:szCs w:val="21"/>
        </w:rPr>
      </w:pPr>
    </w:p>
    <w:p>
      <w:pPr>
        <w:pStyle w:val="BodyText"/>
        <w:spacing w:line="316" w:lineRule="auto"/>
        <w:ind w:left="153" w:right="0" w:firstLine="290"/>
        <w:jc w:val="left"/>
      </w:pPr>
      <w:r>
        <w:rPr>
          <w:spacing w:val="-1"/>
        </w:rPr>
        <w:t>本公司对于授予的存在活跃市场的期权等权益工具，按照活跃市场中的报价确定其公允价值。对于授予的不存在活跃市</w:t>
      </w:r>
      <w:r>
        <w:rPr/>
        <w:t> 场的期权等权益工具，采用期权定价模型等确定其公允价值。</w:t>
      </w:r>
    </w:p>
    <w:p>
      <w:pPr>
        <w:spacing w:line="240" w:lineRule="auto" w:before="12"/>
        <w:rPr>
          <w:rFonts w:ascii="宋体" w:hAnsi="宋体" w:cs="宋体" w:eastAsia="宋体" w:hint="default"/>
          <w:sz w:val="17"/>
          <w:szCs w:val="17"/>
        </w:rPr>
      </w:pPr>
    </w:p>
    <w:p>
      <w:pPr>
        <w:pStyle w:val="BodyText"/>
        <w:spacing w:line="240" w:lineRule="auto"/>
        <w:ind w:left="444" w:right="0"/>
        <w:jc w:val="left"/>
      </w:pPr>
      <w:r>
        <w:rPr/>
        <w:t>（</w:t>
      </w:r>
      <w:r>
        <w:rPr>
          <w:rFonts w:ascii="Times New Roman" w:hAnsi="Times New Roman" w:cs="Times New Roman" w:eastAsia="Times New Roman" w:hint="default"/>
        </w:rPr>
        <w:t>3</w:t>
      </w:r>
      <w:r>
        <w:rPr/>
        <w:t>）确认可行权权益工具最佳估计的依据</w:t>
      </w:r>
    </w:p>
    <w:p>
      <w:pPr>
        <w:spacing w:after="0" w:line="240"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19" w:lineRule="auto" w:before="44"/>
        <w:ind w:left="153" w:right="1130" w:firstLine="360"/>
        <w:jc w:val="both"/>
      </w:pPr>
      <w:r>
        <w:rPr>
          <w:spacing w:val="-2"/>
        </w:rPr>
        <w:t>等待期内每个资产负债表日，本公司根据最新取得的可行权职工人数变动等后续信息作出最佳估计，修正预计可行权的</w:t>
      </w:r>
      <w:r>
        <w:rPr/>
        <w:t> 权益工具数量。在可行权日，最终预计可行权权益工具的数量应当与实际可行权数量一致。</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27</w:t>
      </w:r>
      <w:r>
        <w:rPr/>
        <w:t>、收入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338" w:lineRule="auto" w:before="102"/>
        <w:ind w:left="514" w:right="1117"/>
        <w:jc w:val="left"/>
      </w:pPr>
      <w:r>
        <w:rPr/>
        <w:t>（</w:t>
      </w:r>
      <w:r>
        <w:rPr>
          <w:rFonts w:ascii="Times New Roman" w:hAnsi="Times New Roman" w:cs="Times New Roman" w:eastAsia="Times New Roman" w:hint="default"/>
        </w:rPr>
        <w:t>1</w:t>
      </w:r>
      <w:r>
        <w:rPr/>
        <w:t>）销售商品 </w:t>
      </w:r>
      <w:r>
        <w:rPr>
          <w:spacing w:val="-2"/>
        </w:rPr>
        <w:t>对已将商品所有权上的主要风险或报酬转移给购货方，既没有保留通常与所有权相联系的继续管理权，也没有对已售商</w:t>
      </w:r>
    </w:p>
    <w:p>
      <w:pPr>
        <w:pStyle w:val="BodyText"/>
        <w:spacing w:line="319" w:lineRule="auto" w:before="2"/>
        <w:ind w:right="0"/>
        <w:jc w:val="left"/>
      </w:pPr>
      <w:r>
        <w:rPr>
          <w:spacing w:val="-2"/>
        </w:rPr>
        <w:t>品实施有效控制，收入的金额能够可靠地计量，相关的经济利益很可能流入企业，且相关的已发生或将发生的成本能够可靠</w:t>
      </w:r>
      <w:r>
        <w:rPr>
          <w:spacing w:val="-66"/>
        </w:rPr>
        <w:t> </w:t>
      </w:r>
      <w:r>
        <w:rPr>
          <w:spacing w:val="-66"/>
        </w:rPr>
      </w:r>
      <w:r>
        <w:rPr/>
        <w:t>地计量时，本公司确认商品销售收入的实现。</w:t>
      </w:r>
    </w:p>
    <w:p>
      <w:pPr>
        <w:pStyle w:val="BodyText"/>
        <w:spacing w:line="319" w:lineRule="auto" w:before="55"/>
        <w:ind w:right="1129" w:firstLine="360"/>
        <w:jc w:val="both"/>
      </w:pPr>
      <w:r>
        <w:rPr>
          <w:spacing w:val="-2"/>
        </w:rPr>
        <w:t>除北明软件外公司商品销售收入分为内销销售收入和外销销售收入，内销销售收入确认的具体原则为：商品已发出，并</w:t>
      </w:r>
      <w:r>
        <w:rPr/>
        <w:t> </w:t>
      </w:r>
      <w:r>
        <w:rPr>
          <w:spacing w:val="-2"/>
        </w:rPr>
        <w:t>取得货权转移的凭证，发票账单已交付，已收讫全部或部分货款或预计可收回货款，成本能够可靠计量；外销销售收入确认</w:t>
      </w:r>
      <w:r>
        <w:rPr>
          <w:spacing w:val="-66"/>
        </w:rPr>
        <w:t> </w:t>
      </w:r>
      <w:r>
        <w:rPr>
          <w:spacing w:val="-66"/>
        </w:rPr>
      </w:r>
      <w:r>
        <w:rPr/>
        <w:t>的具体原则为：取得商品出运运单，并向银行办理完毕交单手续。</w:t>
      </w:r>
    </w:p>
    <w:p>
      <w:pPr>
        <w:pStyle w:val="BodyText"/>
        <w:spacing w:line="340" w:lineRule="auto" w:before="56"/>
        <w:ind w:left="514" w:right="3190"/>
        <w:jc w:val="left"/>
      </w:pPr>
      <w:r>
        <w:rPr/>
        <w:t>（</w:t>
      </w:r>
      <w:r>
        <w:rPr>
          <w:rFonts w:ascii="Times New Roman" w:hAnsi="Times New Roman" w:cs="Times New Roman" w:eastAsia="Times New Roman" w:hint="default"/>
        </w:rPr>
        <w:t>2</w:t>
      </w:r>
      <w:r>
        <w:rPr/>
        <w:t>）提供劳务 对在提供劳务交易的结果能够可靠估计的情况下，本公司在期末按完工百分比法确认收入。</w:t>
      </w:r>
    </w:p>
    <w:p>
      <w:pPr>
        <w:pStyle w:val="BodyText"/>
        <w:spacing w:line="319" w:lineRule="auto" w:before="39"/>
        <w:ind w:right="1131" w:firstLine="360"/>
        <w:jc w:val="both"/>
      </w:pPr>
      <w:r>
        <w:rPr>
          <w:spacing w:val="-2"/>
        </w:rPr>
        <w:t>如果提供劳务交易的结果不能够可靠估计，则按已经发生并预计能够得到补偿的劳务成本金额确认提供的劳务收入，并</w:t>
      </w:r>
      <w:r>
        <w:rPr/>
        <w:t> 将已发生的劳务成本作为当期费用。已经发生的劳务成本如预计不能得到补偿的，则不确认收入。</w:t>
      </w:r>
    </w:p>
    <w:p>
      <w:pPr>
        <w:pStyle w:val="BodyText"/>
        <w:spacing w:line="319" w:lineRule="auto" w:before="55"/>
        <w:ind w:right="1129" w:firstLine="360"/>
        <w:jc w:val="both"/>
      </w:pPr>
      <w:r>
        <w:rPr>
          <w:spacing w:val="-2"/>
        </w:rPr>
        <w:t>除北明软件外公司与其他企业签订的合同或协议包括销售商品和提供劳务时，如销售商品部分和提供劳务部分能够区分</w:t>
      </w:r>
      <w:r>
        <w:rPr/>
        <w:t> </w:t>
      </w:r>
      <w:r>
        <w:rPr>
          <w:spacing w:val="-2"/>
        </w:rPr>
        <w:t>并单独计量的，将销售商品部分和提供劳务部分分别处理；如销售商品部分和提供劳务部分不能够区分，或虽能区分但不能</w:t>
      </w:r>
      <w:r>
        <w:rPr>
          <w:spacing w:val="-66"/>
        </w:rPr>
        <w:t> </w:t>
      </w:r>
      <w:r>
        <w:rPr>
          <w:spacing w:val="-66"/>
        </w:rPr>
      </w:r>
      <w:r>
        <w:rPr/>
        <w:t>够单独计量的，将该合同全部作为销售商品处理。</w:t>
      </w:r>
    </w:p>
    <w:p>
      <w:pPr>
        <w:pStyle w:val="BodyText"/>
        <w:spacing w:line="348" w:lineRule="auto" w:before="58"/>
        <w:ind w:left="514" w:right="2470"/>
        <w:jc w:val="left"/>
      </w:pPr>
      <w:r>
        <w:rPr/>
        <w:t>（</w:t>
      </w:r>
      <w:r>
        <w:rPr>
          <w:rFonts w:ascii="Times New Roman" w:hAnsi="Times New Roman" w:cs="Times New Roman" w:eastAsia="Times New Roman" w:hint="default"/>
        </w:rPr>
        <w:t>3</w:t>
      </w:r>
      <w:r>
        <w:rPr/>
        <w:t>）让渡资产使用权 与资产使用权让渡相关的经济利益很可能够流入及收入的金额能够可靠地计量时，本公司确认收入。 北明软件的软件收入会计政策如下：</w:t>
      </w:r>
    </w:p>
    <w:p>
      <w:pPr>
        <w:pStyle w:val="BodyText"/>
        <w:spacing w:line="338" w:lineRule="auto" w:before="36"/>
        <w:ind w:left="444" w:right="2900" w:hanging="74"/>
        <w:jc w:val="left"/>
      </w:pPr>
      <w:r>
        <w:rPr/>
        <w:t>（</w:t>
      </w:r>
      <w:r>
        <w:rPr>
          <w:rFonts w:ascii="Times New Roman" w:hAnsi="Times New Roman" w:cs="Times New Roman" w:eastAsia="Times New Roman" w:hint="default"/>
        </w:rPr>
        <w:t>1</w:t>
      </w:r>
      <w:r>
        <w:rPr/>
        <w:t>）主营业务收入的分类 公司收入主要由系统集成及行业解决方案、代理产品增值销售、定制软件及服务等三大类构成。</w:t>
      </w:r>
    </w:p>
    <w:p>
      <w:pPr>
        <w:pStyle w:val="BodyText"/>
        <w:spacing w:line="357" w:lineRule="auto" w:before="42"/>
        <w:ind w:left="444" w:right="0"/>
        <w:jc w:val="left"/>
      </w:pPr>
      <w:r>
        <w:rPr/>
        <w:t>①系统集成及行业解决方案 </w:t>
      </w:r>
      <w:r>
        <w:rPr>
          <w:spacing w:val="-1"/>
        </w:rPr>
        <w:t>是指根据客户业务需求，综合应用计算机、通信和网络技术，选择合适的软件及硬件产品，经过应用开发、集成设计和</w:t>
      </w:r>
    </w:p>
    <w:p>
      <w:pPr>
        <w:pStyle w:val="BodyText"/>
        <w:spacing w:line="224" w:lineRule="exact"/>
        <w:ind w:right="0"/>
        <w:jc w:val="left"/>
      </w:pPr>
      <w:r>
        <w:rPr/>
        <w:t>安装调试，将各个分离的设备（如个人电脑）、功能和信息等集成到相互关联、统一和协调的系统之中，将整体解决方案提</w:t>
      </w:r>
    </w:p>
    <w:p>
      <w:pPr>
        <w:pStyle w:val="BodyText"/>
        <w:spacing w:line="240" w:lineRule="auto" w:before="77"/>
        <w:ind w:right="0"/>
        <w:jc w:val="left"/>
      </w:pPr>
      <w:r>
        <w:rPr/>
        <w:t>交给用户。</w:t>
      </w:r>
    </w:p>
    <w:p>
      <w:pPr>
        <w:pStyle w:val="BodyText"/>
        <w:spacing w:line="309" w:lineRule="auto" w:before="115"/>
        <w:ind w:right="1129" w:firstLine="290"/>
        <w:jc w:val="both"/>
      </w:pPr>
      <w:r>
        <w:rPr>
          <w:spacing w:val="-1"/>
        </w:rPr>
        <w:t>对系统集成及行业解决方案收入划定的标准为：公司直接与行业用户客户签订的业务（项目）合同，在投标或项目实施</w:t>
      </w:r>
      <w:r>
        <w:rPr/>
        <w:t> </w:t>
      </w:r>
      <w:r>
        <w:rPr>
          <w:spacing w:val="-2"/>
        </w:rPr>
        <w:t>前期包含为该等客户提供集成设计服务或在为该等客户提供</w:t>
      </w:r>
      <w:r>
        <w:rPr>
          <w:rFonts w:ascii="Times New Roman" w:hAnsi="Times New Roman" w:cs="Times New Roman" w:eastAsia="Times New Roman" w:hint="default"/>
          <w:spacing w:val="-2"/>
        </w:rPr>
        <w:t>IT</w:t>
      </w:r>
      <w:r>
        <w:rPr>
          <w:spacing w:val="-2"/>
        </w:rPr>
        <w:t>产品（设备，以下同）、软件产品等的同时负责设备、软件等</w:t>
      </w:r>
      <w:r>
        <w:rPr>
          <w:spacing w:val="-55"/>
        </w:rPr>
        <w:t> </w:t>
      </w:r>
      <w:r>
        <w:rPr>
          <w:spacing w:val="-55"/>
        </w:rPr>
      </w:r>
      <w:r>
        <w:rPr/>
        <w:t>的安装、调试服务。</w:t>
      </w:r>
    </w:p>
    <w:p>
      <w:pPr>
        <w:pStyle w:val="BodyText"/>
        <w:spacing w:line="357" w:lineRule="auto" w:before="64"/>
        <w:ind w:left="444" w:right="1120"/>
        <w:jc w:val="left"/>
      </w:pPr>
      <w:r>
        <w:rPr/>
        <w:t>②代理产品增值销售 是指向</w:t>
      </w:r>
      <w:r>
        <w:rPr>
          <w:rFonts w:ascii="Times New Roman" w:hAnsi="Times New Roman" w:cs="Times New Roman" w:eastAsia="Times New Roman" w:hint="default"/>
        </w:rPr>
        <w:t>IT</w:t>
      </w:r>
      <w:r>
        <w:rPr/>
        <w:t>代理商和其他系统集成商销售公司代理的软件产品、</w:t>
      </w:r>
      <w:r>
        <w:rPr>
          <w:rFonts w:ascii="Times New Roman" w:hAnsi="Times New Roman" w:cs="Times New Roman" w:eastAsia="Times New Roman" w:hint="default"/>
        </w:rPr>
        <w:t>IT</w:t>
      </w:r>
      <w:r>
        <w:rPr/>
        <w:t>产品（设备），并提供各类增值服务，包括安装调试、</w:t>
      </w:r>
    </w:p>
    <w:p>
      <w:pPr>
        <w:pStyle w:val="BodyText"/>
        <w:spacing w:line="202" w:lineRule="exact"/>
        <w:ind w:right="0"/>
        <w:jc w:val="left"/>
      </w:pPr>
      <w:r>
        <w:rPr/>
        <w:t>测试、培训等。</w:t>
      </w:r>
    </w:p>
    <w:p>
      <w:pPr>
        <w:pStyle w:val="BodyText"/>
        <w:spacing w:line="357" w:lineRule="auto" w:before="116"/>
        <w:ind w:left="444" w:right="0"/>
        <w:jc w:val="left"/>
      </w:pPr>
      <w:r>
        <w:rPr/>
        <w:t>③定制软件及服务 </w:t>
      </w:r>
      <w:r>
        <w:rPr>
          <w:spacing w:val="-3"/>
        </w:rPr>
        <w:t>是指通过各种定制化、个性化的软件开发、技术服务，促进客户企业信息技术系统效能的发挥，帮助客户实现自身目标，</w:t>
      </w:r>
    </w:p>
    <w:p>
      <w:pPr>
        <w:pStyle w:val="BodyText"/>
        <w:spacing w:line="225" w:lineRule="exact"/>
        <w:ind w:right="0"/>
        <w:jc w:val="left"/>
      </w:pPr>
      <w:r>
        <w:rPr/>
        <w:t>包括各种信息技术咨询、软件开发、测试服务、数据处理服务、技术服务、培训服务、运维服务、信息增值服务等。</w:t>
      </w:r>
    </w:p>
    <w:p>
      <w:pPr>
        <w:pStyle w:val="BodyText"/>
        <w:spacing w:line="240" w:lineRule="auto" w:before="117"/>
        <w:ind w:left="371" w:right="0"/>
        <w:jc w:val="left"/>
      </w:pPr>
      <w:r>
        <w:rPr/>
        <w:t>（</w:t>
      </w:r>
      <w:r>
        <w:rPr>
          <w:rFonts w:ascii="Times New Roman" w:hAnsi="Times New Roman" w:cs="Times New Roman" w:eastAsia="Times New Roman" w:hint="default"/>
        </w:rPr>
        <w:t>2</w:t>
      </w:r>
      <w:r>
        <w:rPr/>
        <w:t>）主营业务收入确认原则与方法</w:t>
      </w:r>
    </w:p>
    <w:p>
      <w:pPr>
        <w:pStyle w:val="BodyText"/>
        <w:spacing w:line="357" w:lineRule="auto" w:before="102"/>
        <w:ind w:left="444" w:right="0"/>
        <w:jc w:val="left"/>
      </w:pPr>
      <w:r>
        <w:rPr/>
        <w:t>①系统集成及行业解决方案 </w:t>
      </w:r>
      <w:r>
        <w:rPr>
          <w:spacing w:val="-1"/>
        </w:rPr>
        <w:t>按照产品销售收入确认原则进行收入的确认。即在同时满足以下条件时确认收入的实现：已将外购商品、软件产品所有</w:t>
      </w:r>
    </w:p>
    <w:p>
      <w:pPr>
        <w:pStyle w:val="BodyText"/>
        <w:spacing w:line="224" w:lineRule="exact"/>
        <w:ind w:right="0"/>
        <w:jc w:val="left"/>
      </w:pPr>
      <w:r>
        <w:rPr/>
        <w:t>权上的主要风险和报酬转移给购货方；公司既没有保留通常与所有权相联系的继续管理权，也没有对已售出的商品实施有效</w:t>
      </w:r>
    </w:p>
    <w:p>
      <w:pPr>
        <w:spacing w:after="0" w:line="224" w:lineRule="exact"/>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19" w:lineRule="auto" w:before="44"/>
        <w:ind w:left="153" w:right="0"/>
        <w:jc w:val="left"/>
      </w:pPr>
      <w:r>
        <w:rPr>
          <w:spacing w:val="-2"/>
        </w:rPr>
        <w:t>控制；安装调试完毕并取得购货方的验收报告；与交易相关的经济利益能够流入企业；相关的收入和成本能可靠计量时，一</w:t>
      </w:r>
      <w:r>
        <w:rPr>
          <w:spacing w:val="-66"/>
        </w:rPr>
        <w:t> </w:t>
      </w:r>
      <w:r>
        <w:rPr>
          <w:spacing w:val="-66"/>
        </w:rPr>
      </w:r>
      <w:r>
        <w:rPr/>
        <w:t>次性确认收入实现。</w:t>
      </w:r>
    </w:p>
    <w:p>
      <w:pPr>
        <w:pStyle w:val="BodyText"/>
        <w:spacing w:line="360" w:lineRule="auto" w:before="56"/>
        <w:ind w:left="444" w:right="6860" w:firstLine="72"/>
        <w:jc w:val="left"/>
      </w:pPr>
      <w:r>
        <w:rPr/>
        <w:t>②代理产品增值销售 按照产品销售收入确认原则进行收入的确认。</w:t>
      </w:r>
    </w:p>
    <w:p>
      <w:pPr>
        <w:pStyle w:val="BodyText"/>
        <w:spacing w:line="240" w:lineRule="auto" w:before="26"/>
        <w:ind w:left="444" w:right="0"/>
        <w:jc w:val="left"/>
      </w:pPr>
      <w:r>
        <w:rPr/>
        <w:t>根据该等合同是否包含安装调试等条款具体再分以下两种情况确认收入的实现：</w:t>
      </w:r>
    </w:p>
    <w:p>
      <w:pPr>
        <w:pStyle w:val="BodyText"/>
        <w:spacing w:line="302" w:lineRule="auto" w:before="115"/>
        <w:ind w:left="153" w:right="1157" w:firstLine="289"/>
        <w:jc w:val="left"/>
      </w:pPr>
      <w:r>
        <w:rPr>
          <w:rFonts w:ascii="Times New Roman" w:hAnsi="Times New Roman" w:cs="Times New Roman" w:eastAsia="Times New Roman" w:hint="default"/>
        </w:rPr>
        <w:t>a.</w:t>
      </w:r>
      <w:r>
        <w:rPr/>
        <w:t>对于合同中规定了货物交付后需要安装调试条款的项目，公司于货物交付并取得安装调试验收报告时一次性确认收入 实现。</w:t>
      </w:r>
    </w:p>
    <w:p>
      <w:pPr>
        <w:pStyle w:val="BodyText"/>
        <w:spacing w:line="240" w:lineRule="auto" w:before="70"/>
        <w:ind w:left="444" w:right="0"/>
        <w:jc w:val="left"/>
      </w:pPr>
      <w:r>
        <w:rPr>
          <w:rFonts w:ascii="Times New Roman" w:hAnsi="Times New Roman" w:cs="Times New Roman" w:eastAsia="Times New Roman" w:hint="default"/>
        </w:rPr>
        <w:t>b.</w:t>
      </w:r>
      <w:r>
        <w:rPr/>
        <w:t>对于合同中只规定货物交付未规定安装调试条款的项目，公司在取得买方收货验收单时确认收入的实现。</w:t>
      </w:r>
    </w:p>
    <w:p>
      <w:pPr>
        <w:pStyle w:val="BodyText"/>
        <w:spacing w:line="357" w:lineRule="auto" w:before="102"/>
        <w:ind w:left="444" w:right="1100"/>
        <w:jc w:val="left"/>
      </w:pPr>
      <w:r>
        <w:rPr/>
        <w:t>③定制软件及服务 定制软件开发及技术服务系公司根据用户的实际需求进行专门的软件设计与开发，由此开发出来的软件不具有通用性。</w:t>
      </w:r>
    </w:p>
    <w:p>
      <w:pPr>
        <w:pStyle w:val="BodyText"/>
        <w:spacing w:line="348" w:lineRule="auto"/>
        <w:ind w:left="443" w:right="1146" w:hanging="290"/>
        <w:jc w:val="left"/>
      </w:pPr>
      <w:r>
        <w:rPr/>
        <w:t>定制软件业务实质上是提供劳务，公司按照劳务收入确认原则进行收入的确认。具体如下： </w:t>
      </w:r>
      <w:r>
        <w:rPr>
          <w:rFonts w:ascii="Times New Roman" w:hAnsi="Times New Roman" w:cs="Times New Roman" w:eastAsia="Times New Roman" w:hint="default"/>
        </w:rPr>
        <w:t>a.</w:t>
      </w:r>
      <w:r>
        <w:rPr/>
        <w:t>按合同约定已完成定制软件开发并经对方验收后确认收入。 </w:t>
      </w:r>
      <w:r>
        <w:rPr>
          <w:rFonts w:ascii="Times New Roman" w:hAnsi="Times New Roman" w:cs="Times New Roman" w:eastAsia="Times New Roman" w:hint="default"/>
        </w:rPr>
        <w:t>b.</w:t>
      </w:r>
      <w:r>
        <w:rPr/>
        <w:t>合同的执行期间跨不同的会计期间时，公司对合同成果能可靠估计的，在资产负债表日按完工百分比法确认收入的实</w:t>
      </w:r>
    </w:p>
    <w:p>
      <w:pPr>
        <w:pStyle w:val="BodyText"/>
        <w:spacing w:line="209" w:lineRule="exact"/>
        <w:ind w:left="153" w:right="0"/>
        <w:jc w:val="left"/>
      </w:pPr>
      <w:r>
        <w:rPr/>
        <w:t>现。即在资产负债表日按照合同收入总额乘以完工进度扣除以前会计期间累计已确认劳务收入后的金额，确认当期收入；同</w:t>
      </w:r>
    </w:p>
    <w:p>
      <w:pPr>
        <w:pStyle w:val="BodyText"/>
        <w:spacing w:line="240" w:lineRule="auto" w:before="77"/>
        <w:ind w:left="153" w:right="0"/>
        <w:jc w:val="left"/>
      </w:pPr>
      <w:r>
        <w:rPr/>
        <w:t>时，按照合同估计总成本乘以完工进度扣除以前会计期间累计已确认劳务成本后的金额，结转当期成本。</w:t>
      </w:r>
    </w:p>
    <w:p>
      <w:pPr>
        <w:pStyle w:val="BodyText"/>
        <w:spacing w:line="312" w:lineRule="auto" w:before="115"/>
        <w:ind w:left="153" w:right="0" w:firstLine="289"/>
        <w:jc w:val="left"/>
      </w:pPr>
      <w:r>
        <w:rPr>
          <w:rFonts w:ascii="Times New Roman" w:hAnsi="Times New Roman" w:cs="Times New Roman" w:eastAsia="Times New Roman" w:hint="default"/>
        </w:rPr>
        <w:t>c.</w:t>
      </w:r>
      <w:r>
        <w:rPr/>
        <w:t>对在资产负债表日合同成果不能可靠估计的，如果已经发生的成本预计能够得到补偿，按能够得到补偿的收入金额确 </w:t>
      </w:r>
      <w:r>
        <w:rPr>
          <w:spacing w:val="-2"/>
        </w:rPr>
        <w:t>认收入，并按相同的金额结转成本；如果已经发生的成本预计不能全部得到补偿，按能够得到补偿的收入金额确认收入，并</w:t>
      </w:r>
      <w:r>
        <w:rPr>
          <w:spacing w:val="-66"/>
        </w:rPr>
        <w:t> </w:t>
      </w:r>
      <w:r>
        <w:rPr>
          <w:spacing w:val="-66"/>
        </w:rPr>
      </w:r>
      <w:r>
        <w:rPr>
          <w:spacing w:val="-4"/>
        </w:rPr>
        <w:t>按已发生的成本结转成本，确认的收入金额小于已经发生的成本的差额，确认为损失；如果已发生的成本全部不能得到补偿，</w:t>
      </w:r>
      <w:r>
        <w:rPr>
          <w:spacing w:val="-44"/>
        </w:rPr>
        <w:t> </w:t>
      </w:r>
      <w:r>
        <w:rPr>
          <w:spacing w:val="-44"/>
        </w:rPr>
      </w:r>
      <w:r>
        <w:rPr/>
        <w:t>则不确认收入，但应将已发生的成本确认为费用。</w:t>
      </w:r>
    </w:p>
    <w:p>
      <w:pPr>
        <w:pStyle w:val="BodyText"/>
        <w:spacing w:line="302" w:lineRule="auto" w:before="62"/>
        <w:ind w:left="153" w:right="1146" w:firstLine="290"/>
        <w:jc w:val="left"/>
      </w:pPr>
      <w:r>
        <w:rPr>
          <w:rFonts w:ascii="Times New Roman" w:hAnsi="Times New Roman" w:cs="Times New Roman" w:eastAsia="Times New Roman" w:hint="default"/>
        </w:rPr>
        <w:t>d.</w:t>
      </w:r>
      <w:r>
        <w:rPr/>
        <w:t>对于单独与客户签订系统维护、性能优化、硬件维护与备件更新、技术与应用咨询、产品升级等技术服务合同的，公 司根据合同约定的服务期间按提供服务的进度分期确认收入的实现。</w:t>
      </w:r>
    </w:p>
    <w:p>
      <w:pPr>
        <w:spacing w:line="240" w:lineRule="auto" w:before="2"/>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28</w:t>
      </w:r>
      <w:r>
        <w:rPr/>
        <w:t>、政府补助</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53" w:right="1131" w:firstLine="360"/>
        <w:jc w:val="both"/>
      </w:pPr>
      <w:r>
        <w:rPr>
          <w:spacing w:val="-2"/>
        </w:rPr>
        <w:t>政府补助是指本公司从政府无偿取得货币性资产或非货币性资产，不包括政府以投资者身份并享有相应所有者权益而投</w:t>
      </w:r>
      <w:r>
        <w:rPr/>
        <w:t> </w:t>
      </w:r>
      <w:r>
        <w:rPr>
          <w:spacing w:val="-2"/>
        </w:rPr>
        <w:t>入的资本。政府补助分为与资产相关的政府补助和与收益相关的政府补助。政府补助为货币性资产的，按照收到或应收的金</w:t>
      </w:r>
      <w:r>
        <w:rPr>
          <w:spacing w:val="-66"/>
        </w:rPr>
        <w:t> </w:t>
      </w:r>
      <w:r>
        <w:rPr>
          <w:spacing w:val="-66"/>
        </w:rPr>
      </w:r>
      <w:r>
        <w:rPr>
          <w:spacing w:val="-2"/>
        </w:rPr>
        <w:t>额计量。政府补助为非货币性资产的，应当按照公允价值计量；公允价值不能可靠取得的，按照名义金额计量。按照名义金</w:t>
      </w:r>
      <w:r>
        <w:rPr>
          <w:spacing w:val="-66"/>
        </w:rPr>
        <w:t> </w:t>
      </w:r>
      <w:r>
        <w:rPr>
          <w:spacing w:val="-66"/>
        </w:rPr>
      </w:r>
      <w:r>
        <w:rPr/>
        <w:t>额计量的政府补助，直接计入当期损益。</w:t>
      </w:r>
    </w:p>
    <w:p>
      <w:pPr>
        <w:spacing w:line="240" w:lineRule="auto" w:before="12"/>
        <w:rPr>
          <w:rFonts w:ascii="宋体" w:hAnsi="宋体" w:cs="宋体" w:eastAsia="宋体" w:hint="default"/>
          <w:sz w:val="17"/>
          <w:szCs w:val="17"/>
        </w:rPr>
      </w:pPr>
    </w:p>
    <w:p>
      <w:pPr>
        <w:pStyle w:val="BodyText"/>
        <w:spacing w:line="316" w:lineRule="auto"/>
        <w:ind w:left="153" w:right="1129" w:firstLine="360"/>
        <w:jc w:val="both"/>
      </w:pPr>
      <w:r>
        <w:rPr>
          <w:spacing w:val="-2"/>
        </w:rPr>
        <w:t>政府补助为货币性资产的，按照收到或应收的金额计量。政府补助为非货币性资产的，按照公允价值计量；公允价值不</w:t>
      </w:r>
      <w:r>
        <w:rPr/>
        <w:t> 能够可靠取得的，按照名义金额计量。按照名义金额计量的政府补助，直接计入当期损益。</w:t>
      </w:r>
    </w:p>
    <w:p>
      <w:pPr>
        <w:pStyle w:val="BodyText"/>
        <w:spacing w:line="528" w:lineRule="exact" w:before="22"/>
        <w:ind w:left="513" w:right="0"/>
        <w:jc w:val="left"/>
      </w:pPr>
      <w:r>
        <w:rPr/>
        <w:t>当本公司能够满足政府补助所附条件，且能够收到政府补助时，才能确认政府补助。 </w:t>
      </w:r>
      <w:r>
        <w:rPr>
          <w:spacing w:val="-2"/>
        </w:rPr>
        <w:t>政府补助分为与资产相关的政府补助和与收益相关的政府补助。与资产相关的政府补助，是指公司取得的、用于购建或</w:t>
      </w:r>
    </w:p>
    <w:p>
      <w:pPr>
        <w:pStyle w:val="BodyText"/>
        <w:spacing w:line="232" w:lineRule="exact"/>
        <w:ind w:left="153" w:right="0"/>
        <w:jc w:val="left"/>
      </w:pPr>
      <w:r>
        <w:rPr/>
        <w:t>以其他方式形成长期资产的政府补助。与收益相关的政府补助，是指除与资产相关的政府补助之外的政府补助。</w:t>
      </w:r>
    </w:p>
    <w:p>
      <w:pPr>
        <w:spacing w:line="240" w:lineRule="auto" w:before="5"/>
        <w:rPr>
          <w:rFonts w:ascii="宋体" w:hAnsi="宋体" w:cs="宋体" w:eastAsia="宋体" w:hint="default"/>
          <w:sz w:val="22"/>
          <w:szCs w:val="22"/>
        </w:rPr>
      </w:pPr>
    </w:p>
    <w:p>
      <w:pPr>
        <w:pStyle w:val="BodyText"/>
        <w:spacing w:line="316" w:lineRule="auto"/>
        <w:ind w:left="153" w:right="1048" w:firstLine="360"/>
        <w:jc w:val="both"/>
      </w:pPr>
      <w:r>
        <w:rPr/>
        <w:t>与资产相关的政府补助，采用总额法，确认为递延收益，在相关资产使用寿命内按照合理、系统的方法分期计入损益， 相关资产在使用寿命结束前被出售、转让、报废或发生毁损的，将尚未分配的相关递延收益余额转入资产处置当期的损益， 已确认的政府补助需要退回的，冲减相关递延收益账面余额，超出部分计入当期损益。</w:t>
      </w:r>
    </w:p>
    <w:p>
      <w:pPr>
        <w:spacing w:line="240" w:lineRule="auto" w:before="12"/>
        <w:rPr>
          <w:rFonts w:ascii="宋体" w:hAnsi="宋体" w:cs="宋体" w:eastAsia="宋体" w:hint="default"/>
          <w:sz w:val="17"/>
          <w:szCs w:val="17"/>
        </w:rPr>
      </w:pPr>
    </w:p>
    <w:p>
      <w:pPr>
        <w:pStyle w:val="BodyText"/>
        <w:spacing w:line="316" w:lineRule="auto"/>
        <w:ind w:left="153" w:right="1129" w:firstLine="360"/>
        <w:jc w:val="both"/>
      </w:pPr>
      <w:r>
        <w:rPr>
          <w:spacing w:val="-2"/>
        </w:rPr>
        <w:t>与收益相关的政府补助，采用总额法，用于补偿公司已发生的相关成本费用或损失时，直接计入当期损益；用于补偿以</w:t>
      </w:r>
      <w:r>
        <w:rPr/>
        <w:t> 后期间的相关成本费用或损失时，确认为递延收益，并在确认相关成本费用或损失的期间，计入当期损益。</w:t>
      </w:r>
    </w:p>
    <w:p>
      <w:pPr>
        <w:spacing w:line="240" w:lineRule="auto" w:before="12"/>
        <w:rPr>
          <w:rFonts w:ascii="宋体" w:hAnsi="宋体" w:cs="宋体" w:eastAsia="宋体" w:hint="default"/>
          <w:sz w:val="17"/>
          <w:szCs w:val="17"/>
        </w:rPr>
      </w:pPr>
    </w:p>
    <w:p>
      <w:pPr>
        <w:pStyle w:val="BodyText"/>
        <w:spacing w:line="240" w:lineRule="auto"/>
        <w:ind w:left="513" w:right="0"/>
        <w:jc w:val="left"/>
      </w:pPr>
      <w:r>
        <w:rPr/>
        <w:t>对于同时包含与资产相关部分和与收益相关部分的政府补助，区分不同部分分别进行会计处理；难以区分的，整体归类</w:t>
      </w:r>
    </w:p>
    <w:p>
      <w:pPr>
        <w:spacing w:after="0" w:line="240"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153" w:right="0"/>
        <w:jc w:val="left"/>
      </w:pPr>
      <w:r>
        <w:rPr/>
        <w:t>为与收益相关的政府补助。</w:t>
      </w:r>
    </w:p>
    <w:p>
      <w:pPr>
        <w:spacing w:line="240" w:lineRule="auto" w:before="5"/>
        <w:rPr>
          <w:rFonts w:ascii="宋体" w:hAnsi="宋体" w:cs="宋体" w:eastAsia="宋体" w:hint="default"/>
          <w:sz w:val="22"/>
          <w:szCs w:val="22"/>
        </w:rPr>
      </w:pPr>
    </w:p>
    <w:p>
      <w:pPr>
        <w:pStyle w:val="BodyText"/>
        <w:spacing w:line="316" w:lineRule="auto"/>
        <w:ind w:left="153" w:right="1131" w:firstLine="360"/>
        <w:jc w:val="both"/>
      </w:pPr>
      <w:r>
        <w:rPr>
          <w:spacing w:val="-2"/>
        </w:rPr>
        <w:t>与公司日常活动相关的政府补助，按照经济业务实质，计入其他收益或冲减相关成本费用。与公司日常活动无关的政府</w:t>
      </w:r>
      <w:r>
        <w:rPr/>
        <w:t> 补助，计入营业外收支。</w:t>
      </w:r>
    </w:p>
    <w:p>
      <w:pPr>
        <w:spacing w:line="240" w:lineRule="auto" w:before="12"/>
        <w:rPr>
          <w:rFonts w:ascii="宋体" w:hAnsi="宋体" w:cs="宋体" w:eastAsia="宋体" w:hint="default"/>
          <w:sz w:val="17"/>
          <w:szCs w:val="17"/>
        </w:rPr>
      </w:pPr>
    </w:p>
    <w:p>
      <w:pPr>
        <w:pStyle w:val="BodyText"/>
        <w:spacing w:line="319" w:lineRule="auto"/>
        <w:ind w:left="153" w:right="1131" w:firstLine="290"/>
        <w:jc w:val="both"/>
      </w:pPr>
      <w:r>
        <w:rPr>
          <w:spacing w:val="-1"/>
        </w:rPr>
        <w:t>已确认的政府补助需要返还时，存在相关递延收益余额的，冲减相关递延收益账面余额，超出部分计入当期损益；不存</w:t>
      </w:r>
      <w:r>
        <w:rPr/>
        <w:t> 在相关递延收益的，直接计入当期损益。</w:t>
      </w:r>
    </w:p>
    <w:p>
      <w:pPr>
        <w:spacing w:line="240" w:lineRule="auto" w:before="3"/>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153" w:right="1131" w:firstLine="360"/>
        <w:jc w:val="both"/>
      </w:pPr>
      <w:r>
        <w:rPr>
          <w:spacing w:val="-2"/>
        </w:rPr>
        <w:t>某些资产、负债项目的账面价值与其计税基础之间的差额，以及未作为资产和负债确认但按照税法规定可以确定其计税</w:t>
      </w:r>
      <w:r>
        <w:rPr/>
        <w:t> </w:t>
      </w:r>
      <w:r>
        <w:rPr>
          <w:spacing w:val="-2"/>
        </w:rPr>
        <w:t>基础的项目的账面价值与计税基础之间的差额产生的暂时性差异，采用资产负债表债务法确认递延所得税资产及递延所得税</w:t>
      </w:r>
      <w:r>
        <w:rPr>
          <w:spacing w:val="-64"/>
        </w:rPr>
        <w:t> </w:t>
      </w:r>
      <w:r>
        <w:rPr>
          <w:spacing w:val="-64"/>
        </w:rPr>
      </w:r>
      <w:r>
        <w:rPr/>
        <w:t>负债。</w:t>
      </w:r>
    </w:p>
    <w:p>
      <w:pPr>
        <w:spacing w:line="240" w:lineRule="auto" w:before="12"/>
        <w:rPr>
          <w:rFonts w:ascii="宋体" w:hAnsi="宋体" w:cs="宋体" w:eastAsia="宋体" w:hint="default"/>
          <w:sz w:val="17"/>
          <w:szCs w:val="17"/>
        </w:rPr>
      </w:pPr>
    </w:p>
    <w:p>
      <w:pPr>
        <w:pStyle w:val="BodyText"/>
        <w:spacing w:line="316" w:lineRule="auto"/>
        <w:ind w:left="153" w:right="1129" w:firstLine="360"/>
        <w:jc w:val="both"/>
      </w:pPr>
      <w:r>
        <w:rPr>
          <w:spacing w:val="-2"/>
        </w:rPr>
        <w:t>与商誉的初始确认有关，以及与既不是企业合并、发生时也不影响会计利润和应纳税所得额（或可抵扣亏损）的交易中</w:t>
      </w:r>
      <w:r>
        <w:rPr/>
        <w:t> </w:t>
      </w:r>
      <w:r>
        <w:rPr>
          <w:spacing w:val="-2"/>
        </w:rPr>
        <w:t>产生的资产或负债的初始确认有关的应纳税暂时性差异，不予确认有关的递延所得税负债。此外，对与子公司、联营企业及</w:t>
      </w:r>
      <w:r>
        <w:rPr>
          <w:spacing w:val="-66"/>
        </w:rPr>
        <w:t> </w:t>
      </w:r>
      <w:r>
        <w:rPr>
          <w:spacing w:val="-66"/>
        </w:rPr>
      </w:r>
      <w:r>
        <w:rPr>
          <w:spacing w:val="-2"/>
        </w:rPr>
        <w:t>合营企业投资相关的应纳税暂时性差异，如果本公司能够控制暂时性差异转回的时间，而且该暂时性差异在可预见的未来很</w:t>
      </w:r>
      <w:r>
        <w:rPr>
          <w:spacing w:val="-64"/>
        </w:rPr>
        <w:t> </w:t>
      </w:r>
      <w:r>
        <w:rPr>
          <w:spacing w:val="-64"/>
        </w:rPr>
      </w:r>
      <w:r>
        <w:rPr>
          <w:spacing w:val="-2"/>
        </w:rPr>
        <w:t>可能不会转回，也不予确认有关的递延所得税负债。除上述例外情况，本公司确认其他所有应纳税暂时性差异产生的递延所</w:t>
      </w:r>
      <w:r>
        <w:rPr>
          <w:spacing w:val="-66"/>
        </w:rPr>
        <w:t> </w:t>
      </w:r>
      <w:r>
        <w:rPr>
          <w:spacing w:val="-66"/>
        </w:rPr>
      </w:r>
      <w:r>
        <w:rPr/>
        <w:t>得税负债。</w:t>
      </w:r>
    </w:p>
    <w:p>
      <w:pPr>
        <w:spacing w:line="240" w:lineRule="auto" w:before="12"/>
        <w:rPr>
          <w:rFonts w:ascii="宋体" w:hAnsi="宋体" w:cs="宋体" w:eastAsia="宋体" w:hint="default"/>
          <w:sz w:val="17"/>
          <w:szCs w:val="17"/>
        </w:rPr>
      </w:pPr>
    </w:p>
    <w:p>
      <w:pPr>
        <w:pStyle w:val="BodyText"/>
        <w:spacing w:line="316" w:lineRule="auto"/>
        <w:ind w:left="153" w:right="1129" w:firstLine="360"/>
        <w:jc w:val="both"/>
      </w:pPr>
      <w:r>
        <w:rPr>
          <w:spacing w:val="-2"/>
        </w:rPr>
        <w:t>与既不是企业合并、发生时也不影响会计利润和应纳税所得额（或可抵扣亏损）的交易中产生的资产或负债的初始确认</w:t>
      </w:r>
      <w:r>
        <w:rPr/>
        <w:t> </w:t>
      </w:r>
      <w:r>
        <w:rPr>
          <w:spacing w:val="-2"/>
        </w:rPr>
        <w:t>有关的可抵扣暂时性差异，不予确认有关的递延所得税资产。此外，对与子公司、联营企业及合营企业投资相关的可抵扣暂</w:t>
      </w:r>
      <w:r>
        <w:rPr>
          <w:spacing w:val="-66"/>
        </w:rPr>
        <w:t> </w:t>
      </w:r>
      <w:r>
        <w:rPr>
          <w:spacing w:val="-66"/>
        </w:rPr>
      </w:r>
      <w:r>
        <w:rPr>
          <w:spacing w:val="-2"/>
        </w:rPr>
        <w:t>时性差异，如果暂时性差异在可预见的未来不是很可能转回，或者未来不是很可能获得用来抵扣可抵扣暂时性差异的应纳税</w:t>
      </w:r>
      <w:r>
        <w:rPr>
          <w:spacing w:val="-64"/>
        </w:rPr>
        <w:t> </w:t>
      </w:r>
      <w:r>
        <w:rPr>
          <w:spacing w:val="-64"/>
        </w:rPr>
      </w:r>
      <w:r>
        <w:rPr>
          <w:spacing w:val="-2"/>
        </w:rPr>
        <w:t>所得额，不予确认有关的递延所得税资产。除上述例外情况，本公司以很可能取得用来抵扣可抵扣暂时性差异的应纳税所得</w:t>
      </w:r>
      <w:r>
        <w:rPr>
          <w:spacing w:val="-66"/>
        </w:rPr>
        <w:t> </w:t>
      </w:r>
      <w:r>
        <w:rPr>
          <w:spacing w:val="-66"/>
        </w:rPr>
      </w:r>
      <w:r>
        <w:rPr/>
        <w:t>额为限，确认其他可抵扣暂时性差异产生的递延所得税资产。</w:t>
      </w:r>
    </w:p>
    <w:p>
      <w:pPr>
        <w:spacing w:line="240" w:lineRule="auto" w:before="12"/>
        <w:rPr>
          <w:rFonts w:ascii="宋体" w:hAnsi="宋体" w:cs="宋体" w:eastAsia="宋体" w:hint="default"/>
          <w:sz w:val="17"/>
          <w:szCs w:val="17"/>
        </w:rPr>
      </w:pPr>
    </w:p>
    <w:p>
      <w:pPr>
        <w:pStyle w:val="BodyText"/>
        <w:spacing w:line="316" w:lineRule="auto"/>
        <w:ind w:left="153" w:right="1131" w:firstLine="360"/>
        <w:jc w:val="both"/>
      </w:pPr>
      <w:r>
        <w:rPr>
          <w:spacing w:val="-2"/>
        </w:rPr>
        <w:t>对于能够结转以后年度的可抵扣亏损和税款抵减，以很可能获得用来抵扣可抵扣亏损和税款抵减的未来应纳税所得额为</w:t>
      </w:r>
      <w:r>
        <w:rPr/>
        <w:t> 限，确认相应的递延所得税资产。</w:t>
      </w:r>
    </w:p>
    <w:p>
      <w:pPr>
        <w:spacing w:line="240" w:lineRule="auto" w:before="12"/>
        <w:rPr>
          <w:rFonts w:ascii="宋体" w:hAnsi="宋体" w:cs="宋体" w:eastAsia="宋体" w:hint="default"/>
          <w:sz w:val="17"/>
          <w:szCs w:val="17"/>
        </w:rPr>
      </w:pPr>
    </w:p>
    <w:p>
      <w:pPr>
        <w:pStyle w:val="BodyText"/>
        <w:spacing w:line="316" w:lineRule="auto"/>
        <w:ind w:left="153" w:right="1131" w:firstLine="360"/>
        <w:jc w:val="both"/>
      </w:pPr>
      <w:r>
        <w:rPr>
          <w:spacing w:val="-2"/>
        </w:rPr>
        <w:t>资产负债表日，对于递延所得税资产和递延所得税负债，根据税法规定，按照预期收回相关资产或清偿相关负债期间的</w:t>
      </w:r>
      <w:r>
        <w:rPr/>
        <w:t> 适用税率计量。</w:t>
      </w:r>
    </w:p>
    <w:p>
      <w:pPr>
        <w:spacing w:line="240" w:lineRule="auto" w:before="12"/>
        <w:rPr>
          <w:rFonts w:ascii="宋体" w:hAnsi="宋体" w:cs="宋体" w:eastAsia="宋体" w:hint="default"/>
          <w:sz w:val="17"/>
          <w:szCs w:val="17"/>
        </w:rPr>
      </w:pPr>
    </w:p>
    <w:p>
      <w:pPr>
        <w:pStyle w:val="BodyText"/>
        <w:spacing w:line="316" w:lineRule="auto"/>
        <w:ind w:left="153" w:right="1130" w:firstLine="360"/>
        <w:jc w:val="both"/>
      </w:pPr>
      <w:r>
        <w:rPr>
          <w:spacing w:val="-2"/>
        </w:rPr>
        <w:t>于资产负债表日，对递延所得税资产的账面价值进行复核，如果未来很可能无法获得足够的应纳税所得额用以抵扣递延</w:t>
      </w:r>
      <w:r>
        <w:rPr/>
        <w:t> 所得税资产的利益，则减记递延所得税资产的账面价值。在很可能获得足够的应纳税所得额时，减记的金额予以转回。</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30</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660" w:right="0"/>
        <w:jc w:val="left"/>
      </w:pPr>
      <w:r>
        <w:rPr/>
        <w:t>经营租赁的租金在租赁期内的各个期间按直线法计入相关资产成本或当期损益。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131" w:firstLine="360"/>
        <w:jc w:val="both"/>
      </w:pPr>
      <w:r>
        <w:rPr>
          <w:spacing w:val="-2"/>
        </w:rPr>
        <w:t>本公司将实质上转移了与资产所有权有关的全部风险和报酬的租赁确认为融资租赁，除融资租赁之外的其他租赁确认为</w:t>
      </w:r>
      <w:r>
        <w:rPr/>
        <w:t> 经营租赁。</w:t>
      </w:r>
    </w:p>
    <w:p>
      <w:pPr>
        <w:pStyle w:val="BodyText"/>
        <w:spacing w:line="240" w:lineRule="auto" w:before="19"/>
        <w:ind w:left="516" w:right="0"/>
        <w:jc w:val="left"/>
      </w:pPr>
      <w:r>
        <w:rPr/>
        <w:t>在租赁期开始日，本公司将租赁开始日租赁资产公允价值与最低租赁付款额现值中较低者作为租入资产的入账价值，将</w:t>
      </w:r>
    </w:p>
    <w:p>
      <w:pPr>
        <w:spacing w:after="0" w:line="240"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153" w:right="0"/>
        <w:jc w:val="left"/>
      </w:pPr>
      <w:r>
        <w:rPr/>
        <w:t>最低租赁付款额作为长期应付款的入账价值，其差额作为未确认融资费用。</w:t>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31</w:t>
      </w:r>
      <w:r>
        <w:rPr/>
        <w:t>、其他重要的会计政策和会计估计</w:t>
      </w:r>
      <w:r>
        <w:rPr>
          <w:b w:val="0"/>
          <w:bCs w:val="0"/>
        </w:rPr>
      </w:r>
    </w:p>
    <w:p>
      <w:pPr>
        <w:spacing w:line="240" w:lineRule="auto" w:before="0"/>
        <w:rPr>
          <w:rFonts w:ascii="宋体" w:hAnsi="宋体" w:cs="宋体" w:eastAsia="宋体" w:hint="default"/>
          <w:b/>
          <w:bCs/>
          <w:sz w:val="22"/>
          <w:szCs w:val="22"/>
        </w:rPr>
      </w:pPr>
    </w:p>
    <w:p>
      <w:pPr>
        <w:pStyle w:val="BodyText"/>
        <w:spacing w:line="240" w:lineRule="auto" w:before="197"/>
        <w:ind w:right="0"/>
        <w:jc w:val="left"/>
      </w:pPr>
      <w:r>
        <w:rPr/>
        <w:t>无</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32</w:t>
      </w:r>
      <w:r>
        <w:rPr/>
        <w:t>、重要会计政策和会计估计变更</w:t>
      </w:r>
      <w:r>
        <w:rPr>
          <w:b w:val="0"/>
          <w:bCs w:val="0"/>
        </w:rPr>
      </w:r>
    </w:p>
    <w:p>
      <w:pPr>
        <w:spacing w:line="240" w:lineRule="auto" w:before="0"/>
        <w:rPr>
          <w:rFonts w:ascii="宋体" w:hAnsi="宋体" w:cs="宋体" w:eastAsia="宋体" w:hint="default"/>
          <w:b/>
          <w:bCs/>
          <w:sz w:val="22"/>
          <w:szCs w:val="22"/>
        </w:rPr>
      </w:pPr>
    </w:p>
    <w:p>
      <w:pPr>
        <w:pStyle w:val="Heading3"/>
        <w:spacing w:line="240" w:lineRule="auto" w:before="162"/>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0"/>
        <w:rPr>
          <w:rFonts w:ascii="宋体" w:hAnsi="宋体" w:cs="宋体" w:eastAsia="宋体" w:hint="default"/>
          <w:b/>
          <w:bCs/>
          <w:sz w:val="22"/>
          <w:szCs w:val="22"/>
        </w:rPr>
      </w:pPr>
    </w:p>
    <w:p>
      <w:pPr>
        <w:spacing w:line="240" w:lineRule="auto" w:before="2"/>
        <w:rPr>
          <w:rFonts w:ascii="宋体" w:hAnsi="宋体" w:cs="宋体" w:eastAsia="宋体" w:hint="default"/>
          <w:b/>
          <w:bCs/>
          <w:sz w:val="15"/>
          <w:szCs w:val="1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544"/>
        <w:gridCol w:w="632"/>
        <w:gridCol w:w="1735"/>
        <w:gridCol w:w="2484"/>
        <w:gridCol w:w="545"/>
        <w:gridCol w:w="2340"/>
        <w:gridCol w:w="1260"/>
      </w:tblGrid>
      <w:tr>
        <w:trPr>
          <w:trHeight w:val="402" w:hRule="exact"/>
        </w:trPr>
        <w:tc>
          <w:tcPr>
            <w:tcW w:w="594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83"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650" w:hRule="exact"/>
        </w:trPr>
        <w:tc>
          <w:tcPr>
            <w:tcW w:w="59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72" w:right="0"/>
              <w:jc w:val="left"/>
              <w:rPr>
                <w:rFonts w:ascii="宋体" w:hAnsi="宋体" w:cs="宋体" w:eastAsia="宋体" w:hint="default"/>
                <w:sz w:val="18"/>
                <w:szCs w:val="18"/>
              </w:rPr>
            </w:pPr>
            <w:r>
              <w:rPr>
                <w:rFonts w:ascii="宋体" w:hAnsi="宋体" w:cs="宋体" w:eastAsia="宋体" w:hint="default"/>
                <w:sz w:val="18"/>
                <w:szCs w:val="18"/>
              </w:rPr>
              <w:t>本公司于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日起执行财政部于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年修订的《企业会计</w:t>
            </w:r>
          </w:p>
          <w:p>
            <w:pPr>
              <w:pStyle w:val="TableParagraph"/>
              <w:spacing w:line="240" w:lineRule="auto" w:before="61"/>
              <w:ind w:left="22" w:right="0"/>
              <w:jc w:val="both"/>
              <w:rPr>
                <w:rFonts w:ascii="宋体" w:hAnsi="宋体" w:cs="宋体" w:eastAsia="宋体" w:hint="default"/>
                <w:sz w:val="18"/>
                <w:szCs w:val="18"/>
              </w:rPr>
            </w:pPr>
            <w:r>
              <w:rPr>
                <w:rFonts w:ascii="宋体" w:hAnsi="宋体" w:cs="宋体" w:eastAsia="宋体" w:hint="default"/>
                <w:sz w:val="18"/>
                <w:szCs w:val="18"/>
              </w:rPr>
              <w:t>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金融工具确认和计量</w:t>
            </w:r>
            <w:r>
              <w:rPr>
                <w:rFonts w:ascii="宋体" w:hAnsi="宋体" w:cs="宋体" w:eastAsia="宋体" w:hint="default"/>
                <w:spacing w:val="-90"/>
                <w:sz w:val="18"/>
                <w:szCs w:val="18"/>
              </w:rPr>
              <w:t>》</w:t>
            </w:r>
            <w:r>
              <w:rPr>
                <w:rFonts w:ascii="宋体" w:hAnsi="宋体" w:cs="宋体" w:eastAsia="宋体" w:hint="default"/>
                <w:spacing w:val="-147"/>
                <w:sz w:val="18"/>
                <w:szCs w:val="18"/>
              </w:rPr>
              <w: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金融资产转</w:t>
            </w:r>
          </w:p>
          <w:p>
            <w:pPr>
              <w:pStyle w:val="TableParagraph"/>
              <w:spacing w:line="300" w:lineRule="auto" w:before="63"/>
              <w:ind w:left="22" w:right="19"/>
              <w:jc w:val="both"/>
              <w:rPr>
                <w:rFonts w:ascii="宋体" w:hAnsi="宋体" w:cs="宋体" w:eastAsia="宋体" w:hint="default"/>
                <w:sz w:val="18"/>
                <w:szCs w:val="18"/>
              </w:rPr>
            </w:pPr>
            <w:r>
              <w:rPr>
                <w:rFonts w:ascii="宋体" w:hAnsi="宋体" w:cs="宋体" w:eastAsia="宋体" w:hint="default"/>
                <w:sz w:val="18"/>
                <w:szCs w:val="18"/>
              </w:rPr>
              <w:t>移</w:t>
            </w:r>
            <w:r>
              <w:rPr>
                <w:rFonts w:ascii="宋体" w:hAnsi="宋体" w:cs="宋体" w:eastAsia="宋体" w:hint="default"/>
                <w:spacing w:val="-90"/>
                <w:sz w:val="18"/>
                <w:szCs w:val="18"/>
              </w:rPr>
              <w:t>》</w:t>
            </w:r>
            <w:r>
              <w:rPr>
                <w:rFonts w:ascii="宋体" w:hAnsi="宋体" w:cs="宋体" w:eastAsia="宋体" w:hint="default"/>
                <w:spacing w:val="-110"/>
                <w:sz w:val="18"/>
                <w:szCs w:val="18"/>
              </w:rPr>
              <w: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套期会计</w:t>
            </w:r>
            <w:r>
              <w:rPr>
                <w:rFonts w:ascii="宋体" w:hAnsi="宋体" w:cs="宋体" w:eastAsia="宋体" w:hint="default"/>
                <w:spacing w:val="-20"/>
                <w:sz w:val="18"/>
                <w:szCs w:val="18"/>
              </w:rPr>
              <w:t>》和</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金融 工具列报</w:t>
            </w:r>
            <w:r>
              <w:rPr>
                <w:rFonts w:ascii="宋体" w:hAnsi="宋体" w:cs="宋体" w:eastAsia="宋体" w:hint="default"/>
                <w:spacing w:val="-104"/>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新金</w:t>
            </w:r>
            <w:r>
              <w:rPr>
                <w:rFonts w:ascii="宋体" w:hAnsi="宋体" w:cs="宋体" w:eastAsia="宋体" w:hint="default"/>
                <w:spacing w:val="1"/>
                <w:sz w:val="18"/>
                <w:szCs w:val="18"/>
              </w:rPr>
              <w:t>融</w:t>
            </w:r>
            <w:r>
              <w:rPr>
                <w:rFonts w:ascii="宋体" w:hAnsi="宋体" w:cs="宋体" w:eastAsia="宋体" w:hint="default"/>
                <w:sz w:val="18"/>
                <w:szCs w:val="18"/>
              </w:rPr>
              <w:t>工具准则</w:t>
            </w:r>
            <w:r>
              <w:rPr>
                <w:rFonts w:ascii="Times New Roman" w:hAnsi="Times New Roman" w:cs="Times New Roman" w:eastAsia="Times New Roman" w:hint="default"/>
                <w:sz w:val="18"/>
                <w:szCs w:val="18"/>
              </w:rPr>
              <w:t>”</w:t>
            </w:r>
            <w:r>
              <w:rPr>
                <w:rFonts w:ascii="宋体" w:hAnsi="宋体" w:cs="宋体" w:eastAsia="宋体" w:hint="default"/>
                <w:spacing w:val="-14"/>
                <w:sz w:val="18"/>
                <w:szCs w:val="18"/>
              </w:rPr>
              <w:t>，</w:t>
            </w:r>
            <w:r>
              <w:rPr>
                <w:rFonts w:ascii="宋体" w:hAnsi="宋体" w:cs="宋体" w:eastAsia="宋体" w:hint="default"/>
                <w:sz w:val="18"/>
                <w:szCs w:val="18"/>
              </w:rPr>
              <w:t>修订前的金融工具准则简称</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原金 </w:t>
            </w:r>
            <w:r>
              <w:rPr>
                <w:rFonts w:ascii="宋体" w:hAnsi="宋体" w:cs="宋体" w:eastAsia="宋体" w:hint="default"/>
                <w:sz w:val="18"/>
                <w:szCs w:val="18"/>
              </w:rPr>
              <w:t>融工具准则</w:t>
            </w:r>
            <w:r>
              <w:rPr>
                <w:rFonts w:ascii="Times New Roman" w:hAnsi="Times New Roman" w:cs="Times New Roman" w:eastAsia="Times New Roman" w:hint="default"/>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公司董事会七届四次会议批 准了该会计政策变更。</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254" w:hRule="exact"/>
        </w:trPr>
        <w:tc>
          <w:tcPr>
            <w:tcW w:w="5940" w:type="dxa"/>
            <w:gridSpan w:val="5"/>
            <w:tcBorders>
              <w:top w:val="single" w:sz="4" w:space="0" w:color="000000"/>
              <w:left w:val="single" w:sz="4" w:space="0" w:color="000000"/>
              <w:bottom w:val="nil" w:sz="6" w:space="0" w:color="auto"/>
              <w:right w:val="single" w:sz="4" w:space="0" w:color="000000"/>
            </w:tcBorders>
          </w:tcPr>
          <w:p>
            <w:pPr>
              <w:pStyle w:val="TableParagraph"/>
              <w:spacing w:line="304" w:lineRule="auto" w:before="51"/>
              <w:ind w:left="22" w:right="20" w:firstLine="449"/>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日，财政部发布了《关于修订印发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年度合并财务 </w:t>
            </w:r>
            <w:r>
              <w:rPr>
                <w:rFonts w:ascii="宋体" w:hAnsi="宋体" w:cs="宋体" w:eastAsia="宋体" w:hint="default"/>
                <w:spacing w:val="-7"/>
                <w:sz w:val="18"/>
                <w:szCs w:val="18"/>
              </w:rPr>
              <w:t>报表格式的通知》（财会</w:t>
            </w:r>
            <w:r>
              <w:rPr>
                <w:rFonts w:ascii="Times New Roman" w:hAnsi="Times New Roman" w:cs="Times New Roman" w:eastAsia="Times New Roman" w:hint="default"/>
                <w:spacing w:val="-7"/>
                <w:sz w:val="18"/>
                <w:szCs w:val="18"/>
              </w:rPr>
              <w:t>[2019]1</w:t>
            </w:r>
            <w:r>
              <w:rPr>
                <w:rFonts w:ascii="Times New Roman" w:hAnsi="Times New Roman" w:cs="Times New Roman" w:eastAsia="Times New Roman" w:hint="default"/>
                <w:spacing w:val="2"/>
                <w:sz w:val="18"/>
                <w:szCs w:val="18"/>
              </w:rPr>
              <w:t> </w:t>
            </w:r>
            <w:r>
              <w:rPr>
                <w:rFonts w:ascii="宋体" w:hAnsi="宋体" w:cs="宋体" w:eastAsia="宋体" w:hint="default"/>
                <w:spacing w:val="-16"/>
                <w:sz w:val="18"/>
                <w:szCs w:val="18"/>
              </w:rPr>
              <w:t>号）；</w:t>
            </w:r>
            <w:r>
              <w:rPr>
                <w:rFonts w:ascii="Times New Roman" w:hAnsi="Times New Roman" w:cs="Times New Roman" w:eastAsia="Times New Roman" w:hint="default"/>
                <w:spacing w:val="-16"/>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日，财政部发布了《关</w:t>
            </w:r>
            <w:r>
              <w:rPr>
                <w:rFonts w:ascii="宋体" w:hAnsi="宋体" w:cs="宋体" w:eastAsia="宋体" w:hint="default"/>
                <w:sz w:val="18"/>
                <w:szCs w:val="18"/>
              </w:rPr>
              <w:t> 于修订印发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年度一般企业财务报表格式的通知》（财会〔</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45"/>
                <w:sz w:val="18"/>
                <w:szCs w:val="18"/>
              </w:rPr>
              <w:t>号）</w:t>
            </w:r>
            <w:r>
              <w:rPr>
                <w:rFonts w:ascii="宋体" w:hAnsi="宋体" w:cs="宋体" w:eastAsia="宋体" w:hint="default"/>
                <w:spacing w:val="-90"/>
                <w:sz w:val="18"/>
                <w:szCs w:val="18"/>
              </w:rPr>
              <w:t> </w:t>
            </w:r>
            <w:r>
              <w:rPr>
                <w:rFonts w:ascii="宋体" w:hAnsi="宋体" w:cs="宋体" w:eastAsia="宋体" w:hint="default"/>
                <w:sz w:val="18"/>
                <w:szCs w:val="18"/>
              </w:rPr>
              <w:t>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年属于执行新金融工具准则，但未执行新收入准则和新租赁准 </w:t>
            </w:r>
            <w:r>
              <w:rPr>
                <w:rFonts w:ascii="宋体" w:hAnsi="宋体" w:cs="宋体" w:eastAsia="宋体" w:hint="default"/>
                <w:spacing w:val="-2"/>
                <w:sz w:val="18"/>
                <w:szCs w:val="18"/>
              </w:rPr>
              <w:t>则情形，资产负债表、利润表、现金流量表及股东权益变动表列报项目的变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化，主要是执行新金融工具准则导致的变化，在以下执行新金融工具准则中</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5"/>
                <w:sz w:val="18"/>
                <w:szCs w:val="18"/>
              </w:rPr>
              <w:t>反映。财会〔</w:t>
            </w:r>
            <w:r>
              <w:rPr>
                <w:rFonts w:ascii="Times New Roman" w:hAnsi="Times New Roman" w:cs="Times New Roman" w:eastAsia="Times New Roman" w:hint="default"/>
                <w:spacing w:val="-15"/>
                <w:sz w:val="18"/>
                <w:szCs w:val="18"/>
              </w:rPr>
              <w:t>2019</w:t>
            </w: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6 </w:t>
            </w:r>
            <w:r>
              <w:rPr>
                <w:rFonts w:ascii="宋体" w:hAnsi="宋体" w:cs="宋体" w:eastAsia="宋体" w:hint="default"/>
                <w:spacing w:val="-3"/>
                <w:sz w:val="18"/>
                <w:szCs w:val="18"/>
              </w:rPr>
              <w:t>号中还将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应收票据及应收账款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拆分为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应收票据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w:t>
            </w:r>
            <w:r>
              <w:rPr>
                <w:rFonts w:ascii="宋体" w:hAnsi="宋体" w:cs="宋体" w:eastAsia="宋体" w:hint="default"/>
                <w:spacing w:val="-78"/>
                <w:sz w:val="18"/>
                <w:szCs w:val="18"/>
              </w:rPr>
              <w:t> </w:t>
            </w:r>
            <w:r>
              <w:rPr>
                <w:rFonts w:ascii="宋体" w:hAnsi="宋体" w:cs="宋体" w:eastAsia="宋体" w:hint="default"/>
                <w:spacing w:val="-3"/>
                <w:sz w:val="18"/>
                <w:szCs w:val="18"/>
              </w:rPr>
              <w:t>收账款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应付票据及应付账款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拆分为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应付票据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，分别列</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示。</w:t>
            </w:r>
          </w:p>
          <w:p>
            <w:pPr>
              <w:pStyle w:val="TableParagraph"/>
              <w:spacing w:line="240" w:lineRule="auto" w:before="67"/>
              <w:ind w:left="382" w:right="-33"/>
              <w:jc w:val="left"/>
              <w:rPr>
                <w:rFonts w:ascii="宋体" w:hAnsi="宋体" w:cs="宋体" w:eastAsia="宋体" w:hint="default"/>
                <w:sz w:val="18"/>
                <w:szCs w:val="18"/>
              </w:rPr>
            </w:pPr>
            <w:r>
              <w:rPr>
                <w:rFonts w:ascii="宋体" w:hAnsi="宋体" w:cs="宋体" w:eastAsia="宋体" w:hint="default"/>
                <w:sz w:val="18"/>
                <w:szCs w:val="18"/>
              </w:rPr>
              <w:t>本公司执行此项会计政策对列报前期财务报表项目及金额的影响如下：</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6"/>
                <w:szCs w:val="26"/>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公司董事会七届六次会议批 准了该会计政策变更。</w:t>
            </w:r>
          </w:p>
        </w:tc>
        <w:tc>
          <w:tcPr>
            <w:tcW w:w="1260" w:type="dxa"/>
            <w:vMerge w:val="restart"/>
            <w:tcBorders>
              <w:top w:val="single" w:sz="4" w:space="0" w:color="000000"/>
              <w:left w:val="single" w:sz="4" w:space="0" w:color="000000"/>
              <w:right w:val="single" w:sz="4" w:space="0" w:color="000000"/>
            </w:tcBorders>
          </w:tcPr>
          <w:p>
            <w:pPr/>
          </w:p>
        </w:tc>
      </w:tr>
      <w:tr>
        <w:trPr>
          <w:trHeight w:val="763" w:hRule="exact"/>
        </w:trPr>
        <w:tc>
          <w:tcPr>
            <w:tcW w:w="544" w:type="dxa"/>
            <w:vMerge w:val="restart"/>
            <w:tcBorders>
              <w:top w:val="nil" w:sz="6" w:space="0" w:color="auto"/>
              <w:left w:val="single" w:sz="4" w:space="0" w:color="000000"/>
              <w:right w:val="single" w:sz="8" w:space="0" w:color="000000"/>
            </w:tcBorders>
          </w:tcPr>
          <w:p>
            <w:pPr/>
          </w:p>
        </w:tc>
        <w:tc>
          <w:tcPr>
            <w:tcW w:w="63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1735"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71"/>
              <w:ind w:left="766" w:right="47" w:hanging="720"/>
              <w:jc w:val="left"/>
              <w:rPr>
                <w:rFonts w:ascii="宋体" w:hAnsi="宋体" w:cs="宋体" w:eastAsia="宋体" w:hint="default"/>
                <w:sz w:val="18"/>
                <w:szCs w:val="18"/>
              </w:rPr>
            </w:pPr>
            <w:r>
              <w:rPr>
                <w:rFonts w:ascii="宋体" w:hAnsi="宋体" w:cs="宋体" w:eastAsia="宋体" w:hint="default"/>
                <w:sz w:val="18"/>
                <w:szCs w:val="18"/>
              </w:rPr>
              <w:t>受影响的报表项目名 称</w:t>
            </w:r>
          </w:p>
        </w:tc>
        <w:tc>
          <w:tcPr>
            <w:tcW w:w="24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26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影响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p>
          <w:p>
            <w:pPr>
              <w:pStyle w:val="TableParagraph"/>
              <w:spacing w:line="240" w:lineRule="auto" w:before="102"/>
              <w:ind w:left="20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年度金额增加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c>
          <w:tcPr>
            <w:tcW w:w="545" w:type="dxa"/>
            <w:vMerge w:val="restart"/>
            <w:tcBorders>
              <w:top w:val="nil" w:sz="6" w:space="0" w:color="auto"/>
              <w:left w:val="single" w:sz="8" w:space="0" w:color="000000"/>
              <w:right w:val="single" w:sz="4" w:space="0" w:color="000000"/>
            </w:tcBorders>
          </w:tcPr>
          <w:p>
            <w:pPr/>
          </w:p>
        </w:tc>
        <w:tc>
          <w:tcPr>
            <w:tcW w:w="234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97" w:hRule="exact"/>
        </w:trPr>
        <w:tc>
          <w:tcPr>
            <w:tcW w:w="544" w:type="dxa"/>
            <w:vMerge/>
            <w:tcBorders>
              <w:left w:val="single" w:sz="4" w:space="0" w:color="000000"/>
              <w:right w:val="single" w:sz="8" w:space="0" w:color="000000"/>
            </w:tcBorders>
          </w:tcPr>
          <w:p>
            <w:pPr/>
          </w:p>
        </w:tc>
        <w:tc>
          <w:tcPr>
            <w:tcW w:w="632"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1</w:t>
            </w:r>
          </w:p>
        </w:tc>
        <w:tc>
          <w:tcPr>
            <w:tcW w:w="17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8"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4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-2,739,477,499.57</w:t>
            </w:r>
          </w:p>
        </w:tc>
        <w:tc>
          <w:tcPr>
            <w:tcW w:w="545" w:type="dxa"/>
            <w:vMerge/>
            <w:tcBorders>
              <w:left w:val="single" w:sz="8" w:space="0" w:color="000000"/>
              <w:right w:val="single" w:sz="4" w:space="0" w:color="000000"/>
            </w:tcBorders>
          </w:tcPr>
          <w:p>
            <w:pPr/>
          </w:p>
        </w:tc>
        <w:tc>
          <w:tcPr>
            <w:tcW w:w="234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97" w:hRule="exact"/>
        </w:trPr>
        <w:tc>
          <w:tcPr>
            <w:tcW w:w="544" w:type="dxa"/>
            <w:vMerge/>
            <w:tcBorders>
              <w:left w:val="single" w:sz="4" w:space="0" w:color="000000"/>
              <w:right w:val="single" w:sz="8" w:space="0" w:color="000000"/>
            </w:tcBorders>
          </w:tcPr>
          <w:p>
            <w:pPr/>
          </w:p>
        </w:tc>
        <w:tc>
          <w:tcPr>
            <w:tcW w:w="632" w:type="dxa"/>
            <w:vMerge/>
            <w:tcBorders>
              <w:left w:val="single" w:sz="8" w:space="0" w:color="000000"/>
              <w:right w:val="single" w:sz="8" w:space="0" w:color="000000"/>
            </w:tcBorders>
          </w:tcPr>
          <w:p>
            <w:pPr/>
          </w:p>
        </w:tc>
        <w:tc>
          <w:tcPr>
            <w:tcW w:w="17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8"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+219,857,833.38</w:t>
            </w:r>
          </w:p>
        </w:tc>
        <w:tc>
          <w:tcPr>
            <w:tcW w:w="545" w:type="dxa"/>
            <w:vMerge/>
            <w:tcBorders>
              <w:left w:val="single" w:sz="8" w:space="0" w:color="000000"/>
              <w:right w:val="single" w:sz="4" w:space="0" w:color="000000"/>
            </w:tcBorders>
          </w:tcPr>
          <w:p>
            <w:pPr/>
          </w:p>
        </w:tc>
        <w:tc>
          <w:tcPr>
            <w:tcW w:w="234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97" w:hRule="exact"/>
        </w:trPr>
        <w:tc>
          <w:tcPr>
            <w:tcW w:w="544" w:type="dxa"/>
            <w:vMerge/>
            <w:tcBorders>
              <w:left w:val="single" w:sz="4" w:space="0" w:color="000000"/>
              <w:right w:val="single" w:sz="8" w:space="0" w:color="000000"/>
            </w:tcBorders>
          </w:tcPr>
          <w:p>
            <w:pPr/>
          </w:p>
        </w:tc>
        <w:tc>
          <w:tcPr>
            <w:tcW w:w="632" w:type="dxa"/>
            <w:vMerge/>
            <w:tcBorders>
              <w:left w:val="single" w:sz="8" w:space="0" w:color="000000"/>
              <w:bottom w:val="single" w:sz="8" w:space="0" w:color="000000"/>
              <w:right w:val="single" w:sz="8" w:space="0" w:color="000000"/>
            </w:tcBorders>
          </w:tcPr>
          <w:p>
            <w:pPr/>
          </w:p>
        </w:tc>
        <w:tc>
          <w:tcPr>
            <w:tcW w:w="17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+2,519,619,666.19</w:t>
            </w:r>
          </w:p>
        </w:tc>
        <w:tc>
          <w:tcPr>
            <w:tcW w:w="545" w:type="dxa"/>
            <w:vMerge/>
            <w:tcBorders>
              <w:left w:val="single" w:sz="8" w:space="0" w:color="000000"/>
              <w:right w:val="single" w:sz="4" w:space="0" w:color="000000"/>
            </w:tcBorders>
          </w:tcPr>
          <w:p>
            <w:pPr/>
          </w:p>
        </w:tc>
        <w:tc>
          <w:tcPr>
            <w:tcW w:w="234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97" w:hRule="exact"/>
        </w:trPr>
        <w:tc>
          <w:tcPr>
            <w:tcW w:w="544" w:type="dxa"/>
            <w:vMerge/>
            <w:tcBorders>
              <w:left w:val="single" w:sz="4" w:space="0" w:color="000000"/>
              <w:right w:val="single" w:sz="8" w:space="0" w:color="000000"/>
            </w:tcBorders>
          </w:tcPr>
          <w:p>
            <w:pPr/>
          </w:p>
        </w:tc>
        <w:tc>
          <w:tcPr>
            <w:tcW w:w="632"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sz w:val="18"/>
              </w:rPr>
              <w:t>2</w:t>
            </w:r>
          </w:p>
        </w:tc>
        <w:tc>
          <w:tcPr>
            <w:tcW w:w="17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8"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4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-2,559,560,953.65</w:t>
            </w:r>
          </w:p>
        </w:tc>
        <w:tc>
          <w:tcPr>
            <w:tcW w:w="545" w:type="dxa"/>
            <w:vMerge/>
            <w:tcBorders>
              <w:left w:val="single" w:sz="8" w:space="0" w:color="000000"/>
              <w:right w:val="single" w:sz="4" w:space="0" w:color="000000"/>
            </w:tcBorders>
          </w:tcPr>
          <w:p>
            <w:pPr/>
          </w:p>
        </w:tc>
        <w:tc>
          <w:tcPr>
            <w:tcW w:w="234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396" w:hRule="exact"/>
        </w:trPr>
        <w:tc>
          <w:tcPr>
            <w:tcW w:w="544" w:type="dxa"/>
            <w:vMerge/>
            <w:tcBorders>
              <w:left w:val="single" w:sz="4" w:space="0" w:color="000000"/>
              <w:right w:val="single" w:sz="8" w:space="0" w:color="000000"/>
            </w:tcBorders>
          </w:tcPr>
          <w:p>
            <w:pPr/>
          </w:p>
        </w:tc>
        <w:tc>
          <w:tcPr>
            <w:tcW w:w="632" w:type="dxa"/>
            <w:vMerge/>
            <w:tcBorders>
              <w:left w:val="single" w:sz="8" w:space="0" w:color="000000"/>
              <w:right w:val="single" w:sz="8" w:space="0" w:color="000000"/>
            </w:tcBorders>
          </w:tcPr>
          <w:p>
            <w:pPr/>
          </w:p>
        </w:tc>
        <w:tc>
          <w:tcPr>
            <w:tcW w:w="173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8"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+879,539,659.15</w:t>
            </w:r>
          </w:p>
        </w:tc>
        <w:tc>
          <w:tcPr>
            <w:tcW w:w="545" w:type="dxa"/>
            <w:vMerge/>
            <w:tcBorders>
              <w:left w:val="single" w:sz="8" w:space="0" w:color="000000"/>
              <w:right w:val="single" w:sz="4" w:space="0" w:color="000000"/>
            </w:tcBorders>
          </w:tcPr>
          <w:p>
            <w:pPr/>
          </w:p>
        </w:tc>
        <w:tc>
          <w:tcPr>
            <w:tcW w:w="2340"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r>
      <w:tr>
        <w:trPr>
          <w:trHeight w:val="413" w:hRule="exact"/>
        </w:trPr>
        <w:tc>
          <w:tcPr>
            <w:tcW w:w="544" w:type="dxa"/>
            <w:vMerge/>
            <w:tcBorders>
              <w:left w:val="single" w:sz="4" w:space="0" w:color="000000"/>
              <w:bottom w:val="single" w:sz="4" w:space="0" w:color="000000"/>
              <w:right w:val="single" w:sz="8" w:space="0" w:color="000000"/>
            </w:tcBorders>
          </w:tcPr>
          <w:p>
            <w:pPr/>
          </w:p>
        </w:tc>
        <w:tc>
          <w:tcPr>
            <w:tcW w:w="632" w:type="dxa"/>
            <w:vMerge/>
            <w:tcBorders>
              <w:left w:val="single" w:sz="8" w:space="0" w:color="000000"/>
              <w:bottom w:val="single" w:sz="12" w:space="0" w:color="000000"/>
              <w:right w:val="single" w:sz="8" w:space="0" w:color="000000"/>
            </w:tcBorders>
          </w:tcPr>
          <w:p>
            <w:pPr/>
          </w:p>
        </w:tc>
        <w:tc>
          <w:tcPr>
            <w:tcW w:w="173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52"/>
              <w:ind w:left="1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8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+1,680,021,294.50</w:t>
            </w:r>
          </w:p>
        </w:tc>
        <w:tc>
          <w:tcPr>
            <w:tcW w:w="545" w:type="dxa"/>
            <w:vMerge/>
            <w:tcBorders>
              <w:left w:val="single" w:sz="8"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r>
      <w:tr>
        <w:trPr>
          <w:trHeight w:val="1298" w:hRule="exact"/>
        </w:trPr>
        <w:tc>
          <w:tcPr>
            <w:tcW w:w="5940" w:type="dxa"/>
            <w:gridSpan w:val="5"/>
            <w:tcBorders>
              <w:top w:val="single" w:sz="8" w:space="0" w:color="000000"/>
              <w:left w:val="single" w:sz="4" w:space="0" w:color="000000"/>
              <w:bottom w:val="single" w:sz="4" w:space="0" w:color="000000"/>
              <w:right w:val="single" w:sz="4" w:space="0" w:color="000000"/>
            </w:tcBorders>
          </w:tcPr>
          <w:p>
            <w:pPr>
              <w:pStyle w:val="TableParagraph"/>
              <w:spacing w:line="240" w:lineRule="auto" w:before="46"/>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日，财政部发布了《关于印发修订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企业会计准则第</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p>
            <w:pPr>
              <w:pStyle w:val="TableParagraph"/>
              <w:spacing w:line="300" w:lineRule="auto" w:before="63"/>
              <w:ind w:left="22" w:right="23"/>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非货币性资产交换</w:t>
            </w:r>
            <w:r>
              <w:rPr>
                <w:rFonts w:ascii="Times New Roman" w:hAnsi="Times New Roman" w:cs="Times New Roman" w:eastAsia="Times New Roman" w:hint="default"/>
                <w:spacing w:val="-4"/>
                <w:sz w:val="18"/>
                <w:szCs w:val="18"/>
              </w:rPr>
              <w:t>&gt;</w:t>
            </w:r>
            <w:r>
              <w:rPr>
                <w:rFonts w:ascii="宋体" w:hAnsi="宋体" w:cs="宋体" w:eastAsia="宋体" w:hint="default"/>
                <w:spacing w:val="-4"/>
                <w:sz w:val="18"/>
                <w:szCs w:val="18"/>
              </w:rPr>
              <w:t>的通知》（财会【</w:t>
            </w:r>
            <w:r>
              <w:rPr>
                <w:rFonts w:ascii="Times New Roman" w:hAnsi="Times New Roman" w:cs="Times New Roman" w:eastAsia="Times New Roman" w:hint="default"/>
                <w:spacing w:val="-4"/>
                <w:sz w:val="18"/>
                <w:szCs w:val="18"/>
              </w:rPr>
              <w:t>2019</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8</w:t>
            </w:r>
            <w:r>
              <w:rPr>
                <w:rFonts w:ascii="Times New Roman" w:hAnsi="Times New Roman" w:cs="Times New Roman" w:eastAsia="Times New Roman" w:hint="default"/>
                <w:sz w:val="18"/>
                <w:szCs w:val="18"/>
              </w:rPr>
              <w:t> </w:t>
            </w:r>
            <w:r>
              <w:rPr>
                <w:rFonts w:ascii="宋体" w:hAnsi="宋体" w:cs="宋体" w:eastAsia="宋体" w:hint="default"/>
                <w:spacing w:val="-9"/>
                <w:sz w:val="18"/>
                <w:szCs w:val="18"/>
              </w:rPr>
              <w:t>号），对非货币性资产交</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换的确认、计量和披露作出修订。</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日至该准则施行日</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日之间发生的非货币性资产交换，应根据该准则的规定进行调整；</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19" w:lineRule="auto"/>
              <w:ind w:left="22" w:right="145"/>
              <w:jc w:val="left"/>
              <w:rPr>
                <w:rFonts w:ascii="宋体" w:hAnsi="宋体" w:cs="宋体" w:eastAsia="宋体" w:hint="default"/>
                <w:sz w:val="18"/>
                <w:szCs w:val="18"/>
              </w:rPr>
            </w:pPr>
            <w:r>
              <w:rPr>
                <w:rFonts w:ascii="宋体" w:hAnsi="宋体" w:cs="宋体" w:eastAsia="宋体" w:hint="default"/>
                <w:sz w:val="18"/>
                <w:szCs w:val="18"/>
              </w:rPr>
              <w:t>公司董事会七届十一次会议 批准了该会计政策变更。</w:t>
            </w:r>
          </w:p>
        </w:tc>
        <w:tc>
          <w:tcPr>
            <w:tcW w:w="12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940"/>
        <w:gridCol w:w="2340"/>
        <w:gridCol w:w="1260"/>
      </w:tblGrid>
      <w:tr>
        <w:trPr>
          <w:trHeight w:val="362" w:hRule="exact"/>
        </w:trPr>
        <w:tc>
          <w:tcPr>
            <w:tcW w:w="5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日之前发生的非货币性资产交换，不需进行追溯调整。</w:t>
            </w:r>
          </w:p>
        </w:tc>
        <w:tc>
          <w:tcPr>
            <w:tcW w:w="23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594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4" w:firstLine="359"/>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日，财政部发布了《关于印发修订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债务重组</w:t>
            </w:r>
            <w:r>
              <w:rPr>
                <w:rFonts w:ascii="Times New Roman" w:hAnsi="Times New Roman" w:cs="Times New Roman" w:eastAsia="Times New Roman" w:hint="default"/>
                <w:spacing w:val="-5"/>
                <w:sz w:val="18"/>
                <w:szCs w:val="18"/>
              </w:rPr>
              <w:t>&gt;</w:t>
            </w:r>
            <w:r>
              <w:rPr>
                <w:rFonts w:ascii="宋体" w:hAnsi="宋体" w:cs="宋体" w:eastAsia="宋体" w:hint="default"/>
                <w:spacing w:val="-5"/>
                <w:sz w:val="18"/>
                <w:szCs w:val="18"/>
              </w:rPr>
              <w:t>的通知》（财会【</w:t>
            </w:r>
            <w:r>
              <w:rPr>
                <w:rFonts w:ascii="Times New Roman" w:hAnsi="Times New Roman" w:cs="Times New Roman" w:eastAsia="Times New Roman" w:hint="default"/>
                <w:spacing w:val="-5"/>
                <w:sz w:val="18"/>
                <w:szCs w:val="18"/>
              </w:rPr>
              <w:t>2019</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9</w:t>
            </w:r>
            <w:r>
              <w:rPr>
                <w:rFonts w:ascii="Times New Roman" w:hAnsi="Times New Roman" w:cs="Times New Roman" w:eastAsia="Times New Roman" w:hint="default"/>
                <w:sz w:val="18"/>
                <w:szCs w:val="18"/>
              </w:rPr>
              <w:t> </w:t>
            </w:r>
            <w:r>
              <w:rPr>
                <w:rFonts w:ascii="宋体" w:hAnsi="宋体" w:cs="宋体" w:eastAsia="宋体" w:hint="default"/>
                <w:spacing w:val="-7"/>
                <w:sz w:val="18"/>
                <w:szCs w:val="18"/>
              </w:rPr>
              <w:t>号），对债务重组的确认、计量</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和披露作出修订。</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日至该准则施行日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日之间</w:t>
            </w:r>
          </w:p>
          <w:p>
            <w:pPr>
              <w:pStyle w:val="TableParagraph"/>
              <w:spacing w:line="302" w:lineRule="auto" w:before="13"/>
              <w:ind w:left="22" w:right="101"/>
              <w:jc w:val="left"/>
              <w:rPr>
                <w:rFonts w:ascii="宋体" w:hAnsi="宋体" w:cs="宋体" w:eastAsia="宋体" w:hint="default"/>
                <w:sz w:val="18"/>
                <w:szCs w:val="18"/>
              </w:rPr>
            </w:pPr>
            <w:r>
              <w:rPr>
                <w:rFonts w:ascii="宋体" w:hAnsi="宋体" w:cs="宋体" w:eastAsia="宋体" w:hint="default"/>
                <w:sz w:val="18"/>
                <w:szCs w:val="18"/>
              </w:rPr>
              <w:t>发生的债务重组，应根据该准则的规定进行调整；</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日之前发 生的债务重组，不需进行追溯调整。</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公司董事会七届十一次会议 批准了该会计政策变更。</w:t>
            </w:r>
          </w:p>
        </w:tc>
        <w:tc>
          <w:tcPr>
            <w:tcW w:w="126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6"/>
          <w:szCs w:val="6"/>
        </w:rPr>
      </w:pPr>
    </w:p>
    <w:p>
      <w:pPr>
        <w:pStyle w:val="BodyText"/>
        <w:spacing w:line="316" w:lineRule="auto" w:before="44"/>
        <w:ind w:left="153" w:right="1131" w:firstLine="360"/>
        <w:jc w:val="both"/>
      </w:pPr>
      <w:r>
        <w:rPr>
          <w:spacing w:val="-2"/>
        </w:rPr>
        <w:t>金融资产分类与计量方面，新金融工具准则要求金融资产基于合同现金流量特征及企业管理该等资产的业务模式分类为</w:t>
      </w:r>
      <w:r>
        <w:rPr/>
        <w:t> </w:t>
      </w:r>
      <w:r>
        <w:rPr>
          <w:spacing w:val="-2"/>
        </w:rPr>
        <w:t>以摊余成本计量的金融资产、以公允价值计量且其变动计入其他综合收益的金融资产和以公允价值计量且其变动计入当期损</w:t>
      </w:r>
      <w:r>
        <w:rPr>
          <w:spacing w:val="-64"/>
        </w:rPr>
        <w:t> </w:t>
      </w:r>
      <w:r>
        <w:rPr>
          <w:spacing w:val="-64"/>
        </w:rPr>
      </w:r>
      <w:r>
        <w:rPr>
          <w:spacing w:val="-2"/>
        </w:rPr>
        <w:t>益的金融资产三大类别。取消了贷款和应收款项、持有至到期投资和可供出售金融资产等原分类。权益工具投资一般分类为</w:t>
      </w:r>
      <w:r>
        <w:rPr>
          <w:spacing w:val="-66"/>
        </w:rPr>
        <w:t> </w:t>
      </w:r>
      <w:r>
        <w:rPr>
          <w:spacing w:val="-66"/>
        </w:rPr>
      </w:r>
      <w:r>
        <w:rPr>
          <w:spacing w:val="-2"/>
        </w:rPr>
        <w:t>以公允价值计量且其变动计入当期损益的金融资产，也允许企业将非交易性权益工具投资指定为以公允价值计量且其变动计</w:t>
      </w:r>
      <w:r>
        <w:rPr>
          <w:spacing w:val="-64"/>
        </w:rPr>
        <w:t> </w:t>
      </w:r>
      <w:r>
        <w:rPr>
          <w:spacing w:val="-64"/>
        </w:rPr>
      </w:r>
      <w:r>
        <w:rPr>
          <w:spacing w:val="-2"/>
        </w:rPr>
        <w:t>入其他综合收益的金融资产，但该指定不可撤销，且在处置时不得将原计入其他综合收益的累计公允价值变动额结转计入当</w:t>
      </w:r>
      <w:r>
        <w:rPr>
          <w:spacing w:val="-64"/>
        </w:rPr>
        <w:t> </w:t>
      </w:r>
      <w:r>
        <w:rPr>
          <w:spacing w:val="-64"/>
        </w:rPr>
      </w:r>
      <w:r>
        <w:rPr/>
        <w:t>期损益。</w:t>
      </w:r>
    </w:p>
    <w:p>
      <w:pPr>
        <w:pStyle w:val="BodyText"/>
        <w:spacing w:line="314" w:lineRule="auto" w:before="139"/>
        <w:ind w:left="153" w:right="0" w:firstLine="360"/>
        <w:jc w:val="left"/>
      </w:pPr>
      <w:r>
        <w:rPr>
          <w:spacing w:val="-2"/>
        </w:rPr>
        <w:t>金融资产减值方面，新金融工具准则有关减值的要求适用于以摊余成本计量以及分类为以公允价值计量且其变动计入其</w:t>
      </w:r>
      <w:r>
        <w:rPr/>
        <w:t> </w:t>
      </w:r>
      <w:r>
        <w:rPr>
          <w:spacing w:val="-2"/>
        </w:rPr>
        <w:t>他综合收益的债务工具投资、租赁应收款以及未提用的贷款承诺和财务担保合同等。新金融工具准则要求采用预期信用损失</w:t>
      </w:r>
      <w:r>
        <w:rPr>
          <w:spacing w:val="-64"/>
        </w:rPr>
        <w:t> </w:t>
      </w:r>
      <w:r>
        <w:rPr>
          <w:spacing w:val="-64"/>
        </w:rPr>
      </w:r>
      <w:r>
        <w:rPr/>
        <w:t>模型以替代原先的已发生信用损失模型。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日之前的金融工具确认和计量与新金融工具准则要求不一致的，本公司按照新金融工具准则的要求进行衔接调</w:t>
      </w:r>
      <w:r>
        <w:rPr>
          <w:spacing w:val="-9"/>
        </w:rPr>
        <w:t> </w:t>
      </w:r>
      <w:r>
        <w:rPr>
          <w:spacing w:val="-9"/>
        </w:rPr>
      </w:r>
      <w:r>
        <w:rPr>
          <w:spacing w:val="-2"/>
        </w:rPr>
        <w:t>整。涉及前期比较财务报表数据与新金融工具准则要求不一致的，本公司不进行调整。金融工具原账面价值和在新金融工具</w:t>
      </w:r>
      <w:r>
        <w:rPr>
          <w:spacing w:val="-66"/>
        </w:rPr>
        <w:t> </w:t>
      </w:r>
      <w:r>
        <w:rPr>
          <w:spacing w:val="-66"/>
        </w:rPr>
      </w:r>
      <w:r>
        <w:rPr/>
        <w:t>准则施行日的新账面价值之间的差额，计入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日的留存收益或其他综合收益。</w:t>
      </w:r>
    </w:p>
    <w:p>
      <w:pPr>
        <w:pStyle w:val="BodyText"/>
        <w:spacing w:line="240" w:lineRule="auto" w:before="121"/>
        <w:ind w:left="513" w:right="0"/>
        <w:jc w:val="left"/>
      </w:pPr>
      <w:r>
        <w:rPr>
          <w:rFonts w:ascii="Times New Roman" w:hAnsi="Times New Roman" w:cs="Times New Roman" w:eastAsia="Times New Roman" w:hint="default"/>
        </w:rPr>
        <w:t>A</w:t>
      </w:r>
      <w:r>
        <w:rPr/>
        <w:t>、新金融工具准则首次执行日，分类与计量的改变对本公司财务报表的影响：</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3846"/>
        <w:gridCol w:w="3013"/>
        <w:gridCol w:w="2699"/>
      </w:tblGrid>
      <w:tr>
        <w:trPr>
          <w:trHeight w:val="677"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33"/>
              <w:jc w:val="center"/>
              <w:rPr>
                <w:rFonts w:ascii="宋体" w:hAnsi="宋体" w:cs="宋体" w:eastAsia="宋体" w:hint="default"/>
                <w:sz w:val="18"/>
                <w:szCs w:val="18"/>
              </w:rPr>
            </w:pPr>
            <w:r>
              <w:rPr>
                <w:rFonts w:ascii="宋体" w:hAnsi="宋体" w:cs="宋体" w:eastAsia="宋体" w:hint="default"/>
                <w:sz w:val="18"/>
                <w:szCs w:val="18"/>
              </w:rPr>
              <w:t>报表项目</w:t>
            </w:r>
          </w:p>
        </w:tc>
        <w:tc>
          <w:tcPr>
            <w:tcW w:w="3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3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p>
            <w:pPr>
              <w:pStyle w:val="TableParagraph"/>
              <w:spacing w:line="240" w:lineRule="auto" w:before="8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981" w:right="868" w:hanging="248"/>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 账面价值</w:t>
            </w:r>
          </w:p>
        </w:tc>
      </w:tr>
      <w:tr>
        <w:trPr>
          <w:trHeight w:val="347"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013" w:type="dxa"/>
            <w:tcBorders>
              <w:top w:val="single" w:sz="6" w:space="0" w:color="000000"/>
              <w:left w:val="single" w:sz="6" w:space="0" w:color="000000"/>
              <w:bottom w:val="single" w:sz="6" w:space="0" w:color="000000"/>
              <w:right w:val="single" w:sz="6" w:space="0" w:color="000000"/>
            </w:tcBorders>
          </w:tcPr>
          <w:p>
            <w:pPr/>
          </w:p>
        </w:tc>
        <w:tc>
          <w:tcPr>
            <w:tcW w:w="2699"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其中：可供出售金融资产</w:t>
            </w:r>
          </w:p>
        </w:tc>
        <w:tc>
          <w:tcPr>
            <w:tcW w:w="3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30,194,928.13</w:t>
            </w:r>
          </w:p>
        </w:tc>
        <w:tc>
          <w:tcPr>
            <w:tcW w:w="2699"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08"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013" w:type="dxa"/>
            <w:tcBorders>
              <w:top w:val="single" w:sz="6" w:space="0" w:color="000000"/>
              <w:left w:val="single" w:sz="6" w:space="0" w:color="000000"/>
              <w:bottom w:val="single" w:sz="6" w:space="0" w:color="000000"/>
              <w:right w:val="single" w:sz="6" w:space="0" w:color="000000"/>
            </w:tcBorders>
          </w:tcPr>
          <w:p>
            <w:pP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30,194,928.13</w:t>
            </w:r>
          </w:p>
        </w:tc>
      </w:tr>
      <w:tr>
        <w:trPr>
          <w:trHeight w:val="347"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013" w:type="dxa"/>
            <w:tcBorders>
              <w:top w:val="single" w:sz="6" w:space="0" w:color="000000"/>
              <w:left w:val="single" w:sz="6" w:space="0" w:color="000000"/>
              <w:bottom w:val="single" w:sz="6" w:space="0" w:color="000000"/>
              <w:right w:val="single" w:sz="6" w:space="0" w:color="000000"/>
            </w:tcBorders>
          </w:tcPr>
          <w:p>
            <w:pPr/>
          </w:p>
        </w:tc>
        <w:tc>
          <w:tcPr>
            <w:tcW w:w="2699"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其中：其他应付款</w:t>
            </w:r>
          </w:p>
        </w:tc>
        <w:tc>
          <w:tcPr>
            <w:tcW w:w="3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276,107,083.30</w:t>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270,464,964.56</w:t>
            </w:r>
          </w:p>
        </w:tc>
      </w:tr>
      <w:tr>
        <w:trPr>
          <w:trHeight w:val="426"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5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2,861,501,687.06</w:t>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2,866,234,075.26</w:t>
            </w:r>
          </w:p>
        </w:tc>
      </w:tr>
      <w:tr>
        <w:trPr>
          <w:trHeight w:val="427"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65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164,019,901.11</w:t>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164,929,631.65</w:t>
            </w:r>
          </w:p>
        </w:tc>
      </w:tr>
      <w:tr>
        <w:trPr>
          <w:trHeight w:val="347"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3013" w:type="dxa"/>
            <w:tcBorders>
              <w:top w:val="single" w:sz="6" w:space="0" w:color="000000"/>
              <w:left w:val="single" w:sz="6" w:space="0" w:color="000000"/>
              <w:bottom w:val="single" w:sz="6" w:space="0" w:color="000000"/>
              <w:right w:val="single" w:sz="6" w:space="0" w:color="000000"/>
            </w:tcBorders>
          </w:tcPr>
          <w:p>
            <w:pPr/>
          </w:p>
        </w:tc>
        <w:tc>
          <w:tcPr>
            <w:tcW w:w="2699"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其中：其他综合收益</w:t>
            </w:r>
          </w:p>
        </w:tc>
        <w:tc>
          <w:tcPr>
            <w:tcW w:w="3013" w:type="dxa"/>
            <w:tcBorders>
              <w:top w:val="single" w:sz="6" w:space="0" w:color="000000"/>
              <w:left w:val="single" w:sz="6" w:space="0" w:color="000000"/>
              <w:bottom w:val="single" w:sz="6" w:space="0" w:color="000000"/>
              <w:right w:val="single" w:sz="6" w:space="0" w:color="000000"/>
            </w:tcBorders>
          </w:tcPr>
          <w:p>
            <w:pP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-16,171,512.65</w:t>
            </w:r>
          </w:p>
        </w:tc>
      </w:tr>
      <w:tr>
        <w:trPr>
          <w:trHeight w:val="428" w:hRule="exact"/>
        </w:trPr>
        <w:tc>
          <w:tcPr>
            <w:tcW w:w="3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4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1,314,594,063.13</w:t>
            </w:r>
          </w:p>
        </w:tc>
        <w:tc>
          <w:tcPr>
            <w:tcW w:w="26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1,330,765,575.78</w:t>
            </w:r>
          </w:p>
        </w:tc>
      </w:tr>
    </w:tbl>
    <w:p>
      <w:pPr>
        <w:spacing w:line="240" w:lineRule="auto" w:before="8"/>
        <w:rPr>
          <w:rFonts w:ascii="宋体" w:hAnsi="宋体" w:cs="宋体" w:eastAsia="宋体" w:hint="default"/>
          <w:sz w:val="6"/>
          <w:szCs w:val="6"/>
        </w:rPr>
      </w:pPr>
    </w:p>
    <w:p>
      <w:pPr>
        <w:pStyle w:val="BodyText"/>
        <w:spacing w:line="240" w:lineRule="auto" w:before="44"/>
        <w:ind w:left="514" w:right="0"/>
        <w:jc w:val="left"/>
      </w:pPr>
      <w:r>
        <w:rPr>
          <w:rFonts w:ascii="Times New Roman" w:hAnsi="Times New Roman" w:cs="Times New Roman" w:eastAsia="Times New Roman" w:hint="default"/>
        </w:rPr>
        <w:t>B</w:t>
      </w:r>
      <w:r>
        <w:rPr/>
        <w:t>、新金融工具准则首次执行日，分类与计量改变对上述金融资产项目账面价值的影响：</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340"/>
        <w:gridCol w:w="2293"/>
        <w:gridCol w:w="1482"/>
        <w:gridCol w:w="1218"/>
        <w:gridCol w:w="2208"/>
      </w:tblGrid>
      <w:tr>
        <w:trPr>
          <w:trHeight w:val="365" w:hRule="exact"/>
        </w:trPr>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报表项目</w:t>
            </w:r>
          </w:p>
        </w:tc>
        <w:tc>
          <w:tcPr>
            <w:tcW w:w="22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日账面价值</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463"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2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41"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日账面价值</w:t>
            </w:r>
          </w:p>
        </w:tc>
      </w:tr>
      <w:tr>
        <w:trPr>
          <w:trHeight w:val="467" w:hRule="exact"/>
        </w:trPr>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2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239" w:right="0"/>
              <w:jc w:val="left"/>
              <w:rPr>
                <w:rFonts w:ascii="Times New Roman" w:hAnsi="Times New Roman" w:cs="Times New Roman" w:eastAsia="Times New Roman" w:hint="default"/>
                <w:sz w:val="18"/>
                <w:szCs w:val="18"/>
              </w:rPr>
            </w:pPr>
            <w:r>
              <w:rPr>
                <w:rFonts w:ascii="Times New Roman"/>
                <w:sz w:val="18"/>
              </w:rPr>
              <w:t>30,194,928.13</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-30,194,928.13</w:t>
            </w:r>
          </w:p>
        </w:tc>
        <w:tc>
          <w:tcPr>
            <w:tcW w:w="121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r>
      <w:tr>
        <w:trPr>
          <w:trHeight w:val="468" w:hRule="exact"/>
        </w:trPr>
        <w:tc>
          <w:tcPr>
            <w:tcW w:w="2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293" w:type="dxa"/>
            <w:tcBorders>
              <w:top w:val="single" w:sz="6" w:space="0" w:color="000000"/>
              <w:left w:val="single" w:sz="6" w:space="0" w:color="000000"/>
              <w:bottom w:val="single" w:sz="6" w:space="0" w:color="000000"/>
              <w:right w:val="single" w:sz="6" w:space="0" w:color="000000"/>
            </w:tcBorders>
          </w:tcPr>
          <w:p>
            <w:pP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30,194,928.13</w:t>
            </w:r>
          </w:p>
        </w:tc>
        <w:tc>
          <w:tcPr>
            <w:tcW w:w="1218"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1154" w:right="0"/>
              <w:jc w:val="left"/>
              <w:rPr>
                <w:rFonts w:ascii="Times New Roman" w:hAnsi="Times New Roman" w:cs="Times New Roman" w:eastAsia="Times New Roman" w:hint="default"/>
                <w:sz w:val="18"/>
                <w:szCs w:val="18"/>
              </w:rPr>
            </w:pPr>
            <w:r>
              <w:rPr>
                <w:rFonts w:ascii="Times New Roman"/>
                <w:sz w:val="18"/>
              </w:rPr>
              <w:t>30,194,928.13</w:t>
            </w:r>
          </w:p>
        </w:tc>
      </w:tr>
    </w:tbl>
    <w:p>
      <w:pPr>
        <w:spacing w:line="240" w:lineRule="auto" w:before="8"/>
        <w:rPr>
          <w:rFonts w:ascii="宋体" w:hAnsi="宋体" w:cs="宋体" w:eastAsia="宋体" w:hint="default"/>
          <w:sz w:val="6"/>
          <w:szCs w:val="6"/>
        </w:rPr>
      </w:pPr>
    </w:p>
    <w:p>
      <w:pPr>
        <w:pStyle w:val="BodyText"/>
        <w:spacing w:line="240" w:lineRule="auto" w:before="44"/>
        <w:ind w:left="514" w:right="0"/>
        <w:jc w:val="left"/>
      </w:pPr>
      <w:r>
        <w:rPr>
          <w:rFonts w:ascii="Times New Roman" w:hAnsi="Times New Roman" w:cs="Times New Roman" w:eastAsia="Times New Roman" w:hint="default"/>
        </w:rPr>
        <w:t>C</w:t>
      </w:r>
      <w:r>
        <w:rPr/>
        <w:t>、新金融工具准则首次执行日，分类与计量的改变对金融资产减值准备的影响：</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158"/>
        <w:gridCol w:w="3150"/>
        <w:gridCol w:w="1016"/>
        <w:gridCol w:w="979"/>
        <w:gridCol w:w="3150"/>
      </w:tblGrid>
      <w:tr>
        <w:trPr>
          <w:trHeight w:val="365" w:hRule="exact"/>
        </w:trPr>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11"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50" w:right="0"/>
              <w:jc w:val="left"/>
              <w:rPr>
                <w:rFonts w:ascii="宋体" w:hAnsi="宋体" w:cs="宋体" w:eastAsia="宋体" w:hint="default"/>
                <w:sz w:val="18"/>
                <w:szCs w:val="18"/>
              </w:rPr>
            </w:pPr>
            <w:r>
              <w:rPr>
                <w:rFonts w:ascii="宋体" w:hAnsi="宋体" w:cs="宋体" w:eastAsia="宋体" w:hint="default"/>
                <w:sz w:val="18"/>
                <w:szCs w:val="18"/>
              </w:rPr>
              <w:t>按原金融工具准则确认的减值准备</w:t>
            </w:r>
          </w:p>
        </w:tc>
        <w:tc>
          <w:tcPr>
            <w:tcW w:w="10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30"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1"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50" w:right="0"/>
              <w:jc w:val="left"/>
              <w:rPr>
                <w:rFonts w:ascii="宋体" w:hAnsi="宋体" w:cs="宋体" w:eastAsia="宋体" w:hint="default"/>
                <w:sz w:val="18"/>
                <w:szCs w:val="18"/>
              </w:rPr>
            </w:pPr>
            <w:r>
              <w:rPr>
                <w:rFonts w:ascii="宋体" w:hAnsi="宋体" w:cs="宋体" w:eastAsia="宋体" w:hint="default"/>
                <w:sz w:val="18"/>
                <w:szCs w:val="18"/>
              </w:rPr>
              <w:t>按新金融工具准则确认的损失准备</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158"/>
        <w:gridCol w:w="3150"/>
        <w:gridCol w:w="1016"/>
        <w:gridCol w:w="979"/>
        <w:gridCol w:w="3150"/>
      </w:tblGrid>
      <w:tr>
        <w:trPr>
          <w:trHeight w:val="467" w:hRule="exact"/>
        </w:trPr>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171,784,952.48</w:t>
            </w:r>
          </w:p>
        </w:tc>
        <w:tc>
          <w:tcPr>
            <w:tcW w:w="1016" w:type="dxa"/>
            <w:tcBorders>
              <w:top w:val="single" w:sz="6" w:space="0" w:color="000000"/>
              <w:left w:val="single" w:sz="6" w:space="0" w:color="000000"/>
              <w:bottom w:val="single" w:sz="6" w:space="0" w:color="000000"/>
              <w:right w:val="single" w:sz="6" w:space="0" w:color="000000"/>
            </w:tcBorders>
          </w:tcPr>
          <w:p>
            <w:pPr/>
          </w:p>
        </w:tc>
        <w:tc>
          <w:tcPr>
            <w:tcW w:w="979" w:type="dxa"/>
            <w:tcBorders>
              <w:top w:val="single" w:sz="6" w:space="0" w:color="000000"/>
              <w:left w:val="single" w:sz="6" w:space="0" w:color="000000"/>
              <w:bottom w:val="single" w:sz="6" w:space="0" w:color="000000"/>
              <w:right w:val="single" w:sz="6" w:space="0" w:color="000000"/>
            </w:tcBorders>
          </w:tcPr>
          <w:p>
            <w:pPr/>
          </w:p>
        </w:tc>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171,784,952.48</w:t>
            </w:r>
          </w:p>
        </w:tc>
      </w:tr>
      <w:tr>
        <w:trPr>
          <w:trHeight w:val="467" w:hRule="exact"/>
        </w:trPr>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12,814,154.11</w:t>
            </w:r>
          </w:p>
        </w:tc>
        <w:tc>
          <w:tcPr>
            <w:tcW w:w="1016" w:type="dxa"/>
            <w:tcBorders>
              <w:top w:val="single" w:sz="6" w:space="0" w:color="000000"/>
              <w:left w:val="single" w:sz="6" w:space="0" w:color="000000"/>
              <w:bottom w:val="single" w:sz="6" w:space="0" w:color="000000"/>
              <w:right w:val="single" w:sz="6" w:space="0" w:color="000000"/>
            </w:tcBorders>
          </w:tcPr>
          <w:p>
            <w:pPr/>
          </w:p>
        </w:tc>
        <w:tc>
          <w:tcPr>
            <w:tcW w:w="979" w:type="dxa"/>
            <w:tcBorders>
              <w:top w:val="single" w:sz="6" w:space="0" w:color="000000"/>
              <w:left w:val="single" w:sz="6" w:space="0" w:color="000000"/>
              <w:bottom w:val="single" w:sz="6" w:space="0" w:color="000000"/>
              <w:right w:val="single" w:sz="6" w:space="0" w:color="000000"/>
            </w:tcBorders>
          </w:tcPr>
          <w:p>
            <w:pPr/>
          </w:p>
        </w:tc>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12,814,154.11</w:t>
            </w:r>
          </w:p>
        </w:tc>
      </w:tr>
      <w:tr>
        <w:trPr>
          <w:trHeight w:val="468" w:hRule="exact"/>
        </w:trPr>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184,599,106.59</w:t>
            </w:r>
          </w:p>
        </w:tc>
        <w:tc>
          <w:tcPr>
            <w:tcW w:w="1016" w:type="dxa"/>
            <w:tcBorders>
              <w:top w:val="single" w:sz="6" w:space="0" w:color="000000"/>
              <w:left w:val="single" w:sz="6" w:space="0" w:color="000000"/>
              <w:bottom w:val="single" w:sz="6" w:space="0" w:color="000000"/>
              <w:right w:val="single" w:sz="6" w:space="0" w:color="000000"/>
            </w:tcBorders>
          </w:tcPr>
          <w:p>
            <w:pPr/>
          </w:p>
        </w:tc>
        <w:tc>
          <w:tcPr>
            <w:tcW w:w="979" w:type="dxa"/>
            <w:tcBorders>
              <w:top w:val="single" w:sz="6" w:space="0" w:color="000000"/>
              <w:left w:val="single" w:sz="6" w:space="0" w:color="000000"/>
              <w:bottom w:val="single" w:sz="6" w:space="0" w:color="000000"/>
              <w:right w:val="single" w:sz="6" w:space="0" w:color="000000"/>
            </w:tcBorders>
          </w:tcPr>
          <w:p>
            <w:pPr/>
          </w:p>
        </w:tc>
        <w:tc>
          <w:tcPr>
            <w:tcW w:w="31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184,599,106.59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6"/>
        </w:rPr>
        <w:t> </w:t>
      </w:r>
      <w:r>
        <w:rPr/>
        <w:t>年起执行新金融工具准则、新收入准则或新租赁准则调整执行当年年初财务报表相关项目情况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0"/>
        </w:sectPr>
      </w:pPr>
    </w:p>
    <w:p>
      <w:pPr>
        <w:pStyle w:val="BodyText"/>
        <w:spacing w:line="357" w:lineRule="auto" w:before="44"/>
        <w:ind w:left="153" w:right="-19"/>
        <w:jc w:val="left"/>
      </w:pPr>
      <w:r>
        <w:rPr/>
        <w:t>√ 适用 □ 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80" w:left="980" w:right="0"/>
          <w:cols w:num="2" w:equalWidth="0">
            <w:col w:w="1685" w:space="7234"/>
            <w:col w:w="201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477"/>
        <w:gridCol w:w="1812"/>
        <w:gridCol w:w="1620"/>
        <w:gridCol w:w="1620"/>
      </w:tblGrid>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1"/>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3" w:right="0"/>
              <w:jc w:val="left"/>
              <w:rPr>
                <w:rFonts w:ascii="宋体" w:hAnsi="宋体" w:cs="宋体" w:eastAsia="宋体" w:hint="default"/>
                <w:sz w:val="18"/>
                <w:szCs w:val="18"/>
              </w:rPr>
            </w:pPr>
            <w:r>
              <w:rPr>
                <w:rFonts w:ascii="宋体" w:hAnsi="宋体" w:cs="宋体" w:eastAsia="宋体" w:hint="default"/>
                <w:sz w:val="18"/>
                <w:szCs w:val="18"/>
              </w:rPr>
              <w:t>调整数</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2,017,099,006.92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2,017,099,006.92</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219,857,833.38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219,857,833.38</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2,519,619,666.19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2,519,619,666.19</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1,255,956,527.38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1,255,956,527.38</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177,798,512.65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177,798,512.65</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2,204,253,459.52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2,204,253,459.52</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477"/>
        <w:gridCol w:w="1812"/>
        <w:gridCol w:w="1620"/>
        <w:gridCol w:w="1620"/>
      </w:tblGrid>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74,288,269.55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74,288,269.55</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8,468,873,275.59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8,468,873,275.59</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30,194,928.13</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-30,194,928.13</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2,811,408.56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2,811,408.56</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26,501,436.31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26,501,436.31</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30,194,928.13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30,194,928.13</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157,014,698.61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157,014,698.61</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2,227,945,503.31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2,227,945,503.31</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583,884,575.89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583,884,575.89</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332,273,424.56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332,273,424.56</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94,108,890.38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94,108,890.38</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2,128,660,219.57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2,128,660,219.57</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25,996,921.57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25,996,921.57</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64,345,636.18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64,345,636.18</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134,101.21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134,101.21</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5,673,871,744.28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5,673,871,744.28</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14,142,745,019.87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14,142,745,019.87</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2,861,501,687.06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2,861,501,687.06</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879,539,659.15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879,539,659.15</w:t>
            </w: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477"/>
        <w:gridCol w:w="1812"/>
        <w:gridCol w:w="1620"/>
        <w:gridCol w:w="1620"/>
      </w:tblGrid>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1,680,021,294.50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1,680,021,294.50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375,989,591.47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375,989,591.47</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15,176,196.83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15,176,196.83</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168,332,546.05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168,332,546.05</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276,107,083.30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276,107,083.30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5,642,118.74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5,642,118.74</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29,968,422.13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29,968,422.13</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164,019,901.11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164,019,901.11</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6,420,687,959.47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6,420,687,959.47</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1,175,000,000.00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167,214,716.54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167,214,716.54</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283,031,909.46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283,031,909.46</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4,380,563.48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4,380,563.48</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1,629,627,189.48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1,629,627,189.48</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8,050,315,148.95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8,050,315,148.95</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8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500"/>
        <w:gridCol w:w="1800"/>
        <w:gridCol w:w="1620"/>
        <w:gridCol w:w="1620"/>
      </w:tblGrid>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1,652,874,961.00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1,652,874,961.00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0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2,897,090,367.86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2,897,090,367.86</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26,954,164.03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26,954,164.03</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-16,171,512.65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-16,171,512.65</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246,855,939.63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246,855,939.63</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1,314,594,063.13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1,330,765,575.78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16,171,512.65</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6,084,461,167.59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6,084,461,167.59</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7,968,703.33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7,968,703.33</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6,092,429,870.92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6,092,429,870.92</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14,142,745,019.87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14,142,745,019.87</w:t>
            </w:r>
          </w:p>
        </w:tc>
        <w:tc>
          <w:tcPr>
            <w:tcW w:w="162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调整情况说明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ind w:right="0"/>
        <w:jc w:val="left"/>
      </w:pPr>
      <w:r>
        <w:rPr/>
        <w:t>母公司资产负债表</w:t>
      </w:r>
    </w:p>
    <w:p>
      <w:pPr>
        <w:pStyle w:val="BodyText"/>
        <w:spacing w:line="240" w:lineRule="auto" w:before="117"/>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477"/>
        <w:gridCol w:w="1812"/>
        <w:gridCol w:w="1620"/>
        <w:gridCol w:w="1620"/>
      </w:tblGrid>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61"/>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3" w:right="0"/>
              <w:jc w:val="left"/>
              <w:rPr>
                <w:rFonts w:ascii="宋体" w:hAnsi="宋体" w:cs="宋体" w:eastAsia="宋体" w:hint="default"/>
                <w:sz w:val="18"/>
                <w:szCs w:val="18"/>
              </w:rPr>
            </w:pPr>
            <w:r>
              <w:rPr>
                <w:rFonts w:ascii="宋体" w:hAnsi="宋体" w:cs="宋体" w:eastAsia="宋体" w:hint="default"/>
                <w:sz w:val="18"/>
                <w:szCs w:val="18"/>
              </w:rPr>
              <w:t>调整数</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698,470,968.97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698,470,968.97</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54,668,124.21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54,668,124.21</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226,106,512.25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226,106,512.25</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1,199,724,650.13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1,199,724,650.13</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5,570,513.83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5,570,513.83</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842,996.72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842,996.72</w:t>
            </w: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477"/>
        <w:gridCol w:w="1812"/>
        <w:gridCol w:w="1620"/>
        <w:gridCol w:w="1620"/>
      </w:tblGrid>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695,683,675.20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695,683,675.20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52,821,261.75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52,821,261.75</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2,933,045,706.34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2,933,045,706.34</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28,654,928.13</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-28,654,928.13</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3,234,907,550.82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3,234,907,550.82</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28,654,928.13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28,654,928.13</w:t>
            </w: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157,014,698.61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157,014,698.61</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1,639,220,455.52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1,639,220,455.52</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580,160,467.01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580,160,467.01</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138,136,780.39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138,136,780.39</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35,889,047.33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35,889,047.33</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5,813,983,927.81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5,813,983,927.81</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8,747,029,634.15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8,747,029,634.15</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1,687,700,000.00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1,687,700,000.00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477"/>
        <w:gridCol w:w="1812"/>
        <w:gridCol w:w="1620"/>
        <w:gridCol w:w="1620"/>
      </w:tblGrid>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230,000,000.00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273,065,941.15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273,065,941.15</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50,852,605.73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50,852,605.73</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4,636,848.87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4,636,848.87</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4,668,203.16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4,668,203.16</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178,136,177.95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178,136,177.95</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107,137.82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107,137.82</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51,359,378.38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51,359,378.38</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2,480,419,155.24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2,480,419,155.24</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660,000,000.00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97,205,613.70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97,205,613.70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240,029,405.34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240,029,405.34</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997,235,019.04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997,235,019.04</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3,477,654,174.28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3,477,654,174.28</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8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1,652,874,961.00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1,652,874,961.00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81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2,884,526,399.32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2,884,526,399.32</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4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26,954,164.03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26,954,164.03</w:t>
            </w: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500"/>
        <w:gridCol w:w="1800"/>
        <w:gridCol w:w="1620"/>
        <w:gridCol w:w="1620"/>
      </w:tblGrid>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-16,171,512.65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-16,171,512.65</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80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240,612,986.37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240,612,986.37</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518,315,277.21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534,486,789.86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16,171,512.65</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5,269,375,459.87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5,269,375,459.87</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8,747,029,634.15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8,747,029,634.15</w:t>
            </w: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年起执行新金融工具准则或新租赁准则追溯调整前期比较数据说明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8"/>
        <w:gridCol w:w="3190"/>
        <w:gridCol w:w="3190"/>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51"/>
        <w:ind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石家庄常山北明科技股份有限公司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石家庄常山赵州纺织有限公司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石家庄常山物业服务有限公司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库尔勒常山恒丰商贸有限责任公司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上海冀源国际贸易有限公司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上海常纺恒友国际贸易有限公司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新疆常山恒宏纺织科技有限公司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北京爱意生活电子商务有限公司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常山股份香港国际贸易有限公司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石家庄赛孚纺织有限公司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河北北明鼎云信息技术有限公司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北京北明伟业科技有限公司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珠海市震星信息技术有限公司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成都北明祺舯信息技术有限公司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青岛北明智慧城市科技有限公司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北京枫调理顺科技发展有限公司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北明云智（武汉）网软有限公司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北京北明正实科技有限公司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广州市龙泰信息技术有限公司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北京北明云易信息科技有限公司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索科维尔（北京软件）系统有限公司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北明天时能源科技（北京）有限公司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北京明润华创有限责任公司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北明成功软件（山东）有限公司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北京天时前程工程技术有限公司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北京金实盈信科技有限公司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北明云山（武汉）软件开发有限公司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河北北明兴云互联网科技有限责任公司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石家庄爱意科技有限公司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舞钢智慧城市科技发展有限公司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河北常山恒云数据科技有限公司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、税收优惠</w:t>
      </w:r>
      <w:r>
        <w:rPr>
          <w:b w:val="0"/>
          <w:bCs w:val="0"/>
        </w:rPr>
      </w:r>
    </w:p>
    <w:p>
      <w:pPr>
        <w:pStyle w:val="BodyText"/>
        <w:spacing w:line="430" w:lineRule="atLeast" w:before="166"/>
        <w:ind w:left="514" w:right="1117"/>
        <w:jc w:val="left"/>
      </w:pPr>
      <w:r>
        <w:rPr/>
        <w:t>（</w:t>
      </w:r>
      <w:r>
        <w:rPr>
          <w:rFonts w:ascii="Times New Roman" w:hAnsi="Times New Roman" w:cs="Times New Roman" w:eastAsia="Times New Roman" w:hint="default"/>
        </w:rPr>
        <w:t>1</w:t>
      </w:r>
      <w:r>
        <w:rPr/>
        <w:t>）增值税 根据《财政部、国家税务总局关于软件产品增值税政策的通知》（财税</w:t>
      </w:r>
      <w:r>
        <w:rPr>
          <w:rFonts w:ascii="Times New Roman" w:hAnsi="Times New Roman" w:cs="Times New Roman" w:eastAsia="Times New Roman" w:hint="default"/>
        </w:rPr>
        <w:t>[2011]100</w:t>
      </w:r>
      <w:r>
        <w:rPr/>
        <w:t>号）文规定、《财政部、国家税务总</w:t>
      </w:r>
    </w:p>
    <w:p>
      <w:pPr>
        <w:pStyle w:val="BodyText"/>
        <w:spacing w:line="307" w:lineRule="auto" w:before="63"/>
        <w:ind w:left="153" w:right="1031"/>
        <w:jc w:val="left"/>
      </w:pPr>
      <w:r>
        <w:rPr/>
        <w:t>局关于财政性资金、行政事业性收费、政府性基金有关企业所得税政策问题的通知》（财税</w:t>
      </w:r>
      <w:r>
        <w:rPr>
          <w:rFonts w:ascii="Times New Roman" w:hAnsi="Times New Roman" w:cs="Times New Roman" w:eastAsia="Times New Roman" w:hint="default"/>
        </w:rPr>
        <w:t>[2008]151</w:t>
      </w:r>
      <w:r>
        <w:rPr/>
        <w:t>号）、《国务院关于</w:t>
      </w:r>
      <w:r>
        <w:rPr>
          <w:spacing w:val="-34"/>
        </w:rPr>
        <w:t> </w:t>
      </w:r>
      <w:r>
        <w:rPr>
          <w:spacing w:val="-34"/>
        </w:rPr>
      </w:r>
      <w:r>
        <w:rPr/>
        <w:t>印发进一步鼓励软件产业和集成电路产业发展若干政策的通知》（国发</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4</w:t>
      </w:r>
      <w:r>
        <w:rPr/>
        <w:t>）号）文规定，本公司子公司北明软件有限</w:t>
      </w:r>
      <w:r>
        <w:rPr>
          <w:spacing w:val="-84"/>
        </w:rPr>
        <w:t> </w:t>
      </w:r>
      <w:r>
        <w:rPr>
          <w:spacing w:val="-84"/>
        </w:rPr>
      </w:r>
      <w:r>
        <w:rPr>
          <w:spacing w:val="-2"/>
        </w:rPr>
        <w:t>公司、北明云智（武汉）网软有限公司、珠海市震星信息技术有限公司、广州市龙泰信息技术有限公司、北京北明正实科技</w:t>
      </w:r>
      <w:r>
        <w:rPr>
          <w:spacing w:val="-68"/>
        </w:rPr>
        <w:t> </w:t>
      </w:r>
      <w:r>
        <w:rPr>
          <w:spacing w:val="-68"/>
        </w:rPr>
      </w:r>
      <w:r>
        <w:rPr/>
        <w:t>有限公司、北明成功软件（山东）有限公司、北明天时能源科技（北京）有限公司、索科维尔（北京）软件系统有限公司、 北京明润华创科技有限责任公司、北京金实盈信科技有限公司等共</w:t>
      </w:r>
      <w:r>
        <w:rPr>
          <w:rFonts w:ascii="Times New Roman" w:hAnsi="Times New Roman" w:cs="Times New Roman" w:eastAsia="Times New Roman" w:hint="default"/>
        </w:rPr>
        <w:t>10</w:t>
      </w:r>
      <w:r>
        <w:rPr/>
        <w:t>家软件企业，享受增值税实际税负超过</w:t>
      </w:r>
      <w:r>
        <w:rPr>
          <w:rFonts w:ascii="Times New Roman" w:hAnsi="Times New Roman" w:cs="Times New Roman" w:eastAsia="Times New Roman" w:hint="default"/>
        </w:rPr>
        <w:t>3%</w:t>
      </w:r>
      <w:r>
        <w:rPr/>
        <w:t>的部分即征</w:t>
      </w:r>
      <w:r>
        <w:rPr>
          <w:spacing w:val="-57"/>
        </w:rPr>
        <w:t> </w:t>
      </w:r>
      <w:r>
        <w:rPr>
          <w:spacing w:val="-57"/>
        </w:rPr>
      </w:r>
      <w:r>
        <w:rPr/>
        <w:t>即退的优惠政策。</w:t>
      </w:r>
    </w:p>
    <w:p>
      <w:pPr>
        <w:pStyle w:val="BodyText"/>
        <w:spacing w:line="432" w:lineRule="exact" w:before="10"/>
        <w:ind w:left="513" w:right="0"/>
        <w:jc w:val="left"/>
      </w:pPr>
      <w:r>
        <w:rPr/>
        <w:t>（</w:t>
      </w:r>
      <w:r>
        <w:rPr>
          <w:rFonts w:ascii="Times New Roman" w:hAnsi="Times New Roman" w:cs="Times New Roman" w:eastAsia="Times New Roman" w:hint="default"/>
        </w:rPr>
        <w:t>2</w:t>
      </w:r>
      <w:r>
        <w:rPr/>
        <w:t>）企业所得税 </w:t>
      </w:r>
      <w:r>
        <w:rPr>
          <w:spacing w:val="-2"/>
        </w:rPr>
        <w:t>北明软件有限公司于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12</w:t>
      </w:r>
      <w:r>
        <w:rPr>
          <w:spacing w:val="-2"/>
        </w:rPr>
        <w:t>月取得中华人民共和国国家发展和改革委员会、中华人民共和国工业和信息化部、中华人</w:t>
      </w:r>
    </w:p>
    <w:p>
      <w:pPr>
        <w:pStyle w:val="BodyText"/>
        <w:spacing w:line="307" w:lineRule="auto" w:before="15"/>
        <w:ind w:left="153" w:right="1128"/>
        <w:jc w:val="both"/>
      </w:pPr>
      <w:r>
        <w:rPr>
          <w:spacing w:val="-2"/>
        </w:rPr>
        <w:t>民共和国财政部、中华人民共和国商务部、国家税务总局联合颁发的国家规划布局内重点软件企业证书。北明软件有限公司</w:t>
      </w:r>
      <w:r>
        <w:rPr>
          <w:spacing w:val="-66"/>
        </w:rPr>
        <w:t> </w:t>
      </w:r>
      <w:r>
        <w:rPr>
          <w:spacing w:val="-66"/>
        </w:rPr>
      </w:r>
      <w:r>
        <w:rPr>
          <w:spacing w:val="-1"/>
        </w:rPr>
        <w:t>依据最新下发财税【</w:t>
      </w:r>
      <w:r>
        <w:rPr>
          <w:rFonts w:ascii="Times New Roman" w:hAnsi="Times New Roman" w:cs="Times New Roman" w:eastAsia="Times New Roman" w:hint="default"/>
          <w:spacing w:val="-1"/>
        </w:rPr>
        <w:t>2016</w:t>
      </w:r>
      <w:r>
        <w:rPr>
          <w:spacing w:val="-1"/>
        </w:rPr>
        <w:t>】</w:t>
      </w:r>
      <w:r>
        <w:rPr>
          <w:rFonts w:ascii="Times New Roman" w:hAnsi="Times New Roman" w:cs="Times New Roman" w:eastAsia="Times New Roman" w:hint="default"/>
          <w:spacing w:val="-1"/>
        </w:rPr>
        <w:t>49</w:t>
      </w:r>
      <w:r>
        <w:rPr>
          <w:spacing w:val="-1"/>
        </w:rPr>
        <w:t>号文，在广州市天河区地方税务局对</w:t>
      </w:r>
      <w:r>
        <w:rPr>
          <w:rFonts w:ascii="Times New Roman" w:hAnsi="Times New Roman" w:cs="Times New Roman" w:eastAsia="Times New Roman" w:hint="default"/>
          <w:spacing w:val="-1"/>
        </w:rPr>
        <w:t>2018</w:t>
      </w:r>
      <w:r>
        <w:rPr>
          <w:spacing w:val="-1"/>
        </w:rPr>
        <w:t>年度所得税做了优惠事项备案，减按</w:t>
      </w:r>
      <w:r>
        <w:rPr>
          <w:rFonts w:ascii="Times New Roman" w:hAnsi="Times New Roman" w:cs="Times New Roman" w:eastAsia="Times New Roman" w:hint="default"/>
          <w:spacing w:val="-1"/>
        </w:rPr>
        <w:t>10%</w:t>
      </w:r>
      <w:r>
        <w:rPr>
          <w:spacing w:val="-1"/>
        </w:rPr>
        <w:t>征收，并经</w:t>
      </w:r>
      <w:r>
        <w:rPr>
          <w:spacing w:val="-84"/>
        </w:rPr>
        <w:t> </w:t>
      </w:r>
      <w:r>
        <w:rPr>
          <w:spacing w:val="-84"/>
        </w:rPr>
      </w:r>
      <w:r>
        <w:rPr>
          <w:spacing w:val="-1"/>
        </w:rPr>
        <w:t>发展改革、工业和信息化部门的核查。</w:t>
      </w:r>
      <w:r>
        <w:rPr>
          <w:rFonts w:ascii="Times New Roman" w:hAnsi="Times New Roman" w:cs="Times New Roman" w:eastAsia="Times New Roman" w:hint="default"/>
          <w:spacing w:val="-1"/>
        </w:rPr>
        <w:t>2019</w:t>
      </w:r>
      <w:r>
        <w:rPr>
          <w:spacing w:val="-1"/>
        </w:rPr>
        <w:t>年同样执行财税【</w:t>
      </w:r>
      <w:r>
        <w:rPr>
          <w:rFonts w:ascii="Times New Roman" w:hAnsi="Times New Roman" w:cs="Times New Roman" w:eastAsia="Times New Roman" w:hint="default"/>
          <w:spacing w:val="-1"/>
        </w:rPr>
        <w:t>2016</w:t>
      </w:r>
      <w:r>
        <w:rPr>
          <w:spacing w:val="-1"/>
        </w:rPr>
        <w:t>】</w:t>
      </w:r>
      <w:r>
        <w:rPr>
          <w:rFonts w:ascii="Times New Roman" w:hAnsi="Times New Roman" w:cs="Times New Roman" w:eastAsia="Times New Roman" w:hint="default"/>
          <w:spacing w:val="-1"/>
        </w:rPr>
        <w:t>49</w:t>
      </w:r>
      <w:r>
        <w:rPr>
          <w:spacing w:val="-1"/>
        </w:rPr>
        <w:t>号文，减按</w:t>
      </w:r>
      <w:r>
        <w:rPr>
          <w:rFonts w:ascii="Times New Roman" w:hAnsi="Times New Roman" w:cs="Times New Roman" w:eastAsia="Times New Roman" w:hint="default"/>
          <w:spacing w:val="-1"/>
        </w:rPr>
        <w:t>10%</w:t>
      </w:r>
      <w:r>
        <w:rPr>
          <w:spacing w:val="-1"/>
        </w:rPr>
        <w:t>征收，相关优惠事项备案手续正在办</w:t>
      </w:r>
      <w:r>
        <w:rPr>
          <w:spacing w:val="-84"/>
        </w:rPr>
        <w:t> </w:t>
      </w:r>
      <w:r>
        <w:rPr>
          <w:spacing w:val="-84"/>
        </w:rPr>
      </w:r>
      <w:r>
        <w:rPr/>
        <w:t>理中。</w:t>
      </w:r>
    </w:p>
    <w:p>
      <w:pPr>
        <w:spacing w:after="0" w:line="307" w:lineRule="auto"/>
        <w:jc w:val="both"/>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153" w:right="1130" w:firstLine="360"/>
        <w:jc w:val="both"/>
      </w:pPr>
      <w:r>
        <w:rPr>
          <w:spacing w:val="-2"/>
        </w:rPr>
        <w:t>子公司北京北明正实科技有限公司于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30</w:t>
      </w:r>
      <w:r>
        <w:rPr>
          <w:spacing w:val="-2"/>
        </w:rPr>
        <w:t>日取得北京市科学技术委员会、北京财政局、国家税务总局北京市税</w:t>
      </w:r>
      <w:r>
        <w:rPr/>
        <w:t> </w:t>
      </w:r>
      <w:r>
        <w:rPr>
          <w:spacing w:val="-2"/>
        </w:rPr>
        <w:t>务局三家联合颁发的证书</w:t>
      </w:r>
      <w:r>
        <w:rPr>
          <w:rFonts w:ascii="Times New Roman" w:hAnsi="Times New Roman" w:cs="Times New Roman" w:eastAsia="Times New Roman" w:hint="default"/>
          <w:spacing w:val="-2"/>
        </w:rPr>
        <w:t>GR20181100838</w:t>
      </w:r>
      <w:r>
        <w:rPr>
          <w:spacing w:val="-2"/>
        </w:rPr>
        <w:t>号高新技术认定证书，根据《中华人民共和国企业所得税法》及其实施条例的相关</w:t>
      </w:r>
      <w:r>
        <w:rPr>
          <w:spacing w:val="-47"/>
        </w:rPr>
        <w:t> </w:t>
      </w:r>
      <w:r>
        <w:rPr>
          <w:spacing w:val="-47"/>
        </w:rPr>
      </w:r>
      <w:r>
        <w:rPr/>
        <w:t>规定，北京北明正实科技有限公司自</w:t>
      </w:r>
      <w:r>
        <w:rPr>
          <w:rFonts w:ascii="Times New Roman" w:hAnsi="Times New Roman" w:cs="Times New Roman" w:eastAsia="Times New Roman" w:hint="default"/>
        </w:rPr>
        <w:t>2018</w:t>
      </w:r>
      <w:r>
        <w:rPr/>
        <w:t>年至</w:t>
      </w:r>
      <w:r>
        <w:rPr>
          <w:rFonts w:ascii="Times New Roman" w:hAnsi="Times New Roman" w:cs="Times New Roman" w:eastAsia="Times New Roman" w:hint="default"/>
        </w:rPr>
        <w:t>2020</w:t>
      </w:r>
      <w:r>
        <w:rPr/>
        <w:t>年减按</w:t>
      </w:r>
      <w:r>
        <w:rPr>
          <w:rFonts w:ascii="Times New Roman" w:hAnsi="Times New Roman" w:cs="Times New Roman" w:eastAsia="Times New Roman" w:hint="default"/>
        </w:rPr>
        <w:t>15%</w:t>
      </w:r>
      <w:r>
        <w:rPr/>
        <w:t>税率缴纳企业所得税的税收优惠政策。</w:t>
      </w:r>
    </w:p>
    <w:p>
      <w:pPr>
        <w:pStyle w:val="BodyText"/>
        <w:spacing w:line="300" w:lineRule="auto" w:before="133"/>
        <w:ind w:left="153" w:right="1129" w:firstLine="360"/>
        <w:jc w:val="both"/>
      </w:pPr>
      <w:r>
        <w:rPr>
          <w:spacing w:val="-2"/>
        </w:rPr>
        <w:t>子公司索科维尔（北京）软件系统有限公司于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25</w:t>
      </w:r>
      <w:r>
        <w:rPr>
          <w:spacing w:val="-2"/>
        </w:rPr>
        <w:t>日取得北京科学技术委员会、北京市财政局、北京市国家税</w:t>
      </w:r>
      <w:r>
        <w:rPr/>
        <w:t> 务局、北京市地方税务局四家联合颁发的证书</w:t>
      </w:r>
      <w:r>
        <w:rPr>
          <w:rFonts w:ascii="Times New Roman" w:hAnsi="Times New Roman" w:cs="Times New Roman" w:eastAsia="Times New Roman" w:hint="default"/>
        </w:rPr>
        <w:t>GR201711002038</w:t>
      </w:r>
      <w:r>
        <w:rPr/>
        <w:t>号高新技术企业认定书，根据《中华人民共和国企业所得税</w:t>
      </w:r>
      <w:r>
        <w:rPr>
          <w:spacing w:val="-80"/>
        </w:rPr>
        <w:t> </w:t>
      </w:r>
      <w:r>
        <w:rPr>
          <w:spacing w:val="-80"/>
        </w:rPr>
      </w:r>
      <w:r>
        <w:rPr>
          <w:spacing w:val="-1"/>
        </w:rPr>
        <w:t>法》及其实施条例的相关规定，索科维尔（北京）软件系统有限公司自</w:t>
      </w:r>
      <w:r>
        <w:rPr>
          <w:rFonts w:ascii="Times New Roman" w:hAnsi="Times New Roman" w:cs="Times New Roman" w:eastAsia="Times New Roman" w:hint="default"/>
          <w:spacing w:val="-1"/>
        </w:rPr>
        <w:t>2017</w:t>
      </w:r>
      <w:r>
        <w:rPr>
          <w:spacing w:val="-1"/>
        </w:rPr>
        <w:t>年至</w:t>
      </w:r>
      <w:r>
        <w:rPr>
          <w:rFonts w:ascii="Times New Roman" w:hAnsi="Times New Roman" w:cs="Times New Roman" w:eastAsia="Times New Roman" w:hint="default"/>
          <w:spacing w:val="-1"/>
        </w:rPr>
        <w:t>2019</w:t>
      </w:r>
      <w:r>
        <w:rPr>
          <w:spacing w:val="-1"/>
        </w:rPr>
        <w:t>年减按</w:t>
      </w:r>
      <w:r>
        <w:rPr>
          <w:rFonts w:ascii="Times New Roman" w:hAnsi="Times New Roman" w:cs="Times New Roman" w:eastAsia="Times New Roman" w:hint="default"/>
          <w:spacing w:val="-1"/>
        </w:rPr>
        <w:t>15%</w:t>
      </w:r>
      <w:r>
        <w:rPr>
          <w:spacing w:val="-1"/>
        </w:rPr>
        <w:t>税率缴纳企业所得税的税收</w:t>
      </w:r>
      <w:r>
        <w:rPr>
          <w:spacing w:val="-87"/>
        </w:rPr>
        <w:t> </w:t>
      </w:r>
      <w:r>
        <w:rPr/>
        <w:t>优惠政策。</w:t>
      </w:r>
    </w:p>
    <w:p>
      <w:pPr>
        <w:pStyle w:val="BodyText"/>
        <w:spacing w:line="300" w:lineRule="auto" w:before="151"/>
        <w:ind w:left="153" w:right="1128" w:firstLine="360"/>
        <w:jc w:val="both"/>
      </w:pPr>
      <w:r>
        <w:rPr/>
        <w:t>子公司北明天时能源科技（北京）有限公司于</w:t>
      </w:r>
      <w:r>
        <w:rPr>
          <w:rFonts w:ascii="Times New Roman" w:hAnsi="Times New Roman" w:cs="Times New Roman" w:eastAsia="Times New Roman" w:hint="default"/>
        </w:rPr>
        <w:t>2017</w:t>
      </w:r>
      <w:r>
        <w:rPr/>
        <w:t>年 </w:t>
      </w:r>
      <w:r>
        <w:rPr>
          <w:rFonts w:ascii="Times New Roman" w:hAnsi="Times New Roman" w:cs="Times New Roman" w:eastAsia="Times New Roman" w:hint="default"/>
        </w:rPr>
        <w:t>8</w:t>
      </w:r>
      <w:r>
        <w:rPr/>
        <w:t>月</w:t>
      </w:r>
      <w:r>
        <w:rPr>
          <w:spacing w:val="-3"/>
        </w:rPr>
        <w:t> </w:t>
      </w:r>
      <w:r>
        <w:rPr>
          <w:rFonts w:ascii="Times New Roman" w:hAnsi="Times New Roman" w:cs="Times New Roman" w:eastAsia="Times New Roman" w:hint="default"/>
        </w:rPr>
        <w:t>10</w:t>
      </w:r>
      <w:r>
        <w:rPr/>
        <w:t>日由北京市科学技术委员会、北京市财政局、北京市国家 税务局及北京市地方税务局共同认定为高新技术企业，己取得高新技术企业证书，证书编号为</w:t>
      </w:r>
      <w:r>
        <w:rPr>
          <w:rFonts w:ascii="Times New Roman" w:hAnsi="Times New Roman" w:cs="Times New Roman" w:eastAsia="Times New Roman" w:hint="default"/>
        </w:rPr>
        <w:t>GR201711000868</w:t>
      </w:r>
      <w:r>
        <w:rPr/>
        <w:t>，根据《中</w:t>
      </w:r>
      <w:r>
        <w:rPr>
          <w:spacing w:val="-79"/>
        </w:rPr>
        <w:t> </w:t>
      </w:r>
      <w:r>
        <w:rPr>
          <w:spacing w:val="-79"/>
        </w:rPr>
      </w:r>
      <w:r>
        <w:rPr>
          <w:spacing w:val="-1"/>
        </w:rPr>
        <w:t>华人民共和国企业所得税法》及其实施条例的相关规定，北明天时能源科技（北京）有限公司自</w:t>
      </w:r>
      <w:r>
        <w:rPr>
          <w:rFonts w:ascii="Times New Roman" w:hAnsi="Times New Roman" w:cs="Times New Roman" w:eastAsia="Times New Roman" w:hint="default"/>
          <w:spacing w:val="-1"/>
        </w:rPr>
        <w:t>2017</w:t>
      </w:r>
      <w:r>
        <w:rPr>
          <w:spacing w:val="-1"/>
        </w:rPr>
        <w:t>年至</w:t>
      </w:r>
      <w:r>
        <w:rPr>
          <w:rFonts w:ascii="Times New Roman" w:hAnsi="Times New Roman" w:cs="Times New Roman" w:eastAsia="Times New Roman" w:hint="default"/>
          <w:spacing w:val="-1"/>
        </w:rPr>
        <w:t>2019</w:t>
      </w:r>
      <w:r>
        <w:rPr>
          <w:spacing w:val="-1"/>
        </w:rPr>
        <w:t>年减按</w:t>
      </w:r>
      <w:r>
        <w:rPr>
          <w:rFonts w:ascii="Times New Roman" w:hAnsi="Times New Roman" w:cs="Times New Roman" w:eastAsia="Times New Roman" w:hint="default"/>
          <w:spacing w:val="-1"/>
        </w:rPr>
        <w:t>15%</w:t>
      </w:r>
      <w:r>
        <w:rPr>
          <w:spacing w:val="-1"/>
        </w:rPr>
        <w:t>税</w:t>
      </w:r>
      <w:r>
        <w:rPr>
          <w:spacing w:val="-87"/>
        </w:rPr>
        <w:t> </w:t>
      </w:r>
      <w:r>
        <w:rPr/>
        <w:t>率缴纳企业所得税。</w:t>
      </w:r>
    </w:p>
    <w:p>
      <w:pPr>
        <w:pStyle w:val="BodyText"/>
        <w:spacing w:line="300" w:lineRule="auto" w:before="151"/>
        <w:ind w:left="153" w:right="0" w:firstLine="360"/>
        <w:jc w:val="left"/>
      </w:pPr>
      <w:r>
        <w:rPr>
          <w:spacing w:val="-2"/>
        </w:rPr>
        <w:t>子公司北京明润华创科技有限责任公司于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6</w:t>
      </w:r>
      <w:r>
        <w:rPr>
          <w:spacing w:val="-2"/>
        </w:rPr>
        <w:t>日取得北京科学技术委员会、北京市财政局、北京市国家税务局、</w:t>
      </w:r>
      <w:r>
        <w:rPr/>
        <w:t> 北京市地方税务局四家联合颁发的证书</w:t>
      </w:r>
      <w:r>
        <w:rPr>
          <w:rFonts w:ascii="Times New Roman" w:hAnsi="Times New Roman" w:cs="Times New Roman" w:eastAsia="Times New Roman" w:hint="default"/>
        </w:rPr>
        <w:t>GR201711005994</w:t>
      </w:r>
      <w:r>
        <w:rPr/>
        <w:t>号高新技术企业认定书，根据《中华人民共和国企业所得税法》及</w:t>
      </w:r>
      <w:r>
        <w:rPr>
          <w:spacing w:val="-80"/>
        </w:rPr>
        <w:t> </w:t>
      </w:r>
      <w:r>
        <w:rPr>
          <w:spacing w:val="-80"/>
        </w:rPr>
      </w:r>
      <w:r>
        <w:rPr/>
        <w:t>其实施条例的相关规定，北京明润华创科技有限责任公司自</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年减按</w:t>
      </w:r>
      <w:r>
        <w:rPr>
          <w:rFonts w:ascii="Times New Roman" w:hAnsi="Times New Roman" w:cs="Times New Roman" w:eastAsia="Times New Roman" w:hint="default"/>
        </w:rPr>
        <w:t>15%</w:t>
      </w:r>
      <w:r>
        <w:rPr/>
        <w:t>税率缴纳企业所得税的税收优惠政策。</w:t>
      </w:r>
    </w:p>
    <w:p>
      <w:pPr>
        <w:pStyle w:val="BodyText"/>
        <w:spacing w:line="300" w:lineRule="auto" w:before="133"/>
        <w:ind w:left="153" w:right="1128" w:firstLine="360"/>
        <w:jc w:val="both"/>
      </w:pPr>
      <w:r>
        <w:rPr/>
        <w:t>子公司北明成功软件（山东）有限公司于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16</w:t>
      </w:r>
      <w:r>
        <w:rPr/>
        <w:t>日取得山东省科学技厅、山东省财政厅、国家税务总局山东省税 务局三家联合颁发的证书</w:t>
      </w:r>
      <w:r>
        <w:rPr>
          <w:rFonts w:ascii="Times New Roman" w:hAnsi="Times New Roman" w:cs="Times New Roman" w:eastAsia="Times New Roman" w:hint="default"/>
        </w:rPr>
        <w:t>GR201837000330</w:t>
      </w:r>
      <w:r>
        <w:rPr/>
        <w:t>号高新技术企业证书，根据《中华人民共和国企业所得税法》及其实施条例的相</w:t>
      </w:r>
      <w:r>
        <w:rPr>
          <w:spacing w:val="-80"/>
        </w:rPr>
        <w:t> </w:t>
      </w:r>
      <w:r>
        <w:rPr>
          <w:spacing w:val="-80"/>
        </w:rPr>
      </w:r>
      <w:r>
        <w:rPr/>
        <w:t>关规定，北明成功软件（山东）有限公司自</w:t>
      </w:r>
      <w:r>
        <w:rPr>
          <w:rFonts w:ascii="Times New Roman" w:hAnsi="Times New Roman" w:cs="Times New Roman" w:eastAsia="Times New Roman" w:hint="default"/>
        </w:rPr>
        <w:t>2018</w:t>
      </w:r>
      <w:r>
        <w:rPr/>
        <w:t>年开始三年内企业所得税率为</w:t>
      </w:r>
      <w:r>
        <w:rPr>
          <w:rFonts w:ascii="Times New Roman" w:hAnsi="Times New Roman" w:cs="Times New Roman" w:eastAsia="Times New Roman" w:hint="default"/>
        </w:rPr>
        <w:t>15%</w:t>
      </w:r>
      <w:r>
        <w:rPr/>
        <w:t>。</w:t>
      </w:r>
    </w:p>
    <w:p>
      <w:pPr>
        <w:pStyle w:val="BodyText"/>
        <w:spacing w:line="300" w:lineRule="auto" w:before="133"/>
        <w:ind w:left="153" w:right="1128" w:firstLine="360"/>
        <w:jc w:val="both"/>
      </w:pPr>
      <w:r>
        <w:rPr/>
        <w:t>子公司北京金实盈信科技有限公司于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日经北京市科学技术委员会、北京市财政局、国家税务总局北京市税 务局批准取得</w:t>
      </w:r>
      <w:r>
        <w:rPr>
          <w:rFonts w:ascii="Times New Roman" w:hAnsi="Times New Roman" w:cs="Times New Roman" w:eastAsia="Times New Roman" w:hint="default"/>
        </w:rPr>
        <w:t>GR201911003669</w:t>
      </w:r>
      <w:r>
        <w:rPr/>
        <w:t>号高新技术企业证书，自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w:t>
      </w:r>
      <w:r>
        <w:rPr/>
        <w:t>日起三年内企业所得税率为</w:t>
      </w:r>
      <w:r>
        <w:rPr>
          <w:rFonts w:ascii="Times New Roman" w:hAnsi="Times New Roman" w:cs="Times New Roman" w:eastAsia="Times New Roman" w:hint="default"/>
        </w:rPr>
        <w:t>15%</w:t>
      </w:r>
      <w:r>
        <w:rPr/>
        <w:t>。</w:t>
      </w:r>
    </w:p>
    <w:p>
      <w:pPr>
        <w:pStyle w:val="BodyText"/>
        <w:spacing w:line="307" w:lineRule="auto" w:before="133"/>
        <w:ind w:left="153" w:right="1127" w:firstLine="290"/>
        <w:jc w:val="both"/>
      </w:pPr>
      <w:r>
        <w:rPr>
          <w:spacing w:val="-1"/>
        </w:rPr>
        <w:t>子公司珠海市震星信息技术有限公司、成都北明祺舯信息技术有限公司，青岛北明智慧城市科技有限公司、北京枫调理</w:t>
      </w:r>
      <w:r>
        <w:rPr/>
        <w:t> 顺科技发展有限公司、依据财税〔</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13</w:t>
      </w:r>
      <w:r>
        <w:rPr/>
        <w:t>号规定对小型微利企业年应纳税所得额不超过</w:t>
      </w:r>
      <w:r>
        <w:rPr>
          <w:rFonts w:ascii="Times New Roman" w:hAnsi="Times New Roman" w:cs="Times New Roman" w:eastAsia="Times New Roman" w:hint="default"/>
        </w:rPr>
        <w:t>100</w:t>
      </w:r>
      <w:r>
        <w:rPr/>
        <w:t>万元的部分，减按</w:t>
      </w:r>
      <w:r>
        <w:rPr>
          <w:rFonts w:ascii="Times New Roman" w:hAnsi="Times New Roman" w:cs="Times New Roman" w:eastAsia="Times New Roman" w:hint="default"/>
        </w:rPr>
        <w:t>25%</w:t>
      </w:r>
      <w:r>
        <w:rPr/>
        <w:t>计入应</w:t>
      </w:r>
      <w:r>
        <w:rPr>
          <w:spacing w:val="-59"/>
        </w:rPr>
        <w:t> </w:t>
      </w:r>
      <w:r>
        <w:rPr>
          <w:spacing w:val="-1"/>
        </w:rPr>
        <w:t>纳税所得额，按</w:t>
      </w:r>
      <w:r>
        <w:rPr>
          <w:rFonts w:ascii="Times New Roman" w:hAnsi="Times New Roman" w:cs="Times New Roman" w:eastAsia="Times New Roman" w:hint="default"/>
          <w:spacing w:val="-1"/>
        </w:rPr>
        <w:t>20%</w:t>
      </w:r>
      <w:r>
        <w:rPr>
          <w:spacing w:val="-1"/>
        </w:rPr>
        <w:t>的税率缴纳企业所得税；对年应纳税所得额超过</w:t>
      </w:r>
      <w:r>
        <w:rPr>
          <w:rFonts w:ascii="Times New Roman" w:hAnsi="Times New Roman" w:cs="Times New Roman" w:eastAsia="Times New Roman" w:hint="default"/>
          <w:spacing w:val="-1"/>
        </w:rPr>
        <w:t>100</w:t>
      </w:r>
      <w:r>
        <w:rPr>
          <w:spacing w:val="-1"/>
        </w:rPr>
        <w:t>万元但不超过</w:t>
      </w:r>
      <w:r>
        <w:rPr>
          <w:rFonts w:ascii="Times New Roman" w:hAnsi="Times New Roman" w:cs="Times New Roman" w:eastAsia="Times New Roman" w:hint="default"/>
          <w:spacing w:val="-1"/>
        </w:rPr>
        <w:t>300</w:t>
      </w:r>
      <w:r>
        <w:rPr>
          <w:spacing w:val="-1"/>
        </w:rPr>
        <w:t>万元的部分，减按</w:t>
      </w:r>
      <w:r>
        <w:rPr>
          <w:rFonts w:ascii="Times New Roman" w:hAnsi="Times New Roman" w:cs="Times New Roman" w:eastAsia="Times New Roman" w:hint="default"/>
          <w:spacing w:val="-1"/>
        </w:rPr>
        <w:t>50%</w:t>
      </w:r>
      <w:r>
        <w:rPr>
          <w:spacing w:val="-1"/>
        </w:rPr>
        <w:t>计入应纳税</w:t>
      </w:r>
      <w:r>
        <w:rPr>
          <w:spacing w:val="-55"/>
        </w:rPr>
        <w:t> </w:t>
      </w:r>
      <w:r>
        <w:rPr/>
        <w:t>所得额，按</w:t>
      </w:r>
      <w:r>
        <w:rPr>
          <w:rFonts w:ascii="Times New Roman" w:hAnsi="Times New Roman" w:cs="Times New Roman" w:eastAsia="Times New Roman" w:hint="default"/>
        </w:rPr>
        <w:t>20%</w:t>
      </w:r>
      <w:r>
        <w:rPr/>
        <w:t>的税率缴纳企业所得税。</w:t>
      </w:r>
    </w:p>
    <w:p>
      <w:pPr>
        <w:pStyle w:val="BodyText"/>
        <w:spacing w:line="338" w:lineRule="auto" w:before="48"/>
        <w:ind w:left="444" w:right="1843" w:hanging="291"/>
        <w:jc w:val="left"/>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本报告期，公司收到软件增值税退税款共计</w:t>
      </w:r>
      <w:r>
        <w:rPr>
          <w:rFonts w:ascii="Times New Roman" w:hAnsi="Times New Roman" w:cs="Times New Roman" w:eastAsia="Times New Roman" w:hint="default"/>
        </w:rPr>
        <w:t>5,171,874.19</w:t>
      </w:r>
      <w:r>
        <w:rPr/>
        <w:t>元，影响利润总额增加</w:t>
      </w:r>
      <w:r>
        <w:rPr>
          <w:rFonts w:ascii="Times New Roman" w:hAnsi="Times New Roman" w:cs="Times New Roman" w:eastAsia="Times New Roman" w:hint="default"/>
        </w:rPr>
        <w:t>5,171,874.19</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0"/>
        <w:ind w:right="0"/>
        <w:jc w:val="left"/>
        <w:rPr>
          <w:b w:val="0"/>
          <w:bCs w:val="0"/>
        </w:rPr>
      </w:pP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683,691.88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485,441.01</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1,561,321,568.72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1,793,457,906.15</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245,145,084.31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223,155,659.76</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1,807,150,344.91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2,017,099,006.92</w:t>
            </w:r>
          </w:p>
        </w:tc>
      </w:tr>
    </w:tbl>
    <w:p>
      <w:pPr>
        <w:pStyle w:val="BodyText"/>
        <w:spacing w:line="240" w:lineRule="auto" w:before="51"/>
        <w:ind w:right="0"/>
        <w:jc w:val="left"/>
      </w:pPr>
      <w:r>
        <w:rPr/>
        <w:t>其他说明</w:t>
      </w:r>
    </w:p>
    <w:p>
      <w:pPr>
        <w:pStyle w:val="BodyText"/>
        <w:spacing w:line="240" w:lineRule="auto" w:before="116"/>
        <w:ind w:left="444" w:right="0"/>
        <w:jc w:val="left"/>
      </w:pPr>
      <w:r>
        <w:rPr/>
        <w:t>其他货币资金中使用受到限制的存款为票据保证金</w:t>
      </w:r>
      <w:r>
        <w:rPr>
          <w:rFonts w:ascii="Times New Roman" w:hAnsi="Times New Roman" w:cs="Times New Roman" w:eastAsia="Times New Roman" w:hint="default"/>
        </w:rPr>
        <w:t>208,844,962.90</w:t>
      </w:r>
      <w:r>
        <w:rPr/>
        <w:t>元、农民工工资保证金</w:t>
      </w:r>
      <w:r>
        <w:rPr>
          <w:rFonts w:ascii="Times New Roman" w:hAnsi="Times New Roman" w:cs="Times New Roman" w:eastAsia="Times New Roman" w:hint="default"/>
        </w:rPr>
        <w:t>508,151.46</w:t>
      </w:r>
      <w:r>
        <w:rPr/>
        <w:t>元、保函保证金</w:t>
      </w:r>
    </w:p>
    <w:p>
      <w:pPr>
        <w:spacing w:after="0" w:line="240"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153" w:right="0"/>
        <w:jc w:val="left"/>
      </w:pPr>
      <w:r>
        <w:rPr>
          <w:rFonts w:ascii="Times New Roman" w:hAnsi="Times New Roman" w:cs="Times New Roman" w:eastAsia="Times New Roman" w:hint="default"/>
        </w:rPr>
        <w:t>35,791,969.95</w:t>
      </w:r>
      <w:r>
        <w:rPr/>
        <w:t>元。</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68,041,134.66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93,273,765.48</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222,123,029.25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126,584,067.90</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290,164,163.91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219,857,833.38</w:t>
            </w:r>
          </w:p>
        </w:tc>
      </w:tr>
    </w:tbl>
    <w:p>
      <w:pPr>
        <w:pStyle w:val="BodyText"/>
        <w:spacing w:line="357" w:lineRule="auto" w:before="51"/>
        <w:ind w:left="153" w:right="1751"/>
        <w:jc w:val="left"/>
      </w:pPr>
      <w:r>
        <w:rPr/>
        <w:t>确定该组合依据的说明： 如是按照预期信用损失一般模型计提应收票据坏账准备，请参照其他应收款的披露方式披露坏账准备的相关信息：</w:t>
      </w:r>
    </w:p>
    <w:p>
      <w:pPr>
        <w:pStyle w:val="BodyText"/>
        <w:spacing w:line="357" w:lineRule="auto" w:before="29"/>
        <w:ind w:left="444" w:right="0" w:hanging="291"/>
        <w:jc w:val="left"/>
      </w:pPr>
      <w:r>
        <w:rPr/>
        <w:t>√ 适用 □ 不适用 </w:t>
      </w:r>
      <w:r>
        <w:rPr>
          <w:spacing w:val="-1"/>
        </w:rPr>
        <w:t>本公司对应收票据，无论是否存在重大融资成分，均按照整个存续期的预期信用损失计量损失准备。对于划分为组合的</w:t>
      </w:r>
    </w:p>
    <w:p>
      <w:pPr>
        <w:pStyle w:val="BodyText"/>
        <w:spacing w:line="224" w:lineRule="exact"/>
        <w:ind w:left="153" w:right="0"/>
        <w:jc w:val="left"/>
      </w:pPr>
      <w:r>
        <w:rPr/>
        <w:t>应收票据，本公司参考历史信用损失经验，结合当前状况以及对未来经济状况的预测，通过违约风险敞口和整个存续期预期</w:t>
      </w:r>
    </w:p>
    <w:p>
      <w:pPr>
        <w:pStyle w:val="BodyText"/>
        <w:spacing w:line="240" w:lineRule="auto" w:before="76"/>
        <w:ind w:left="153" w:right="0"/>
        <w:jc w:val="left"/>
      </w:pPr>
      <w:r>
        <w:rPr/>
        <w:t>信用损失率，该组合预期信用损失为</w:t>
      </w:r>
      <w:r>
        <w:rPr>
          <w:rFonts w:ascii="Times New Roman" w:hAnsi="Times New Roman" w:cs="Times New Roman" w:eastAsia="Times New Roman" w:hint="default"/>
        </w:rPr>
        <w:t>0</w:t>
      </w:r>
      <w:r>
        <w:rPr/>
        <w:t>。</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本期计提坏账准备情况：</w:t>
      </w:r>
    </w:p>
    <w:p>
      <w:pPr>
        <w:pStyle w:val="BodyText"/>
        <w:spacing w:line="240" w:lineRule="auto" w:before="117"/>
        <w:ind w:left="0" w:right="113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3D3D3"/>
          </w:tcPr>
          <w:p>
            <w:pPr/>
          </w:p>
        </w:tc>
      </w:tr>
    </w:tbl>
    <w:p>
      <w:pPr>
        <w:pStyle w:val="BodyText"/>
        <w:spacing w:line="240" w:lineRule="auto" w:before="51"/>
        <w:ind w:right="0"/>
        <w:jc w:val="left"/>
      </w:pPr>
      <w:r>
        <w:rPr/>
        <w:t>其中本期坏账准备收回或转回金额重要的：</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8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702,548,030.58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702,548,030.58</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4"/>
          <w:szCs w:val="14"/>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13"/>
        <w:rPr>
          <w:rFonts w:ascii="宋体" w:hAnsi="宋体" w:cs="宋体" w:eastAsia="宋体" w:hint="default"/>
          <w:b/>
          <w:bCs/>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6"/>
        <w:gridCol w:w="1524"/>
        <w:gridCol w:w="1525"/>
        <w:gridCol w:w="790"/>
        <w:gridCol w:w="1573"/>
        <w:gridCol w:w="1588"/>
        <w:gridCol w:w="932"/>
      </w:tblGrid>
      <w:tr>
        <w:trPr>
          <w:trHeight w:val="402" w:hRule="exact"/>
        </w:trPr>
        <w:tc>
          <w:tcPr>
            <w:tcW w:w="16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6" w:type="dxa"/>
            <w:vMerge/>
            <w:tcBorders>
              <w:left w:val="single" w:sz="4" w:space="0" w:color="000000"/>
              <w:bottom w:val="single" w:sz="4" w:space="0" w:color="000000"/>
              <w:right w:val="single" w:sz="4" w:space="0" w:color="000000"/>
            </w:tcBorders>
            <w:shd w:val="clear" w:color="auto" w:fill="D3D3D3"/>
          </w:tcPr>
          <w:p>
            <w:pPr/>
          </w:p>
        </w:tc>
        <w:tc>
          <w:tcPr>
            <w:tcW w:w="1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24"/>
        <w:gridCol w:w="774"/>
        <w:gridCol w:w="762"/>
        <w:gridCol w:w="774"/>
        <w:gridCol w:w="751"/>
        <w:gridCol w:w="790"/>
        <w:gridCol w:w="775"/>
        <w:gridCol w:w="798"/>
        <w:gridCol w:w="798"/>
        <w:gridCol w:w="790"/>
        <w:gridCol w:w="932"/>
      </w:tblGrid>
      <w:tr>
        <w:trPr>
          <w:trHeight w:val="161" w:hRule="exact"/>
        </w:trPr>
        <w:tc>
          <w:tcPr>
            <w:tcW w:w="1624" w:type="dxa"/>
            <w:vMerge w:val="restart"/>
            <w:tcBorders>
              <w:top w:val="single" w:sz="4" w:space="0" w:color="000000"/>
              <w:left w:val="single" w:sz="4" w:space="0" w:color="000000"/>
              <w:right w:val="single" w:sz="4" w:space="0" w:color="000000"/>
            </w:tcBorders>
            <w:shd w:val="clear" w:color="auto" w:fill="D3D3D3"/>
          </w:tcPr>
          <w:p>
            <w:pPr/>
          </w:p>
        </w:tc>
        <w:tc>
          <w:tcPr>
            <w:tcW w:w="774" w:type="dxa"/>
            <w:tcBorders>
              <w:top w:val="single" w:sz="4" w:space="0" w:color="000000"/>
              <w:left w:val="single" w:sz="4" w:space="0" w:color="000000"/>
              <w:bottom w:val="nil" w:sz="6" w:space="0" w:color="auto"/>
              <w:right w:val="single" w:sz="4" w:space="0" w:color="000000"/>
            </w:tcBorders>
            <w:shd w:val="clear" w:color="auto" w:fill="D3D3D3"/>
          </w:tcPr>
          <w:p>
            <w:pPr/>
          </w:p>
        </w:tc>
        <w:tc>
          <w:tcPr>
            <w:tcW w:w="762" w:type="dxa"/>
            <w:tcBorders>
              <w:top w:val="single" w:sz="4" w:space="0" w:color="000000"/>
              <w:left w:val="single" w:sz="4" w:space="0" w:color="000000"/>
              <w:bottom w:val="nil" w:sz="6" w:space="0" w:color="auto"/>
              <w:right w:val="single" w:sz="4" w:space="0" w:color="000000"/>
            </w:tcBorders>
            <w:shd w:val="clear" w:color="auto" w:fill="D3D3D3"/>
          </w:tcPr>
          <w:p>
            <w:pPr/>
          </w:p>
        </w:tc>
        <w:tc>
          <w:tcPr>
            <w:tcW w:w="774" w:type="dxa"/>
            <w:tcBorders>
              <w:top w:val="single" w:sz="4" w:space="0" w:color="000000"/>
              <w:left w:val="single" w:sz="4" w:space="0" w:color="000000"/>
              <w:bottom w:val="nil" w:sz="6" w:space="0" w:color="auto"/>
              <w:right w:val="single" w:sz="4" w:space="0" w:color="000000"/>
            </w:tcBorders>
            <w:shd w:val="clear" w:color="auto" w:fill="D3D3D3"/>
          </w:tcPr>
          <w:p>
            <w:pPr/>
          </w:p>
        </w:tc>
        <w:tc>
          <w:tcPr>
            <w:tcW w:w="75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74"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single" w:sz="4" w:space="0" w:color="000000"/>
              <w:left w:val="single" w:sz="4" w:space="0" w:color="000000"/>
              <w:right w:val="single" w:sz="4" w:space="0" w:color="000000"/>
            </w:tcBorders>
            <w:shd w:val="clear" w:color="auto" w:fill="D3D3D3"/>
          </w:tcPr>
          <w:p>
            <w:pPr/>
          </w:p>
        </w:tc>
        <w:tc>
          <w:tcPr>
            <w:tcW w:w="775"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0" w:type="dxa"/>
            <w:tcBorders>
              <w:top w:val="single" w:sz="4" w:space="0" w:color="000000"/>
              <w:left w:val="single" w:sz="4" w:space="0" w:color="000000"/>
              <w:bottom w:val="nil" w:sz="6" w:space="0" w:color="auto"/>
              <w:right w:val="single" w:sz="4" w:space="0" w:color="000000"/>
            </w:tcBorders>
            <w:shd w:val="clear" w:color="auto" w:fill="D3D3D3"/>
          </w:tcPr>
          <w:p>
            <w:pPr/>
          </w:p>
        </w:tc>
        <w:tc>
          <w:tcPr>
            <w:tcW w:w="932" w:type="dxa"/>
            <w:vMerge w:val="restart"/>
            <w:tcBorders>
              <w:top w:val="single" w:sz="4" w:space="0" w:color="000000"/>
              <w:left w:val="single" w:sz="4" w:space="0" w:color="000000"/>
              <w:right w:val="single" w:sz="4" w:space="0" w:color="000000"/>
            </w:tcBorders>
            <w:shd w:val="clear" w:color="auto" w:fill="D3D3D3"/>
          </w:tcPr>
          <w:p>
            <w:pPr/>
          </w:p>
        </w:tc>
      </w:tr>
      <w:tr>
        <w:trPr>
          <w:trHeight w:val="392" w:hRule="exact"/>
        </w:trPr>
        <w:tc>
          <w:tcPr>
            <w:tcW w:w="1624" w:type="dxa"/>
            <w:vMerge/>
            <w:tcBorders>
              <w:left w:val="single" w:sz="4" w:space="0" w:color="000000"/>
              <w:right w:val="single" w:sz="4" w:space="0" w:color="000000"/>
            </w:tcBorders>
            <w:shd w:val="clear" w:color="auto" w:fill="D3D3D3"/>
          </w:tcPr>
          <w:p>
            <w:pPr/>
          </w:p>
        </w:tc>
        <w:tc>
          <w:tcPr>
            <w:tcW w:w="77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7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1" w:type="dxa"/>
            <w:vMerge/>
            <w:tcBorders>
              <w:left w:val="single" w:sz="4" w:space="0" w:color="000000"/>
              <w:right w:val="single" w:sz="4" w:space="0" w:color="000000"/>
            </w:tcBorders>
            <w:shd w:val="clear" w:color="auto" w:fill="D3D3D3"/>
          </w:tcPr>
          <w:p>
            <w:pPr/>
          </w:p>
        </w:tc>
        <w:tc>
          <w:tcPr>
            <w:tcW w:w="790" w:type="dxa"/>
            <w:vMerge/>
            <w:tcBorders>
              <w:left w:val="single" w:sz="4" w:space="0" w:color="000000"/>
              <w:right w:val="single" w:sz="4" w:space="0" w:color="000000"/>
            </w:tcBorders>
            <w:shd w:val="clear" w:color="auto" w:fill="D3D3D3"/>
          </w:tcPr>
          <w:p>
            <w:pPr/>
          </w:p>
        </w:tc>
        <w:tc>
          <w:tcPr>
            <w:tcW w:w="77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1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29"/>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right w:val="single" w:sz="4" w:space="0" w:color="000000"/>
            </w:tcBorders>
            <w:shd w:val="clear" w:color="auto" w:fill="D3D3D3"/>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3D3D3"/>
          </w:tcPr>
          <w:p>
            <w:pPr/>
          </w:p>
        </w:tc>
        <w:tc>
          <w:tcPr>
            <w:tcW w:w="774"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74" w:type="dxa"/>
            <w:tcBorders>
              <w:top w:val="nil" w:sz="6" w:space="0" w:color="auto"/>
              <w:left w:val="single" w:sz="4" w:space="0" w:color="000000"/>
              <w:bottom w:val="single" w:sz="4" w:space="0" w:color="000000"/>
              <w:right w:val="single" w:sz="4" w:space="0" w:color="000000"/>
            </w:tcBorders>
            <w:shd w:val="clear" w:color="auto" w:fill="D3D3D3"/>
          </w:tcPr>
          <w:p>
            <w:pPr/>
          </w:p>
        </w:tc>
        <w:tc>
          <w:tcPr>
            <w:tcW w:w="751" w:type="dxa"/>
            <w:vMerge/>
            <w:tcBorders>
              <w:left w:val="single" w:sz="4" w:space="0" w:color="000000"/>
              <w:bottom w:val="single" w:sz="4" w:space="0" w:color="000000"/>
              <w:right w:val="single" w:sz="4" w:space="0" w:color="000000"/>
            </w:tcBorders>
            <w:shd w:val="clear" w:color="auto" w:fill="D3D3D3"/>
          </w:tcPr>
          <w:p>
            <w:pPr/>
          </w:p>
        </w:tc>
        <w:tc>
          <w:tcPr>
            <w:tcW w:w="790" w:type="dxa"/>
            <w:vMerge/>
            <w:tcBorders>
              <w:left w:val="single" w:sz="4" w:space="0" w:color="000000"/>
              <w:bottom w:val="single" w:sz="4" w:space="0" w:color="000000"/>
              <w:right w:val="single" w:sz="4" w:space="0" w:color="000000"/>
            </w:tcBorders>
            <w:shd w:val="clear" w:color="auto" w:fill="D3D3D3"/>
          </w:tcPr>
          <w:p>
            <w:pPr/>
          </w:p>
        </w:tc>
        <w:tc>
          <w:tcPr>
            <w:tcW w:w="775"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0" w:type="dxa"/>
            <w:tcBorders>
              <w:top w:val="nil" w:sz="6" w:space="0" w:color="auto"/>
              <w:left w:val="single" w:sz="4" w:space="0" w:color="000000"/>
              <w:bottom w:val="single" w:sz="4" w:space="0" w:color="000000"/>
              <w:right w:val="single" w:sz="4" w:space="0" w:color="000000"/>
            </w:tcBorders>
            <w:shd w:val="clear" w:color="auto" w:fill="D3D3D3"/>
          </w:tcPr>
          <w:p>
            <w:pP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31,800,0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81.34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1.15%</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31,800,0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81.34</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14,263,20</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7.17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14,263,20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7.17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5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1026"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1" w:right="0"/>
              <w:jc w:val="left"/>
              <w:rPr>
                <w:rFonts w:ascii="Times New Roman" w:hAnsi="Times New Roman" w:cs="Times New Roman" w:eastAsia="Times New Roman" w:hint="default"/>
                <w:sz w:val="18"/>
                <w:szCs w:val="18"/>
              </w:rPr>
            </w:pPr>
            <w:r>
              <w:rPr>
                <w:rFonts w:ascii="Times New Roman"/>
                <w:sz w:val="18"/>
              </w:rPr>
              <w:t>31,800,0</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81.34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1.15%</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31,800,0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81.34</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14,263,20</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7.17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14,263,20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7.17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2,746,47</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8,895.63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98.85%</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202,478,</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541.84</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2,544,000</w:t>
            </w:r>
          </w:p>
          <w:p>
            <w:pPr>
              <w:pStyle w:val="TableParagraph"/>
              <w:spacing w:line="240" w:lineRule="auto" w:before="105"/>
              <w:ind w:left="193" w:right="0"/>
              <w:jc w:val="center"/>
              <w:rPr>
                <w:rFonts w:ascii="Times New Roman" w:hAnsi="Times New Roman" w:cs="Times New Roman" w:eastAsia="Times New Roman" w:hint="default"/>
                <w:sz w:val="18"/>
                <w:szCs w:val="18"/>
              </w:rPr>
            </w:pPr>
            <w:r>
              <w:rPr>
                <w:rFonts w:ascii="Times New Roman"/>
                <w:sz w:val="18"/>
              </w:rPr>
              <w:t>,353.79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2,677,141</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,411.50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157,521,7</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45.31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2,519,619,6</w:t>
            </w:r>
          </w:p>
          <w:p>
            <w:pPr>
              <w:pStyle w:val="TableParagraph"/>
              <w:spacing w:line="240" w:lineRule="auto" w:before="105"/>
              <w:ind w:left="493" w:right="0"/>
              <w:jc w:val="left"/>
              <w:rPr>
                <w:rFonts w:ascii="Times New Roman" w:hAnsi="Times New Roman" w:cs="Times New Roman" w:eastAsia="Times New Roman" w:hint="default"/>
                <w:sz w:val="18"/>
                <w:szCs w:val="18"/>
              </w:rPr>
            </w:pPr>
            <w:r>
              <w:rPr>
                <w:rFonts w:ascii="Times New Roman"/>
                <w:sz w:val="18"/>
              </w:rPr>
              <w:t>66.19</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5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161" w:hRule="exact"/>
        </w:trPr>
        <w:tc>
          <w:tcPr>
            <w:tcW w:w="1624" w:type="dxa"/>
            <w:tcBorders>
              <w:top w:val="single" w:sz="4" w:space="0" w:color="000000"/>
              <w:left w:val="single" w:sz="4" w:space="0" w:color="000000"/>
              <w:bottom w:val="nil" w:sz="6" w:space="0" w:color="auto"/>
              <w:right w:val="single" w:sz="4" w:space="0" w:color="000000"/>
            </w:tcBorders>
            <w:shd w:val="clear" w:color="auto" w:fill="D3D3D3"/>
          </w:tcPr>
          <w:p>
            <w:pPr/>
          </w:p>
        </w:tc>
        <w:tc>
          <w:tcPr>
            <w:tcW w:w="774" w:type="dxa"/>
            <w:vMerge w:val="restart"/>
            <w:tcBorders>
              <w:top w:val="single" w:sz="4" w:space="0" w:color="000000"/>
              <w:left w:val="single" w:sz="10" w:space="0" w:color="D3D3D3"/>
              <w:right w:val="single" w:sz="4" w:space="0" w:color="000000"/>
            </w:tcBorders>
          </w:tcPr>
          <w:p>
            <w:pPr>
              <w:pStyle w:val="TableParagraph"/>
              <w:spacing w:line="240" w:lineRule="auto" w:before="91"/>
              <w:ind w:left="104" w:right="0"/>
              <w:jc w:val="left"/>
              <w:rPr>
                <w:rFonts w:ascii="Times New Roman" w:hAnsi="Times New Roman" w:cs="Times New Roman" w:eastAsia="Times New Roman" w:hint="default"/>
                <w:sz w:val="18"/>
                <w:szCs w:val="18"/>
              </w:rPr>
            </w:pPr>
            <w:r>
              <w:rPr>
                <w:rFonts w:ascii="Times New Roman"/>
                <w:sz w:val="18"/>
              </w:rPr>
              <w:t>2,778,27</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8,976.97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74" w:type="dxa"/>
            <w:vMerge w:val="restart"/>
            <w:tcBorders>
              <w:top w:val="single" w:sz="4" w:space="0" w:color="000000"/>
              <w:left w:val="single" w:sz="4" w:space="0" w:color="000000"/>
              <w:right w:val="single" w:sz="4" w:space="0" w:color="000000"/>
            </w:tcBorders>
          </w:tcPr>
          <w:p>
            <w:pPr>
              <w:pStyle w:val="TableParagraph"/>
              <w:spacing w:line="240" w:lineRule="auto" w:before="91"/>
              <w:ind w:left="65" w:right="0"/>
              <w:jc w:val="center"/>
              <w:rPr>
                <w:rFonts w:ascii="Times New Roman" w:hAnsi="Times New Roman" w:cs="Times New Roman" w:eastAsia="Times New Roman" w:hint="default"/>
                <w:sz w:val="18"/>
                <w:szCs w:val="18"/>
              </w:rPr>
            </w:pPr>
            <w:r>
              <w:rPr>
                <w:rFonts w:ascii="Times New Roman"/>
                <w:sz w:val="18"/>
              </w:rPr>
              <w:t>234,278,</w:t>
            </w:r>
          </w:p>
          <w:p>
            <w:pPr>
              <w:pStyle w:val="TableParagraph"/>
              <w:spacing w:line="240" w:lineRule="auto" w:before="105"/>
              <w:ind w:left="199" w:right="0"/>
              <w:jc w:val="center"/>
              <w:rPr>
                <w:rFonts w:ascii="Times New Roman" w:hAnsi="Times New Roman" w:cs="Times New Roman" w:eastAsia="Times New Roman" w:hint="default"/>
                <w:sz w:val="18"/>
                <w:szCs w:val="18"/>
              </w:rPr>
            </w:pPr>
            <w:r>
              <w:rPr>
                <w:rFonts w:ascii="Times New Roman"/>
                <w:sz w:val="18"/>
              </w:rPr>
              <w:t>623.18</w:t>
            </w:r>
          </w:p>
        </w:tc>
        <w:tc>
          <w:tcPr>
            <w:tcW w:w="75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3" w:right="0"/>
              <w:jc w:val="left"/>
              <w:rPr>
                <w:rFonts w:ascii="Times New Roman" w:hAnsi="Times New Roman" w:cs="Times New Roman" w:eastAsia="Times New Roman" w:hint="default"/>
                <w:sz w:val="18"/>
                <w:szCs w:val="18"/>
              </w:rPr>
            </w:pPr>
            <w:r>
              <w:rPr>
                <w:rFonts w:ascii="Times New Roman"/>
                <w:sz w:val="18"/>
              </w:rPr>
              <w:t>8.43%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2,544,000</w:t>
            </w:r>
          </w:p>
          <w:p>
            <w:pPr>
              <w:pStyle w:val="TableParagraph"/>
              <w:spacing w:line="240" w:lineRule="auto" w:before="105"/>
              <w:ind w:left="193" w:right="0"/>
              <w:jc w:val="center"/>
              <w:rPr>
                <w:rFonts w:ascii="Times New Roman" w:hAnsi="Times New Roman" w:cs="Times New Roman" w:eastAsia="Times New Roman" w:hint="default"/>
                <w:sz w:val="18"/>
                <w:szCs w:val="18"/>
              </w:rPr>
            </w:pPr>
            <w:r>
              <w:rPr>
                <w:rFonts w:ascii="Times New Roman"/>
                <w:sz w:val="18"/>
              </w:rPr>
              <w:t>,353.79</w:t>
            </w:r>
          </w:p>
        </w:tc>
        <w:tc>
          <w:tcPr>
            <w:tcW w:w="775"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2,691,404</w:t>
            </w:r>
          </w:p>
          <w:p>
            <w:pPr>
              <w:pStyle w:val="TableParagraph"/>
              <w:spacing w:line="240" w:lineRule="auto" w:before="105"/>
              <w:ind w:left="178" w:right="0"/>
              <w:jc w:val="center"/>
              <w:rPr>
                <w:rFonts w:ascii="Times New Roman" w:hAnsi="Times New Roman" w:cs="Times New Roman" w:eastAsia="Times New Roman" w:hint="default"/>
                <w:sz w:val="18"/>
                <w:szCs w:val="18"/>
              </w:rPr>
            </w:pPr>
            <w:r>
              <w:rPr>
                <w:rFonts w:ascii="Times New Roman"/>
                <w:sz w:val="18"/>
              </w:rPr>
              <w:t>,618.67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100.00%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171,784,9</w:t>
            </w:r>
          </w:p>
          <w:p>
            <w:pPr>
              <w:pStyle w:val="TableParagraph"/>
              <w:spacing w:line="240" w:lineRule="auto" w:before="105"/>
              <w:ind w:left="358" w:right="0"/>
              <w:jc w:val="left"/>
              <w:rPr>
                <w:rFonts w:ascii="Times New Roman" w:hAnsi="Times New Roman" w:cs="Times New Roman" w:eastAsia="Times New Roman" w:hint="default"/>
                <w:sz w:val="18"/>
                <w:szCs w:val="18"/>
              </w:rPr>
            </w:pPr>
            <w:r>
              <w:rPr>
                <w:rFonts w:ascii="Times New Roman"/>
                <w:sz w:val="18"/>
              </w:rPr>
              <w:t>52.48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1" w:right="0"/>
              <w:jc w:val="left"/>
              <w:rPr>
                <w:rFonts w:ascii="Times New Roman" w:hAnsi="Times New Roman" w:cs="Times New Roman" w:eastAsia="Times New Roman" w:hint="default"/>
                <w:sz w:val="18"/>
                <w:szCs w:val="18"/>
              </w:rPr>
            </w:pPr>
            <w:r>
              <w:rPr>
                <w:rFonts w:ascii="Times New Roman"/>
                <w:sz w:val="18"/>
              </w:rPr>
              <w:t>6.38%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2,519,619,6</w:t>
            </w:r>
          </w:p>
          <w:p>
            <w:pPr>
              <w:pStyle w:val="TableParagraph"/>
              <w:spacing w:line="240" w:lineRule="auto" w:before="105"/>
              <w:ind w:left="493" w:right="0"/>
              <w:jc w:val="left"/>
              <w:rPr>
                <w:rFonts w:ascii="Times New Roman" w:hAnsi="Times New Roman" w:cs="Times New Roman" w:eastAsia="Times New Roman" w:hint="default"/>
                <w:sz w:val="18"/>
                <w:szCs w:val="18"/>
              </w:rPr>
            </w:pPr>
            <w:r>
              <w:rPr>
                <w:rFonts w:ascii="Times New Roman"/>
                <w:sz w:val="18"/>
              </w:rPr>
              <w:t>66.19</w:t>
            </w:r>
          </w:p>
        </w:tc>
      </w:tr>
      <w:tr>
        <w:trPr>
          <w:trHeight w:val="392" w:hRule="exact"/>
        </w:trPr>
        <w:tc>
          <w:tcPr>
            <w:tcW w:w="162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10" w:space="0" w:color="D3D3D3"/>
              <w:right w:val="single" w:sz="4" w:space="0" w:color="000000"/>
            </w:tcBorders>
          </w:tcPr>
          <w:p>
            <w:pPr/>
          </w:p>
        </w:tc>
        <w:tc>
          <w:tcPr>
            <w:tcW w:w="762" w:type="dxa"/>
            <w:vMerge/>
            <w:tcBorders>
              <w:left w:val="single" w:sz="4" w:space="0" w:color="000000"/>
              <w:right w:val="single" w:sz="4" w:space="0" w:color="000000"/>
            </w:tcBorders>
          </w:tcPr>
          <w:p>
            <w:pPr/>
          </w:p>
        </w:tc>
        <w:tc>
          <w:tcPr>
            <w:tcW w:w="774" w:type="dxa"/>
            <w:vMerge/>
            <w:tcBorders>
              <w:left w:val="single" w:sz="4" w:space="0" w:color="000000"/>
              <w:right w:val="single" w:sz="4" w:space="0" w:color="000000"/>
            </w:tcBorders>
          </w:tcPr>
          <w:p>
            <w:pPr/>
          </w:p>
        </w:tc>
        <w:tc>
          <w:tcPr>
            <w:tcW w:w="751"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4" w:type="dxa"/>
            <w:tcBorders>
              <w:top w:val="nil" w:sz="6" w:space="0" w:color="auto"/>
              <w:left w:val="single" w:sz="4" w:space="0" w:color="000000"/>
              <w:bottom w:val="single" w:sz="4" w:space="0" w:color="000000"/>
              <w:right w:val="single" w:sz="4" w:space="0" w:color="000000"/>
            </w:tcBorders>
            <w:shd w:val="clear" w:color="auto" w:fill="D3D3D3"/>
          </w:tcPr>
          <w:p>
            <w:pPr/>
          </w:p>
        </w:tc>
        <w:tc>
          <w:tcPr>
            <w:tcW w:w="774" w:type="dxa"/>
            <w:vMerge/>
            <w:tcBorders>
              <w:left w:val="single" w:sz="10" w:space="0" w:color="D3D3D3"/>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74" w:type="dxa"/>
            <w:vMerge/>
            <w:tcBorders>
              <w:left w:val="single" w:sz="4" w:space="0" w:color="000000"/>
              <w:bottom w:val="single" w:sz="4" w:space="0" w:color="000000"/>
              <w:right w:val="single" w:sz="4" w:space="0" w:color="000000"/>
            </w:tcBorders>
          </w:tcPr>
          <w:p>
            <w:pPr/>
          </w:p>
        </w:tc>
        <w:tc>
          <w:tcPr>
            <w:tcW w:w="751"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775"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rPr>
          <w:rFonts w:ascii="Times New Roman" w:hAnsi="Times New Roman" w:cs="Times New Roman" w:eastAsia="Times New Roman" w:hint="default"/>
        </w:rPr>
      </w:pPr>
      <w:r>
        <w:rPr/>
        <w:t>按单项计提坏账准备：</w:t>
      </w:r>
      <w:r>
        <w:rPr>
          <w:rFonts w:ascii="Times New Roman" w:hAnsi="Times New Roman" w:cs="Times New Roman" w:eastAsia="Times New Roman" w:hint="default"/>
        </w:rPr>
        <w:t>31,800,081.34</w:t>
      </w:r>
    </w:p>
    <w:p>
      <w:pPr>
        <w:pStyle w:val="BodyText"/>
        <w:spacing w:line="240" w:lineRule="auto" w:before="103"/>
        <w:ind w:left="0" w:right="113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600"/>
        <w:gridCol w:w="1620"/>
        <w:gridCol w:w="1620"/>
        <w:gridCol w:w="1080"/>
        <w:gridCol w:w="1620"/>
      </w:tblGrid>
      <w:tr>
        <w:trPr>
          <w:trHeight w:val="402" w:hRule="exact"/>
        </w:trPr>
        <w:tc>
          <w:tcPr>
            <w:tcW w:w="36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594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600" w:type="dxa"/>
            <w:vMerge/>
            <w:tcBorders>
              <w:left w:val="single" w:sz="4" w:space="0" w:color="000000"/>
              <w:bottom w:val="single" w:sz="4" w:space="0" w:color="000000"/>
              <w:right w:val="single" w:sz="4" w:space="0" w:color="000000"/>
            </w:tcBorders>
            <w:shd w:val="clear" w:color="auto" w:fill="D3D3D3"/>
          </w:tcPr>
          <w:p>
            <w:pP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4"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44"/>
              <w:jc w:val="righ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河南豫新太阳能科技股份有限公司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2,999,376.00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2,999,376.00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5"/>
              <w:jc w:val="righ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上海石棉四纺织品有限公司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1,867,073.32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1,867,073.32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5"/>
              <w:jc w:val="righ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宁波圣罗纺织实业有限公司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1,748,759.77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1,748,759.77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5"/>
              <w:jc w:val="righ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天津市冀东制衣有限公司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1,565,246.02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1,565,246.02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5"/>
              <w:jc w:val="righ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石家庄京华纺织有限公司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1,323,903.65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1,323,903.65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5"/>
              <w:jc w:val="righ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石家庄市长安鑫龙纺织厂</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1,276,734.39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1,276,734.39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5"/>
              <w:jc w:val="righ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深圳市溢绵经贸有限公司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1,185,196.55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1,185,196.55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5"/>
              <w:jc w:val="righ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利达行有限公司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1,152,534.56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1,152,534.56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5"/>
              <w:jc w:val="righ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河北长江实业有限公司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1,044,723.16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1,044,723.16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5"/>
              <w:jc w:val="righ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广州越佳灯芯绒布整理有限公司</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1,005,989.16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1,005,989.16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5"/>
              <w:jc w:val="righ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其他单位</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16,630,544.76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16,630,544.76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5"/>
              <w:jc w:val="righ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3" w:hRule="exact"/>
        </w:trPr>
        <w:tc>
          <w:tcPr>
            <w:tcW w:w="36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2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31,800,081.34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31,800,081.34</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rPr>
          <w:rFonts w:ascii="Times New Roman" w:hAnsi="Times New Roman" w:cs="Times New Roman" w:eastAsia="Times New Roman" w:hint="default"/>
        </w:rPr>
      </w:pPr>
      <w:r>
        <w:rPr/>
        <w:t>按组合计提坏账准备：</w:t>
      </w:r>
      <w:r>
        <w:rPr>
          <w:rFonts w:ascii="Times New Roman" w:hAnsi="Times New Roman" w:cs="Times New Roman" w:eastAsia="Times New Roman" w:hint="default"/>
        </w:rPr>
        <w:t>234,278,623.18</w:t>
      </w:r>
    </w:p>
    <w:p>
      <w:pPr>
        <w:pStyle w:val="BodyText"/>
        <w:spacing w:line="240" w:lineRule="auto" w:before="102"/>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88,362,595.03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3,534,503.77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4,787,750.15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287,265.01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1,098,812.30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164,821.85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4,617,861.57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1,847,144.63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1,679,999,554.94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16,799,995.55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185,939,047.56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9,296,952.38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480,598,273.97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48,059,827.41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189,004,762.90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56,701,428.88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86,621,267.28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43,310,633.65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14,865,006.12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11,892,004.90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10,583,963.81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10,583,963.81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2,746,478,895.63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202,478,541.84</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如是按照预期信用损失一般模型计提应收账款坏账准备，请参照其他应收款的披露方式披露坏账准备的相关信息：</w:t>
      </w:r>
    </w:p>
    <w:p>
      <w:pPr>
        <w:pStyle w:val="BodyText"/>
        <w:spacing w:line="338" w:lineRule="auto" w:before="117"/>
        <w:ind w:right="91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按账龄披露</w:t>
      </w:r>
    </w:p>
    <w:p>
      <w:pPr>
        <w:pStyle w:val="BodyText"/>
        <w:spacing w:line="240" w:lineRule="auto" w:before="43"/>
        <w:ind w:left="0" w:right="1129"/>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1"/>
        <w:gridCol w:w="4795"/>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1,954,301,197.53</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485,386,024.12</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190,103,575.20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148,488,180.12</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93,651,188.10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22,146,574.21</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32,690,417.81</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2,778,278,976.97</w:t>
            </w:r>
          </w:p>
        </w:tc>
      </w:tr>
    </w:tbl>
    <w:p>
      <w:pPr>
        <w:pStyle w:val="BodyText"/>
        <w:spacing w:line="240" w:lineRule="auto" w:before="51"/>
        <w:ind w:right="0"/>
        <w:jc w:val="left"/>
      </w:pPr>
      <w:r>
        <w:rPr/>
        <w:t>公司需要遵守《深圳证券交易所行业信息披露指引第</w:t>
      </w:r>
      <w:r>
        <w:rPr>
          <w:spacing w:val="-46"/>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本期计提坏账准备情况：</w:t>
      </w:r>
    </w:p>
    <w:p>
      <w:pPr>
        <w:pStyle w:val="BodyText"/>
        <w:spacing w:line="240" w:lineRule="auto" w:before="116"/>
        <w:ind w:left="0" w:right="113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0"/>
        <w:gridCol w:w="1367"/>
        <w:gridCol w:w="1367"/>
        <w:gridCol w:w="1226"/>
        <w:gridCol w:w="1260"/>
        <w:gridCol w:w="1367"/>
        <w:gridCol w:w="1367"/>
      </w:tblGrid>
      <w:tr>
        <w:trPr>
          <w:trHeight w:val="402" w:hRule="exact"/>
        </w:trPr>
        <w:tc>
          <w:tcPr>
            <w:tcW w:w="162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22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620"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应收账款坏账准备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171,784,952.48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62,493,391.40</w:t>
            </w:r>
          </w:p>
        </w:tc>
        <w:tc>
          <w:tcPr>
            <w:tcW w:w="12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234,278,623.18</w:t>
            </w:r>
          </w:p>
        </w:tc>
      </w:tr>
      <w:tr>
        <w:trPr>
          <w:trHeight w:val="403" w:hRule="exact"/>
        </w:trPr>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171,784,952.48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62,493,391.40</w:t>
            </w:r>
          </w:p>
        </w:tc>
        <w:tc>
          <w:tcPr>
            <w:tcW w:w="122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234,278,623.18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600"/>
        <w:gridCol w:w="1980"/>
        <w:gridCol w:w="1800"/>
        <w:gridCol w:w="2160"/>
      </w:tblGrid>
      <w:tr>
        <w:trPr>
          <w:trHeight w:val="714" w:hRule="exact"/>
        </w:trPr>
        <w:tc>
          <w:tcPr>
            <w:tcW w:w="36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54" w:right="84" w:hanging="270"/>
              <w:jc w:val="left"/>
              <w:rPr>
                <w:rFonts w:ascii="宋体" w:hAnsi="宋体" w:cs="宋体" w:eastAsia="宋体" w:hint="default"/>
                <w:sz w:val="18"/>
                <w:szCs w:val="18"/>
              </w:rPr>
            </w:pPr>
            <w:r>
              <w:rPr>
                <w:rFonts w:ascii="宋体" w:hAnsi="宋体" w:cs="宋体" w:eastAsia="宋体" w:hint="default"/>
                <w:sz w:val="18"/>
                <w:szCs w:val="18"/>
              </w:rPr>
              <w:t>占应收账款期末余额 合计数的比例</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山西省交通信息通信有限公司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167,574,071.70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6.03%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1,675,740.72</w:t>
            </w:r>
          </w:p>
        </w:tc>
      </w:tr>
      <w:tr>
        <w:trPr>
          <w:trHeight w:val="402"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中国银行股份有限公司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102,662,260.25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3.70%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1,026,622.60</w:t>
            </w:r>
          </w:p>
        </w:tc>
      </w:tr>
      <w:tr>
        <w:trPr>
          <w:trHeight w:val="402"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石化盈科信息技术有限责任公司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96,311,524.26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3.47%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1,806,531.07</w:t>
            </w:r>
          </w:p>
        </w:tc>
      </w:tr>
      <w:tr>
        <w:trPr>
          <w:trHeight w:val="402"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北京经纬信息技术有限公司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69,689,474.56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1,349,873.73</w:t>
            </w:r>
          </w:p>
        </w:tc>
      </w:tr>
      <w:tr>
        <w:trPr>
          <w:trHeight w:val="402"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天津市纺织工业供销有限公司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69,113,774.39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2.49%</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2,764,550.98</w:t>
            </w:r>
          </w:p>
        </w:tc>
      </w:tr>
      <w:tr>
        <w:trPr>
          <w:trHeight w:val="403" w:hRule="exact"/>
        </w:trPr>
        <w:tc>
          <w:tcPr>
            <w:tcW w:w="36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505,351,105.16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18.20%</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0" w:hRule="exact"/>
        </w:trPr>
        <w:tc>
          <w:tcPr>
            <w:tcW w:w="1889" w:type="dxa"/>
            <w:tcBorders>
              <w:top w:val="single" w:sz="4" w:space="0" w:color="000000"/>
              <w:left w:val="single" w:sz="4" w:space="0" w:color="000000"/>
              <w:bottom w:val="nil" w:sz="6" w:space="0" w:color="auto"/>
              <w:right w:val="single" w:sz="4" w:space="0" w:color="000000"/>
            </w:tcBorders>
            <w:shd w:val="clear" w:color="auto" w:fill="D3D3D3"/>
          </w:tcPr>
          <w:p>
            <w:pPr/>
          </w:p>
        </w:tc>
        <w:tc>
          <w:tcPr>
            <w:tcW w:w="384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2" w:hRule="exact"/>
        </w:trPr>
        <w:tc>
          <w:tcPr>
            <w:tcW w:w="188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3D3D3"/>
          </w:tcPr>
          <w:p>
            <w:pPr/>
          </w:p>
        </w:tc>
        <w:tc>
          <w:tcPr>
            <w:tcW w:w="3829" w:type="dxa"/>
            <w:gridSpan w:val="2"/>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1889" w:type="dxa"/>
            <w:vMerge/>
            <w:tcBorders>
              <w:left w:val="single" w:sz="4" w:space="0" w:color="000000"/>
              <w:bottom w:val="nil" w:sz="6" w:space="0" w:color="auto"/>
              <w:right w:val="single" w:sz="4" w:space="0" w:color="000000"/>
            </w:tcBorders>
            <w:shd w:val="clear" w:color="auto" w:fill="D3D3D3"/>
          </w:tcPr>
          <w:p>
            <w:pPr/>
          </w:p>
        </w:tc>
        <w:tc>
          <w:tcPr>
            <w:tcW w:w="19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11" w:hRule="exact"/>
        </w:trPr>
        <w:tc>
          <w:tcPr>
            <w:tcW w:w="1889" w:type="dxa"/>
            <w:tcBorders>
              <w:top w:val="nil" w:sz="6" w:space="0" w:color="auto"/>
              <w:left w:val="single" w:sz="4" w:space="0" w:color="000000"/>
              <w:bottom w:val="single" w:sz="4" w:space="0" w:color="000000"/>
              <w:right w:val="single" w:sz="4" w:space="0" w:color="000000"/>
            </w:tcBorders>
            <w:shd w:val="clear" w:color="auto" w:fill="D3D3D3"/>
          </w:tcPr>
          <w:p>
            <w:pPr/>
          </w:p>
        </w:tc>
        <w:tc>
          <w:tcPr>
            <w:tcW w:w="1927"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1,105,794,082.02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1,020,569,103.85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81.26%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9,428,652.46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51,543,568.08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3,201,296.35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57,241,013.65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11,713,949.06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126,602,841.80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9" w:space="0" w:color="D3D3D3"/>
              <w:bottom w:val="single" w:sz="4" w:space="0" w:color="000000"/>
              <w:right w:val="single" w:sz="10"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1,130,137,979.89</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3D3D3"/>
              <w:bottom w:val="single" w:sz="4" w:space="0" w:color="000000"/>
              <w:right w:val="single" w:sz="10" w:space="0" w:color="D3D3D3"/>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1,255,956,527.38</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40" w:lineRule="auto" w:before="44"/>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3060"/>
        <w:gridCol w:w="1440"/>
        <w:gridCol w:w="5040"/>
      </w:tblGrid>
      <w:tr>
        <w:trPr>
          <w:trHeight w:val="347" w:hRule="exact"/>
        </w:trPr>
        <w:tc>
          <w:tcPr>
            <w:tcW w:w="3060" w:type="dxa"/>
            <w:tcBorders>
              <w:top w:val="single" w:sz="6" w:space="0" w:color="000000"/>
              <w:left w:val="single" w:sz="6" w:space="0" w:color="000000"/>
              <w:bottom w:val="single" w:sz="6" w:space="0" w:color="000000"/>
              <w:right w:val="single" w:sz="6" w:space="0" w:color="000000"/>
            </w:tcBorders>
          </w:tcPr>
          <w:p>
            <w:pPr>
              <w:pStyle w:val="TableParagraph"/>
              <w:tabs>
                <w:tab w:pos="397" w:val="left" w:leader="none"/>
              </w:tabs>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330" w:hRule="exact"/>
        </w:trPr>
        <w:tc>
          <w:tcPr>
            <w:tcW w:w="3060" w:type="dxa"/>
            <w:tcBorders>
              <w:top w:val="single" w:sz="6" w:space="0" w:color="000000"/>
              <w:left w:val="single" w:sz="6" w:space="0" w:color="000000"/>
              <w:bottom w:val="nil" w:sz="6" w:space="0" w:color="auto"/>
              <w:right w:val="single" w:sz="6" w:space="0" w:color="000000"/>
            </w:tcBorders>
          </w:tcPr>
          <w:p>
            <w:pPr/>
          </w:p>
        </w:tc>
        <w:tc>
          <w:tcPr>
            <w:tcW w:w="1440" w:type="dxa"/>
            <w:tcBorders>
              <w:top w:val="single" w:sz="6" w:space="0" w:color="000000"/>
              <w:left w:val="single" w:sz="6" w:space="0" w:color="000000"/>
              <w:bottom w:val="nil" w:sz="6" w:space="0" w:color="auto"/>
              <w:right w:val="single" w:sz="6" w:space="0" w:color="000000"/>
            </w:tcBorders>
          </w:tcPr>
          <w:p>
            <w:pPr/>
          </w:p>
        </w:tc>
        <w:tc>
          <w:tcPr>
            <w:tcW w:w="504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pacing w:val="-1"/>
                <w:sz w:val="18"/>
                <w:szCs w:val="18"/>
              </w:rPr>
              <w:t>因项目执行过程中供货方与收货方因质量等方面存在纠纷，未能</w:t>
            </w:r>
          </w:p>
        </w:tc>
      </w:tr>
      <w:tr>
        <w:trPr>
          <w:trHeight w:val="316" w:hRule="exact"/>
        </w:trPr>
        <w:tc>
          <w:tcPr>
            <w:tcW w:w="306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威图电子机械技术（上海）有限公司</w:t>
            </w:r>
          </w:p>
        </w:tc>
        <w:tc>
          <w:tcPr>
            <w:tcW w:w="1440" w:type="dxa"/>
            <w:tcBorders>
              <w:top w:val="nil" w:sz="6" w:space="0" w:color="auto"/>
              <w:left w:val="single" w:sz="6" w:space="0" w:color="000000"/>
              <w:bottom w:val="nil" w:sz="6" w:space="0" w:color="auto"/>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1,998,464.95</w:t>
            </w:r>
          </w:p>
        </w:tc>
        <w:tc>
          <w:tcPr>
            <w:tcW w:w="5040"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pacing w:val="-1"/>
                <w:sz w:val="18"/>
                <w:szCs w:val="18"/>
              </w:rPr>
              <w:t>达成一致，形成了账龄较长预收及预付账款（两者金额基本相同</w:t>
            </w:r>
          </w:p>
        </w:tc>
      </w:tr>
      <w:tr>
        <w:trPr>
          <w:trHeight w:val="326" w:hRule="exact"/>
        </w:trPr>
        <w:tc>
          <w:tcPr>
            <w:tcW w:w="3060" w:type="dxa"/>
            <w:tcBorders>
              <w:top w:val="nil" w:sz="6" w:space="0" w:color="auto"/>
              <w:left w:val="single" w:sz="6" w:space="0" w:color="000000"/>
              <w:bottom w:val="single" w:sz="6" w:space="0" w:color="000000"/>
              <w:right w:val="single" w:sz="6" w:space="0" w:color="000000"/>
            </w:tcBorders>
          </w:tcPr>
          <w:p>
            <w:pPr/>
          </w:p>
        </w:tc>
        <w:tc>
          <w:tcPr>
            <w:tcW w:w="1440" w:type="dxa"/>
            <w:tcBorders>
              <w:top w:val="nil" w:sz="6" w:space="0" w:color="auto"/>
              <w:left w:val="single" w:sz="6" w:space="0" w:color="000000"/>
              <w:bottom w:val="single" w:sz="6" w:space="0" w:color="000000"/>
              <w:right w:val="single" w:sz="6" w:space="0" w:color="000000"/>
            </w:tcBorders>
          </w:tcPr>
          <w:p>
            <w:pPr/>
          </w:p>
        </w:tc>
        <w:tc>
          <w:tcPr>
            <w:tcW w:w="5040"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6"/>
              <w:ind w:left="2" w:right="0"/>
              <w:jc w:val="left"/>
              <w:rPr>
                <w:rFonts w:ascii="宋体" w:hAnsi="宋体" w:cs="宋体" w:eastAsia="宋体" w:hint="default"/>
                <w:sz w:val="18"/>
                <w:szCs w:val="18"/>
              </w:rPr>
            </w:pPr>
            <w:r>
              <w:rPr>
                <w:rFonts w:ascii="宋体" w:hAnsi="宋体" w:cs="宋体" w:eastAsia="宋体" w:hint="default"/>
                <w:sz w:val="18"/>
                <w:szCs w:val="18"/>
              </w:rPr>
              <w:t>基本不形成损失），公司正在积极处理当中。</w:t>
            </w:r>
          </w:p>
        </w:tc>
      </w:tr>
      <w:tr>
        <w:trPr>
          <w:trHeight w:val="347" w:hRule="exact"/>
        </w:trPr>
        <w:tc>
          <w:tcPr>
            <w:tcW w:w="3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经纬纺织机械股份有限公司</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1,807,836.00</w:t>
            </w:r>
          </w:p>
        </w:tc>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75"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347" w:hRule="exact"/>
        </w:trPr>
        <w:tc>
          <w:tcPr>
            <w:tcW w:w="3060" w:type="dxa"/>
            <w:tcBorders>
              <w:top w:val="single" w:sz="6" w:space="0" w:color="000000"/>
              <w:left w:val="single" w:sz="6" w:space="0" w:color="000000"/>
              <w:bottom w:val="single" w:sz="6" w:space="0" w:color="000000"/>
              <w:right w:val="single" w:sz="6" w:space="0" w:color="000000"/>
            </w:tcBorders>
          </w:tcPr>
          <w:p>
            <w:pPr>
              <w:pStyle w:val="TableParagraph"/>
              <w:tabs>
                <w:tab w:pos="397" w:val="left" w:leader="none"/>
              </w:tabs>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3,806,300.95</w:t>
            </w:r>
          </w:p>
        </w:tc>
        <w:tc>
          <w:tcPr>
            <w:tcW w:w="504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本报告期按预付对象归集的期末余额前五名预付账款汇总金额</w:t>
      </w:r>
      <w:r>
        <w:rPr>
          <w:rFonts w:ascii="Times New Roman" w:hAnsi="Times New Roman" w:cs="Times New Roman" w:eastAsia="Times New Roman" w:hint="default"/>
        </w:rPr>
        <w:t>312,081,532.90</w:t>
      </w:r>
      <w:r>
        <w:rPr/>
        <w:t>元，占预付账款期末余额合计数的比例</w:t>
      </w:r>
    </w:p>
    <w:p>
      <w:pPr>
        <w:pStyle w:val="BodyText"/>
        <w:spacing w:line="240" w:lineRule="auto" w:before="63"/>
        <w:ind w:left="153" w:right="0"/>
        <w:jc w:val="left"/>
      </w:pPr>
      <w:r>
        <w:rPr>
          <w:rFonts w:ascii="Times New Roman" w:hAnsi="Times New Roman" w:cs="Times New Roman" w:eastAsia="Times New Roman" w:hint="default"/>
        </w:rPr>
        <w:t>27.61%</w:t>
      </w:r>
      <w:r>
        <w:rPr/>
        <w:t>。</w:t>
      </w:r>
    </w:p>
    <w:p>
      <w:pPr>
        <w:spacing w:after="0" w:line="240" w:lineRule="auto"/>
        <w:jc w:val="left"/>
        <w:sectPr>
          <w:pgSz w:w="11910" w:h="16840"/>
          <w:pgMar w:header="747"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234,120,607.31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177,798,512.65</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234,120,607.31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177,798,512.65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24,098,442.77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26,851,768.73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62,320,608.16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58,612,965.63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82,023,840.54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79,748,061.24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22,889,965.89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11,790,771.16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13,609,100.00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13,609,100.00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土地及房屋收购补偿款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254,941,957.36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190,612,666.76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8"/>
        <w:gridCol w:w="1666"/>
        <w:gridCol w:w="2099"/>
        <w:gridCol w:w="2099"/>
        <w:gridCol w:w="1804"/>
      </w:tblGrid>
      <w:tr>
        <w:trPr>
          <w:trHeight w:val="402" w:hRule="exact"/>
        </w:trPr>
        <w:tc>
          <w:tcPr>
            <w:tcW w:w="1888" w:type="dxa"/>
            <w:tcBorders>
              <w:top w:val="single" w:sz="4" w:space="0" w:color="000000"/>
              <w:left w:val="single" w:sz="4" w:space="0" w:color="000000"/>
              <w:bottom w:val="nil" w:sz="6" w:space="0" w:color="auto"/>
              <w:right w:val="single" w:sz="4" w:space="0" w:color="000000"/>
            </w:tcBorders>
            <w:shd w:val="clear" w:color="auto" w:fill="D3D3D3"/>
          </w:tcPr>
          <w:p>
            <w:pPr/>
          </w:p>
        </w:tc>
        <w:tc>
          <w:tcPr>
            <w:tcW w:w="16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6"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4"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47" w:hRule="exact"/>
        </w:trPr>
        <w:tc>
          <w:tcPr>
            <w:tcW w:w="188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6" w:type="dxa"/>
            <w:vMerge w:val="restart"/>
            <w:tcBorders>
              <w:top w:val="single" w:sz="4" w:space="0" w:color="000000"/>
              <w:left w:val="single" w:sz="4" w:space="0" w:color="000000"/>
              <w:right w:val="single" w:sz="4" w:space="0" w:color="000000"/>
            </w:tcBorders>
            <w:shd w:val="clear" w:color="auto" w:fill="D3D3D3"/>
          </w:tcPr>
          <w:p>
            <w:pPr>
              <w:pStyle w:val="TableParagraph"/>
              <w:spacing w:line="300" w:lineRule="auto" w:before="51"/>
              <w:ind w:left="566" w:right="53" w:hanging="49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0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716"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7" w:hRule="exact"/>
        </w:trPr>
        <w:tc>
          <w:tcPr>
            <w:tcW w:w="1888" w:type="dxa"/>
            <w:tcBorders>
              <w:top w:val="nil" w:sz="6" w:space="0" w:color="auto"/>
              <w:left w:val="single" w:sz="4" w:space="0" w:color="000000"/>
              <w:bottom w:val="single" w:sz="4" w:space="0" w:color="000000"/>
              <w:right w:val="single" w:sz="4" w:space="0" w:color="000000"/>
            </w:tcBorders>
            <w:shd w:val="clear" w:color="auto" w:fill="D3D3D3"/>
          </w:tcPr>
          <w:p>
            <w:pPr/>
          </w:p>
        </w:tc>
        <w:tc>
          <w:tcPr>
            <w:tcW w:w="1666" w:type="dxa"/>
            <w:vMerge/>
            <w:tcBorders>
              <w:left w:val="single" w:sz="4" w:space="0" w:color="000000"/>
              <w:bottom w:val="single" w:sz="4" w:space="0" w:color="000000"/>
              <w:right w:val="single" w:sz="4" w:space="0" w:color="000000"/>
            </w:tcBorders>
            <w:shd w:val="clear" w:color="auto" w:fill="D3D3D3"/>
          </w:tcPr>
          <w:p>
            <w:pPr/>
          </w:p>
        </w:tc>
        <w:tc>
          <w:tcPr>
            <w:tcW w:w="2099" w:type="dxa"/>
            <w:vMerge/>
            <w:tcBorders>
              <w:left w:val="single" w:sz="4" w:space="0" w:color="000000"/>
              <w:bottom w:val="single" w:sz="4" w:space="0" w:color="000000"/>
              <w:right w:val="single" w:sz="4" w:space="0" w:color="000000"/>
            </w:tcBorders>
            <w:shd w:val="clear" w:color="auto" w:fill="D3D3D3"/>
          </w:tcPr>
          <w:p>
            <w:pPr/>
          </w:p>
        </w:tc>
        <w:tc>
          <w:tcPr>
            <w:tcW w:w="2099" w:type="dxa"/>
            <w:vMerge/>
            <w:tcBorders>
              <w:left w:val="single" w:sz="4" w:space="0" w:color="000000"/>
              <w:bottom w:val="single" w:sz="4" w:space="0" w:color="000000"/>
              <w:right w:val="single" w:sz="4" w:space="0" w:color="000000"/>
            </w:tcBorders>
            <w:shd w:val="clear" w:color="auto" w:fill="D3D3D3"/>
          </w:tcPr>
          <w:p>
            <w:pPr/>
          </w:p>
        </w:tc>
        <w:tc>
          <w:tcPr>
            <w:tcW w:w="180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8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6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11,766,982.59</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1,047,171.52</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12,814,154.11</w:t>
            </w:r>
          </w:p>
        </w:tc>
      </w:tr>
      <w:tr>
        <w:trPr>
          <w:trHeight w:val="161" w:hRule="exact"/>
        </w:trPr>
        <w:tc>
          <w:tcPr>
            <w:tcW w:w="1888" w:type="dxa"/>
            <w:vMerge w:val="restart"/>
            <w:tcBorders>
              <w:top w:val="single" w:sz="4" w:space="0" w:color="000000"/>
              <w:left w:val="single" w:sz="4" w:space="0" w:color="000000"/>
              <w:right w:val="single" w:sz="4" w:space="0" w:color="000000"/>
            </w:tcBorders>
            <w:shd w:val="clear" w:color="auto" w:fill="D3D3D3"/>
          </w:tcPr>
          <w:p>
            <w:pPr>
              <w:pStyle w:val="TableParagraph"/>
              <w:spacing w:line="300" w:lineRule="auto" w:before="51"/>
              <w:ind w:left="11"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 本期</w:t>
            </w:r>
          </w:p>
        </w:tc>
        <w:tc>
          <w:tcPr>
            <w:tcW w:w="1666" w:type="dxa"/>
            <w:tcBorders>
              <w:top w:val="single" w:sz="4" w:space="0" w:color="000000"/>
              <w:left w:val="single" w:sz="4" w:space="0" w:color="000000"/>
              <w:bottom w:val="nil" w:sz="6" w:space="0" w:color="auto"/>
              <w:right w:val="single" w:sz="4" w:space="0" w:color="000000"/>
            </w:tcBorders>
            <w:shd w:val="clear" w:color="auto" w:fill="D3D3D3"/>
          </w:tcPr>
          <w:p>
            <w:pPr/>
          </w:p>
        </w:tc>
        <w:tc>
          <w:tcPr>
            <w:tcW w:w="2099" w:type="dxa"/>
            <w:tcBorders>
              <w:top w:val="single" w:sz="4" w:space="0" w:color="000000"/>
              <w:left w:val="single" w:sz="4" w:space="0" w:color="000000"/>
              <w:bottom w:val="nil" w:sz="6" w:space="0" w:color="auto"/>
              <w:right w:val="single" w:sz="4" w:space="0" w:color="000000"/>
            </w:tcBorders>
            <w:shd w:val="clear" w:color="auto" w:fill="D3D3D3"/>
          </w:tcPr>
          <w:p>
            <w:pPr/>
          </w:p>
        </w:tc>
        <w:tc>
          <w:tcPr>
            <w:tcW w:w="2099" w:type="dxa"/>
            <w:tcBorders>
              <w:top w:val="single" w:sz="4" w:space="0" w:color="000000"/>
              <w:left w:val="single" w:sz="4" w:space="0" w:color="000000"/>
              <w:bottom w:val="nil" w:sz="6" w:space="0" w:color="auto"/>
              <w:right w:val="single" w:sz="4" w:space="0" w:color="000000"/>
            </w:tcBorders>
            <w:shd w:val="clear" w:color="auto" w:fill="D3D3D3"/>
          </w:tcPr>
          <w:p>
            <w:pPr/>
          </w:p>
        </w:tc>
        <w:tc>
          <w:tcPr>
            <w:tcW w:w="180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1888" w:type="dxa"/>
            <w:vMerge/>
            <w:tcBorders>
              <w:left w:val="single" w:sz="4" w:space="0" w:color="000000"/>
              <w:right w:val="single" w:sz="4" w:space="0" w:color="000000"/>
            </w:tcBorders>
            <w:shd w:val="clear" w:color="auto" w:fill="D3D3D3"/>
          </w:tcPr>
          <w:p>
            <w:pPr/>
          </w:p>
        </w:tc>
        <w:tc>
          <w:tcPr>
            <w:tcW w:w="16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0"/>
              <w:ind w:left="16"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0"/>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0"/>
              <w:ind w:left="7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60" w:hRule="exact"/>
        </w:trPr>
        <w:tc>
          <w:tcPr>
            <w:tcW w:w="1888" w:type="dxa"/>
            <w:vMerge/>
            <w:tcBorders>
              <w:left w:val="single" w:sz="4" w:space="0" w:color="000000"/>
              <w:bottom w:val="single" w:sz="4" w:space="0" w:color="000000"/>
              <w:right w:val="single" w:sz="4" w:space="0" w:color="000000"/>
            </w:tcBorders>
            <w:shd w:val="clear" w:color="auto" w:fill="D3D3D3"/>
          </w:tcPr>
          <w:p>
            <w:pPr/>
          </w:p>
        </w:tc>
        <w:tc>
          <w:tcPr>
            <w:tcW w:w="1666" w:type="dxa"/>
            <w:tcBorders>
              <w:top w:val="nil" w:sz="6" w:space="0" w:color="auto"/>
              <w:left w:val="single" w:sz="4" w:space="0" w:color="000000"/>
              <w:bottom w:val="single" w:sz="4" w:space="0" w:color="000000"/>
              <w:right w:val="single" w:sz="4" w:space="0" w:color="000000"/>
            </w:tcBorders>
            <w:shd w:val="clear" w:color="auto" w:fill="D3D3D3"/>
          </w:tcPr>
          <w:p>
            <w:pPr/>
          </w:p>
        </w:tc>
        <w:tc>
          <w:tcPr>
            <w:tcW w:w="2099" w:type="dxa"/>
            <w:tcBorders>
              <w:top w:val="nil" w:sz="6" w:space="0" w:color="auto"/>
              <w:left w:val="single" w:sz="4" w:space="0" w:color="000000"/>
              <w:bottom w:val="single" w:sz="4" w:space="0" w:color="000000"/>
              <w:right w:val="single" w:sz="4" w:space="0" w:color="000000"/>
            </w:tcBorders>
            <w:shd w:val="clear" w:color="auto" w:fill="D3D3D3"/>
          </w:tcPr>
          <w:p>
            <w:pPr/>
          </w:p>
        </w:tc>
        <w:tc>
          <w:tcPr>
            <w:tcW w:w="2099" w:type="dxa"/>
            <w:tcBorders>
              <w:top w:val="nil" w:sz="6" w:space="0" w:color="auto"/>
              <w:left w:val="single" w:sz="4" w:space="0" w:color="000000"/>
              <w:bottom w:val="single" w:sz="4" w:space="0" w:color="000000"/>
              <w:right w:val="single" w:sz="4" w:space="0" w:color="000000"/>
            </w:tcBorders>
            <w:shd w:val="clear" w:color="auto" w:fill="D3D3D3"/>
          </w:tcPr>
          <w:p>
            <w:pPr/>
          </w:p>
        </w:tc>
        <w:tc>
          <w:tcPr>
            <w:tcW w:w="180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8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7,471,867.94</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500,000.00</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6,149,517.11</w:t>
            </w:r>
          </w:p>
        </w:tc>
      </w:tr>
      <w:tr>
        <w:trPr>
          <w:trHeight w:val="402" w:hRule="exact"/>
        </w:trPr>
        <w:tc>
          <w:tcPr>
            <w:tcW w:w="18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6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35,328.00</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35,328.00</w:t>
            </w:r>
          </w:p>
        </w:tc>
      </w:tr>
      <w:tr>
        <w:trPr>
          <w:trHeight w:val="402" w:hRule="exact"/>
        </w:trPr>
        <w:tc>
          <w:tcPr>
            <w:tcW w:w="18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19,274,178.53</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1,547,171.52</w:t>
            </w: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17,823,850.05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82" w:top="1060" w:bottom="1180" w:left="980" w:right="0"/>
        </w:sectPr>
      </w:pPr>
    </w:p>
    <w:p>
      <w:pPr>
        <w:pStyle w:val="BodyText"/>
        <w:spacing w:line="240" w:lineRule="auto" w:before="44"/>
        <w:ind w:left="153" w:right="-19"/>
        <w:jc w:val="left"/>
      </w:pPr>
      <w:r>
        <w:rPr/>
        <w:t>损失准备本期变动金额重大的账面余额变动情况</w:t>
      </w:r>
    </w:p>
    <w:p>
      <w:pPr>
        <w:pStyle w:val="BodyText"/>
        <w:spacing w:line="360" w:lineRule="auto" w:before="116"/>
        <w:ind w:left="153" w:right="-19"/>
        <w:jc w:val="left"/>
      </w:pPr>
      <w:r>
        <w:rPr/>
        <w:t>□ 适用 √ 不适用 说明：其他变动为将石家庄赛孚纺织有限公司纳入合并范围增加的坏账准备。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0"/>
          <w:szCs w:val="20"/>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0"/>
          <w:cols w:num="2" w:equalWidth="0">
            <w:col w:w="6274" w:space="2554"/>
            <w:col w:w="2102"/>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72"/>
        <w:gridCol w:w="4784"/>
      </w:tblGrid>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8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114,525,595.96</w:t>
            </w: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40,633,921.93</w:t>
            </w: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33,268,023.35</w:t>
            </w: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66,514,416.12</w:t>
            </w: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27,968,447.22</w:t>
            </w: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28,056,257.29</w:t>
            </w: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10,489,711.61</w:t>
            </w:r>
          </w:p>
        </w:tc>
      </w:tr>
      <w:tr>
        <w:trPr>
          <w:trHeight w:val="402" w:hRule="exact"/>
        </w:trPr>
        <w:tc>
          <w:tcPr>
            <w:tcW w:w="47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254,941,957.36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本期计提坏账准备情况：</w:t>
      </w:r>
    </w:p>
    <w:p>
      <w:pPr>
        <w:pStyle w:val="BodyText"/>
        <w:spacing w:line="240" w:lineRule="auto" w:before="116"/>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60"/>
        <w:gridCol w:w="1098"/>
        <w:gridCol w:w="1194"/>
        <w:gridCol w:w="1303"/>
        <w:gridCol w:w="1092"/>
        <w:gridCol w:w="1278"/>
        <w:gridCol w:w="1440"/>
      </w:tblGrid>
      <w:tr>
        <w:trPr>
          <w:trHeight w:val="402" w:hRule="exact"/>
        </w:trPr>
        <w:tc>
          <w:tcPr>
            <w:tcW w:w="21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8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6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44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160" w:type="dxa"/>
            <w:vMerge/>
            <w:tcBorders>
              <w:left w:val="single" w:sz="4" w:space="0" w:color="000000"/>
              <w:bottom w:val="single" w:sz="4" w:space="0" w:color="000000"/>
              <w:right w:val="single" w:sz="4" w:space="0" w:color="000000"/>
            </w:tcBorders>
            <w:shd w:val="clear" w:color="auto" w:fill="D3D3D3"/>
          </w:tcPr>
          <w:p>
            <w:pPr/>
          </w:p>
        </w:tc>
        <w:tc>
          <w:tcPr>
            <w:tcW w:w="1098" w:type="dxa"/>
            <w:vMerge/>
            <w:tcBorders>
              <w:left w:val="single" w:sz="4" w:space="0" w:color="000000"/>
              <w:bottom w:val="single" w:sz="4" w:space="0" w:color="000000"/>
              <w:right w:val="single" w:sz="4" w:space="0" w:color="000000"/>
            </w:tcBorders>
            <w:shd w:val="clear" w:color="auto" w:fill="D3D3D3"/>
          </w:tcPr>
          <w:p>
            <w:pP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9"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44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其他应收款坏账准备</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12,814,154.11</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center"/>
              <w:rPr>
                <w:rFonts w:ascii="Times New Roman" w:hAnsi="Times New Roman" w:cs="Times New Roman" w:eastAsia="Times New Roman" w:hint="default"/>
                <w:sz w:val="18"/>
                <w:szCs w:val="18"/>
              </w:rPr>
            </w:pPr>
            <w:r>
              <w:rPr>
                <w:rFonts w:ascii="Times New Roman"/>
                <w:sz w:val="18"/>
              </w:rPr>
              <w:t>20,821,350.05</w:t>
            </w:r>
          </w:p>
        </w:tc>
        <w:tc>
          <w:tcPr>
            <w:tcW w:w="130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234,120,607.31</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12,814,154.11</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center"/>
              <w:rPr>
                <w:rFonts w:ascii="Times New Roman" w:hAnsi="Times New Roman" w:cs="Times New Roman" w:eastAsia="Times New Roman" w:hint="default"/>
                <w:sz w:val="18"/>
                <w:szCs w:val="18"/>
              </w:rPr>
            </w:pPr>
            <w:r>
              <w:rPr>
                <w:rFonts w:ascii="Times New Roman"/>
                <w:sz w:val="18"/>
              </w:rPr>
              <w:t>20,821,350.05</w:t>
            </w:r>
          </w:p>
        </w:tc>
        <w:tc>
          <w:tcPr>
            <w:tcW w:w="130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127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234,120,607.31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40"/>
        <w:gridCol w:w="1980"/>
        <w:gridCol w:w="1260"/>
        <w:gridCol w:w="926"/>
        <w:gridCol w:w="1595"/>
        <w:gridCol w:w="1595"/>
      </w:tblGrid>
      <w:tr>
        <w:trPr>
          <w:trHeight w:val="714" w:hRule="exact"/>
        </w:trPr>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7"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1"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退税款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62,320,608.16</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24.45%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642,142.80</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赵县土地储备中心</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土地及房屋收购补偿款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19.61%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中国外贸金融租赁有限公司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融资租赁保证金</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3.92%</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云南省公安厅</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8,286,000.00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82,860.00</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新疆鼎鑫盛达商贸有限公司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5,900,000.00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2,360,000.00</w:t>
            </w:r>
          </w:p>
        </w:tc>
      </w:tr>
      <w:tr>
        <w:trPr>
          <w:trHeight w:val="403" w:hRule="exact"/>
        </w:trPr>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136,506,608.16</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53.54%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3,085,002.80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其他说明：</w:t>
      </w:r>
    </w:p>
    <w:p>
      <w:pPr>
        <w:pStyle w:val="BodyText"/>
        <w:spacing w:line="304" w:lineRule="auto" w:before="115"/>
        <w:ind w:left="153" w:right="1121" w:firstLine="380"/>
        <w:jc w:val="left"/>
      </w:pPr>
      <w:r>
        <w:rPr/>
        <w:t>公司董事会七届九次会议审议通过了《关于全资子公司常山赵纺土地及房屋收购补偿的议案》，同意由赵县土地储备 中心收购全资子公司常山赵纺位于石家庄赵县石塔路</w:t>
      </w:r>
      <w:r>
        <w:rPr>
          <w:rFonts w:ascii="Times New Roman" w:hAnsi="Times New Roman" w:cs="Times New Roman" w:eastAsia="Times New Roman" w:hint="default"/>
        </w:rPr>
        <w:t>132</w:t>
      </w:r>
      <w:r>
        <w:rPr/>
        <w:t>号之实测面积为</w:t>
      </w:r>
      <w:r>
        <w:rPr>
          <w:rFonts w:ascii="Times New Roman" w:hAnsi="Times New Roman" w:cs="Times New Roman" w:eastAsia="Times New Roman" w:hint="default"/>
        </w:rPr>
        <w:t>70,237.03</w:t>
      </w:r>
      <w:r>
        <w:rPr/>
        <w:t>平方米的土地及房屋所有权，收购补偿价 </w:t>
      </w:r>
      <w:r>
        <w:rPr>
          <w:spacing w:val="-1"/>
        </w:rPr>
        <w:t>格为</w:t>
      </w:r>
      <w:r>
        <w:rPr>
          <w:rFonts w:ascii="Times New Roman" w:hAnsi="Times New Roman" w:cs="Times New Roman" w:eastAsia="Times New Roman" w:hint="default"/>
          <w:spacing w:val="-1"/>
        </w:rPr>
        <w:t>6,000</w:t>
      </w:r>
      <w:r>
        <w:rPr>
          <w:spacing w:val="-1"/>
        </w:rPr>
        <w:t>万元。</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27</w:t>
      </w:r>
      <w:r>
        <w:rPr>
          <w:spacing w:val="-1"/>
        </w:rPr>
        <w:t>日常山赵纺与赵县土地储备中心签订《房地产收购合同》，</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w:t>
      </w:r>
      <w:r>
        <w:rPr>
          <w:spacing w:val="-1"/>
        </w:rPr>
        <w:t>日，常山赵纺收到赵</w:t>
      </w:r>
      <w:r>
        <w:rPr>
          <w:spacing w:val="-68"/>
        </w:rPr>
        <w:t> </w:t>
      </w:r>
      <w:r>
        <w:rPr>
          <w:spacing w:val="-68"/>
        </w:rPr>
      </w:r>
      <w:r>
        <w:rPr/>
        <w:t>县土地储备中心支付的补偿金</w:t>
      </w:r>
      <w:r>
        <w:rPr>
          <w:rFonts w:ascii="Times New Roman" w:hAnsi="Times New Roman" w:cs="Times New Roman" w:eastAsia="Times New Roman" w:hint="default"/>
        </w:rPr>
        <w:t>1,000</w:t>
      </w:r>
      <w:r>
        <w:rPr/>
        <w:t>万元。常山赵纺在</w:t>
      </w:r>
      <w:r>
        <w:rPr>
          <w:rFonts w:ascii="Times New Roman" w:hAnsi="Times New Roman" w:cs="Times New Roman" w:eastAsia="Times New Roman" w:hint="default"/>
        </w:rPr>
        <w:t>2019</w:t>
      </w:r>
      <w:r>
        <w:rPr/>
        <w:t>年底前与赵县土地储备中心完成交易标的移交手续，将应收赵县 土地储备中心的</w:t>
      </w:r>
      <w:r>
        <w:rPr>
          <w:rFonts w:ascii="Times New Roman" w:hAnsi="Times New Roman" w:cs="Times New Roman" w:eastAsia="Times New Roman" w:hint="default"/>
        </w:rPr>
        <w:t>5,000</w:t>
      </w:r>
      <w:r>
        <w:rPr/>
        <w:t>万元土地及房屋收购补偿款计入其他应收款。</w:t>
      </w:r>
    </w:p>
    <w:p>
      <w:pPr>
        <w:spacing w:line="240" w:lineRule="auto" w:before="9"/>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6</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是否已执行新收入准则</w:t>
      </w:r>
    </w:p>
    <w:p>
      <w:pPr>
        <w:pStyle w:val="BodyText"/>
        <w:spacing w:line="240" w:lineRule="auto" w:before="117"/>
        <w:ind w:left="153" w:right="0"/>
        <w:jc w:val="left"/>
      </w:pPr>
      <w:r>
        <w:rPr/>
        <w:t>□ 是 √ 否</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380"/>
        <w:gridCol w:w="1367"/>
        <w:gridCol w:w="1367"/>
        <w:gridCol w:w="1368"/>
        <w:gridCol w:w="1367"/>
        <w:gridCol w:w="1367"/>
      </w:tblGrid>
      <w:tr>
        <w:trPr>
          <w:trHeight w:val="200" w:hRule="exact"/>
        </w:trPr>
        <w:tc>
          <w:tcPr>
            <w:tcW w:w="1345" w:type="dxa"/>
            <w:tcBorders>
              <w:top w:val="single" w:sz="4" w:space="0" w:color="000000"/>
              <w:left w:val="single" w:sz="4" w:space="0" w:color="000000"/>
              <w:bottom w:val="nil" w:sz="6" w:space="0" w:color="auto"/>
              <w:right w:val="single" w:sz="4" w:space="0" w:color="000000"/>
            </w:tcBorders>
            <w:shd w:val="clear" w:color="auto" w:fill="D3D3D3"/>
          </w:tcPr>
          <w:p>
            <w:pPr/>
          </w:p>
        </w:tc>
        <w:tc>
          <w:tcPr>
            <w:tcW w:w="411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2" w:hRule="exact"/>
        </w:trPr>
        <w:tc>
          <w:tcPr>
            <w:tcW w:w="134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4" w:type="dxa"/>
            <w:gridSpan w:val="3"/>
            <w:vMerge/>
            <w:tcBorders>
              <w:left w:val="single" w:sz="4" w:space="0" w:color="000000"/>
              <w:bottom w:val="single" w:sz="4" w:space="0" w:color="000000"/>
              <w:right w:val="single" w:sz="4" w:space="0" w:color="000000"/>
            </w:tcBorders>
            <w:shd w:val="clear" w:color="auto" w:fill="D3D3D3"/>
          </w:tcPr>
          <w:p>
            <w:pPr/>
          </w:p>
        </w:tc>
        <w:tc>
          <w:tcPr>
            <w:tcW w:w="4102" w:type="dxa"/>
            <w:gridSpan w:val="3"/>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1345" w:type="dxa"/>
            <w:vMerge/>
            <w:tcBorders>
              <w:left w:val="single" w:sz="4" w:space="0" w:color="000000"/>
              <w:bottom w:val="nil" w:sz="6" w:space="0" w:color="auto"/>
              <w:right w:val="single" w:sz="4" w:space="0" w:color="000000"/>
            </w:tcBorders>
            <w:shd w:val="clear" w:color="auto" w:fill="D3D3D3"/>
          </w:tcPr>
          <w:p>
            <w:pPr/>
          </w:p>
        </w:tc>
        <w:tc>
          <w:tcPr>
            <w:tcW w:w="13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11" w:hRule="exact"/>
        </w:trPr>
        <w:tc>
          <w:tcPr>
            <w:tcW w:w="1345" w:type="dxa"/>
            <w:tcBorders>
              <w:top w:val="nil" w:sz="6" w:space="0" w:color="auto"/>
              <w:left w:val="single" w:sz="4" w:space="0" w:color="000000"/>
              <w:bottom w:val="single" w:sz="4" w:space="0" w:color="000000"/>
              <w:right w:val="single" w:sz="4" w:space="0" w:color="000000"/>
            </w:tcBorders>
            <w:shd w:val="clear" w:color="auto" w:fill="D3D3D3"/>
          </w:tcPr>
          <w:p>
            <w:pPr/>
          </w:p>
        </w:tc>
        <w:tc>
          <w:tcPr>
            <w:tcW w:w="1380"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341,689,001.38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341,689,001.38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415,743,988.61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415,743,988.61</w:t>
            </w: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27,163,560.06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27,163,560.06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31,426,130.72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31,426,130.72</w:t>
            </w: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1,115,122,873.87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23,101,556.25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1,092,021,317.62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1,163,967,306.80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99,149,176.86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1,064,818,129.94</w:t>
            </w: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724,175,481.65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724,175,481.65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691,001,573.53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691,001,573.53</w:t>
            </w: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委托加工材料</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991,651.57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991,651.57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1,263,636.72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1,263,636.72</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2,209,142,568.53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23,101,556.25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2,186,041,012.28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2,303,402,636.38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99,149,176.86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2,204,253,459.52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7"/>
        <w:gridCol w:w="1367"/>
        <w:gridCol w:w="1367"/>
        <w:gridCol w:w="1367"/>
        <w:gridCol w:w="1367"/>
        <w:gridCol w:w="1367"/>
      </w:tblGrid>
      <w:tr>
        <w:trPr>
          <w:trHeight w:val="200" w:hRule="exact"/>
        </w:trPr>
        <w:tc>
          <w:tcPr>
            <w:tcW w:w="135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273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vMerge/>
            <w:tcBorders>
              <w:left w:val="single" w:sz="4" w:space="0" w:color="000000"/>
              <w:bottom w:val="single" w:sz="4" w:space="0" w:color="000000"/>
              <w:right w:val="single" w:sz="4" w:space="0" w:color="000000"/>
            </w:tcBorders>
            <w:shd w:val="clear" w:color="auto" w:fill="D3D3D3"/>
          </w:tcPr>
          <w:p>
            <w:pPr/>
          </w:p>
        </w:tc>
        <w:tc>
          <w:tcPr>
            <w:tcW w:w="2734" w:type="dxa"/>
            <w:gridSpan w:val="2"/>
            <w:vMerge/>
            <w:tcBorders>
              <w:left w:val="single" w:sz="4" w:space="0" w:color="000000"/>
              <w:bottom w:val="single" w:sz="4" w:space="0" w:color="000000"/>
              <w:right w:val="single" w:sz="4" w:space="0" w:color="000000"/>
            </w:tcBorders>
            <w:shd w:val="clear" w:color="auto" w:fill="D3D3D3"/>
          </w:tcPr>
          <w:p>
            <w:pPr/>
          </w:p>
        </w:tc>
        <w:tc>
          <w:tcPr>
            <w:tcW w:w="136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1357" w:type="dxa"/>
            <w:vMerge/>
            <w:tcBorders>
              <w:left w:val="single" w:sz="4" w:space="0" w:color="000000"/>
              <w:bottom w:val="nil" w:sz="6" w:space="0" w:color="auto"/>
              <w:right w:val="single" w:sz="4" w:space="0" w:color="000000"/>
            </w:tcBorders>
            <w:shd w:val="clear" w:color="auto" w:fill="D3D3D3"/>
          </w:tcPr>
          <w:p>
            <w:pPr/>
          </w:p>
        </w:tc>
        <w:tc>
          <w:tcPr>
            <w:tcW w:w="1367" w:type="dxa"/>
            <w:vMerge/>
            <w:tcBorders>
              <w:left w:val="single" w:sz="4" w:space="0" w:color="000000"/>
              <w:bottom w:val="nil" w:sz="6" w:space="0" w:color="auto"/>
              <w:right w:val="single" w:sz="4" w:space="0" w:color="000000"/>
            </w:tcBorders>
            <w:shd w:val="clear" w:color="auto" w:fill="D3D3D3"/>
          </w:tcPr>
          <w:p>
            <w:pP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nil" w:sz="6" w:space="0" w:color="auto"/>
              <w:right w:val="single" w:sz="4" w:space="0" w:color="000000"/>
            </w:tcBorders>
            <w:shd w:val="clear" w:color="auto" w:fill="D3D3D3"/>
          </w:tcPr>
          <w:p>
            <w:pPr/>
          </w:p>
        </w:tc>
      </w:tr>
      <w:tr>
        <w:trPr>
          <w:trHeight w:val="212" w:hRule="exact"/>
        </w:trPr>
        <w:tc>
          <w:tcPr>
            <w:tcW w:w="135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99,149,176.86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17,461,423.41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93,509,044.02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23,101,556.25</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99,149,176.86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17,461,423.41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93,509,044.02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23,101,556.25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tbl>
      <w:tblPr>
        <w:tblW w:w="0" w:type="auto"/>
        <w:jc w:val="left"/>
        <w:tblInd w:w="162" w:type="dxa"/>
        <w:tblLayout w:type="fixed"/>
        <w:tblCellMar>
          <w:top w:w="0" w:type="dxa"/>
          <w:left w:w="0" w:type="dxa"/>
          <w:bottom w:w="0" w:type="dxa"/>
          <w:right w:w="0" w:type="dxa"/>
        </w:tblCellMar>
        <w:tblLook w:val="01E0"/>
      </w:tblPr>
      <w:tblGrid>
        <w:gridCol w:w="1422"/>
        <w:gridCol w:w="3119"/>
        <w:gridCol w:w="2461"/>
        <w:gridCol w:w="2520"/>
      </w:tblGrid>
      <w:tr>
        <w:trPr>
          <w:trHeight w:val="432" w:hRule="exact"/>
        </w:trPr>
        <w:tc>
          <w:tcPr>
            <w:tcW w:w="14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447"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31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379" w:right="0"/>
              <w:jc w:val="left"/>
              <w:rPr>
                <w:rFonts w:ascii="宋体" w:hAnsi="宋体" w:cs="宋体" w:eastAsia="宋体" w:hint="default"/>
                <w:sz w:val="18"/>
                <w:szCs w:val="18"/>
              </w:rPr>
            </w:pPr>
            <w:r>
              <w:rPr>
                <w:rFonts w:ascii="宋体" w:hAnsi="宋体" w:cs="宋体" w:eastAsia="宋体" w:hint="default"/>
                <w:sz w:val="18"/>
                <w:szCs w:val="18"/>
              </w:rPr>
              <w:t>计提存货跌价准备的具体依据</w:t>
            </w:r>
          </w:p>
        </w:tc>
        <w:tc>
          <w:tcPr>
            <w:tcW w:w="24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51" w:right="0"/>
              <w:jc w:val="left"/>
              <w:rPr>
                <w:rFonts w:ascii="宋体" w:hAnsi="宋体" w:cs="宋体" w:eastAsia="宋体" w:hint="default"/>
                <w:sz w:val="18"/>
                <w:szCs w:val="18"/>
              </w:rPr>
            </w:pPr>
            <w:r>
              <w:rPr>
                <w:rFonts w:ascii="宋体" w:hAnsi="宋体" w:cs="宋体" w:eastAsia="宋体" w:hint="default"/>
                <w:sz w:val="18"/>
                <w:szCs w:val="18"/>
              </w:rPr>
              <w:t>本年转回存货跌价准备的原因</w:t>
            </w: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本年转销存货跌价准备的原因</w:t>
            </w:r>
          </w:p>
        </w:tc>
      </w:tr>
      <w:tr>
        <w:trPr>
          <w:trHeight w:val="745" w:hRule="exact"/>
        </w:trPr>
        <w:tc>
          <w:tcPr>
            <w:tcW w:w="14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3119"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62"/>
              <w:ind w:right="-2"/>
              <w:jc w:val="left"/>
              <w:rPr>
                <w:rFonts w:ascii="宋体" w:hAnsi="宋体" w:cs="宋体" w:eastAsia="宋体" w:hint="default"/>
                <w:sz w:val="18"/>
                <w:szCs w:val="18"/>
              </w:rPr>
            </w:pPr>
            <w:r>
              <w:rPr>
                <w:rFonts w:ascii="宋体" w:hAnsi="宋体" w:cs="宋体" w:eastAsia="宋体" w:hint="default"/>
                <w:sz w:val="18"/>
                <w:szCs w:val="18"/>
              </w:rPr>
              <w:t>期末存货成本高于其可变现净值的，计</w:t>
            </w:r>
            <w:r>
              <w:rPr>
                <w:rFonts w:ascii="宋体" w:hAnsi="宋体" w:cs="宋体" w:eastAsia="宋体" w:hint="default"/>
                <w:spacing w:val="-57"/>
                <w:sz w:val="18"/>
                <w:szCs w:val="18"/>
              </w:rPr>
              <w:t> </w:t>
            </w:r>
            <w:r>
              <w:rPr>
                <w:rFonts w:ascii="宋体" w:hAnsi="宋体" w:cs="宋体" w:eastAsia="宋体" w:hint="default"/>
                <w:sz w:val="18"/>
                <w:szCs w:val="18"/>
              </w:rPr>
              <w:t>提存货跌价准备。</w:t>
            </w:r>
          </w:p>
        </w:tc>
        <w:tc>
          <w:tcPr>
            <w:tcW w:w="2461" w:type="dxa"/>
            <w:tcBorders>
              <w:top w:val="single" w:sz="8" w:space="0" w:color="000000"/>
              <w:left w:val="single" w:sz="8" w:space="0" w:color="000000"/>
              <w:bottom w:val="single" w:sz="8" w:space="0" w:color="000000"/>
              <w:right w:val="single" w:sz="8" w:space="0" w:color="000000"/>
            </w:tcBorders>
          </w:tcPr>
          <w:p>
            <w:pPr/>
          </w:p>
        </w:tc>
        <w:tc>
          <w:tcPr>
            <w:tcW w:w="25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销售</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7</w:t>
      </w:r>
      <w:r>
        <w:rPr/>
        <w:t>、其他流动资产</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0"/>
        </w:sectPr>
      </w:pPr>
    </w:p>
    <w:p>
      <w:pPr>
        <w:pStyle w:val="BodyText"/>
        <w:spacing w:line="240" w:lineRule="auto" w:before="44"/>
        <w:ind w:right="-20"/>
        <w:jc w:val="left"/>
      </w:pPr>
      <w:r>
        <w:rPr/>
        <w:t>是否已执行新收入准则</w:t>
      </w:r>
    </w:p>
    <w:p>
      <w:pPr>
        <w:pStyle w:val="BodyText"/>
        <w:spacing w:line="240" w:lineRule="auto" w:before="116"/>
        <w:ind w:left="153" w:right="-20"/>
        <w:jc w:val="left"/>
      </w:pPr>
      <w:r>
        <w:rPr/>
        <w:t>□ 是 √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0"/>
          <w:cols w:num="2" w:equalWidth="0">
            <w:col w:w="1955" w:space="6874"/>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超缴企业所得税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2,282,613.16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2,247,927.25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w:t>
            </w:r>
            <w:r>
              <w:rPr>
                <w:rFonts w:ascii="Times New Roman" w:hAnsi="Times New Roman" w:cs="Times New Roman" w:eastAsia="Times New Roman" w:hint="default"/>
                <w:sz w:val="18"/>
                <w:szCs w:val="18"/>
              </w:rPr>
              <w:t>/</w:t>
            </w:r>
            <w:r>
              <w:rPr>
                <w:rFonts w:ascii="宋体" w:hAnsi="宋体" w:cs="宋体" w:eastAsia="宋体" w:hint="default"/>
                <w:sz w:val="18"/>
                <w:szCs w:val="18"/>
              </w:rPr>
              <w:t>待认证进项税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64,068,978.16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72,040,342.30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66,351,591.32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74,288,269.55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8</w:t>
      </w:r>
      <w:r>
        <w:rPr/>
        <w:t>、长期应收款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00"/>
        <w:gridCol w:w="1168"/>
        <w:gridCol w:w="992"/>
        <w:gridCol w:w="1168"/>
        <w:gridCol w:w="1166"/>
        <w:gridCol w:w="1049"/>
        <w:gridCol w:w="1165"/>
        <w:gridCol w:w="1032"/>
      </w:tblGrid>
      <w:tr>
        <w:trPr>
          <w:trHeight w:val="402" w:hRule="exact"/>
        </w:trPr>
        <w:tc>
          <w:tcPr>
            <w:tcW w:w="18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2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8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800" w:type="dxa"/>
            <w:vMerge/>
            <w:tcBorders>
              <w:left w:val="single" w:sz="4" w:space="0" w:color="000000"/>
              <w:bottom w:val="single" w:sz="4" w:space="0" w:color="000000"/>
              <w:right w:val="single" w:sz="4" w:space="0" w:color="000000"/>
            </w:tcBorders>
            <w:shd w:val="clear" w:color="auto" w:fill="D3D3D3"/>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3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舞钢项目建设应收款</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12,745,302.63</w:t>
            </w:r>
          </w:p>
        </w:tc>
        <w:tc>
          <w:tcPr>
            <w:tcW w:w="992"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12,745,302.63</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4" w:right="0"/>
              <w:jc w:val="left"/>
              <w:rPr>
                <w:rFonts w:ascii="Times New Roman" w:hAnsi="Times New Roman" w:cs="Times New Roman" w:eastAsia="Times New Roman" w:hint="default"/>
                <w:sz w:val="18"/>
                <w:szCs w:val="18"/>
              </w:rPr>
            </w:pPr>
            <w:r>
              <w:rPr>
                <w:rFonts w:ascii="Times New Roman"/>
                <w:sz w:val="18"/>
              </w:rPr>
              <w:t>2,811,408.56</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 w:right="0"/>
              <w:jc w:val="left"/>
              <w:rPr>
                <w:rFonts w:ascii="Times New Roman" w:hAnsi="Times New Roman" w:cs="Times New Roman" w:eastAsia="Times New Roman" w:hint="default"/>
                <w:sz w:val="18"/>
                <w:szCs w:val="18"/>
              </w:rPr>
            </w:pPr>
            <w:r>
              <w:rPr>
                <w:rFonts w:ascii="Times New Roman"/>
                <w:sz w:val="18"/>
              </w:rPr>
              <w:t>2,811,408.56</w:t>
            </w:r>
          </w:p>
        </w:tc>
        <w:tc>
          <w:tcPr>
            <w:tcW w:w="10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66" w:right="0"/>
              <w:jc w:val="center"/>
              <w:rPr>
                <w:rFonts w:ascii="Times New Roman" w:hAnsi="Times New Roman" w:cs="Times New Roman" w:eastAsia="Times New Roman" w:hint="default"/>
                <w:sz w:val="18"/>
                <w:szCs w:val="18"/>
              </w:rPr>
            </w:pPr>
            <w:r>
              <w:rPr>
                <w:rFonts w:ascii="Times New Roman"/>
                <w:sz w:val="18"/>
              </w:rPr>
              <w:t>12,745,302.63</w:t>
            </w:r>
          </w:p>
        </w:tc>
        <w:tc>
          <w:tcPr>
            <w:tcW w:w="992"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12,745,302.63</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4" w:right="0"/>
              <w:jc w:val="left"/>
              <w:rPr>
                <w:rFonts w:ascii="Times New Roman" w:hAnsi="Times New Roman" w:cs="Times New Roman" w:eastAsia="Times New Roman" w:hint="default"/>
                <w:sz w:val="18"/>
                <w:szCs w:val="18"/>
              </w:rPr>
            </w:pPr>
            <w:r>
              <w:rPr>
                <w:rFonts w:ascii="Times New Roman"/>
                <w:sz w:val="18"/>
              </w:rPr>
              <w:t>2,811,408.56</w:t>
            </w:r>
          </w:p>
        </w:tc>
        <w:tc>
          <w:tcPr>
            <w:tcW w:w="1049"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3" w:right="0"/>
              <w:jc w:val="left"/>
              <w:rPr>
                <w:rFonts w:ascii="Times New Roman" w:hAnsi="Times New Roman" w:cs="Times New Roman" w:eastAsia="Times New Roman" w:hint="default"/>
                <w:sz w:val="18"/>
                <w:szCs w:val="18"/>
              </w:rPr>
            </w:pPr>
            <w:r>
              <w:rPr>
                <w:rFonts w:ascii="Times New Roman"/>
                <w:sz w:val="18"/>
              </w:rPr>
              <w:t>2,811,408.56</w:t>
            </w:r>
          </w:p>
        </w:tc>
        <w:tc>
          <w:tcPr>
            <w:tcW w:w="1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pStyle w:val="BodyText"/>
        <w:spacing w:line="240" w:lineRule="auto" w:before="44"/>
        <w:ind w:right="0"/>
        <w:jc w:val="left"/>
      </w:pPr>
      <w:r>
        <w:rPr/>
        <w:t>坏账准备减值情况</w:t>
      </w:r>
    </w:p>
    <w:p>
      <w:pPr>
        <w:pStyle w:val="BodyText"/>
        <w:spacing w:line="240" w:lineRule="auto" w:before="116"/>
        <w:ind w:left="0" w:right="113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6"/>
        <w:gridCol w:w="1650"/>
        <w:gridCol w:w="2099"/>
        <w:gridCol w:w="2099"/>
        <w:gridCol w:w="1804"/>
      </w:tblGrid>
      <w:tr>
        <w:trPr>
          <w:trHeight w:val="402" w:hRule="exact"/>
        </w:trPr>
        <w:tc>
          <w:tcPr>
            <w:tcW w:w="19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6" w:type="dxa"/>
            <w:vMerge/>
            <w:tcBorders>
              <w:left w:val="single" w:sz="4" w:space="0" w:color="000000"/>
              <w:bottom w:val="single" w:sz="4" w:space="0" w:color="000000"/>
              <w:right w:val="single" w:sz="4" w:space="0" w:color="000000"/>
            </w:tcBorders>
            <w:shd w:val="clear" w:color="auto" w:fill="D3D3D3"/>
          </w:tcPr>
          <w:p>
            <w:pPr/>
          </w:p>
        </w:tc>
        <w:tc>
          <w:tcPr>
            <w:tcW w:w="1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549" w:right="54" w:hanging="49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7"/>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7"/>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4" w:type="dxa"/>
            <w:vMerge/>
            <w:tcBorders>
              <w:left w:val="single" w:sz="4" w:space="0" w:color="000000"/>
              <w:bottom w:val="single" w:sz="4" w:space="0" w:color="000000"/>
              <w:right w:val="single" w:sz="4" w:space="0" w:color="000000"/>
            </w:tcBorders>
            <w:shd w:val="clear" w:color="auto" w:fill="D3D3D3"/>
          </w:tcPr>
          <w:p>
            <w:pP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37"/>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 本期</w:t>
            </w:r>
          </w:p>
        </w:tc>
        <w:tc>
          <w:tcPr>
            <w:tcW w:w="1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51"/>
        <w:ind w:right="0"/>
        <w:jc w:val="left"/>
      </w:pPr>
      <w:r>
        <w:rPr/>
        <w:t>损失准备本期变动金额重大的账面余额变动情况</w:t>
      </w:r>
    </w:p>
    <w:p>
      <w:pPr>
        <w:pStyle w:val="BodyText"/>
        <w:spacing w:line="240" w:lineRule="auto" w:before="116"/>
        <w:ind w:left="153"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9</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80"/>
        <w:gridCol w:w="797"/>
        <w:gridCol w:w="6076"/>
        <w:gridCol w:w="798"/>
        <w:gridCol w:w="798"/>
      </w:tblGrid>
      <w:tr>
        <w:trPr>
          <w:trHeight w:val="401" w:hRule="exact"/>
        </w:trPr>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3"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7"/>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7"/>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7"/>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80"/>
        <w:gridCol w:w="797"/>
        <w:gridCol w:w="797"/>
        <w:gridCol w:w="491"/>
        <w:gridCol w:w="798"/>
        <w:gridCol w:w="798"/>
        <w:gridCol w:w="798"/>
        <w:gridCol w:w="798"/>
        <w:gridCol w:w="798"/>
        <w:gridCol w:w="798"/>
        <w:gridCol w:w="798"/>
        <w:gridCol w:w="798"/>
      </w:tblGrid>
      <w:tr>
        <w:trPr>
          <w:trHeight w:val="1026" w:hRule="exact"/>
        </w:trPr>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10"/>
              <w:ind w:left="273" w:right="91" w:hanging="18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1" w:right="59"/>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10"/>
              <w:ind w:left="273" w:right="92" w:hanging="18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9548"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48"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石家庄常山 明荣家纺有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55,907.98</w:t>
            </w:r>
          </w:p>
        </w:tc>
        <w:tc>
          <w:tcPr>
            <w:tcW w:w="797"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-9,579.82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46,328.16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石家庄赛孚 纺织有限公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13,947,97</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7.63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883,200.0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w:t>
            </w:r>
          </w:p>
        </w:tc>
        <w:tc>
          <w:tcPr>
            <w:tcW w:w="491"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-7,140,25</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3.56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-7,690,92</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4.07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北京国智云 鼎科技有限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12,497,55</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0.70</w:t>
            </w:r>
          </w:p>
        </w:tc>
        <w:tc>
          <w:tcPr>
            <w:tcW w:w="797"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2,046,874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14,144,42</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5.57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26,501,43</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6.31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883,200.0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w:t>
            </w:r>
          </w:p>
        </w:tc>
        <w:tc>
          <w:tcPr>
            <w:tcW w:w="491"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-5,102,95</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8.51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-7,690,92</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4.07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14,190,75</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3.73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26,501,43</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6.31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883,200.0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w:t>
            </w:r>
          </w:p>
        </w:tc>
        <w:tc>
          <w:tcPr>
            <w:tcW w:w="491"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-5,102,95</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8.51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-7,690,92</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4.07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14,190,75</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3.73</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pStyle w:val="BodyText"/>
        <w:spacing w:line="240" w:lineRule="auto" w:before="116"/>
        <w:ind w:left="454" w:right="0"/>
        <w:jc w:val="left"/>
      </w:pPr>
      <w:r>
        <w:rPr/>
        <w:t>联营企业情况详见附注九、</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在合营安排或联营企业中的权益</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10</w:t>
      </w:r>
      <w:r>
        <w:rPr/>
        <w:t>、其他权益工具投资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河北国信投资控股集团股份有限公司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283,445.00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283,445.00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紫光创新投资有限公司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2,437,983.13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2,437,983.13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河北银行股份有限公司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25,933,500.00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25,933,500.00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北京未名雅集文化传播中心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北京北明兆业科技有限公司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30,194,928.13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30,194,928.13</w:t>
            </w:r>
          </w:p>
        </w:tc>
      </w:tr>
    </w:tbl>
    <w:p>
      <w:pPr>
        <w:pStyle w:val="BodyText"/>
        <w:spacing w:line="240" w:lineRule="auto" w:before="51"/>
        <w:ind w:right="0"/>
        <w:jc w:val="left"/>
      </w:pPr>
      <w:r>
        <w:rPr/>
        <w:t>分项披露本期非交易性权益工具投资</w:t>
      </w:r>
    </w:p>
    <w:p>
      <w:pPr>
        <w:pStyle w:val="BodyText"/>
        <w:spacing w:line="240" w:lineRule="auto" w:before="116"/>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55"/>
      </w:tblGrid>
      <w:tr>
        <w:trPr>
          <w:trHeight w:val="367" w:hRule="exact"/>
        </w:trPr>
        <w:tc>
          <w:tcPr>
            <w:tcW w:w="1369"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其他综合收益转</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71"/>
              <w:ind w:left="47" w:right="0"/>
              <w:jc w:val="left"/>
              <w:rPr>
                <w:rFonts w:ascii="宋体" w:hAnsi="宋体" w:cs="宋体" w:eastAsia="宋体" w:hint="default"/>
                <w:sz w:val="18"/>
                <w:szCs w:val="18"/>
              </w:rPr>
            </w:pPr>
            <w:r>
              <w:rPr>
                <w:rFonts w:ascii="宋体" w:hAnsi="宋体" w:cs="宋体" w:eastAsia="宋体" w:hint="default"/>
                <w:sz w:val="18"/>
                <w:szCs w:val="18"/>
              </w:rPr>
              <w:t>指定为以公允价</w:t>
            </w:r>
          </w:p>
        </w:tc>
        <w:tc>
          <w:tcPr>
            <w:tcW w:w="1355"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其他综合收益转</w:t>
            </w:r>
          </w:p>
        </w:tc>
      </w:tr>
      <w:tr>
        <w:trPr>
          <w:trHeight w:val="312" w:hRule="exact"/>
        </w:trPr>
        <w:tc>
          <w:tcPr>
            <w:tcW w:w="13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31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47" w:right="0"/>
              <w:jc w:val="left"/>
              <w:rPr>
                <w:rFonts w:ascii="宋体" w:hAnsi="宋体" w:cs="宋体" w:eastAsia="宋体" w:hint="default"/>
                <w:sz w:val="18"/>
                <w:szCs w:val="18"/>
              </w:rPr>
            </w:pPr>
            <w:r>
              <w:rPr>
                <w:rFonts w:ascii="宋体" w:hAnsi="宋体" w:cs="宋体" w:eastAsia="宋体" w:hint="default"/>
                <w:sz w:val="18"/>
                <w:szCs w:val="18"/>
              </w:rPr>
              <w:t>确认的股利收入</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317"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319"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入留存收益的金</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0"/>
              <w:ind w:left="47" w:right="0"/>
              <w:jc w:val="left"/>
              <w:rPr>
                <w:rFonts w:ascii="宋体" w:hAnsi="宋体" w:cs="宋体" w:eastAsia="宋体" w:hint="default"/>
                <w:sz w:val="18"/>
                <w:szCs w:val="18"/>
              </w:rPr>
            </w:pPr>
            <w:r>
              <w:rPr>
                <w:rFonts w:ascii="宋体" w:hAnsi="宋体" w:cs="宋体" w:eastAsia="宋体" w:hint="default"/>
                <w:sz w:val="18"/>
                <w:szCs w:val="18"/>
              </w:rPr>
              <w:t>值计量且其变动</w:t>
            </w:r>
          </w:p>
        </w:tc>
        <w:tc>
          <w:tcPr>
            <w:tcW w:w="135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35" w:lineRule="exact"/>
              <w:ind w:left="10" w:right="0"/>
              <w:jc w:val="center"/>
              <w:rPr>
                <w:rFonts w:ascii="宋体" w:hAnsi="宋体" w:cs="宋体" w:eastAsia="宋体" w:hint="default"/>
                <w:sz w:val="18"/>
                <w:szCs w:val="18"/>
              </w:rPr>
            </w:pPr>
            <w:r>
              <w:rPr>
                <w:rFonts w:ascii="宋体" w:hAnsi="宋体" w:cs="宋体" w:eastAsia="宋体" w:hint="default"/>
                <w:sz w:val="18"/>
                <w:szCs w:val="18"/>
              </w:rPr>
              <w:t>入留存收益的原</w:t>
            </w:r>
          </w:p>
        </w:tc>
      </w:tr>
      <w:tr>
        <w:trPr>
          <w:trHeight w:val="342" w:hRule="exact"/>
        </w:trPr>
        <w:tc>
          <w:tcPr>
            <w:tcW w:w="1369"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20"/>
              <w:ind w:left="47" w:right="0"/>
              <w:jc w:val="left"/>
              <w:rPr>
                <w:rFonts w:ascii="宋体" w:hAnsi="宋体" w:cs="宋体" w:eastAsia="宋体" w:hint="default"/>
                <w:sz w:val="18"/>
                <w:szCs w:val="18"/>
              </w:rPr>
            </w:pPr>
            <w:r>
              <w:rPr>
                <w:rFonts w:ascii="宋体" w:hAnsi="宋体" w:cs="宋体" w:eastAsia="宋体" w:hint="default"/>
                <w:sz w:val="18"/>
                <w:szCs w:val="18"/>
              </w:rPr>
              <w:t>计入其他综合收</w:t>
            </w:r>
          </w:p>
        </w:tc>
        <w:tc>
          <w:tcPr>
            <w:tcW w:w="1355"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
              <w:ind w:left="10" w:right="0"/>
              <w:jc w:val="center"/>
              <w:rPr>
                <w:rFonts w:ascii="宋体" w:hAnsi="宋体" w:cs="宋体" w:eastAsia="宋体" w:hint="default"/>
                <w:sz w:val="18"/>
                <w:szCs w:val="18"/>
              </w:rPr>
            </w:pPr>
            <w:r>
              <w:rPr>
                <w:rFonts w:ascii="宋体" w:hAnsi="宋体" w:cs="宋体" w:eastAsia="宋体" w:hint="default"/>
                <w:sz w:val="18"/>
                <w:szCs w:val="18"/>
              </w:rPr>
              <w:t>因</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36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17" w:right="0"/>
              <w:jc w:val="left"/>
              <w:rPr>
                <w:rFonts w:ascii="宋体" w:hAnsi="宋体" w:cs="宋体" w:eastAsia="宋体" w:hint="default"/>
                <w:sz w:val="18"/>
                <w:szCs w:val="18"/>
              </w:rPr>
            </w:pPr>
            <w:r>
              <w:rPr>
                <w:rFonts w:ascii="宋体" w:hAnsi="宋体" w:cs="宋体" w:eastAsia="宋体" w:hint="default"/>
                <w:sz w:val="18"/>
                <w:szCs w:val="18"/>
              </w:rPr>
              <w:t>益的原因</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pStyle w:val="BodyText"/>
        <w:spacing w:line="240" w:lineRule="auto" w:before="51"/>
        <w:ind w:right="0"/>
        <w:jc w:val="left"/>
      </w:pPr>
      <w:r>
        <w:rPr/>
        <w:t>其他说明：</w:t>
      </w:r>
    </w:p>
    <w:p>
      <w:pPr>
        <w:pStyle w:val="BodyText"/>
        <w:spacing w:line="316" w:lineRule="auto" w:before="116"/>
        <w:ind w:right="0" w:firstLine="290"/>
        <w:jc w:val="left"/>
      </w:pPr>
      <w:r>
        <w:rPr>
          <w:spacing w:val="-1"/>
        </w:rPr>
        <w:t>公司持有对以上五家公司的股权投资属于非交易性权益工具投资，因此公司将其指定为以公允价值计量且其变动计入其</w:t>
      </w:r>
      <w:r>
        <w:rPr/>
        <w:t> 他综合收益的权益工具投资。</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11</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6"/>
        <w:ind w:left="0" w:right="1131"/>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17"/>
        <w:gridCol w:w="1520"/>
        <w:gridCol w:w="1620"/>
        <w:gridCol w:w="1620"/>
        <w:gridCol w:w="1620"/>
      </w:tblGrid>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20"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2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200,529,768.12</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200,529,768.12</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20"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520"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520"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520"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20"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20"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520"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2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200,529,768.12</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200,529,768.12</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1520"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2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43,515,069.51</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43,515,069.51</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2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4,871,143.08</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4,871,143.08</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52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4,871,143.08</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4,871,143.08</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20"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20"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520"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2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48,386,212.59</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48,386,212.59</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20"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20"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20"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20"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20"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20"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11"/>
        <w:gridCol w:w="1537"/>
        <w:gridCol w:w="1620"/>
        <w:gridCol w:w="1620"/>
        <w:gridCol w:w="1620"/>
      </w:tblGrid>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4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537"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37"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37"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0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152,143,555.53</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152,143,555.53</w:t>
            </w:r>
          </w:p>
        </w:tc>
      </w:tr>
      <w:tr>
        <w:trPr>
          <w:trHeight w:val="402" w:hRule="exact"/>
        </w:trPr>
        <w:tc>
          <w:tcPr>
            <w:tcW w:w="32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0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5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157,014,698.61</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157,014,698.61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3"/>
        <w:spacing w:line="240" w:lineRule="auto"/>
        <w:ind w:right="0"/>
        <w:jc w:val="left"/>
        <w:rPr>
          <w:b w:val="0"/>
          <w:bCs w:val="0"/>
        </w:rPr>
      </w:pPr>
      <w:r>
        <w:rPr>
          <w:rFonts w:ascii="Times New Roman" w:hAnsi="Times New Roman" w:cs="Times New Roman" w:eastAsia="Times New Roman" w:hint="default"/>
        </w:rPr>
        <w:t>12</w:t>
      </w:r>
      <w:r>
        <w:rPr/>
        <w:t>、固定资产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2,431,114,559.71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2,218,418,198.24</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8,084,761.47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9,527,305.07</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2,439,199,321.18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2,227,945,503.31</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97"/>
        <w:gridCol w:w="1478"/>
        <w:gridCol w:w="1440"/>
        <w:gridCol w:w="1234"/>
        <w:gridCol w:w="1440"/>
        <w:gridCol w:w="1440"/>
      </w:tblGrid>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478" w:type="dxa"/>
            <w:tcBorders>
              <w:top w:val="single" w:sz="4" w:space="0" w:color="000000"/>
              <w:left w:val="single" w:sz="10" w:space="0" w:color="D3D3D3"/>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7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1,150,573,656.69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1,701,245,067.26</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19,732,180.76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165,939,889.44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3,037,490,794.15</w:t>
            </w: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7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121,729,557.41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212,103,666.81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1,424,153.84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60,579,503.54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395,836,881.60</w:t>
            </w: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78" w:type="dxa"/>
            <w:tcBorders>
              <w:top w:val="single" w:sz="4" w:space="0" w:color="000000"/>
              <w:left w:val="single" w:sz="10" w:space="0" w:color="D3D3D3"/>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3,711,467.25</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1,424,153.84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25,770,772.78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30,906,393.87</w:t>
            </w: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8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47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121,729,557.41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197,807,095.95</w:t>
            </w:r>
          </w:p>
        </w:tc>
        <w:tc>
          <w:tcPr>
            <w:tcW w:w="123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34,702,388.55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354,239,041.91</w:t>
            </w: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8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478" w:type="dxa"/>
            <w:tcBorders>
              <w:top w:val="single" w:sz="4" w:space="0" w:color="000000"/>
              <w:left w:val="single" w:sz="10" w:space="0" w:color="D3D3D3"/>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10,585,103.61</w:t>
            </w:r>
          </w:p>
        </w:tc>
        <w:tc>
          <w:tcPr>
            <w:tcW w:w="123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106,342.21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10,691,445.82</w:t>
            </w: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7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18,894,189.42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4,115,419.67</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1,215,912.93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1,724,564.71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25,950,086.73</w:t>
            </w: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47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18,894,189.42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4,115,419.67</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1,215,912.93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1,724,564.71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25,950,086.73</w:t>
            </w: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7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1,253,409,024.68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1,909,233,314.40</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19,940,421.67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224,794,828.27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3,407,377,589.02</w:t>
            </w: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478" w:type="dxa"/>
            <w:tcBorders>
              <w:top w:val="single" w:sz="4" w:space="0" w:color="000000"/>
              <w:left w:val="single" w:sz="10" w:space="0" w:color="D3D3D3"/>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7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176,819,895.76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563,696,965.48</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11,001,235.98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67,457,830.42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818,975,927.64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1"/>
        <w:gridCol w:w="1495"/>
        <w:gridCol w:w="1440"/>
        <w:gridCol w:w="1234"/>
        <w:gridCol w:w="1440"/>
        <w:gridCol w:w="1440"/>
      </w:tblGrid>
      <w:tr>
        <w:trPr>
          <w:trHeight w:val="402" w:hRule="exact"/>
        </w:trPr>
        <w:tc>
          <w:tcPr>
            <w:tcW w:w="2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40,352,895.43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107,470,309.71</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1,508,826.40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24,090,070.27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173,422,101.81</w:t>
            </w:r>
          </w:p>
        </w:tc>
      </w:tr>
      <w:tr>
        <w:trPr>
          <w:trHeight w:val="402" w:hRule="exact"/>
        </w:trPr>
        <w:tc>
          <w:tcPr>
            <w:tcW w:w="2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40,352,895.43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104,691,307.98</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1,508,826.40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24,001,733.12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170,554,762.93</w:t>
            </w:r>
          </w:p>
        </w:tc>
      </w:tr>
      <w:tr>
        <w:trPr>
          <w:trHeight w:val="402" w:hRule="exact"/>
        </w:trPr>
        <w:tc>
          <w:tcPr>
            <w:tcW w:w="2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66"/>
              <w:jc w:val="right"/>
              <w:rPr>
                <w:rFonts w:ascii="宋体" w:hAnsi="宋体" w:cs="宋体" w:eastAsia="宋体" w:hint="default"/>
                <w:sz w:val="18"/>
                <w:szCs w:val="18"/>
              </w:rPr>
            </w:pPr>
            <w:r>
              <w:rPr>
                <w:rFonts w:ascii="宋体" w:hAnsi="宋体" w:cs="宋体" w:eastAsia="宋体" w:hint="default"/>
                <w:sz w:val="18"/>
                <w:szCs w:val="18"/>
              </w:rPr>
              <w:t>企业合并增加</w:t>
            </w:r>
          </w:p>
        </w:tc>
        <w:tc>
          <w:tcPr>
            <w:tcW w:w="1495" w:type="dxa"/>
            <w:tcBorders>
              <w:top w:val="single" w:sz="4" w:space="0" w:color="000000"/>
              <w:left w:val="single" w:sz="10" w:space="0" w:color="D3D3D3"/>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2,779,001.73</w:t>
            </w:r>
          </w:p>
        </w:tc>
        <w:tc>
          <w:tcPr>
            <w:tcW w:w="123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88,337.15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2,867,338.88</w:t>
            </w:r>
          </w:p>
        </w:tc>
      </w:tr>
      <w:tr>
        <w:trPr>
          <w:trHeight w:val="402" w:hRule="exact"/>
        </w:trPr>
        <w:tc>
          <w:tcPr>
            <w:tcW w:w="2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11,651,541.75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2,496,851.04</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1,088,934.06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1,401,580.72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16,638,907.57</w:t>
            </w:r>
          </w:p>
        </w:tc>
      </w:tr>
      <w:tr>
        <w:trPr>
          <w:trHeight w:val="402" w:hRule="exact"/>
        </w:trPr>
        <w:tc>
          <w:tcPr>
            <w:tcW w:w="2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4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11,651,541.75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2,496,851.04</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1,088,934.06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1,401,580.72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16,638,907.57</w:t>
            </w:r>
          </w:p>
        </w:tc>
      </w:tr>
      <w:tr>
        <w:trPr>
          <w:trHeight w:val="402" w:hRule="exact"/>
        </w:trPr>
        <w:tc>
          <w:tcPr>
            <w:tcW w:w="2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205,521,249.44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668,670,424.15</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11,421,128.32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90,146,319.97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975,759,121.88</w:t>
            </w:r>
          </w:p>
        </w:tc>
      </w:tr>
      <w:tr>
        <w:trPr>
          <w:trHeight w:val="402" w:hRule="exact"/>
        </w:trPr>
        <w:tc>
          <w:tcPr>
            <w:tcW w:w="2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495" w:type="dxa"/>
            <w:tcBorders>
              <w:top w:val="single" w:sz="4" w:space="0" w:color="000000"/>
              <w:left w:val="single" w:sz="10" w:space="0" w:color="D3D3D3"/>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95" w:type="dxa"/>
            <w:tcBorders>
              <w:top w:val="single" w:sz="4" w:space="0" w:color="000000"/>
              <w:left w:val="single" w:sz="10" w:space="0" w:color="D3D3D3"/>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1,634.00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95,034.27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96,668.27</w:t>
            </w:r>
          </w:p>
        </w:tc>
      </w:tr>
      <w:tr>
        <w:trPr>
          <w:trHeight w:val="402" w:hRule="exact"/>
        </w:trPr>
        <w:tc>
          <w:tcPr>
            <w:tcW w:w="2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95" w:type="dxa"/>
            <w:tcBorders>
              <w:top w:val="single" w:sz="4" w:space="0" w:color="000000"/>
              <w:left w:val="single" w:sz="10" w:space="0" w:color="D3D3D3"/>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483,066.73</w:t>
            </w:r>
          </w:p>
        </w:tc>
        <w:tc>
          <w:tcPr>
            <w:tcW w:w="123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19,206.70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502,273.43</w:t>
            </w:r>
          </w:p>
        </w:tc>
      </w:tr>
      <w:tr>
        <w:trPr>
          <w:trHeight w:val="402" w:hRule="exact"/>
        </w:trPr>
        <w:tc>
          <w:tcPr>
            <w:tcW w:w="2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95" w:type="dxa"/>
            <w:tcBorders>
              <w:top w:val="single" w:sz="4" w:space="0" w:color="000000"/>
              <w:left w:val="single" w:sz="10" w:space="0" w:color="D3D3D3"/>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8,644.52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8,644.52</w:t>
            </w:r>
          </w:p>
        </w:tc>
      </w:tr>
      <w:tr>
        <w:trPr>
          <w:trHeight w:val="402" w:hRule="exact"/>
        </w:trPr>
        <w:tc>
          <w:tcPr>
            <w:tcW w:w="2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66"/>
              <w:jc w:val="right"/>
              <w:rPr>
                <w:rFonts w:ascii="宋体" w:hAnsi="宋体" w:cs="宋体" w:eastAsia="宋体" w:hint="default"/>
                <w:sz w:val="18"/>
                <w:szCs w:val="18"/>
              </w:rPr>
            </w:pPr>
            <w:r>
              <w:rPr>
                <w:rFonts w:ascii="宋体" w:hAnsi="宋体" w:cs="宋体" w:eastAsia="宋体" w:hint="default"/>
                <w:sz w:val="18"/>
                <w:szCs w:val="18"/>
              </w:rPr>
              <w:t>企业合并增加</w:t>
            </w:r>
          </w:p>
        </w:tc>
        <w:tc>
          <w:tcPr>
            <w:tcW w:w="1495" w:type="dxa"/>
            <w:tcBorders>
              <w:top w:val="single" w:sz="4" w:space="0" w:color="000000"/>
              <w:left w:val="single" w:sz="10" w:space="0" w:color="D3D3D3"/>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483,066.73</w:t>
            </w:r>
          </w:p>
        </w:tc>
        <w:tc>
          <w:tcPr>
            <w:tcW w:w="123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10,562.18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493,628.91</w:t>
            </w:r>
          </w:p>
        </w:tc>
      </w:tr>
      <w:tr>
        <w:trPr>
          <w:trHeight w:val="402" w:hRule="exact"/>
        </w:trPr>
        <w:tc>
          <w:tcPr>
            <w:tcW w:w="2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95" w:type="dxa"/>
            <w:tcBorders>
              <w:top w:val="single" w:sz="4" w:space="0" w:color="000000"/>
              <w:left w:val="single" w:sz="10" w:space="0" w:color="D3D3D3"/>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95,034.27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95,034.27</w:t>
            </w:r>
          </w:p>
        </w:tc>
      </w:tr>
      <w:tr>
        <w:trPr>
          <w:trHeight w:val="402" w:hRule="exact"/>
        </w:trPr>
        <w:tc>
          <w:tcPr>
            <w:tcW w:w="2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495" w:type="dxa"/>
            <w:tcBorders>
              <w:top w:val="single" w:sz="4" w:space="0" w:color="000000"/>
              <w:left w:val="single" w:sz="10" w:space="0" w:color="D3D3D3"/>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95,034.27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95,034.27</w:t>
            </w:r>
          </w:p>
        </w:tc>
      </w:tr>
      <w:tr>
        <w:trPr>
          <w:trHeight w:val="402" w:hRule="exact"/>
        </w:trPr>
        <w:tc>
          <w:tcPr>
            <w:tcW w:w="2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95" w:type="dxa"/>
            <w:tcBorders>
              <w:top w:val="single" w:sz="4" w:space="0" w:color="000000"/>
              <w:left w:val="single" w:sz="10" w:space="0" w:color="D3D3D3"/>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483,066.73</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1,634.00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19,206.70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503,907.43</w:t>
            </w:r>
          </w:p>
        </w:tc>
      </w:tr>
      <w:tr>
        <w:trPr>
          <w:trHeight w:val="402" w:hRule="exact"/>
        </w:trPr>
        <w:tc>
          <w:tcPr>
            <w:tcW w:w="2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495" w:type="dxa"/>
            <w:tcBorders>
              <w:top w:val="single" w:sz="4" w:space="0" w:color="000000"/>
              <w:left w:val="single" w:sz="10" w:space="0" w:color="D3D3D3"/>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4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1,047,887,775.24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1,240,079,823.52</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8,517,659.35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134,629,301.60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2,431,114,559.71</w:t>
            </w:r>
          </w:p>
        </w:tc>
      </w:tr>
      <w:tr>
        <w:trPr>
          <w:trHeight w:val="402" w:hRule="exact"/>
        </w:trPr>
        <w:tc>
          <w:tcPr>
            <w:tcW w:w="2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4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973,753,760.93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1,137,548,101.78</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8,729,310.78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98,387,024.75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2,218,418,198.24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部分房产建筑物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168,195,715.74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正在办理</w:t>
            </w:r>
          </w:p>
        </w:tc>
      </w:tr>
    </w:tbl>
    <w:p>
      <w:pPr>
        <w:pStyle w:val="BodyText"/>
        <w:spacing w:line="240" w:lineRule="auto" w:before="51"/>
        <w:ind w:right="0"/>
        <w:jc w:val="left"/>
      </w:pPr>
      <w:r>
        <w:rPr/>
        <w:t>其他说明</w:t>
      </w:r>
    </w:p>
    <w:p>
      <w:pPr>
        <w:pStyle w:val="BodyText"/>
        <w:spacing w:line="300" w:lineRule="auto" w:before="116"/>
        <w:ind w:left="153" w:right="1129" w:firstLine="397"/>
        <w:jc w:val="left"/>
      </w:pPr>
      <w:r>
        <w:rPr/>
        <w:t>公司以账面原值</w:t>
      </w:r>
      <w:r>
        <w:rPr>
          <w:rFonts w:ascii="Times New Roman" w:hAnsi="Times New Roman" w:cs="Times New Roman" w:eastAsia="Times New Roman" w:hint="default"/>
        </w:rPr>
        <w:t>237,457,097.40</w:t>
      </w:r>
      <w:r>
        <w:rPr/>
        <w:t>元、累计折旧</w:t>
      </w:r>
      <w:r>
        <w:rPr>
          <w:rFonts w:ascii="Times New Roman" w:hAnsi="Times New Roman" w:cs="Times New Roman" w:eastAsia="Times New Roman" w:hint="default"/>
        </w:rPr>
        <w:t>44,050,723.32</w:t>
      </w:r>
      <w:r>
        <w:rPr/>
        <w:t>元、净额</w:t>
      </w:r>
      <w:r>
        <w:rPr>
          <w:rFonts w:ascii="Times New Roman" w:hAnsi="Times New Roman" w:cs="Times New Roman" w:eastAsia="Times New Roman" w:hint="default"/>
        </w:rPr>
        <w:t>193,406,374.08</w:t>
      </w:r>
      <w:r>
        <w:rPr/>
        <w:t>元的房屋建筑物抵押向大华银行香港 分行借款</w:t>
      </w:r>
      <w:r>
        <w:rPr>
          <w:rFonts w:ascii="Times New Roman" w:hAnsi="Times New Roman" w:cs="Times New Roman" w:eastAsia="Times New Roman" w:hint="default"/>
        </w:rPr>
        <w:t>19,600,000.00</w:t>
      </w:r>
      <w:r>
        <w:rPr/>
        <w:t>美元，期末折合人民币</w:t>
      </w:r>
      <w:r>
        <w:rPr>
          <w:rFonts w:ascii="Times New Roman" w:hAnsi="Times New Roman" w:cs="Times New Roman" w:eastAsia="Times New Roman" w:hint="default"/>
        </w:rPr>
        <w:t>136,733,520.00</w:t>
      </w:r>
      <w:r>
        <w:rPr/>
        <w:t>元。</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）固定资产清理</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8,084,761.47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9,527,305.07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8,084,761.47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9,527,305.07</w:t>
            </w:r>
          </w:p>
        </w:tc>
      </w:tr>
    </w:tbl>
    <w:p>
      <w:pPr>
        <w:pStyle w:val="BodyText"/>
        <w:spacing w:line="240" w:lineRule="auto" w:before="51"/>
        <w:ind w:right="0"/>
        <w:jc w:val="left"/>
      </w:pPr>
      <w:r>
        <w:rPr/>
        <w:t>其他说明</w:t>
      </w:r>
    </w:p>
    <w:p>
      <w:pPr>
        <w:pStyle w:val="BodyText"/>
        <w:spacing w:line="240" w:lineRule="auto" w:before="115"/>
        <w:ind w:left="444" w:right="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日固定资产清理账面余额</w:t>
      </w:r>
      <w:r>
        <w:rPr>
          <w:rFonts w:ascii="Times New Roman" w:hAnsi="Times New Roman" w:cs="Times New Roman" w:eastAsia="Times New Roman" w:hint="default"/>
        </w:rPr>
        <w:t>15,728,511.43</w:t>
      </w:r>
      <w:r>
        <w:rPr/>
        <w:t>元，期末资产减值准备</w:t>
      </w:r>
      <w:r>
        <w:rPr>
          <w:rFonts w:ascii="Times New Roman" w:hAnsi="Times New Roman" w:cs="Times New Roman" w:eastAsia="Times New Roman" w:hint="default"/>
        </w:rPr>
        <w:t>7,643,749.96</w:t>
      </w:r>
      <w:r>
        <w:rPr/>
        <w:t>元。</w:t>
      </w:r>
    </w:p>
    <w:p>
      <w:pPr>
        <w:spacing w:after="0" w:line="240" w:lineRule="auto"/>
        <w:jc w:val="left"/>
        <w:sectPr>
          <w:pgSz w:w="11910" w:h="16840"/>
          <w:pgMar w:header="747"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13</w:t>
      </w:r>
      <w:r>
        <w:rPr/>
        <w:t>、在建工程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377,435,457.21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583,884,575.89</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377,435,457.21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583,884,575.89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40"/>
        <w:gridCol w:w="1368"/>
        <w:gridCol w:w="972"/>
        <w:gridCol w:w="1367"/>
        <w:gridCol w:w="1367"/>
        <w:gridCol w:w="866"/>
        <w:gridCol w:w="1260"/>
      </w:tblGrid>
      <w:tr>
        <w:trPr>
          <w:trHeight w:val="402" w:hRule="exact"/>
        </w:trPr>
        <w:tc>
          <w:tcPr>
            <w:tcW w:w="234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0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9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340"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9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3"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常山云数据中心一期工程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312,394,649.65</w:t>
            </w:r>
          </w:p>
        </w:tc>
        <w:tc>
          <w:tcPr>
            <w:tcW w:w="9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312,394,649.65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526,533,315.38</w:t>
            </w:r>
          </w:p>
        </w:tc>
        <w:tc>
          <w:tcPr>
            <w:tcW w:w="86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526,533,315.38</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智能物流仓库项目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43,642,327.50</w:t>
            </w:r>
          </w:p>
        </w:tc>
        <w:tc>
          <w:tcPr>
            <w:tcW w:w="9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43,642,327.50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35,876,678.73</w:t>
            </w:r>
          </w:p>
        </w:tc>
        <w:tc>
          <w:tcPr>
            <w:tcW w:w="86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35,876,678.73</w:t>
            </w:r>
          </w:p>
        </w:tc>
      </w:tr>
      <w:tr>
        <w:trPr>
          <w:trHeight w:val="714"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常山恒宏纺织服装综合建设 项目一期工程</w:t>
            </w:r>
          </w:p>
        </w:tc>
        <w:tc>
          <w:tcPr>
            <w:tcW w:w="1368"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2,528,987.35</w:t>
            </w:r>
          </w:p>
        </w:tc>
        <w:tc>
          <w:tcPr>
            <w:tcW w:w="86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2,528,987.35</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纺织智能制造项目一期工程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16,932,478.24</w:t>
            </w:r>
          </w:p>
        </w:tc>
        <w:tc>
          <w:tcPr>
            <w:tcW w:w="9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16,932,478.24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16,442,016.57</w:t>
            </w:r>
          </w:p>
        </w:tc>
        <w:tc>
          <w:tcPr>
            <w:tcW w:w="86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16,442,016.57</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4,466,001.82</w:t>
            </w:r>
          </w:p>
        </w:tc>
        <w:tc>
          <w:tcPr>
            <w:tcW w:w="9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4,466,001.82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2,503,577.86</w:t>
            </w:r>
          </w:p>
        </w:tc>
        <w:tc>
          <w:tcPr>
            <w:tcW w:w="86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2,503,577.86</w:t>
            </w:r>
          </w:p>
        </w:tc>
      </w:tr>
      <w:tr>
        <w:trPr>
          <w:trHeight w:val="402" w:hRule="exact"/>
        </w:trPr>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377,435,457.21</w:t>
            </w:r>
          </w:p>
        </w:tc>
        <w:tc>
          <w:tcPr>
            <w:tcW w:w="9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377,435,457.21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583,884,575.89</w:t>
            </w:r>
          </w:p>
        </w:tc>
        <w:tc>
          <w:tcPr>
            <w:tcW w:w="866"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583,884,575.89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9"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357"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常山恒</w:t>
            </w: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宏纺织</w:t>
            </w: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628"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57"/>
              <w:jc w:val="left"/>
              <w:rPr>
                <w:rFonts w:ascii="宋体" w:hAnsi="宋体" w:cs="宋体" w:eastAsia="宋体" w:hint="default"/>
                <w:sz w:val="18"/>
                <w:szCs w:val="18"/>
              </w:rPr>
            </w:pPr>
            <w:r>
              <w:rPr>
                <w:rFonts w:ascii="宋体" w:hAnsi="宋体" w:cs="宋体" w:eastAsia="宋体" w:hint="default"/>
                <w:sz w:val="18"/>
                <w:szCs w:val="18"/>
              </w:rPr>
              <w:t>服装综 合建设</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50" w:right="0"/>
              <w:jc w:val="center"/>
              <w:rPr>
                <w:rFonts w:ascii="Times New Roman" w:hAnsi="Times New Roman" w:cs="Times New Roman" w:eastAsia="Times New Roman" w:hint="default"/>
                <w:sz w:val="18"/>
                <w:szCs w:val="18"/>
              </w:rPr>
            </w:pPr>
            <w:r>
              <w:rPr>
                <w:rFonts w:ascii="Times New Roman"/>
                <w:sz w:val="18"/>
              </w:rPr>
              <w:t>590,000,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4" w:right="0"/>
              <w:jc w:val="left"/>
              <w:rPr>
                <w:rFonts w:ascii="Times New Roman" w:hAnsi="Times New Roman" w:cs="Times New Roman" w:eastAsia="Times New Roman" w:hint="default"/>
                <w:sz w:val="18"/>
                <w:szCs w:val="18"/>
              </w:rPr>
            </w:pPr>
            <w:r>
              <w:rPr>
                <w:rFonts w:ascii="Times New Roman"/>
                <w:sz w:val="18"/>
              </w:rPr>
              <w:t>2,528,98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7.35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3" w:right="0"/>
              <w:jc w:val="left"/>
              <w:rPr>
                <w:rFonts w:ascii="Times New Roman" w:hAnsi="Times New Roman" w:cs="Times New Roman" w:eastAsia="Times New Roman" w:hint="default"/>
                <w:sz w:val="18"/>
                <w:szCs w:val="18"/>
              </w:rPr>
            </w:pPr>
            <w:r>
              <w:rPr>
                <w:rFonts w:ascii="Times New Roman"/>
                <w:sz w:val="18"/>
              </w:rPr>
              <w:t>3,136,47</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5.09</w:t>
            </w:r>
          </w:p>
        </w:tc>
        <w:tc>
          <w:tcPr>
            <w:tcW w:w="736"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4" w:right="0"/>
              <w:jc w:val="left"/>
              <w:rPr>
                <w:rFonts w:ascii="Times New Roman" w:hAnsi="Times New Roman" w:cs="Times New Roman" w:eastAsia="Times New Roman" w:hint="default"/>
                <w:sz w:val="18"/>
                <w:szCs w:val="18"/>
              </w:rPr>
            </w:pPr>
            <w:r>
              <w:rPr>
                <w:rFonts w:ascii="Times New Roman"/>
                <w:sz w:val="18"/>
              </w:rPr>
              <w:t>5,665,46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2.44</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08"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项目一</w:t>
            </w:r>
          </w:p>
        </w:tc>
        <w:tc>
          <w:tcPr>
            <w:tcW w:w="736" w:type="dxa"/>
            <w:tcBorders>
              <w:top w:val="nil" w:sz="6" w:space="0" w:color="auto"/>
              <w:left w:val="single" w:sz="4" w:space="0" w:color="000000"/>
              <w:bottom w:val="nil" w:sz="6" w:space="0" w:color="auto"/>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7" w:type="dxa"/>
            <w:tcBorders>
              <w:top w:val="nil" w:sz="6" w:space="0" w:color="auto"/>
              <w:left w:val="single" w:sz="4" w:space="0" w:color="000000"/>
              <w:bottom w:val="nil" w:sz="6" w:space="0" w:color="auto"/>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期工程</w:t>
            </w: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常山云</w:t>
            </w: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项目进</w:t>
            </w: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57"/>
              <w:jc w:val="left"/>
              <w:rPr>
                <w:rFonts w:ascii="宋体" w:hAnsi="宋体" w:cs="宋体" w:eastAsia="宋体" w:hint="default"/>
                <w:sz w:val="18"/>
                <w:szCs w:val="18"/>
              </w:rPr>
            </w:pPr>
            <w:r>
              <w:rPr>
                <w:rFonts w:ascii="宋体" w:hAnsi="宋体" w:cs="宋体" w:eastAsia="宋体" w:hint="default"/>
                <w:sz w:val="18"/>
                <w:szCs w:val="18"/>
              </w:rPr>
              <w:t>数据中 心一期</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50" w:right="0"/>
              <w:jc w:val="center"/>
              <w:rPr>
                <w:rFonts w:ascii="Times New Roman" w:hAnsi="Times New Roman" w:cs="Times New Roman" w:eastAsia="Times New Roman" w:hint="default"/>
                <w:sz w:val="18"/>
                <w:szCs w:val="18"/>
              </w:rPr>
            </w:pPr>
            <w:r>
              <w:rPr>
                <w:rFonts w:ascii="Times New Roman"/>
                <w:sz w:val="18"/>
              </w:rPr>
              <w:t>800,700,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52" w:right="0"/>
              <w:jc w:val="center"/>
              <w:rPr>
                <w:rFonts w:ascii="Times New Roman" w:hAnsi="Times New Roman" w:cs="Times New Roman" w:eastAsia="Times New Roman" w:hint="default"/>
                <w:sz w:val="18"/>
                <w:szCs w:val="18"/>
              </w:rPr>
            </w:pPr>
            <w:r>
              <w:rPr>
                <w:rFonts w:ascii="Times New Roman"/>
                <w:sz w:val="18"/>
              </w:rPr>
              <w:t>526,533,</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315.38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50" w:right="0"/>
              <w:jc w:val="center"/>
              <w:rPr>
                <w:rFonts w:ascii="Times New Roman" w:hAnsi="Times New Roman" w:cs="Times New Roman" w:eastAsia="Times New Roman" w:hint="default"/>
                <w:sz w:val="18"/>
                <w:szCs w:val="18"/>
              </w:rPr>
            </w:pPr>
            <w:r>
              <w:rPr>
                <w:rFonts w:ascii="Times New Roman"/>
                <w:sz w:val="18"/>
              </w:rPr>
              <w:t>107,604,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165.49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50" w:right="0"/>
              <w:jc w:val="center"/>
              <w:rPr>
                <w:rFonts w:ascii="Times New Roman" w:hAnsi="Times New Roman" w:cs="Times New Roman" w:eastAsia="Times New Roman" w:hint="default"/>
                <w:sz w:val="18"/>
                <w:szCs w:val="18"/>
              </w:rPr>
            </w:pPr>
            <w:r>
              <w:rPr>
                <w:rFonts w:ascii="Times New Roman"/>
                <w:sz w:val="18"/>
              </w:rPr>
              <w:t>321,742,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831.22</w:t>
            </w: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50" w:right="0"/>
              <w:jc w:val="center"/>
              <w:rPr>
                <w:rFonts w:ascii="Times New Roman" w:hAnsi="Times New Roman" w:cs="Times New Roman" w:eastAsia="Times New Roman" w:hint="default"/>
                <w:sz w:val="18"/>
                <w:szCs w:val="18"/>
              </w:rPr>
            </w:pPr>
            <w:r>
              <w:rPr>
                <w:rFonts w:ascii="Times New Roman"/>
                <w:sz w:val="18"/>
              </w:rPr>
              <w:t>312,394,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649.65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79.20%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pacing w:val="-10"/>
                <w:sz w:val="18"/>
                <w:szCs w:val="18"/>
              </w:rPr>
              <w:t>行中，部</w:t>
            </w:r>
            <w:r>
              <w:rPr>
                <w:rFonts w:ascii="宋体" w:hAnsi="宋体" w:cs="宋体" w:eastAsia="宋体" w:hint="default"/>
                <w:sz w:val="18"/>
                <w:szCs w:val="18"/>
              </w:rPr>
              <w:t> 分已完</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3" w:right="0"/>
              <w:jc w:val="left"/>
              <w:rPr>
                <w:rFonts w:ascii="Times New Roman" w:hAnsi="Times New Roman" w:cs="Times New Roman" w:eastAsia="Times New Roman" w:hint="default"/>
                <w:sz w:val="18"/>
                <w:szCs w:val="18"/>
              </w:rPr>
            </w:pPr>
            <w:r>
              <w:rPr>
                <w:rFonts w:ascii="Times New Roman"/>
                <w:sz w:val="18"/>
              </w:rPr>
              <w:t>9,839,44</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3.72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73" w:right="0"/>
              <w:jc w:val="left"/>
              <w:rPr>
                <w:rFonts w:ascii="Times New Roman" w:hAnsi="Times New Roman" w:cs="Times New Roman" w:eastAsia="Times New Roman" w:hint="default"/>
                <w:sz w:val="18"/>
                <w:szCs w:val="18"/>
              </w:rPr>
            </w:pPr>
            <w:r>
              <w:rPr>
                <w:rFonts w:ascii="Times New Roman"/>
                <w:sz w:val="18"/>
              </w:rPr>
              <w:t>9,839,44</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3.72</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353"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工程</w:t>
            </w: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工</w:t>
            </w: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7"/>
              <w:jc w:val="both"/>
              <w:rPr>
                <w:rFonts w:ascii="宋体" w:hAnsi="宋体" w:cs="宋体" w:eastAsia="宋体" w:hint="default"/>
                <w:sz w:val="18"/>
                <w:szCs w:val="18"/>
              </w:rPr>
            </w:pPr>
            <w:r>
              <w:rPr>
                <w:rFonts w:ascii="宋体" w:hAnsi="宋体" w:cs="宋体" w:eastAsia="宋体" w:hint="default"/>
                <w:sz w:val="18"/>
                <w:szCs w:val="18"/>
              </w:rPr>
              <w:t>智能物 流仓库 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64,100,0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35,876,6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78.73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7,765,64</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8.77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43,642,3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27.50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68.08%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项目进 行中</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2,032,63</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9.16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2,032,63</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7"/>
              <w:jc w:val="both"/>
              <w:rPr>
                <w:rFonts w:ascii="宋体" w:hAnsi="宋体" w:cs="宋体" w:eastAsia="宋体" w:hint="default"/>
                <w:sz w:val="18"/>
                <w:szCs w:val="18"/>
              </w:rPr>
            </w:pPr>
            <w:r>
              <w:rPr>
                <w:rFonts w:ascii="宋体" w:hAnsi="宋体" w:cs="宋体" w:eastAsia="宋体" w:hint="default"/>
                <w:sz w:val="18"/>
                <w:szCs w:val="18"/>
              </w:rPr>
              <w:t>纺织智 能制造 项目一 期工程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22,877,2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16,442,0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16.57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490,461.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16,932,4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78.24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74.01%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61"/>
              <w:jc w:val="left"/>
              <w:rPr>
                <w:rFonts w:ascii="宋体" w:hAnsi="宋体" w:cs="宋体" w:eastAsia="宋体" w:hint="default"/>
                <w:sz w:val="18"/>
                <w:szCs w:val="18"/>
              </w:rPr>
            </w:pPr>
            <w:r>
              <w:rPr>
                <w:rFonts w:ascii="宋体" w:hAnsi="宋体" w:cs="宋体" w:eastAsia="宋体" w:hint="default"/>
                <w:sz w:val="18"/>
                <w:szCs w:val="18"/>
              </w:rPr>
              <w:t>项目进 行中</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105,216.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48</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1,477,67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7,200.00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581,380,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998.03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118,996,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751.02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321,742,</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831.22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5,665,46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372,969,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455.39</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11,977,2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99.36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11,872,0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82.88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pStyle w:val="BodyText"/>
        <w:spacing w:line="240" w:lineRule="auto" w:before="116"/>
        <w:ind w:left="514" w:right="0"/>
        <w:jc w:val="left"/>
      </w:pPr>
      <w:r>
        <w:rPr>
          <w:rFonts w:ascii="Times New Roman" w:hAnsi="Times New Roman" w:cs="Times New Roman" w:eastAsia="Times New Roman" w:hint="default"/>
        </w:rPr>
        <w:t>1</w:t>
      </w:r>
      <w:r>
        <w:rPr/>
        <w:t>、本期在建工程中用于确定资本化金额的资本化利率</w:t>
      </w:r>
      <w:r>
        <w:rPr>
          <w:rFonts w:ascii="Times New Roman" w:hAnsi="Times New Roman" w:cs="Times New Roman" w:eastAsia="Times New Roman" w:hint="default"/>
        </w:rPr>
        <w:t>4.90%</w:t>
      </w:r>
      <w:r>
        <w:rPr/>
        <w:t>。</w:t>
      </w:r>
    </w:p>
    <w:p>
      <w:pPr>
        <w:pStyle w:val="BodyText"/>
        <w:spacing w:line="300" w:lineRule="auto" w:before="63"/>
        <w:ind w:left="153" w:right="1121" w:firstLine="360"/>
        <w:jc w:val="left"/>
      </w:pPr>
      <w:r>
        <w:rPr>
          <w:rFonts w:ascii="Times New Roman" w:hAnsi="Times New Roman" w:cs="Times New Roman" w:eastAsia="Times New Roman" w:hint="default"/>
        </w:rPr>
        <w:t>2</w:t>
      </w:r>
      <w:r>
        <w:rPr/>
        <w:t>、经公司董事会七届十一次决议通过，常山恒宏纺织服装综合建设项目一期工程停止建设，公司将该项目的在建工程 余额转入营业外支出。</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14</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48"/>
        <w:gridCol w:w="1208"/>
        <w:gridCol w:w="1144"/>
        <w:gridCol w:w="720"/>
        <w:gridCol w:w="1196"/>
        <w:gridCol w:w="1144"/>
        <w:gridCol w:w="1028"/>
        <w:gridCol w:w="1195"/>
      </w:tblGrid>
      <w:tr>
        <w:trPr>
          <w:trHeight w:val="161" w:hRule="exact"/>
        </w:trPr>
        <w:tc>
          <w:tcPr>
            <w:tcW w:w="2148" w:type="dxa"/>
            <w:tcBorders>
              <w:top w:val="single" w:sz="4" w:space="0" w:color="000000"/>
              <w:left w:val="single" w:sz="4" w:space="0" w:color="000000"/>
              <w:bottom w:val="nil" w:sz="6" w:space="0" w:color="auto"/>
              <w:right w:val="single" w:sz="4" w:space="0" w:color="000000"/>
            </w:tcBorders>
            <w:shd w:val="clear" w:color="auto" w:fill="D3D3D3"/>
          </w:tcPr>
          <w:p>
            <w:pPr/>
          </w:p>
        </w:tc>
        <w:tc>
          <w:tcPr>
            <w:tcW w:w="1208" w:type="dxa"/>
            <w:tcBorders>
              <w:top w:val="single" w:sz="4" w:space="0" w:color="000000"/>
              <w:left w:val="single" w:sz="4" w:space="0" w:color="000000"/>
              <w:bottom w:val="nil" w:sz="6" w:space="0" w:color="auto"/>
              <w:right w:val="single" w:sz="4" w:space="0" w:color="000000"/>
            </w:tcBorders>
            <w:shd w:val="clear" w:color="auto" w:fill="D3D3D3"/>
          </w:tcPr>
          <w:p>
            <w:pPr/>
          </w:p>
        </w:tc>
        <w:tc>
          <w:tcPr>
            <w:tcW w:w="1144" w:type="dxa"/>
            <w:tcBorders>
              <w:top w:val="single" w:sz="4" w:space="0" w:color="000000"/>
              <w:left w:val="single" w:sz="4" w:space="0" w:color="000000"/>
              <w:bottom w:val="nil" w:sz="6" w:space="0" w:color="auto"/>
              <w:right w:val="single" w:sz="4" w:space="0" w:color="000000"/>
            </w:tcBorders>
            <w:shd w:val="clear" w:color="auto" w:fill="D3D3D3"/>
          </w:tcPr>
          <w:p>
            <w:pPr/>
          </w:p>
        </w:tc>
        <w:tc>
          <w:tcPr>
            <w:tcW w:w="72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73" w:right="84" w:hanging="90"/>
              <w:jc w:val="left"/>
              <w:rPr>
                <w:rFonts w:ascii="宋体" w:hAnsi="宋体" w:cs="宋体" w:eastAsia="宋体" w:hint="default"/>
                <w:sz w:val="18"/>
                <w:szCs w:val="18"/>
              </w:rPr>
            </w:pPr>
            <w:r>
              <w:rPr>
                <w:rFonts w:ascii="宋体" w:hAnsi="宋体" w:cs="宋体" w:eastAsia="宋体" w:hint="default"/>
                <w:sz w:val="18"/>
                <w:szCs w:val="18"/>
              </w:rPr>
              <w:t>非专利 技术</w:t>
            </w:r>
          </w:p>
        </w:tc>
        <w:tc>
          <w:tcPr>
            <w:tcW w:w="11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144" w:type="dxa"/>
            <w:tcBorders>
              <w:top w:val="single" w:sz="4" w:space="0" w:color="000000"/>
              <w:left w:val="single" w:sz="4" w:space="0" w:color="000000"/>
              <w:bottom w:val="nil" w:sz="6" w:space="0" w:color="auto"/>
              <w:right w:val="single" w:sz="4" w:space="0" w:color="000000"/>
            </w:tcBorders>
            <w:shd w:val="clear" w:color="auto" w:fill="D3D3D3"/>
          </w:tcPr>
          <w:p>
            <w:pPr/>
          </w:p>
        </w:tc>
        <w:tc>
          <w:tcPr>
            <w:tcW w:w="1028" w:type="dxa"/>
            <w:tcBorders>
              <w:top w:val="single" w:sz="4" w:space="0" w:color="000000"/>
              <w:left w:val="single" w:sz="4" w:space="0" w:color="000000"/>
              <w:bottom w:val="nil" w:sz="6" w:space="0" w:color="auto"/>
              <w:right w:val="single" w:sz="4" w:space="0" w:color="000000"/>
            </w:tcBorders>
            <w:shd w:val="clear" w:color="auto" w:fill="D3D3D3"/>
          </w:tcPr>
          <w:p>
            <w:pPr/>
          </w:p>
        </w:tc>
        <w:tc>
          <w:tcPr>
            <w:tcW w:w="119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214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4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96"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720" w:type="dxa"/>
            <w:vMerge/>
            <w:tcBorders>
              <w:left w:val="single" w:sz="4" w:space="0" w:color="000000"/>
              <w:right w:val="single" w:sz="4" w:space="0" w:color="000000"/>
            </w:tcBorders>
            <w:shd w:val="clear" w:color="auto" w:fill="D3D3D3"/>
          </w:tcPr>
          <w:p>
            <w:pPr/>
          </w:p>
        </w:tc>
        <w:tc>
          <w:tcPr>
            <w:tcW w:w="11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114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专有技术</w:t>
            </w:r>
          </w:p>
        </w:tc>
        <w:tc>
          <w:tcPr>
            <w:tcW w:w="102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61" w:hRule="exact"/>
        </w:trPr>
        <w:tc>
          <w:tcPr>
            <w:tcW w:w="2148" w:type="dxa"/>
            <w:tcBorders>
              <w:top w:val="nil" w:sz="6" w:space="0" w:color="auto"/>
              <w:left w:val="single" w:sz="4" w:space="0" w:color="000000"/>
              <w:bottom w:val="single" w:sz="4" w:space="0" w:color="000000"/>
              <w:right w:val="single" w:sz="4" w:space="0" w:color="000000"/>
            </w:tcBorders>
            <w:shd w:val="clear" w:color="auto" w:fill="D3D3D3"/>
          </w:tcPr>
          <w:p>
            <w:pPr/>
          </w:p>
        </w:tc>
        <w:tc>
          <w:tcPr>
            <w:tcW w:w="1208" w:type="dxa"/>
            <w:tcBorders>
              <w:top w:val="nil" w:sz="6" w:space="0" w:color="auto"/>
              <w:left w:val="single" w:sz="4" w:space="0" w:color="000000"/>
              <w:bottom w:val="single" w:sz="4" w:space="0" w:color="000000"/>
              <w:right w:val="single" w:sz="4" w:space="0" w:color="000000"/>
            </w:tcBorders>
            <w:shd w:val="clear" w:color="auto" w:fill="D3D3D3"/>
          </w:tcPr>
          <w:p>
            <w:pPr/>
          </w:p>
        </w:tc>
        <w:tc>
          <w:tcPr>
            <w:tcW w:w="1144" w:type="dxa"/>
            <w:tcBorders>
              <w:top w:val="nil" w:sz="6" w:space="0" w:color="auto"/>
              <w:left w:val="single" w:sz="4" w:space="0" w:color="000000"/>
              <w:bottom w:val="single" w:sz="4" w:space="0" w:color="000000"/>
              <w:right w:val="single" w:sz="4" w:space="0" w:color="000000"/>
            </w:tcBorders>
            <w:shd w:val="clear" w:color="auto" w:fill="D3D3D3"/>
          </w:tcPr>
          <w:p>
            <w:pPr/>
          </w:p>
        </w:tc>
        <w:tc>
          <w:tcPr>
            <w:tcW w:w="720" w:type="dxa"/>
            <w:vMerge/>
            <w:tcBorders>
              <w:left w:val="single" w:sz="4" w:space="0" w:color="000000"/>
              <w:bottom w:val="single" w:sz="4" w:space="0" w:color="000000"/>
              <w:right w:val="single" w:sz="4" w:space="0" w:color="000000"/>
            </w:tcBorders>
            <w:shd w:val="clear" w:color="auto" w:fill="D3D3D3"/>
          </w:tcPr>
          <w:p>
            <w:pPr/>
          </w:p>
        </w:tc>
        <w:tc>
          <w:tcPr>
            <w:tcW w:w="11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144" w:type="dxa"/>
            <w:tcBorders>
              <w:top w:val="nil" w:sz="6" w:space="0" w:color="auto"/>
              <w:left w:val="single" w:sz="4" w:space="0" w:color="000000"/>
              <w:bottom w:val="single" w:sz="4" w:space="0" w:color="000000"/>
              <w:right w:val="single" w:sz="4" w:space="0" w:color="000000"/>
            </w:tcBorders>
            <w:shd w:val="clear" w:color="auto" w:fill="D3D3D3"/>
          </w:tcPr>
          <w:p>
            <w:pPr/>
          </w:p>
        </w:tc>
        <w:tc>
          <w:tcPr>
            <w:tcW w:w="1028"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1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208" w:type="dxa"/>
            <w:tcBorders>
              <w:top w:val="single" w:sz="4" w:space="0" w:color="000000"/>
              <w:left w:val="single" w:sz="10" w:space="0" w:color="D3D3D3"/>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220,978,394.10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4,646,500.00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209,003,286.58</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57,504,926.16</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7,507,696.89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499,640,803.73</w:t>
            </w:r>
          </w:p>
        </w:tc>
      </w:tr>
      <w:tr>
        <w:trPr>
          <w:trHeight w:val="402" w:hRule="exact"/>
        </w:trPr>
        <w:tc>
          <w:tcPr>
            <w:tcW w:w="21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8" w:type="dxa"/>
            <w:tcBorders>
              <w:top w:val="single" w:sz="4" w:space="0" w:color="000000"/>
              <w:left w:val="single" w:sz="10" w:space="0" w:color="D3D3D3"/>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108,188,857.62</w:t>
            </w:r>
          </w:p>
        </w:tc>
        <w:tc>
          <w:tcPr>
            <w:tcW w:w="114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1,419,416.75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109,608,274.37</w:t>
            </w:r>
          </w:p>
        </w:tc>
      </w:tr>
      <w:tr>
        <w:trPr>
          <w:trHeight w:val="402" w:hRule="exact"/>
        </w:trPr>
        <w:tc>
          <w:tcPr>
            <w:tcW w:w="21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208" w:type="dxa"/>
            <w:tcBorders>
              <w:top w:val="single" w:sz="4" w:space="0" w:color="000000"/>
              <w:left w:val="single" w:sz="10" w:space="0" w:color="D3D3D3"/>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990,433.88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990,433.88</w:t>
            </w:r>
          </w:p>
        </w:tc>
      </w:tr>
      <w:tr>
        <w:trPr>
          <w:trHeight w:val="402" w:hRule="exact"/>
        </w:trPr>
        <w:tc>
          <w:tcPr>
            <w:tcW w:w="21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208" w:type="dxa"/>
            <w:tcBorders>
              <w:top w:val="single" w:sz="4" w:space="0" w:color="000000"/>
              <w:left w:val="single" w:sz="10" w:space="0" w:color="D3D3D3"/>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108,188,857.62</w:t>
            </w:r>
          </w:p>
        </w:tc>
        <w:tc>
          <w:tcPr>
            <w:tcW w:w="114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108,188,857.62</w:t>
            </w:r>
          </w:p>
        </w:tc>
      </w:tr>
      <w:tr>
        <w:trPr>
          <w:trHeight w:val="402" w:hRule="exact"/>
        </w:trPr>
        <w:tc>
          <w:tcPr>
            <w:tcW w:w="21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3"/>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208" w:type="dxa"/>
            <w:tcBorders>
              <w:top w:val="single" w:sz="4" w:space="0" w:color="000000"/>
              <w:left w:val="single" w:sz="10" w:space="0" w:color="D3D3D3"/>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19,407.40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19,407.40</w:t>
            </w:r>
          </w:p>
        </w:tc>
      </w:tr>
      <w:tr>
        <w:trPr>
          <w:trHeight w:val="402" w:hRule="exact"/>
        </w:trPr>
        <w:tc>
          <w:tcPr>
            <w:tcW w:w="21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33"/>
              <w:jc w:val="right"/>
              <w:rPr>
                <w:rFonts w:ascii="宋体" w:hAnsi="宋体" w:cs="宋体" w:eastAsia="宋体" w:hint="default"/>
                <w:sz w:val="18"/>
                <w:szCs w:val="18"/>
              </w:rPr>
            </w:pPr>
            <w:r>
              <w:rPr>
                <w:rFonts w:ascii="宋体" w:hAnsi="宋体" w:cs="宋体" w:eastAsia="宋体" w:hint="default"/>
                <w:sz w:val="18"/>
                <w:szCs w:val="18"/>
              </w:rPr>
              <w:t>在建工程转入</w:t>
            </w:r>
          </w:p>
        </w:tc>
        <w:tc>
          <w:tcPr>
            <w:tcW w:w="1208" w:type="dxa"/>
            <w:tcBorders>
              <w:top w:val="single" w:sz="4" w:space="0" w:color="000000"/>
              <w:left w:val="single" w:sz="10" w:space="0" w:color="D3D3D3"/>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409,575.47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409,575.47</w:t>
            </w:r>
          </w:p>
        </w:tc>
      </w:tr>
      <w:tr>
        <w:trPr>
          <w:trHeight w:val="402" w:hRule="exact"/>
        </w:trPr>
        <w:tc>
          <w:tcPr>
            <w:tcW w:w="21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2,235,351.81</w:t>
            </w:r>
          </w:p>
        </w:tc>
        <w:tc>
          <w:tcPr>
            <w:tcW w:w="114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2,235,351.81</w:t>
            </w:r>
          </w:p>
        </w:tc>
      </w:tr>
      <w:tr>
        <w:trPr>
          <w:trHeight w:val="402" w:hRule="exact"/>
        </w:trPr>
        <w:tc>
          <w:tcPr>
            <w:tcW w:w="21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0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2,235,351.81</w:t>
            </w:r>
          </w:p>
        </w:tc>
        <w:tc>
          <w:tcPr>
            <w:tcW w:w="114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2,235,351.81</w:t>
            </w:r>
          </w:p>
        </w:tc>
      </w:tr>
      <w:tr>
        <w:trPr>
          <w:trHeight w:val="402" w:hRule="exact"/>
        </w:trPr>
        <w:tc>
          <w:tcPr>
            <w:tcW w:w="214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208" w:type="dxa"/>
            <w:tcBorders>
              <w:top w:val="single" w:sz="4" w:space="0" w:color="000000"/>
              <w:left w:val="single" w:sz="10" w:space="0" w:color="D3D3D3"/>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0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218,743,042.29</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4,646,500.00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317,192,144.20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57,504,926.16</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8,927,113.64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607,013,726.29</w:t>
            </w:r>
          </w:p>
        </w:tc>
      </w:tr>
      <w:tr>
        <w:trPr>
          <w:trHeight w:val="402" w:hRule="exact"/>
        </w:trPr>
        <w:tc>
          <w:tcPr>
            <w:tcW w:w="21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208" w:type="dxa"/>
            <w:tcBorders>
              <w:top w:val="single" w:sz="4" w:space="0" w:color="000000"/>
              <w:left w:val="single" w:sz="10" w:space="0" w:color="D3D3D3"/>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42,561,714.52</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3,525,951.94</w:t>
            </w:r>
          </w:p>
        </w:tc>
        <w:tc>
          <w:tcPr>
            <w:tcW w:w="72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69,813,745.61</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37,911,884.72</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1,804,082.35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155,617,379.14</w:t>
            </w:r>
          </w:p>
        </w:tc>
      </w:tr>
      <w:tr>
        <w:trPr>
          <w:trHeight w:val="402" w:hRule="exact"/>
        </w:trPr>
        <w:tc>
          <w:tcPr>
            <w:tcW w:w="21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20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4,558,859.40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877,448.06</w:t>
            </w:r>
          </w:p>
        </w:tc>
        <w:tc>
          <w:tcPr>
            <w:tcW w:w="72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27,766,333.85</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center"/>
              <w:rPr>
                <w:rFonts w:ascii="Times New Roman" w:hAnsi="Times New Roman" w:cs="Times New Roman" w:eastAsia="Times New Roman" w:hint="default"/>
                <w:sz w:val="18"/>
                <w:szCs w:val="18"/>
              </w:rPr>
            </w:pPr>
            <w:r>
              <w:rPr>
                <w:rFonts w:ascii="Times New Roman"/>
                <w:sz w:val="18"/>
              </w:rPr>
              <w:t>1,683,942.54</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710,143.13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35,596,726.98</w:t>
            </w:r>
          </w:p>
        </w:tc>
      </w:tr>
      <w:tr>
        <w:trPr>
          <w:trHeight w:val="402" w:hRule="exact"/>
        </w:trPr>
        <w:tc>
          <w:tcPr>
            <w:tcW w:w="21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0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4,558,859.40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877,448.06</w:t>
            </w:r>
          </w:p>
        </w:tc>
        <w:tc>
          <w:tcPr>
            <w:tcW w:w="72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27,766,333.85</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center"/>
              <w:rPr>
                <w:rFonts w:ascii="Times New Roman" w:hAnsi="Times New Roman" w:cs="Times New Roman" w:eastAsia="Times New Roman" w:hint="default"/>
                <w:sz w:val="18"/>
                <w:szCs w:val="18"/>
              </w:rPr>
            </w:pPr>
            <w:r>
              <w:rPr>
                <w:rFonts w:ascii="Times New Roman"/>
                <w:sz w:val="18"/>
              </w:rPr>
              <w:t>1,683,942.54</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701,453.68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35,588,037.53</w:t>
            </w:r>
          </w:p>
        </w:tc>
      </w:tr>
      <w:tr>
        <w:trPr>
          <w:trHeight w:val="402" w:hRule="exact"/>
        </w:trPr>
        <w:tc>
          <w:tcPr>
            <w:tcW w:w="21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3"/>
              <w:jc w:val="right"/>
              <w:rPr>
                <w:rFonts w:ascii="宋体" w:hAnsi="宋体" w:cs="宋体" w:eastAsia="宋体" w:hint="default"/>
                <w:sz w:val="18"/>
                <w:szCs w:val="18"/>
              </w:rPr>
            </w:pPr>
            <w:r>
              <w:rPr>
                <w:rFonts w:ascii="宋体" w:hAnsi="宋体" w:cs="宋体" w:eastAsia="宋体" w:hint="default"/>
                <w:sz w:val="18"/>
                <w:szCs w:val="18"/>
              </w:rPr>
              <w:t>企业合并增加</w:t>
            </w:r>
          </w:p>
        </w:tc>
        <w:tc>
          <w:tcPr>
            <w:tcW w:w="1208" w:type="dxa"/>
            <w:tcBorders>
              <w:top w:val="single" w:sz="4" w:space="0" w:color="000000"/>
              <w:left w:val="single" w:sz="10" w:space="0" w:color="D3D3D3"/>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8,689.45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8,689.45</w:t>
            </w:r>
          </w:p>
        </w:tc>
      </w:tr>
      <w:tr>
        <w:trPr>
          <w:trHeight w:val="402" w:hRule="exact"/>
        </w:trPr>
        <w:tc>
          <w:tcPr>
            <w:tcW w:w="21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20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633,349.73</w:t>
            </w:r>
          </w:p>
        </w:tc>
        <w:tc>
          <w:tcPr>
            <w:tcW w:w="114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633,349.73</w:t>
            </w:r>
          </w:p>
        </w:tc>
      </w:tr>
      <w:tr>
        <w:trPr>
          <w:trHeight w:val="402" w:hRule="exact"/>
        </w:trPr>
        <w:tc>
          <w:tcPr>
            <w:tcW w:w="21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0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633,349.73</w:t>
            </w:r>
          </w:p>
        </w:tc>
        <w:tc>
          <w:tcPr>
            <w:tcW w:w="114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633,349.73</w:t>
            </w:r>
          </w:p>
        </w:tc>
      </w:tr>
      <w:tr>
        <w:trPr>
          <w:trHeight w:val="403" w:hRule="exact"/>
        </w:trPr>
        <w:tc>
          <w:tcPr>
            <w:tcW w:w="214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208" w:type="dxa"/>
            <w:tcBorders>
              <w:top w:val="single" w:sz="4" w:space="0" w:color="000000"/>
              <w:left w:val="single" w:sz="10" w:space="0" w:color="D3D3D3"/>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31"/>
        <w:gridCol w:w="1225"/>
        <w:gridCol w:w="1144"/>
        <w:gridCol w:w="720"/>
        <w:gridCol w:w="1196"/>
        <w:gridCol w:w="1144"/>
        <w:gridCol w:w="1028"/>
        <w:gridCol w:w="1195"/>
      </w:tblGrid>
      <w:tr>
        <w:trPr>
          <w:trHeight w:val="402"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2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46,487,224.19</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4,403,400.00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97,580,079.46</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39,595,827.26</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2,514,225.48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190,580,756.39</w:t>
            </w:r>
          </w:p>
        </w:tc>
      </w:tr>
      <w:tr>
        <w:trPr>
          <w:trHeight w:val="402"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225" w:type="dxa"/>
            <w:tcBorders>
              <w:top w:val="single" w:sz="4" w:space="0" w:color="000000"/>
              <w:left w:val="single" w:sz="10" w:space="0" w:color="D3D3D3"/>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25" w:type="dxa"/>
            <w:tcBorders>
              <w:top w:val="single" w:sz="4" w:space="0" w:color="000000"/>
              <w:left w:val="single" w:sz="10" w:space="0" w:color="D3D3D3"/>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11,750,000.03</w:t>
            </w:r>
          </w:p>
        </w:tc>
        <w:tc>
          <w:tcPr>
            <w:tcW w:w="102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11,750,000.03</w:t>
            </w:r>
          </w:p>
        </w:tc>
      </w:tr>
      <w:tr>
        <w:trPr>
          <w:trHeight w:val="402"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2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225" w:type="dxa"/>
            <w:tcBorders>
              <w:top w:val="single" w:sz="4" w:space="0" w:color="000000"/>
              <w:left w:val="single" w:sz="10" w:space="0" w:color="D3D3D3"/>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406,642.82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406,642.82</w:t>
            </w:r>
          </w:p>
        </w:tc>
      </w:tr>
      <w:tr>
        <w:trPr>
          <w:trHeight w:val="402"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225" w:type="dxa"/>
            <w:tcBorders>
              <w:top w:val="single" w:sz="4" w:space="0" w:color="000000"/>
              <w:left w:val="single" w:sz="10" w:space="0" w:color="D3D3D3"/>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406,642.82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406,642.82</w:t>
            </w:r>
          </w:p>
        </w:tc>
      </w:tr>
      <w:tr>
        <w:trPr>
          <w:trHeight w:val="402"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225" w:type="dxa"/>
            <w:tcBorders>
              <w:top w:val="single" w:sz="4" w:space="0" w:color="000000"/>
              <w:left w:val="single" w:sz="10" w:space="0" w:color="D3D3D3"/>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2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225" w:type="dxa"/>
            <w:tcBorders>
              <w:top w:val="single" w:sz="4" w:space="0" w:color="000000"/>
              <w:left w:val="single" w:sz="10" w:space="0" w:color="D3D3D3"/>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225" w:type="dxa"/>
            <w:tcBorders>
              <w:top w:val="single" w:sz="4" w:space="0" w:color="000000"/>
              <w:left w:val="single" w:sz="10" w:space="0" w:color="D3D3D3"/>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225" w:type="dxa"/>
            <w:tcBorders>
              <w:top w:val="single" w:sz="4" w:space="0" w:color="000000"/>
              <w:left w:val="single" w:sz="10" w:space="0" w:color="D3D3D3"/>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225" w:type="dxa"/>
            <w:tcBorders>
              <w:top w:val="single" w:sz="4" w:space="0" w:color="000000"/>
              <w:left w:val="single" w:sz="10" w:space="0" w:color="D3D3D3"/>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11,750,000.03</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406,642.82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12,156,642.85</w:t>
            </w:r>
          </w:p>
        </w:tc>
      </w:tr>
      <w:tr>
        <w:trPr>
          <w:trHeight w:val="402"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225" w:type="dxa"/>
            <w:tcBorders>
              <w:top w:val="single" w:sz="4" w:space="0" w:color="000000"/>
              <w:left w:val="single" w:sz="10" w:space="0" w:color="D3D3D3"/>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44" w:type="dxa"/>
            <w:tcBorders>
              <w:top w:val="single" w:sz="4" w:space="0" w:color="000000"/>
              <w:left w:val="single" w:sz="4" w:space="0" w:color="000000"/>
              <w:bottom w:val="single" w:sz="4" w:space="0" w:color="000000"/>
              <w:right w:val="single" w:sz="4" w:space="0" w:color="000000"/>
            </w:tcBorders>
          </w:tcPr>
          <w:p>
            <w:pPr/>
          </w:p>
        </w:tc>
        <w:tc>
          <w:tcPr>
            <w:tcW w:w="102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2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22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172,255,818.10</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243,100.00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219,612,064.74</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center"/>
              <w:rPr>
                <w:rFonts w:ascii="Times New Roman" w:hAnsi="Times New Roman" w:cs="Times New Roman" w:eastAsia="Times New Roman" w:hint="default"/>
                <w:sz w:val="18"/>
                <w:szCs w:val="18"/>
              </w:rPr>
            </w:pPr>
            <w:r>
              <w:rPr>
                <w:rFonts w:ascii="Times New Roman"/>
                <w:sz w:val="18"/>
              </w:rPr>
              <w:t>6,159,098.87</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6,006,245.34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404,276,327.05</w:t>
            </w:r>
          </w:p>
        </w:tc>
      </w:tr>
      <w:tr>
        <w:trPr>
          <w:trHeight w:val="402" w:hRule="exact"/>
        </w:trPr>
        <w:tc>
          <w:tcPr>
            <w:tcW w:w="21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2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22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178,416,679.58</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1,120,548.06</w:t>
            </w:r>
          </w:p>
        </w:tc>
        <w:tc>
          <w:tcPr>
            <w:tcW w:w="72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139,189,540.97</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2" w:right="0"/>
              <w:jc w:val="center"/>
              <w:rPr>
                <w:rFonts w:ascii="Times New Roman" w:hAnsi="Times New Roman" w:cs="Times New Roman" w:eastAsia="Times New Roman" w:hint="default"/>
                <w:sz w:val="18"/>
                <w:szCs w:val="18"/>
              </w:rPr>
            </w:pPr>
            <w:r>
              <w:rPr>
                <w:rFonts w:ascii="Times New Roman"/>
                <w:sz w:val="18"/>
              </w:rPr>
              <w:t>7,843,041.41</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5,703,614.54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332,273,424.56</w:t>
            </w:r>
          </w:p>
        </w:tc>
      </w:tr>
    </w:tbl>
    <w:p>
      <w:pPr>
        <w:pStyle w:val="BodyText"/>
        <w:spacing w:line="240" w:lineRule="auto" w:before="51"/>
        <w:ind w:right="0"/>
        <w:jc w:val="left"/>
      </w:pPr>
      <w:r>
        <w:rPr/>
        <w:t>本期末通过公司内部研发形成的无形资产占无形资产余额的比例</w:t>
      </w:r>
      <w:r>
        <w:rPr>
          <w:spacing w:val="-46"/>
        </w:rPr>
        <w:t> </w:t>
      </w:r>
      <w:r>
        <w:rPr>
          <w:rFonts w:ascii="Times New Roman" w:hAnsi="Times New Roman" w:cs="Times New Roman" w:eastAsia="Times New Roman" w:hint="default"/>
        </w:rPr>
        <w:t>17.82%</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5"/>
        <w:ind w:right="0"/>
        <w:jc w:val="left"/>
        <w:rPr>
          <w:b w:val="0"/>
          <w:bCs w:val="0"/>
        </w:rPr>
      </w:pPr>
      <w:r>
        <w:rPr>
          <w:rFonts w:ascii="Times New Roman" w:hAnsi="Times New Roman" w:cs="Times New Roman" w:eastAsia="Times New Roman" w:hint="default"/>
        </w:rPr>
        <w:t>15</w:t>
      </w:r>
      <w:r>
        <w:rPr/>
        <w:t>、开发支出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48"/>
        <w:gridCol w:w="1272"/>
        <w:gridCol w:w="1260"/>
        <w:gridCol w:w="592"/>
        <w:gridCol w:w="360"/>
        <w:gridCol w:w="1208"/>
        <w:gridCol w:w="900"/>
        <w:gridCol w:w="540"/>
        <w:gridCol w:w="1440"/>
      </w:tblGrid>
      <w:tr>
        <w:trPr>
          <w:trHeight w:val="402" w:hRule="exact"/>
        </w:trPr>
        <w:tc>
          <w:tcPr>
            <w:tcW w:w="2148" w:type="dxa"/>
            <w:tcBorders>
              <w:top w:val="single" w:sz="4" w:space="0" w:color="000000"/>
              <w:left w:val="single" w:sz="4" w:space="0" w:color="000000"/>
              <w:bottom w:val="nil" w:sz="6" w:space="0" w:color="auto"/>
              <w:right w:val="single" w:sz="4" w:space="0" w:color="000000"/>
            </w:tcBorders>
            <w:shd w:val="clear" w:color="auto" w:fill="D3D3D3"/>
          </w:tcPr>
          <w:p>
            <w:pPr/>
          </w:p>
        </w:tc>
        <w:tc>
          <w:tcPr>
            <w:tcW w:w="1272" w:type="dxa"/>
            <w:tcBorders>
              <w:top w:val="single" w:sz="4" w:space="0" w:color="000000"/>
              <w:left w:val="single" w:sz="4" w:space="0" w:color="000000"/>
              <w:bottom w:val="nil" w:sz="6" w:space="0" w:color="auto"/>
              <w:right w:val="single" w:sz="4" w:space="0" w:color="000000"/>
            </w:tcBorders>
            <w:shd w:val="clear" w:color="auto" w:fill="D3D3D3"/>
          </w:tcPr>
          <w:p>
            <w:pPr/>
          </w:p>
        </w:tc>
        <w:tc>
          <w:tcPr>
            <w:tcW w:w="221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64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44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61" w:hRule="exact"/>
        </w:trPr>
        <w:tc>
          <w:tcPr>
            <w:tcW w:w="214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27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60" w:type="dxa"/>
            <w:tcBorders>
              <w:top w:val="single" w:sz="4" w:space="0" w:color="000000"/>
              <w:left w:val="single" w:sz="4" w:space="0" w:color="000000"/>
              <w:bottom w:val="nil" w:sz="6" w:space="0" w:color="auto"/>
              <w:right w:val="single" w:sz="4" w:space="0" w:color="000000"/>
            </w:tcBorders>
            <w:shd w:val="clear" w:color="auto" w:fill="D3D3D3"/>
          </w:tcPr>
          <w:p>
            <w:pPr/>
          </w:p>
        </w:tc>
        <w:tc>
          <w:tcPr>
            <w:tcW w:w="592" w:type="dxa"/>
            <w:tcBorders>
              <w:top w:val="single" w:sz="4" w:space="0" w:color="000000"/>
              <w:left w:val="single" w:sz="4" w:space="0" w:color="000000"/>
              <w:bottom w:val="nil" w:sz="6" w:space="0" w:color="auto"/>
              <w:right w:val="single" w:sz="4" w:space="0" w:color="000000"/>
            </w:tcBorders>
            <w:shd w:val="clear" w:color="auto" w:fill="D3D3D3"/>
          </w:tcPr>
          <w:p>
            <w:pPr/>
          </w:p>
        </w:tc>
        <w:tc>
          <w:tcPr>
            <w:tcW w:w="360" w:type="dxa"/>
            <w:vMerge w:val="restart"/>
            <w:tcBorders>
              <w:top w:val="single" w:sz="4" w:space="0" w:color="000000"/>
              <w:left w:val="single" w:sz="10" w:space="0" w:color="D3D3D3"/>
              <w:right w:val="single" w:sz="9" w:space="0" w:color="D3D3D3"/>
            </w:tcBorders>
          </w:tcPr>
          <w:p>
            <w:pPr>
              <w:pStyle w:val="TableParagraph"/>
              <w:spacing w:line="705" w:lineRule="exact"/>
              <w:ind w:left="-8" w:right="-48"/>
              <w:jc w:val="left"/>
              <w:rPr>
                <w:rFonts w:ascii="宋体" w:hAnsi="宋体" w:cs="宋体" w:eastAsia="宋体" w:hint="default"/>
                <w:sz w:val="20"/>
                <w:szCs w:val="20"/>
              </w:rPr>
            </w:pPr>
            <w:r>
              <w:rPr>
                <w:rFonts w:ascii="宋体" w:hAnsi="宋体" w:cs="宋体" w:eastAsia="宋体" w:hint="default"/>
                <w:position w:val="-13"/>
                <w:sz w:val="20"/>
                <w:szCs w:val="20"/>
              </w:rPr>
              <w:drawing>
                <wp:inline distT="0" distB="0" distL="0" distR="0">
                  <wp:extent cx="222820" cy="447675"/>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9" cstate="print"/>
                          <a:stretch>
                            <a:fillRect/>
                          </a:stretch>
                        </pic:blipFill>
                        <pic:spPr>
                          <a:xfrm>
                            <a:off x="0" y="0"/>
                            <a:ext cx="222820" cy="447675"/>
                          </a:xfrm>
                          <a:prstGeom prst="rect">
                            <a:avLst/>
                          </a:prstGeom>
                        </pic:spPr>
                      </pic:pic>
                    </a:graphicData>
                  </a:graphic>
                </wp:inline>
              </w:drawing>
            </w:r>
            <w:r>
              <w:rPr>
                <w:rFonts w:ascii="宋体" w:hAnsi="宋体" w:cs="宋体" w:eastAsia="宋体" w:hint="default"/>
                <w:position w:val="-13"/>
                <w:sz w:val="20"/>
                <w:szCs w:val="20"/>
              </w:rPr>
            </w:r>
          </w:p>
        </w:tc>
        <w:tc>
          <w:tcPr>
            <w:tcW w:w="1208"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508" w:right="59" w:hanging="450"/>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900"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64" w:right="84" w:hanging="180"/>
              <w:jc w:val="left"/>
              <w:rPr>
                <w:rFonts w:ascii="宋体" w:hAnsi="宋体" w:cs="宋体" w:eastAsia="宋体" w:hint="default"/>
                <w:sz w:val="18"/>
                <w:szCs w:val="18"/>
              </w:rPr>
            </w:pPr>
            <w:r>
              <w:rPr>
                <w:rFonts w:ascii="宋体" w:hAnsi="宋体" w:cs="宋体" w:eastAsia="宋体" w:hint="default"/>
                <w:sz w:val="18"/>
                <w:szCs w:val="18"/>
              </w:rPr>
              <w:t>转入当期 损益</w:t>
            </w:r>
          </w:p>
        </w:tc>
        <w:tc>
          <w:tcPr>
            <w:tcW w:w="540" w:type="dxa"/>
            <w:tcBorders>
              <w:top w:val="single" w:sz="4" w:space="0" w:color="000000"/>
              <w:left w:val="single" w:sz="4" w:space="0" w:color="000000"/>
              <w:bottom w:val="nil" w:sz="6" w:space="0" w:color="auto"/>
              <w:right w:val="single" w:sz="4" w:space="0" w:color="000000"/>
            </w:tcBorders>
            <w:shd w:val="clear" w:color="auto" w:fill="D3D3D3"/>
          </w:tcPr>
          <w:p>
            <w:pPr/>
          </w:p>
        </w:tc>
        <w:tc>
          <w:tcPr>
            <w:tcW w:w="144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35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86" w:hRule="exact"/>
        </w:trPr>
        <w:tc>
          <w:tcPr>
            <w:tcW w:w="2148" w:type="dxa"/>
            <w:vMerge/>
            <w:tcBorders>
              <w:left w:val="single" w:sz="4" w:space="0" w:color="000000"/>
              <w:bottom w:val="nil" w:sz="6" w:space="0" w:color="auto"/>
              <w:right w:val="single" w:sz="4" w:space="0" w:color="000000"/>
            </w:tcBorders>
            <w:shd w:val="clear" w:color="auto" w:fill="D3D3D3"/>
          </w:tcPr>
          <w:p>
            <w:pPr/>
          </w:p>
        </w:tc>
        <w:tc>
          <w:tcPr>
            <w:tcW w:w="1272" w:type="dxa"/>
            <w:vMerge/>
            <w:tcBorders>
              <w:left w:val="single" w:sz="4" w:space="0" w:color="000000"/>
              <w:bottom w:val="nil" w:sz="6" w:space="0" w:color="auto"/>
              <w:right w:val="single" w:sz="4" w:space="0" w:color="000000"/>
            </w:tcBorders>
            <w:shd w:val="clear" w:color="auto" w:fill="D3D3D3"/>
          </w:tcPr>
          <w:p>
            <w:pPr/>
          </w:p>
        </w:tc>
        <w:tc>
          <w:tcPr>
            <w:tcW w:w="126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3"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59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60" w:type="dxa"/>
            <w:vMerge/>
            <w:tcBorders>
              <w:left w:val="single" w:sz="10" w:space="0" w:color="D3D3D3"/>
              <w:right w:val="single" w:sz="9" w:space="0" w:color="D3D3D3"/>
            </w:tcBorders>
          </w:tcPr>
          <w:p>
            <w:pPr/>
          </w:p>
        </w:tc>
        <w:tc>
          <w:tcPr>
            <w:tcW w:w="1208" w:type="dxa"/>
            <w:vMerge/>
            <w:tcBorders>
              <w:left w:val="single" w:sz="4" w:space="0" w:color="000000"/>
              <w:right w:val="single" w:sz="4" w:space="0" w:color="000000"/>
            </w:tcBorders>
            <w:shd w:val="clear" w:color="auto" w:fill="D3D3D3"/>
          </w:tcPr>
          <w:p>
            <w:pPr/>
          </w:p>
        </w:tc>
        <w:tc>
          <w:tcPr>
            <w:tcW w:w="900" w:type="dxa"/>
            <w:vMerge/>
            <w:tcBorders>
              <w:left w:val="single" w:sz="4" w:space="0" w:color="000000"/>
              <w:right w:val="single" w:sz="4" w:space="0" w:color="000000"/>
            </w:tcBorders>
            <w:shd w:val="clear" w:color="auto" w:fill="D3D3D3"/>
          </w:tcPr>
          <w:p>
            <w:pPr/>
          </w:p>
        </w:tc>
        <w:tc>
          <w:tcPr>
            <w:tcW w:w="540" w:type="dxa"/>
            <w:vMerge w:val="restart"/>
            <w:tcBorders>
              <w:top w:val="nil" w:sz="6" w:space="0" w:color="auto"/>
              <w:left w:val="single" w:sz="4" w:space="0" w:color="000000"/>
              <w:right w:val="single" w:sz="4" w:space="0" w:color="000000"/>
            </w:tcBorders>
            <w:shd w:val="clear" w:color="auto" w:fill="D3D3D3"/>
          </w:tcPr>
          <w:p>
            <w:pPr/>
          </w:p>
        </w:tc>
        <w:tc>
          <w:tcPr>
            <w:tcW w:w="1440"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2148" w:type="dxa"/>
            <w:vMerge w:val="restart"/>
            <w:tcBorders>
              <w:top w:val="nil" w:sz="6" w:space="0" w:color="auto"/>
              <w:left w:val="single" w:sz="4" w:space="0" w:color="000000"/>
              <w:right w:val="single" w:sz="4" w:space="0" w:color="000000"/>
            </w:tcBorders>
            <w:shd w:val="clear" w:color="auto" w:fill="D3D3D3"/>
          </w:tcPr>
          <w:p>
            <w:pPr/>
          </w:p>
        </w:tc>
        <w:tc>
          <w:tcPr>
            <w:tcW w:w="1272" w:type="dxa"/>
            <w:vMerge w:val="restart"/>
            <w:tcBorders>
              <w:top w:val="nil" w:sz="6" w:space="0" w:color="auto"/>
              <w:left w:val="single" w:sz="4" w:space="0" w:color="000000"/>
              <w:right w:val="single" w:sz="4" w:space="0" w:color="000000"/>
            </w:tcBorders>
            <w:shd w:val="clear" w:color="auto" w:fill="D3D3D3"/>
          </w:tcPr>
          <w:p>
            <w:pPr/>
          </w:p>
        </w:tc>
        <w:tc>
          <w:tcPr>
            <w:tcW w:w="1260" w:type="dxa"/>
            <w:vMerge/>
            <w:tcBorders>
              <w:left w:val="single" w:sz="4" w:space="0" w:color="000000"/>
              <w:bottom w:val="nil" w:sz="6" w:space="0" w:color="auto"/>
              <w:right w:val="single" w:sz="4" w:space="0" w:color="000000"/>
            </w:tcBorders>
            <w:shd w:val="clear" w:color="auto" w:fill="D3D3D3"/>
          </w:tcPr>
          <w:p>
            <w:pPr/>
          </w:p>
        </w:tc>
        <w:tc>
          <w:tcPr>
            <w:tcW w:w="592" w:type="dxa"/>
            <w:vMerge/>
            <w:tcBorders>
              <w:left w:val="single" w:sz="4" w:space="0" w:color="000000"/>
              <w:bottom w:val="nil" w:sz="6" w:space="0" w:color="auto"/>
              <w:right w:val="single" w:sz="4" w:space="0" w:color="000000"/>
            </w:tcBorders>
            <w:shd w:val="clear" w:color="auto" w:fill="D3D3D3"/>
          </w:tcPr>
          <w:p>
            <w:pPr/>
          </w:p>
        </w:tc>
        <w:tc>
          <w:tcPr>
            <w:tcW w:w="360" w:type="dxa"/>
            <w:vMerge/>
            <w:tcBorders>
              <w:left w:val="single" w:sz="10" w:space="0" w:color="D3D3D3"/>
              <w:right w:val="single" w:sz="9" w:space="0" w:color="D3D3D3"/>
            </w:tcBorders>
          </w:tcPr>
          <w:p>
            <w:pPr/>
          </w:p>
        </w:tc>
        <w:tc>
          <w:tcPr>
            <w:tcW w:w="1208" w:type="dxa"/>
            <w:vMerge/>
            <w:tcBorders>
              <w:left w:val="single" w:sz="4" w:space="0" w:color="000000"/>
              <w:right w:val="single" w:sz="4" w:space="0" w:color="000000"/>
            </w:tcBorders>
            <w:shd w:val="clear" w:color="auto" w:fill="D3D3D3"/>
          </w:tcPr>
          <w:p>
            <w:pPr/>
          </w:p>
        </w:tc>
        <w:tc>
          <w:tcPr>
            <w:tcW w:w="900" w:type="dxa"/>
            <w:vMerge/>
            <w:tcBorders>
              <w:left w:val="single" w:sz="4" w:space="0" w:color="000000"/>
              <w:right w:val="single" w:sz="4" w:space="0" w:color="000000"/>
            </w:tcBorders>
            <w:shd w:val="clear" w:color="auto" w:fill="D3D3D3"/>
          </w:tcPr>
          <w:p>
            <w:pPr/>
          </w:p>
        </w:tc>
        <w:tc>
          <w:tcPr>
            <w:tcW w:w="540" w:type="dxa"/>
            <w:vMerge/>
            <w:tcBorders>
              <w:left w:val="single" w:sz="4" w:space="0" w:color="000000"/>
              <w:bottom w:val="nil" w:sz="6" w:space="0" w:color="auto"/>
              <w:right w:val="single" w:sz="4" w:space="0" w:color="000000"/>
            </w:tcBorders>
            <w:shd w:val="clear" w:color="auto" w:fill="D3D3D3"/>
          </w:tcPr>
          <w:p>
            <w:pPr/>
          </w:p>
        </w:tc>
        <w:tc>
          <w:tcPr>
            <w:tcW w:w="1440"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2148" w:type="dxa"/>
            <w:vMerge/>
            <w:tcBorders>
              <w:left w:val="single" w:sz="4" w:space="0" w:color="000000"/>
              <w:bottom w:val="single" w:sz="4" w:space="0" w:color="000000"/>
              <w:right w:val="single" w:sz="4" w:space="0" w:color="000000"/>
            </w:tcBorders>
            <w:shd w:val="clear" w:color="auto" w:fill="D3D3D3"/>
          </w:tcPr>
          <w:p>
            <w:pPr/>
          </w:p>
        </w:tc>
        <w:tc>
          <w:tcPr>
            <w:tcW w:w="1272" w:type="dxa"/>
            <w:vMerge/>
            <w:tcBorders>
              <w:left w:val="single" w:sz="4" w:space="0" w:color="000000"/>
              <w:bottom w:val="single" w:sz="4" w:space="0" w:color="000000"/>
              <w:right w:val="single" w:sz="4" w:space="0" w:color="000000"/>
            </w:tcBorders>
            <w:shd w:val="clear" w:color="auto" w:fill="D3D3D3"/>
          </w:tcPr>
          <w:p>
            <w:pPr/>
          </w:p>
        </w:tc>
        <w:tc>
          <w:tcPr>
            <w:tcW w:w="1260" w:type="dxa"/>
            <w:tcBorders>
              <w:top w:val="nil" w:sz="6" w:space="0" w:color="auto"/>
              <w:left w:val="single" w:sz="4" w:space="0" w:color="000000"/>
              <w:bottom w:val="single" w:sz="4" w:space="0" w:color="000000"/>
              <w:right w:val="single" w:sz="4" w:space="0" w:color="000000"/>
            </w:tcBorders>
            <w:shd w:val="clear" w:color="auto" w:fill="D3D3D3"/>
          </w:tcPr>
          <w:p>
            <w:pPr/>
          </w:p>
        </w:tc>
        <w:tc>
          <w:tcPr>
            <w:tcW w:w="592" w:type="dxa"/>
            <w:tcBorders>
              <w:top w:val="nil" w:sz="6" w:space="0" w:color="auto"/>
              <w:left w:val="single" w:sz="4" w:space="0" w:color="000000"/>
              <w:bottom w:val="single" w:sz="4" w:space="0" w:color="000000"/>
              <w:right w:val="single" w:sz="4" w:space="0" w:color="000000"/>
            </w:tcBorders>
            <w:shd w:val="clear" w:color="auto" w:fill="D3D3D3"/>
          </w:tcPr>
          <w:p>
            <w:pPr/>
          </w:p>
        </w:tc>
        <w:tc>
          <w:tcPr>
            <w:tcW w:w="360" w:type="dxa"/>
            <w:vMerge/>
            <w:tcBorders>
              <w:left w:val="single" w:sz="10" w:space="0" w:color="D3D3D3"/>
              <w:bottom w:val="single" w:sz="4" w:space="0" w:color="000000"/>
              <w:right w:val="single" w:sz="9" w:space="0" w:color="D3D3D3"/>
            </w:tcBorders>
          </w:tcPr>
          <w:p>
            <w:pPr/>
          </w:p>
        </w:tc>
        <w:tc>
          <w:tcPr>
            <w:tcW w:w="1208" w:type="dxa"/>
            <w:vMerge/>
            <w:tcBorders>
              <w:left w:val="single" w:sz="4" w:space="0" w:color="000000"/>
              <w:bottom w:val="single" w:sz="4" w:space="0" w:color="000000"/>
              <w:right w:val="single" w:sz="4" w:space="0" w:color="000000"/>
            </w:tcBorders>
            <w:shd w:val="clear" w:color="auto" w:fill="D3D3D3"/>
          </w:tcPr>
          <w:p>
            <w:pPr/>
          </w:p>
        </w:tc>
        <w:tc>
          <w:tcPr>
            <w:tcW w:w="900" w:type="dxa"/>
            <w:vMerge/>
            <w:tcBorders>
              <w:left w:val="single" w:sz="4" w:space="0" w:color="000000"/>
              <w:bottom w:val="single" w:sz="4" w:space="0" w:color="000000"/>
              <w:right w:val="single" w:sz="4" w:space="0" w:color="000000"/>
            </w:tcBorders>
            <w:shd w:val="clear" w:color="auto" w:fill="D3D3D3"/>
          </w:tcPr>
          <w:p>
            <w:pPr/>
          </w:p>
        </w:tc>
        <w:tc>
          <w:tcPr>
            <w:tcW w:w="540" w:type="dxa"/>
            <w:tcBorders>
              <w:top w:val="nil" w:sz="6" w:space="0" w:color="auto"/>
              <w:left w:val="single" w:sz="4" w:space="0" w:color="000000"/>
              <w:bottom w:val="single" w:sz="4" w:space="0" w:color="000000"/>
              <w:right w:val="single" w:sz="4" w:space="0" w:color="000000"/>
            </w:tcBorders>
            <w:shd w:val="clear" w:color="auto" w:fill="D3D3D3"/>
          </w:tcPr>
          <w:p>
            <w:pPr/>
          </w:p>
        </w:tc>
        <w:tc>
          <w:tcPr>
            <w:tcW w:w="1440"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1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智慧城市行业解决方案建 设项目</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13,587,413.95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277,122.12</w:t>
            </w:r>
          </w:p>
        </w:tc>
        <w:tc>
          <w:tcPr>
            <w:tcW w:w="5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13,864,536.07</w:t>
            </w:r>
          </w:p>
        </w:tc>
      </w:tr>
      <w:tr>
        <w:trPr>
          <w:trHeight w:val="714" w:hRule="exact"/>
        </w:trPr>
        <w:tc>
          <w:tcPr>
            <w:tcW w:w="21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面向科技创新服务的大数 据技术研发及示范应用</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2,889,343.15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49,837.08</w:t>
            </w:r>
          </w:p>
        </w:tc>
        <w:tc>
          <w:tcPr>
            <w:tcW w:w="5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2,939,180.23</w:t>
            </w:r>
          </w:p>
        </w:tc>
      </w:tr>
      <w:tr>
        <w:trPr>
          <w:trHeight w:val="714" w:hRule="exact"/>
        </w:trPr>
        <w:tc>
          <w:tcPr>
            <w:tcW w:w="21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玉溪政务大数据平台研发 项目</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4,639,605.93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213,067.98</w:t>
            </w:r>
          </w:p>
        </w:tc>
        <w:tc>
          <w:tcPr>
            <w:tcW w:w="5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4,852,673.91</w:t>
            </w:r>
          </w:p>
        </w:tc>
      </w:tr>
      <w:tr>
        <w:trPr>
          <w:trHeight w:val="1026" w:hRule="exact"/>
        </w:trPr>
        <w:tc>
          <w:tcPr>
            <w:tcW w:w="21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73"/>
              <w:jc w:val="both"/>
              <w:rPr>
                <w:rFonts w:ascii="Times New Roman" w:hAnsi="Times New Roman" w:cs="Times New Roman" w:eastAsia="Times New Roman" w:hint="default"/>
                <w:sz w:val="18"/>
                <w:szCs w:val="18"/>
              </w:rPr>
            </w:pPr>
            <w:r>
              <w:rPr>
                <w:rFonts w:ascii="宋体" w:hAnsi="宋体" w:cs="宋体" w:eastAsia="宋体" w:hint="default"/>
                <w:sz w:val="18"/>
                <w:szCs w:val="18"/>
              </w:rPr>
              <w:t>基于云计算的智慧政务协 同及应用</w:t>
            </w:r>
            <w:r>
              <w:rPr>
                <w:rFonts w:ascii="Times New Roman" w:hAnsi="Times New Roman" w:cs="Times New Roman" w:eastAsia="Times New Roman" w:hint="default"/>
                <w:sz w:val="18"/>
                <w:szCs w:val="18"/>
              </w:rPr>
              <w:t>(</w:t>
            </w:r>
            <w:r>
              <w:rPr>
                <w:rFonts w:ascii="宋体" w:hAnsi="宋体" w:cs="宋体" w:eastAsia="宋体" w:hint="default"/>
                <w:sz w:val="18"/>
                <w:szCs w:val="18"/>
              </w:rPr>
              <w:t>智慧城市行业解 决方案系列项目</w:t>
            </w:r>
            <w:r>
              <w:rPr>
                <w:rFonts w:ascii="Times New Roman" w:hAnsi="Times New Roman" w:cs="Times New Roman" w:eastAsia="Times New Roman" w:hint="default"/>
                <w:sz w:val="18"/>
                <w:szCs w:val="18"/>
              </w:rPr>
              <w:t>)</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887,832.28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735,455.48</w:t>
            </w:r>
          </w:p>
        </w:tc>
        <w:tc>
          <w:tcPr>
            <w:tcW w:w="5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1,623,287.76</w:t>
            </w:r>
          </w:p>
        </w:tc>
      </w:tr>
      <w:tr>
        <w:trPr>
          <w:trHeight w:val="714" w:hRule="exact"/>
        </w:trPr>
        <w:tc>
          <w:tcPr>
            <w:tcW w:w="21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智慧城管大数据服务平台 和示范应用</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506,161.32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200,242.88</w:t>
            </w:r>
          </w:p>
        </w:tc>
        <w:tc>
          <w:tcPr>
            <w:tcW w:w="5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706,404.20</w:t>
            </w:r>
          </w:p>
        </w:tc>
      </w:tr>
      <w:tr>
        <w:trPr>
          <w:trHeight w:val="402" w:hRule="exact"/>
        </w:trPr>
        <w:tc>
          <w:tcPr>
            <w:tcW w:w="21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北明城市智脑研发项目</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3,031,091.05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4,571,045.18</w:t>
            </w:r>
          </w:p>
        </w:tc>
        <w:tc>
          <w:tcPr>
            <w:tcW w:w="5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7,602,136.23</w:t>
            </w:r>
          </w:p>
        </w:tc>
      </w:tr>
      <w:tr>
        <w:trPr>
          <w:trHeight w:val="674" w:hRule="exact"/>
        </w:trPr>
        <w:tc>
          <w:tcPr>
            <w:tcW w:w="21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基于神经网络的海量文档 相似性分析技术及示范应</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49,773.44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450,226.56</w:t>
            </w:r>
          </w:p>
        </w:tc>
        <w:tc>
          <w:tcPr>
            <w:tcW w:w="5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60"/>
        <w:gridCol w:w="1260"/>
        <w:gridCol w:w="1260"/>
        <w:gridCol w:w="592"/>
        <w:gridCol w:w="360"/>
        <w:gridCol w:w="1208"/>
        <w:gridCol w:w="900"/>
        <w:gridCol w:w="540"/>
        <w:gridCol w:w="1440"/>
      </w:tblGrid>
      <w:tr>
        <w:trPr>
          <w:trHeight w:val="36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用</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城市管理中的智能视频分 析技术和示范应用</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728,660.35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797,149.65</w:t>
            </w:r>
          </w:p>
        </w:tc>
        <w:tc>
          <w:tcPr>
            <w:tcW w:w="5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1,525,810.00</w:t>
            </w:r>
          </w:p>
        </w:tc>
      </w:tr>
      <w:tr>
        <w:trPr>
          <w:trHeight w:val="714"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矛盾纠纷多元化解一体化 网络平台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67,789,008.91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34,462,092.23</w:t>
            </w:r>
          </w:p>
        </w:tc>
        <w:tc>
          <w:tcPr>
            <w:tcW w:w="5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102,251,101.14</w:t>
            </w: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年天河区配套大数据 生命周期管理技术及其在 智慧城市中的应用</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120,000.00</w:t>
            </w:r>
          </w:p>
        </w:tc>
        <w:tc>
          <w:tcPr>
            <w:tcW w:w="5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120,000.00</w:t>
            </w:r>
          </w:p>
        </w:tc>
      </w:tr>
      <w:tr>
        <w:trPr>
          <w:trHeight w:val="714"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面向诉讼全流程的一体化 便民服务技术及装备研究</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497,992.90</w:t>
            </w:r>
          </w:p>
        </w:tc>
        <w:tc>
          <w:tcPr>
            <w:tcW w:w="5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497,992.90</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法律风险智能评估系统</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45,367,695.58</w:t>
            </w:r>
          </w:p>
        </w:tc>
        <w:tc>
          <w:tcPr>
            <w:tcW w:w="5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45,367,695.58</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诉讼保全平台</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25,456,271.12</w:t>
            </w:r>
          </w:p>
        </w:tc>
        <w:tc>
          <w:tcPr>
            <w:tcW w:w="5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25,456,271.12</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类案推荐系统</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4,860,279.17</w:t>
            </w:r>
          </w:p>
        </w:tc>
        <w:tc>
          <w:tcPr>
            <w:tcW w:w="5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4,860,279.17</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流程机器人（</w:t>
            </w:r>
            <w:r>
              <w:rPr>
                <w:rFonts w:ascii="Times New Roman" w:hAnsi="Times New Roman" w:cs="Times New Roman" w:eastAsia="Times New Roman" w:hint="default"/>
                <w:sz w:val="18"/>
                <w:szCs w:val="18"/>
              </w:rPr>
              <w:t>RPA</w:t>
            </w:r>
            <w:r>
              <w:rPr>
                <w:rFonts w:ascii="宋体" w:hAnsi="宋体" w:cs="宋体" w:eastAsia="宋体" w:hint="default"/>
                <w:sz w:val="18"/>
                <w:szCs w:val="18"/>
              </w:rPr>
              <w:t>）</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1,508,097.25</w:t>
            </w:r>
          </w:p>
        </w:tc>
        <w:tc>
          <w:tcPr>
            <w:tcW w:w="5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1,508,097.25</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政法协同平台</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3,222,751.10</w:t>
            </w:r>
          </w:p>
        </w:tc>
        <w:tc>
          <w:tcPr>
            <w:tcW w:w="5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3,222,751.10</w:t>
            </w:r>
          </w:p>
        </w:tc>
      </w:tr>
      <w:tr>
        <w:trPr>
          <w:trHeight w:val="1026"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pacing w:val="-5"/>
                <w:sz w:val="18"/>
                <w:szCs w:val="18"/>
              </w:rPr>
              <w:t>检察办案质量保障、办案监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5"/>
                <w:sz w:val="18"/>
                <w:szCs w:val="18"/>
              </w:rPr>
              <w:t>督风险评估、办案过程控制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模型与辅助决策技术研究</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4,453.17</w:t>
            </w:r>
          </w:p>
        </w:tc>
        <w:tc>
          <w:tcPr>
            <w:tcW w:w="5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4,453.17</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SK</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数字中台研发项目</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654,755.95</w:t>
            </w:r>
          </w:p>
        </w:tc>
        <w:tc>
          <w:tcPr>
            <w:tcW w:w="5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654,755.95</w:t>
            </w:r>
          </w:p>
        </w:tc>
      </w:tr>
      <w:tr>
        <w:trPr>
          <w:trHeight w:val="714"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5"/>
              <w:jc w:val="left"/>
              <w:rPr>
                <w:rFonts w:ascii="Times New Roman" w:hAnsi="Times New Roman" w:cs="Times New Roman" w:eastAsia="Times New Roman" w:hint="default"/>
                <w:sz w:val="18"/>
                <w:szCs w:val="18"/>
              </w:rPr>
            </w:pPr>
            <w:r>
              <w:rPr>
                <w:rFonts w:ascii="宋体" w:hAnsi="宋体" w:cs="宋体" w:eastAsia="宋体" w:hint="default"/>
                <w:sz w:val="18"/>
                <w:szCs w:val="18"/>
              </w:rPr>
              <w:t>海事大数据分析挖掘及展 示平台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V1.0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661,140.37</w:t>
            </w:r>
          </w:p>
        </w:tc>
        <w:tc>
          <w:tcPr>
            <w:tcW w:w="5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661,140.37</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社会组织法人信息资源库</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2,266,048.18</w:t>
            </w:r>
          </w:p>
        </w:tc>
        <w:tc>
          <w:tcPr>
            <w:tcW w:w="5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2,266,048.18</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xlink </w:t>
            </w:r>
            <w:r>
              <w:rPr>
                <w:rFonts w:ascii="宋体" w:hAnsi="宋体" w:cs="宋体" w:eastAsia="宋体" w:hint="default"/>
                <w:sz w:val="18"/>
                <w:szCs w:val="18"/>
              </w:rPr>
              <w:t>热网监控系统</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V6.0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3,791,802.44</w:t>
            </w:r>
          </w:p>
        </w:tc>
        <w:tc>
          <w:tcPr>
            <w:tcW w:w="5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3,791,802.44</w:t>
            </w:r>
          </w:p>
        </w:tc>
      </w:tr>
      <w:tr>
        <w:trPr>
          <w:trHeight w:val="714"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5"/>
              <w:jc w:val="left"/>
              <w:rPr>
                <w:rFonts w:ascii="Times New Roman" w:hAnsi="Times New Roman" w:cs="Times New Roman" w:eastAsia="Times New Roman" w:hint="default"/>
                <w:sz w:val="18"/>
                <w:szCs w:val="18"/>
              </w:rPr>
            </w:pPr>
            <w:r>
              <w:rPr>
                <w:rFonts w:ascii="宋体" w:hAnsi="宋体" w:cs="宋体" w:eastAsia="宋体" w:hint="default"/>
                <w:sz w:val="18"/>
                <w:szCs w:val="18"/>
              </w:rPr>
              <w:t>供热二次管网智能平衡自 动控制系统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V2.0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1,493,881.78</w:t>
            </w:r>
          </w:p>
        </w:tc>
        <w:tc>
          <w:tcPr>
            <w:tcW w:w="5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1,493,881.78</w:t>
            </w:r>
          </w:p>
        </w:tc>
      </w:tr>
      <w:tr>
        <w:trPr>
          <w:trHeight w:val="714"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5"/>
              <w:jc w:val="left"/>
              <w:rPr>
                <w:rFonts w:ascii="Times New Roman" w:hAnsi="Times New Roman" w:cs="Times New Roman" w:eastAsia="Times New Roman" w:hint="default"/>
                <w:sz w:val="18"/>
                <w:szCs w:val="18"/>
              </w:rPr>
            </w:pPr>
            <w:r>
              <w:rPr>
                <w:rFonts w:ascii="宋体" w:hAnsi="宋体" w:cs="宋体" w:eastAsia="宋体" w:hint="default"/>
                <w:sz w:val="18"/>
                <w:szCs w:val="18"/>
              </w:rPr>
              <w:t>物联网远程室温监测和控 制预测系统</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V2.0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2,452,804.77</w:t>
            </w:r>
          </w:p>
        </w:tc>
        <w:tc>
          <w:tcPr>
            <w:tcW w:w="5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2,452,804.77</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智能管道巡检机器人</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326,004.42</w:t>
            </w:r>
          </w:p>
        </w:tc>
        <w:tc>
          <w:tcPr>
            <w:tcW w:w="5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326,004.42</w:t>
            </w: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新金融工具准则会计核算</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1,468,059.52</w:t>
            </w:r>
          </w:p>
        </w:tc>
        <w:tc>
          <w:tcPr>
            <w:tcW w:w="5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1,468,059.52</w:t>
            </w: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成本分摊系统软件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V2.0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1,624,162.58</w:t>
            </w:r>
          </w:p>
        </w:tc>
        <w:tc>
          <w:tcPr>
            <w:tcW w:w="5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1,624,162.58</w:t>
            </w: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银行账簿利率风险管理系 统软件</w:t>
            </w:r>
          </w:p>
        </w:tc>
        <w:tc>
          <w:tcPr>
            <w:tcW w:w="126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2,845,534.38</w:t>
            </w:r>
          </w:p>
        </w:tc>
        <w:tc>
          <w:tcPr>
            <w:tcW w:w="5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2,845,534.38</w:t>
            </w: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94,108,890.38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140,377,973.84</w:t>
            </w:r>
          </w:p>
        </w:tc>
        <w:tc>
          <w:tcPr>
            <w:tcW w:w="592"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108,188,857.62</w:t>
            </w: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126,298,006.60</w:t>
            </w:r>
          </w:p>
        </w:tc>
      </w:tr>
    </w:tbl>
    <w:p>
      <w:pPr>
        <w:pStyle w:val="BodyText"/>
        <w:spacing w:line="240" w:lineRule="auto" w:before="51"/>
        <w:ind w:right="0"/>
        <w:jc w:val="left"/>
      </w:pPr>
      <w:r>
        <w:rPr/>
        <w:t>其他说明</w:t>
      </w:r>
    </w:p>
    <w:p>
      <w:pPr>
        <w:spacing w:after="0" w:line="240" w:lineRule="auto"/>
        <w:jc w:val="left"/>
        <w:sectPr>
          <w:pgSz w:w="11910" w:h="16840"/>
          <w:pgMar w:header="747" w:footer="982" w:top="1060" w:bottom="118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16</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17"/>
        <w:gridCol w:w="1632"/>
        <w:gridCol w:w="1367"/>
        <w:gridCol w:w="580"/>
        <w:gridCol w:w="900"/>
        <w:gridCol w:w="540"/>
        <w:gridCol w:w="1474"/>
      </w:tblGrid>
      <w:tr>
        <w:trPr>
          <w:trHeight w:val="201" w:hRule="exact"/>
        </w:trPr>
        <w:tc>
          <w:tcPr>
            <w:tcW w:w="3217" w:type="dxa"/>
            <w:tcBorders>
              <w:top w:val="single" w:sz="4" w:space="0" w:color="000000"/>
              <w:left w:val="single" w:sz="4" w:space="0" w:color="000000"/>
              <w:bottom w:val="nil" w:sz="6" w:space="0" w:color="auto"/>
              <w:right w:val="single" w:sz="4" w:space="0" w:color="000000"/>
            </w:tcBorders>
            <w:shd w:val="clear" w:color="auto" w:fill="D3D3D3"/>
          </w:tcPr>
          <w:p>
            <w:pPr/>
          </w:p>
        </w:tc>
        <w:tc>
          <w:tcPr>
            <w:tcW w:w="1632" w:type="dxa"/>
            <w:tcBorders>
              <w:top w:val="single" w:sz="4" w:space="0" w:color="000000"/>
              <w:left w:val="single" w:sz="4" w:space="0" w:color="000000"/>
              <w:bottom w:val="nil" w:sz="6" w:space="0" w:color="auto"/>
              <w:right w:val="single" w:sz="4" w:space="0" w:color="000000"/>
            </w:tcBorders>
            <w:shd w:val="clear" w:color="auto" w:fill="D3D3D3"/>
          </w:tcPr>
          <w:p>
            <w:pPr/>
          </w:p>
        </w:tc>
        <w:tc>
          <w:tcPr>
            <w:tcW w:w="194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0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4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7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1" w:hRule="exact"/>
        </w:trPr>
        <w:tc>
          <w:tcPr>
            <w:tcW w:w="321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6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45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46" w:type="dxa"/>
            <w:gridSpan w:val="2"/>
            <w:vMerge/>
            <w:tcBorders>
              <w:left w:val="single" w:sz="4" w:space="0" w:color="000000"/>
              <w:bottom w:val="single" w:sz="4" w:space="0" w:color="000000"/>
              <w:right w:val="single" w:sz="4" w:space="0" w:color="000000"/>
            </w:tcBorders>
            <w:shd w:val="clear" w:color="auto" w:fill="D3D3D3"/>
          </w:tcPr>
          <w:p>
            <w:pPr/>
          </w:p>
        </w:tc>
        <w:tc>
          <w:tcPr>
            <w:tcW w:w="1440" w:type="dxa"/>
            <w:gridSpan w:val="2"/>
            <w:vMerge/>
            <w:tcBorders>
              <w:left w:val="single" w:sz="4" w:space="0" w:color="000000"/>
              <w:bottom w:val="single" w:sz="4" w:space="0" w:color="000000"/>
              <w:right w:val="single" w:sz="4" w:space="0" w:color="000000"/>
            </w:tcBorders>
            <w:shd w:val="clear" w:color="auto" w:fill="D3D3D3"/>
          </w:tcPr>
          <w:p>
            <w:pPr/>
          </w:p>
        </w:tc>
        <w:tc>
          <w:tcPr>
            <w:tcW w:w="147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3217" w:type="dxa"/>
            <w:vMerge/>
            <w:tcBorders>
              <w:left w:val="single" w:sz="4" w:space="0" w:color="000000"/>
              <w:bottom w:val="nil" w:sz="6" w:space="0" w:color="auto"/>
              <w:right w:val="single" w:sz="4" w:space="0" w:color="000000"/>
            </w:tcBorders>
            <w:shd w:val="clear" w:color="auto" w:fill="D3D3D3"/>
          </w:tcPr>
          <w:p>
            <w:pPr/>
          </w:p>
        </w:tc>
        <w:tc>
          <w:tcPr>
            <w:tcW w:w="1632" w:type="dxa"/>
            <w:vMerge/>
            <w:tcBorders>
              <w:left w:val="single" w:sz="4" w:space="0" w:color="000000"/>
              <w:bottom w:val="nil" w:sz="6" w:space="0" w:color="auto"/>
              <w:right w:val="single" w:sz="4" w:space="0" w:color="000000"/>
            </w:tcBorders>
            <w:shd w:val="clear" w:color="auto" w:fill="D3D3D3"/>
          </w:tcPr>
          <w:p>
            <w:pP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8"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580" w:type="dxa"/>
            <w:vMerge w:val="restart"/>
            <w:tcBorders>
              <w:top w:val="single" w:sz="4" w:space="0" w:color="000000"/>
              <w:left w:val="single" w:sz="4" w:space="0" w:color="000000"/>
              <w:right w:val="single" w:sz="4" w:space="0" w:color="000000"/>
            </w:tcBorders>
            <w:shd w:val="clear" w:color="auto" w:fill="D3D3D3"/>
          </w:tcPr>
          <w:p>
            <w:pPr/>
          </w:p>
        </w:tc>
        <w:tc>
          <w:tcPr>
            <w:tcW w:w="9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63"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540" w:type="dxa"/>
            <w:vMerge w:val="restart"/>
            <w:tcBorders>
              <w:top w:val="single" w:sz="4" w:space="0" w:color="000000"/>
              <w:left w:val="single" w:sz="4" w:space="0" w:color="000000"/>
              <w:right w:val="single" w:sz="4" w:space="0" w:color="000000"/>
            </w:tcBorders>
            <w:shd w:val="clear" w:color="auto" w:fill="D3D3D3"/>
          </w:tcPr>
          <w:p>
            <w:pPr/>
          </w:p>
        </w:tc>
        <w:tc>
          <w:tcPr>
            <w:tcW w:w="1474" w:type="dxa"/>
            <w:vMerge/>
            <w:tcBorders>
              <w:left w:val="single" w:sz="4" w:space="0" w:color="000000"/>
              <w:bottom w:val="nil" w:sz="6" w:space="0" w:color="auto"/>
              <w:right w:val="single" w:sz="4" w:space="0" w:color="000000"/>
            </w:tcBorders>
            <w:shd w:val="clear" w:color="auto" w:fill="D3D3D3"/>
          </w:tcPr>
          <w:p>
            <w:pPr/>
          </w:p>
        </w:tc>
      </w:tr>
      <w:tr>
        <w:trPr>
          <w:trHeight w:val="211" w:hRule="exact"/>
        </w:trPr>
        <w:tc>
          <w:tcPr>
            <w:tcW w:w="3217" w:type="dxa"/>
            <w:tcBorders>
              <w:top w:val="nil" w:sz="6" w:space="0" w:color="auto"/>
              <w:left w:val="single" w:sz="4" w:space="0" w:color="000000"/>
              <w:bottom w:val="single" w:sz="4" w:space="0" w:color="000000"/>
              <w:right w:val="single" w:sz="4" w:space="0" w:color="000000"/>
            </w:tcBorders>
            <w:shd w:val="clear" w:color="auto" w:fill="D3D3D3"/>
          </w:tcPr>
          <w:p>
            <w:pPr/>
          </w:p>
        </w:tc>
        <w:tc>
          <w:tcPr>
            <w:tcW w:w="1632"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580" w:type="dxa"/>
            <w:vMerge/>
            <w:tcBorders>
              <w:left w:val="single" w:sz="4" w:space="0" w:color="000000"/>
              <w:bottom w:val="single" w:sz="4" w:space="0" w:color="000000"/>
              <w:right w:val="single" w:sz="4" w:space="0" w:color="000000"/>
            </w:tcBorders>
            <w:shd w:val="clear" w:color="auto" w:fill="D3D3D3"/>
          </w:tcPr>
          <w:p>
            <w:pPr/>
          </w:p>
        </w:tc>
        <w:tc>
          <w:tcPr>
            <w:tcW w:w="900" w:type="dxa"/>
            <w:vMerge/>
            <w:tcBorders>
              <w:left w:val="single" w:sz="4" w:space="0" w:color="000000"/>
              <w:bottom w:val="single" w:sz="4" w:space="0" w:color="000000"/>
              <w:right w:val="single" w:sz="4" w:space="0" w:color="000000"/>
            </w:tcBorders>
            <w:shd w:val="clear" w:color="auto" w:fill="D3D3D3"/>
          </w:tcPr>
          <w:p>
            <w:pPr/>
          </w:p>
        </w:tc>
        <w:tc>
          <w:tcPr>
            <w:tcW w:w="540" w:type="dxa"/>
            <w:vMerge/>
            <w:tcBorders>
              <w:left w:val="single" w:sz="4" w:space="0" w:color="000000"/>
              <w:bottom w:val="single" w:sz="4" w:space="0" w:color="000000"/>
              <w:right w:val="single" w:sz="4" w:space="0" w:color="000000"/>
            </w:tcBorders>
            <w:shd w:val="clear" w:color="auto" w:fill="D3D3D3"/>
          </w:tcPr>
          <w:p>
            <w:pPr/>
          </w:p>
        </w:tc>
        <w:tc>
          <w:tcPr>
            <w:tcW w:w="147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1,613,779,392.82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1,613,779,392.82</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珠海市震星信息技术有限公司</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296,181.57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296,181.57</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北明云智（武汉）网软有限公司</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4,210,455.31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4,210,455.31</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北京北明正实科技有限公司</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12,667,247.45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12,667,247.45</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广州市龙泰信息技术有限公司</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17,288,664.84</w:t>
            </w:r>
          </w:p>
        </w:tc>
        <w:tc>
          <w:tcPr>
            <w:tcW w:w="1367"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17,288,664.84</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北明天时能源科技（北京）有限公司</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184,243,605.71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184,243,605.71</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北明成功软件（山东）有限公司</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38,595,589.90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38,595,589.90</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索科维尔（北京）软件系统有限公司</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105,513,512.02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105,513,512.02</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北京明润华创科技有限责任公司</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37,903,438.01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37,903,438.01</w:t>
            </w:r>
          </w:p>
        </w:tc>
      </w:tr>
      <w:tr>
        <w:trPr>
          <w:trHeight w:val="402"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北京金实盈信科技有限公司</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157,743,254.50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157,743,254.50</w:t>
            </w:r>
          </w:p>
        </w:tc>
      </w:tr>
      <w:tr>
        <w:trPr>
          <w:trHeight w:val="403" w:hRule="exact"/>
        </w:trPr>
        <w:tc>
          <w:tcPr>
            <w:tcW w:w="3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2,172,241,342.13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5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2,172,241,342.13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037"/>
        <w:gridCol w:w="1452"/>
        <w:gridCol w:w="1260"/>
        <w:gridCol w:w="720"/>
        <w:gridCol w:w="1080"/>
        <w:gridCol w:w="793"/>
        <w:gridCol w:w="1367"/>
      </w:tblGrid>
      <w:tr>
        <w:trPr>
          <w:trHeight w:val="200" w:hRule="exact"/>
        </w:trPr>
        <w:tc>
          <w:tcPr>
            <w:tcW w:w="3037" w:type="dxa"/>
            <w:tcBorders>
              <w:top w:val="single" w:sz="4" w:space="0" w:color="000000"/>
              <w:left w:val="single" w:sz="4" w:space="0" w:color="000000"/>
              <w:bottom w:val="nil" w:sz="6" w:space="0" w:color="auto"/>
              <w:right w:val="single" w:sz="4" w:space="0" w:color="000000"/>
            </w:tcBorders>
            <w:shd w:val="clear" w:color="auto" w:fill="D3D3D3"/>
          </w:tcPr>
          <w:p>
            <w:pPr/>
          </w:p>
        </w:tc>
        <w:tc>
          <w:tcPr>
            <w:tcW w:w="1452" w:type="dxa"/>
            <w:tcBorders>
              <w:top w:val="single" w:sz="4" w:space="0" w:color="000000"/>
              <w:left w:val="single" w:sz="4" w:space="0" w:color="000000"/>
              <w:bottom w:val="nil" w:sz="6" w:space="0" w:color="auto"/>
              <w:right w:val="single" w:sz="4" w:space="0" w:color="000000"/>
            </w:tcBorders>
            <w:shd w:val="clear" w:color="auto" w:fill="D3D3D3"/>
          </w:tcPr>
          <w:p>
            <w:pPr/>
          </w:p>
        </w:tc>
        <w:tc>
          <w:tcPr>
            <w:tcW w:w="198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2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7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57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2" w:hRule="exact"/>
        </w:trPr>
        <w:tc>
          <w:tcPr>
            <w:tcW w:w="303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45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80" w:type="dxa"/>
            <w:gridSpan w:val="2"/>
            <w:vMerge/>
            <w:tcBorders>
              <w:left w:val="single" w:sz="4" w:space="0" w:color="000000"/>
              <w:bottom w:val="single" w:sz="4" w:space="0" w:color="000000"/>
              <w:right w:val="single" w:sz="4" w:space="0" w:color="000000"/>
            </w:tcBorders>
            <w:shd w:val="clear" w:color="auto" w:fill="D3D3D3"/>
          </w:tcPr>
          <w:p>
            <w:pPr/>
          </w:p>
        </w:tc>
        <w:tc>
          <w:tcPr>
            <w:tcW w:w="1873" w:type="dxa"/>
            <w:gridSpan w:val="2"/>
            <w:vMerge/>
            <w:tcBorders>
              <w:left w:val="single" w:sz="4" w:space="0" w:color="000000"/>
              <w:bottom w:val="single" w:sz="4" w:space="0" w:color="000000"/>
              <w:right w:val="single" w:sz="4" w:space="0" w:color="000000"/>
            </w:tcBorders>
            <w:shd w:val="clear" w:color="auto" w:fill="D3D3D3"/>
          </w:tcPr>
          <w:p>
            <w:pPr/>
          </w:p>
        </w:tc>
        <w:tc>
          <w:tcPr>
            <w:tcW w:w="136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3037" w:type="dxa"/>
            <w:vMerge/>
            <w:tcBorders>
              <w:left w:val="single" w:sz="4" w:space="0" w:color="000000"/>
              <w:bottom w:val="nil" w:sz="6" w:space="0" w:color="auto"/>
              <w:right w:val="single" w:sz="4" w:space="0" w:color="000000"/>
            </w:tcBorders>
            <w:shd w:val="clear" w:color="auto" w:fill="D3D3D3"/>
          </w:tcPr>
          <w:p>
            <w:pPr/>
          </w:p>
        </w:tc>
        <w:tc>
          <w:tcPr>
            <w:tcW w:w="1452" w:type="dxa"/>
            <w:vMerge/>
            <w:tcBorders>
              <w:left w:val="single" w:sz="4" w:space="0" w:color="000000"/>
              <w:bottom w:val="nil" w:sz="6" w:space="0" w:color="auto"/>
              <w:right w:val="single" w:sz="4" w:space="0" w:color="000000"/>
            </w:tcBorders>
            <w:shd w:val="clear" w:color="auto" w:fill="D3D3D3"/>
          </w:tcPr>
          <w:p>
            <w:pPr/>
          </w:p>
        </w:tc>
        <w:tc>
          <w:tcPr>
            <w:tcW w:w="12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720" w:type="dxa"/>
            <w:vMerge w:val="restart"/>
            <w:tcBorders>
              <w:top w:val="single" w:sz="4" w:space="0" w:color="000000"/>
              <w:left w:val="single" w:sz="4" w:space="0" w:color="000000"/>
              <w:right w:val="single" w:sz="4" w:space="0" w:color="000000"/>
            </w:tcBorders>
            <w:shd w:val="clear" w:color="auto" w:fill="D3D3D3"/>
          </w:tcPr>
          <w:p>
            <w:pPr/>
          </w:p>
        </w:tc>
        <w:tc>
          <w:tcPr>
            <w:tcW w:w="10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793" w:type="dxa"/>
            <w:vMerge w:val="restart"/>
            <w:tcBorders>
              <w:top w:val="single" w:sz="4" w:space="0" w:color="000000"/>
              <w:left w:val="single" w:sz="4" w:space="0" w:color="000000"/>
              <w:right w:val="single" w:sz="4" w:space="0" w:color="000000"/>
            </w:tcBorders>
            <w:shd w:val="clear" w:color="auto" w:fill="D3D3D3"/>
          </w:tcPr>
          <w:p>
            <w:pPr/>
          </w:p>
        </w:tc>
        <w:tc>
          <w:tcPr>
            <w:tcW w:w="1367" w:type="dxa"/>
            <w:vMerge/>
            <w:tcBorders>
              <w:left w:val="single" w:sz="4" w:space="0" w:color="000000"/>
              <w:bottom w:val="nil" w:sz="6" w:space="0" w:color="auto"/>
              <w:right w:val="single" w:sz="4" w:space="0" w:color="000000"/>
            </w:tcBorders>
            <w:shd w:val="clear" w:color="auto" w:fill="D3D3D3"/>
          </w:tcPr>
          <w:p>
            <w:pPr/>
          </w:p>
        </w:tc>
      </w:tr>
      <w:tr>
        <w:trPr>
          <w:trHeight w:val="211" w:hRule="exact"/>
        </w:trPr>
        <w:tc>
          <w:tcPr>
            <w:tcW w:w="3037" w:type="dxa"/>
            <w:tcBorders>
              <w:top w:val="nil" w:sz="6" w:space="0" w:color="auto"/>
              <w:left w:val="single" w:sz="4" w:space="0" w:color="000000"/>
              <w:bottom w:val="single" w:sz="4" w:space="0" w:color="000000"/>
              <w:right w:val="single" w:sz="4" w:space="0" w:color="000000"/>
            </w:tcBorders>
            <w:shd w:val="clear" w:color="auto" w:fill="D3D3D3"/>
          </w:tcPr>
          <w:p>
            <w:pPr/>
          </w:p>
        </w:tc>
        <w:tc>
          <w:tcPr>
            <w:tcW w:w="1452" w:type="dxa"/>
            <w:tcBorders>
              <w:top w:val="nil" w:sz="6" w:space="0" w:color="auto"/>
              <w:left w:val="single" w:sz="4" w:space="0" w:color="000000"/>
              <w:bottom w:val="single" w:sz="4" w:space="0" w:color="000000"/>
              <w:right w:val="single" w:sz="4" w:space="0" w:color="000000"/>
            </w:tcBorders>
            <w:shd w:val="clear" w:color="auto" w:fill="D3D3D3"/>
          </w:tcPr>
          <w:p>
            <w:pPr/>
          </w:p>
        </w:tc>
        <w:tc>
          <w:tcPr>
            <w:tcW w:w="1260" w:type="dxa"/>
            <w:vMerge/>
            <w:tcBorders>
              <w:left w:val="single" w:sz="4" w:space="0" w:color="000000"/>
              <w:bottom w:val="single" w:sz="4" w:space="0" w:color="000000"/>
              <w:right w:val="single" w:sz="4" w:space="0" w:color="000000"/>
            </w:tcBorders>
            <w:shd w:val="clear" w:color="auto" w:fill="D3D3D3"/>
          </w:tcPr>
          <w:p>
            <w:pPr/>
          </w:p>
        </w:tc>
        <w:tc>
          <w:tcPr>
            <w:tcW w:w="720" w:type="dxa"/>
            <w:vMerge/>
            <w:tcBorders>
              <w:left w:val="single" w:sz="4" w:space="0" w:color="000000"/>
              <w:bottom w:val="single" w:sz="4" w:space="0" w:color="000000"/>
              <w:right w:val="single" w:sz="4" w:space="0" w:color="000000"/>
            </w:tcBorders>
            <w:shd w:val="clear" w:color="auto" w:fill="D3D3D3"/>
          </w:tcPr>
          <w:p>
            <w:pPr/>
          </w:p>
        </w:tc>
        <w:tc>
          <w:tcPr>
            <w:tcW w:w="1080" w:type="dxa"/>
            <w:vMerge/>
            <w:tcBorders>
              <w:left w:val="single" w:sz="4" w:space="0" w:color="000000"/>
              <w:bottom w:val="single" w:sz="4" w:space="0" w:color="000000"/>
              <w:right w:val="single" w:sz="4" w:space="0" w:color="000000"/>
            </w:tcBorders>
            <w:shd w:val="clear" w:color="auto" w:fill="D3D3D3"/>
          </w:tcPr>
          <w:p>
            <w:pPr/>
          </w:p>
        </w:tc>
        <w:tc>
          <w:tcPr>
            <w:tcW w:w="793"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索科维尔（北京）软件系统有限公司</w:t>
            </w:r>
          </w:p>
        </w:tc>
        <w:tc>
          <w:tcPr>
            <w:tcW w:w="14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22,082,002.41</w:t>
            </w: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22,082,002.41</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北明云智（武汉）网软有限公司</w:t>
            </w:r>
          </w:p>
        </w:tc>
        <w:tc>
          <w:tcPr>
            <w:tcW w:w="14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4,210,455.31</w:t>
            </w: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4,210,455.31</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广州市龙泰信息技术有限公司</w:t>
            </w:r>
          </w:p>
        </w:tc>
        <w:tc>
          <w:tcPr>
            <w:tcW w:w="14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17,288,664.84</w:t>
            </w:r>
          </w:p>
        </w:tc>
        <w:tc>
          <w:tcPr>
            <w:tcW w:w="126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17,288,664.84</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北京金实盈信科技有限公司</w:t>
            </w:r>
          </w:p>
        </w:tc>
        <w:tc>
          <w:tcPr>
            <w:tcW w:w="1452" w:type="dxa"/>
            <w:tcBorders>
              <w:top w:val="single" w:sz="4" w:space="0" w:color="000000"/>
              <w:left w:val="single" w:sz="10" w:space="0" w:color="D3D3D3"/>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10,845,500.00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10,845,500.00</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北明天时能源科技（北京）有限公司</w:t>
            </w:r>
          </w:p>
        </w:tc>
        <w:tc>
          <w:tcPr>
            <w:tcW w:w="1452" w:type="dxa"/>
            <w:tcBorders>
              <w:top w:val="single" w:sz="4" w:space="0" w:color="000000"/>
              <w:left w:val="single" w:sz="10" w:space="0" w:color="D3D3D3"/>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9,342,200.00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9,342,200.00</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珠海市震星信息技术有限公司</w:t>
            </w:r>
          </w:p>
        </w:tc>
        <w:tc>
          <w:tcPr>
            <w:tcW w:w="1452" w:type="dxa"/>
            <w:tcBorders>
              <w:top w:val="single" w:sz="4" w:space="0" w:color="000000"/>
              <w:left w:val="single" w:sz="10" w:space="0" w:color="D3D3D3"/>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296,181.57</w:t>
            </w: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296,181.57</w:t>
            </w:r>
          </w:p>
        </w:tc>
      </w:tr>
      <w:tr>
        <w:trPr>
          <w:trHeight w:val="403"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43,581,122.56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20,483,881.57</w:t>
            </w: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64,065,004.13</w:t>
            </w:r>
          </w:p>
        </w:tc>
      </w:tr>
    </w:tbl>
    <w:p>
      <w:pPr>
        <w:pStyle w:val="BodyText"/>
        <w:spacing w:line="240" w:lineRule="auto" w:before="51"/>
        <w:ind w:right="0"/>
        <w:jc w:val="left"/>
      </w:pPr>
      <w:r>
        <w:rPr/>
        <w:t>商誉所在资产组或资产组组合的相关信息</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49" w:type="dxa"/>
        <w:tblLayout w:type="fixed"/>
        <w:tblCellMar>
          <w:top w:w="0" w:type="dxa"/>
          <w:left w:w="0" w:type="dxa"/>
          <w:bottom w:w="0" w:type="dxa"/>
          <w:right w:w="0" w:type="dxa"/>
        </w:tblCellMar>
        <w:tblLook w:val="01E0"/>
      </w:tblPr>
      <w:tblGrid>
        <w:gridCol w:w="1800"/>
        <w:gridCol w:w="1662"/>
        <w:gridCol w:w="1529"/>
        <w:gridCol w:w="1530"/>
        <w:gridCol w:w="1594"/>
        <w:gridCol w:w="1592"/>
      </w:tblGrid>
      <w:tr>
        <w:trPr>
          <w:trHeight w:val="1026"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资产组名称</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95" w:right="104" w:hanging="90"/>
              <w:jc w:val="left"/>
              <w:rPr>
                <w:rFonts w:ascii="宋体" w:hAnsi="宋体" w:cs="宋体" w:eastAsia="宋体" w:hint="default"/>
                <w:sz w:val="18"/>
                <w:szCs w:val="18"/>
              </w:rPr>
            </w:pPr>
            <w:r>
              <w:rPr>
                <w:rFonts w:ascii="宋体" w:hAnsi="宋体" w:cs="宋体" w:eastAsia="宋体" w:hint="default"/>
                <w:sz w:val="18"/>
                <w:szCs w:val="18"/>
              </w:rPr>
              <w:t>归属于母公司股东 的商誉账面价值</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8" w:right="38" w:hanging="180"/>
              <w:jc w:val="left"/>
              <w:rPr>
                <w:rFonts w:ascii="宋体" w:hAnsi="宋体" w:cs="宋体" w:eastAsia="宋体" w:hint="default"/>
                <w:sz w:val="18"/>
                <w:szCs w:val="18"/>
              </w:rPr>
            </w:pPr>
            <w:r>
              <w:rPr>
                <w:rFonts w:ascii="宋体" w:hAnsi="宋体" w:cs="宋体" w:eastAsia="宋体" w:hint="default"/>
                <w:sz w:val="18"/>
                <w:szCs w:val="18"/>
              </w:rPr>
              <w:t>归属于少数股东的 商誉账面价值</w:t>
            </w: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7"/>
              <w:jc w:val="right"/>
              <w:rPr>
                <w:rFonts w:ascii="宋体" w:hAnsi="宋体" w:cs="宋体" w:eastAsia="宋体" w:hint="default"/>
                <w:sz w:val="18"/>
                <w:szCs w:val="18"/>
              </w:rPr>
            </w:pPr>
            <w:r>
              <w:rPr>
                <w:rFonts w:ascii="宋体" w:hAnsi="宋体" w:cs="宋体" w:eastAsia="宋体" w:hint="default"/>
                <w:sz w:val="18"/>
                <w:szCs w:val="18"/>
              </w:rPr>
              <w:t>全部商誉账面价值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71" w:right="70"/>
              <w:jc w:val="center"/>
              <w:rPr>
                <w:rFonts w:ascii="宋体" w:hAnsi="宋体" w:cs="宋体" w:eastAsia="宋体" w:hint="default"/>
                <w:sz w:val="18"/>
                <w:szCs w:val="18"/>
              </w:rPr>
            </w:pPr>
            <w:r>
              <w:rPr>
                <w:rFonts w:ascii="宋体" w:hAnsi="宋体" w:cs="宋体" w:eastAsia="宋体" w:hint="default"/>
                <w:sz w:val="18"/>
                <w:szCs w:val="18"/>
              </w:rPr>
              <w:t>资产组或资产组组 合内其他资产账面 价值</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70" w:right="71"/>
              <w:jc w:val="center"/>
              <w:rPr>
                <w:rFonts w:ascii="宋体" w:hAnsi="宋体" w:cs="宋体" w:eastAsia="宋体" w:hint="default"/>
                <w:sz w:val="18"/>
                <w:szCs w:val="18"/>
              </w:rPr>
            </w:pPr>
            <w:r>
              <w:rPr>
                <w:rFonts w:ascii="宋体" w:hAnsi="宋体" w:cs="宋体" w:eastAsia="宋体" w:hint="default"/>
                <w:sz w:val="18"/>
                <w:szCs w:val="18"/>
              </w:rPr>
              <w:t>包含商誉的资产组 或资产组组合账面 价值</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22"/>
              <w:jc w:val="center"/>
              <w:rPr>
                <w:rFonts w:ascii="宋体" w:hAnsi="宋体" w:cs="宋体" w:eastAsia="宋体" w:hint="default"/>
                <w:sz w:val="18"/>
                <w:szCs w:val="18"/>
              </w:rPr>
            </w:pPr>
            <w:r>
              <w:rPr>
                <w:rFonts w:ascii="宋体" w:hAnsi="宋体" w:cs="宋体" w:eastAsia="宋体" w:hint="default"/>
                <w:sz w:val="18"/>
                <w:szCs w:val="18"/>
              </w:rPr>
              <w:t>石家庄常山北明科技</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7" w:right="0"/>
              <w:jc w:val="left"/>
              <w:rPr>
                <w:rFonts w:ascii="Times New Roman" w:hAnsi="Times New Roman" w:cs="Times New Roman" w:eastAsia="Times New Roman" w:hint="default"/>
                <w:sz w:val="18"/>
                <w:szCs w:val="18"/>
              </w:rPr>
            </w:pPr>
            <w:r>
              <w:rPr>
                <w:rFonts w:ascii="Times New Roman"/>
                <w:sz w:val="18"/>
              </w:rPr>
              <w:t>296,181.57</w:t>
            </w:r>
          </w:p>
        </w:tc>
        <w:tc>
          <w:tcPr>
            <w:tcW w:w="1529" w:type="dxa"/>
            <w:tcBorders>
              <w:top w:val="single" w:sz="4" w:space="0" w:color="000000"/>
              <w:left w:val="single" w:sz="4" w:space="0" w:color="000000"/>
              <w:bottom w:val="single" w:sz="4" w:space="0" w:color="000000"/>
              <w:right w:val="single" w:sz="4" w:space="0" w:color="000000"/>
            </w:tcBorders>
          </w:tcPr>
          <w:p>
            <w:pPr/>
          </w:p>
        </w:tc>
        <w:tc>
          <w:tcPr>
            <w:tcW w:w="1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296,181.57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9" w:right="0"/>
              <w:jc w:val="left"/>
              <w:rPr>
                <w:rFonts w:ascii="Times New Roman" w:hAnsi="Times New Roman" w:cs="Times New Roman" w:eastAsia="Times New Roman" w:hint="default"/>
                <w:sz w:val="18"/>
                <w:szCs w:val="18"/>
              </w:rPr>
            </w:pPr>
            <w:r>
              <w:rPr>
                <w:rFonts w:ascii="Times New Roman"/>
                <w:sz w:val="18"/>
              </w:rPr>
              <w:t>28,292.86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8" w:right="0"/>
              <w:jc w:val="left"/>
              <w:rPr>
                <w:rFonts w:ascii="Times New Roman" w:hAnsi="Times New Roman" w:cs="Times New Roman" w:eastAsia="Times New Roman" w:hint="default"/>
                <w:sz w:val="18"/>
                <w:szCs w:val="18"/>
              </w:rPr>
            </w:pPr>
            <w:r>
              <w:rPr>
                <w:rFonts w:ascii="Times New Roman"/>
                <w:sz w:val="18"/>
              </w:rPr>
              <w:t>324,474.43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00"/>
        <w:gridCol w:w="1662"/>
        <w:gridCol w:w="1529"/>
        <w:gridCol w:w="1530"/>
        <w:gridCol w:w="1594"/>
        <w:gridCol w:w="1592"/>
      </w:tblGrid>
      <w:tr>
        <w:trPr>
          <w:trHeight w:val="317" w:hRule="exact"/>
        </w:trPr>
        <w:tc>
          <w:tcPr>
            <w:tcW w:w="1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股份有限公司拟对合</w:t>
            </w:r>
          </w:p>
        </w:tc>
        <w:tc>
          <w:tcPr>
            <w:tcW w:w="1662" w:type="dxa"/>
            <w:vMerge w:val="restart"/>
            <w:tcBorders>
              <w:top w:val="single" w:sz="4" w:space="0" w:color="000000"/>
              <w:left w:val="single" w:sz="4" w:space="0" w:color="000000"/>
              <w:right w:val="single" w:sz="4" w:space="0" w:color="000000"/>
            </w:tcBorders>
          </w:tcPr>
          <w:p>
            <w:pPr/>
          </w:p>
        </w:tc>
        <w:tc>
          <w:tcPr>
            <w:tcW w:w="1529" w:type="dxa"/>
            <w:vMerge w:val="restart"/>
            <w:tcBorders>
              <w:top w:val="single" w:sz="4" w:space="0" w:color="000000"/>
              <w:left w:val="single" w:sz="4" w:space="0" w:color="000000"/>
              <w:right w:val="single" w:sz="4" w:space="0" w:color="000000"/>
            </w:tcBorders>
          </w:tcPr>
          <w:p>
            <w:pPr/>
          </w:p>
        </w:tc>
        <w:tc>
          <w:tcPr>
            <w:tcW w:w="1530" w:type="dxa"/>
            <w:vMerge w:val="restart"/>
            <w:tcBorders>
              <w:top w:val="single" w:sz="4" w:space="0" w:color="000000"/>
              <w:left w:val="single" w:sz="4" w:space="0" w:color="000000"/>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2" w:type="dxa"/>
            <w:vMerge w:val="restart"/>
            <w:tcBorders>
              <w:top w:val="single" w:sz="4" w:space="0" w:color="000000"/>
              <w:left w:val="single" w:sz="4" w:space="0" w:color="000000"/>
              <w:right w:val="single" w:sz="4" w:space="0" w:color="000000"/>
            </w:tcBorders>
          </w:tcPr>
          <w:p>
            <w:pPr/>
          </w:p>
        </w:tc>
      </w:tr>
      <w:tr>
        <w:trPr>
          <w:trHeight w:val="312" w:hRule="exact"/>
        </w:trPr>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并珠海市震星信息技</w:t>
            </w:r>
          </w:p>
        </w:tc>
        <w:tc>
          <w:tcPr>
            <w:tcW w:w="1662" w:type="dxa"/>
            <w:vMerge/>
            <w:tcBorders>
              <w:left w:val="single" w:sz="4" w:space="0" w:color="000000"/>
              <w:right w:val="single" w:sz="4" w:space="0" w:color="000000"/>
            </w:tcBorders>
          </w:tcPr>
          <w:p>
            <w:pPr/>
          </w:p>
        </w:tc>
        <w:tc>
          <w:tcPr>
            <w:tcW w:w="1529" w:type="dxa"/>
            <w:vMerge/>
            <w:tcBorders>
              <w:left w:val="single" w:sz="4" w:space="0" w:color="000000"/>
              <w:right w:val="single" w:sz="4" w:space="0" w:color="000000"/>
            </w:tcBorders>
          </w:tcPr>
          <w:p>
            <w:pPr/>
          </w:p>
        </w:tc>
        <w:tc>
          <w:tcPr>
            <w:tcW w:w="1530"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2" w:type="dxa"/>
            <w:vMerge/>
            <w:tcBorders>
              <w:left w:val="single" w:sz="4" w:space="0" w:color="000000"/>
              <w:right w:val="single" w:sz="4" w:space="0" w:color="000000"/>
            </w:tcBorders>
          </w:tcPr>
          <w:p>
            <w:pPr/>
          </w:p>
        </w:tc>
      </w:tr>
      <w:tr>
        <w:trPr>
          <w:trHeight w:val="313" w:hRule="exact"/>
        </w:trPr>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术有限公司形成的商</w:t>
            </w:r>
          </w:p>
        </w:tc>
        <w:tc>
          <w:tcPr>
            <w:tcW w:w="1662" w:type="dxa"/>
            <w:vMerge/>
            <w:tcBorders>
              <w:left w:val="single" w:sz="4" w:space="0" w:color="000000"/>
              <w:right w:val="single" w:sz="4" w:space="0" w:color="000000"/>
            </w:tcBorders>
          </w:tcPr>
          <w:p>
            <w:pPr/>
          </w:p>
        </w:tc>
        <w:tc>
          <w:tcPr>
            <w:tcW w:w="1529" w:type="dxa"/>
            <w:vMerge/>
            <w:tcBorders>
              <w:left w:val="single" w:sz="4" w:space="0" w:color="000000"/>
              <w:right w:val="single" w:sz="4" w:space="0" w:color="000000"/>
            </w:tcBorders>
          </w:tcPr>
          <w:p>
            <w:pPr/>
          </w:p>
        </w:tc>
        <w:tc>
          <w:tcPr>
            <w:tcW w:w="1530"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2" w:type="dxa"/>
            <w:vMerge/>
            <w:tcBorders>
              <w:left w:val="single" w:sz="4" w:space="0" w:color="000000"/>
              <w:right w:val="single" w:sz="4" w:space="0" w:color="000000"/>
            </w:tcBorders>
          </w:tcPr>
          <w:p>
            <w:pPr/>
          </w:p>
        </w:tc>
      </w:tr>
      <w:tr>
        <w:trPr>
          <w:trHeight w:val="357" w:hRule="exact"/>
        </w:trPr>
        <w:tc>
          <w:tcPr>
            <w:tcW w:w="1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誉进行减值测试</w:t>
            </w:r>
          </w:p>
        </w:tc>
        <w:tc>
          <w:tcPr>
            <w:tcW w:w="1662" w:type="dxa"/>
            <w:vMerge/>
            <w:tcBorders>
              <w:left w:val="single" w:sz="4" w:space="0" w:color="000000"/>
              <w:bottom w:val="single" w:sz="4" w:space="0" w:color="000000"/>
              <w:right w:val="single" w:sz="4" w:space="0" w:color="000000"/>
            </w:tcBorders>
          </w:tcPr>
          <w:p>
            <w:pPr/>
          </w:p>
        </w:tc>
        <w:tc>
          <w:tcPr>
            <w:tcW w:w="1529" w:type="dxa"/>
            <w:vMerge/>
            <w:tcBorders>
              <w:left w:val="single" w:sz="4" w:space="0" w:color="000000"/>
              <w:bottom w:val="single" w:sz="4" w:space="0" w:color="000000"/>
              <w:right w:val="single" w:sz="4" w:space="0" w:color="000000"/>
            </w:tcBorders>
          </w:tcPr>
          <w:p>
            <w:pPr/>
          </w:p>
        </w:tc>
        <w:tc>
          <w:tcPr>
            <w:tcW w:w="1530"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2" w:type="dxa"/>
            <w:vMerge/>
            <w:tcBorders>
              <w:left w:val="single" w:sz="4" w:space="0" w:color="000000"/>
              <w:bottom w:val="single" w:sz="4" w:space="0" w:color="000000"/>
              <w:right w:val="single" w:sz="4" w:space="0" w:color="000000"/>
            </w:tcBorders>
          </w:tcPr>
          <w:p>
            <w:pPr/>
          </w:p>
        </w:tc>
      </w:tr>
      <w:tr>
        <w:trPr>
          <w:trHeight w:val="357" w:hRule="exact"/>
        </w:trPr>
        <w:tc>
          <w:tcPr>
            <w:tcW w:w="1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石家庄常山北明科技</w:t>
            </w:r>
          </w:p>
        </w:tc>
        <w:tc>
          <w:tcPr>
            <w:tcW w:w="1662" w:type="dxa"/>
            <w:tcBorders>
              <w:top w:val="single" w:sz="4" w:space="0" w:color="000000"/>
              <w:left w:val="single" w:sz="4" w:space="0" w:color="000000"/>
              <w:bottom w:val="nil" w:sz="6" w:space="0" w:color="auto"/>
              <w:right w:val="single" w:sz="4" w:space="0" w:color="000000"/>
            </w:tcBorders>
          </w:tcPr>
          <w:p>
            <w:pPr/>
          </w:p>
        </w:tc>
        <w:tc>
          <w:tcPr>
            <w:tcW w:w="1529" w:type="dxa"/>
            <w:vMerge w:val="restart"/>
            <w:tcBorders>
              <w:top w:val="single" w:sz="4" w:space="0" w:color="000000"/>
              <w:left w:val="single" w:sz="4" w:space="0" w:color="000000"/>
              <w:right w:val="single" w:sz="4" w:space="0" w:color="000000"/>
            </w:tcBorders>
          </w:tcPr>
          <w:p>
            <w:pPr/>
          </w:p>
        </w:tc>
        <w:tc>
          <w:tcPr>
            <w:tcW w:w="1530" w:type="dxa"/>
            <w:tcBorders>
              <w:top w:val="single" w:sz="4" w:space="0" w:color="000000"/>
              <w:left w:val="single" w:sz="4" w:space="0" w:color="000000"/>
              <w:bottom w:val="nil" w:sz="6" w:space="0" w:color="auto"/>
              <w:right w:val="single" w:sz="4" w:space="0" w:color="000000"/>
            </w:tcBorders>
          </w:tcPr>
          <w:p>
            <w:pPr/>
          </w:p>
        </w:tc>
        <w:tc>
          <w:tcPr>
            <w:tcW w:w="1594" w:type="dxa"/>
            <w:vMerge w:val="restart"/>
            <w:tcBorders>
              <w:top w:val="single" w:sz="4" w:space="0" w:color="000000"/>
              <w:left w:val="single" w:sz="4" w:space="0" w:color="000000"/>
              <w:right w:val="single" w:sz="4" w:space="0" w:color="000000"/>
            </w:tcBorders>
          </w:tcPr>
          <w:p>
            <w:pPr/>
          </w:p>
        </w:tc>
        <w:tc>
          <w:tcPr>
            <w:tcW w:w="1592"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股份有限公司拟对合</w:t>
            </w:r>
          </w:p>
        </w:tc>
        <w:tc>
          <w:tcPr>
            <w:tcW w:w="1662" w:type="dxa"/>
            <w:tcBorders>
              <w:top w:val="nil" w:sz="6" w:space="0" w:color="auto"/>
              <w:left w:val="single" w:sz="4" w:space="0" w:color="000000"/>
              <w:bottom w:val="nil" w:sz="6" w:space="0" w:color="auto"/>
              <w:right w:val="single" w:sz="4" w:space="0" w:color="000000"/>
            </w:tcBorders>
          </w:tcPr>
          <w:p>
            <w:pPr/>
          </w:p>
        </w:tc>
        <w:tc>
          <w:tcPr>
            <w:tcW w:w="1529" w:type="dxa"/>
            <w:vMerge/>
            <w:tcBorders>
              <w:left w:val="single" w:sz="4" w:space="0" w:color="000000"/>
              <w:right w:val="single" w:sz="4" w:space="0" w:color="000000"/>
            </w:tcBorders>
          </w:tcPr>
          <w:p>
            <w:pPr/>
          </w:p>
        </w:tc>
        <w:tc>
          <w:tcPr>
            <w:tcW w:w="1530" w:type="dxa"/>
            <w:tcBorders>
              <w:top w:val="nil" w:sz="6" w:space="0" w:color="auto"/>
              <w:left w:val="single" w:sz="4" w:space="0" w:color="000000"/>
              <w:bottom w:val="nil" w:sz="6" w:space="0" w:color="auto"/>
              <w:right w:val="single" w:sz="4" w:space="0" w:color="000000"/>
            </w:tcBorders>
          </w:tcPr>
          <w:p>
            <w:pPr/>
          </w:p>
        </w:tc>
        <w:tc>
          <w:tcPr>
            <w:tcW w:w="1594" w:type="dxa"/>
            <w:vMerge/>
            <w:tcBorders>
              <w:left w:val="single" w:sz="4" w:space="0" w:color="000000"/>
              <w:right w:val="single" w:sz="4" w:space="0" w:color="000000"/>
            </w:tcBorders>
          </w:tcPr>
          <w:p>
            <w:pPr/>
          </w:p>
        </w:tc>
        <w:tc>
          <w:tcPr>
            <w:tcW w:w="1592"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并北京北明正实科技</w:t>
            </w:r>
          </w:p>
        </w:tc>
        <w:tc>
          <w:tcPr>
            <w:tcW w:w="16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12,667,247.45</w:t>
            </w:r>
          </w:p>
        </w:tc>
        <w:tc>
          <w:tcPr>
            <w:tcW w:w="1529" w:type="dxa"/>
            <w:vMerge/>
            <w:tcBorders>
              <w:left w:val="single" w:sz="4" w:space="0" w:color="000000"/>
              <w:right w:val="single" w:sz="4" w:space="0" w:color="000000"/>
            </w:tcBorders>
          </w:tcPr>
          <w:p>
            <w:pPr/>
          </w:p>
        </w:tc>
        <w:tc>
          <w:tcPr>
            <w:tcW w:w="153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12,667,247.45</w:t>
            </w:r>
          </w:p>
        </w:tc>
        <w:tc>
          <w:tcPr>
            <w:tcW w:w="1594" w:type="dxa"/>
            <w:vMerge/>
            <w:tcBorders>
              <w:left w:val="single" w:sz="4" w:space="0" w:color="000000"/>
              <w:right w:val="single" w:sz="4" w:space="0" w:color="000000"/>
            </w:tcBorders>
          </w:tcPr>
          <w:p>
            <w:pPr/>
          </w:p>
        </w:tc>
        <w:tc>
          <w:tcPr>
            <w:tcW w:w="159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12,667,247.45</w:t>
            </w:r>
          </w:p>
        </w:tc>
      </w:tr>
      <w:tr>
        <w:trPr>
          <w:trHeight w:val="308" w:hRule="exact"/>
        </w:trPr>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有限公司形成的商誉</w:t>
            </w:r>
          </w:p>
        </w:tc>
        <w:tc>
          <w:tcPr>
            <w:tcW w:w="1662" w:type="dxa"/>
            <w:tcBorders>
              <w:top w:val="nil" w:sz="6" w:space="0" w:color="auto"/>
              <w:left w:val="single" w:sz="4" w:space="0" w:color="000000"/>
              <w:bottom w:val="nil" w:sz="6" w:space="0" w:color="auto"/>
              <w:right w:val="single" w:sz="4" w:space="0" w:color="000000"/>
            </w:tcBorders>
          </w:tcPr>
          <w:p>
            <w:pPr/>
          </w:p>
        </w:tc>
        <w:tc>
          <w:tcPr>
            <w:tcW w:w="1529" w:type="dxa"/>
            <w:vMerge/>
            <w:tcBorders>
              <w:left w:val="single" w:sz="4" w:space="0" w:color="000000"/>
              <w:right w:val="single" w:sz="4" w:space="0" w:color="000000"/>
            </w:tcBorders>
          </w:tcPr>
          <w:p>
            <w:pPr/>
          </w:p>
        </w:tc>
        <w:tc>
          <w:tcPr>
            <w:tcW w:w="1530" w:type="dxa"/>
            <w:tcBorders>
              <w:top w:val="nil" w:sz="6" w:space="0" w:color="auto"/>
              <w:left w:val="single" w:sz="4" w:space="0" w:color="000000"/>
              <w:bottom w:val="nil" w:sz="6" w:space="0" w:color="auto"/>
              <w:right w:val="single" w:sz="4" w:space="0" w:color="000000"/>
            </w:tcBorders>
          </w:tcPr>
          <w:p>
            <w:pPr/>
          </w:p>
        </w:tc>
        <w:tc>
          <w:tcPr>
            <w:tcW w:w="1594" w:type="dxa"/>
            <w:vMerge/>
            <w:tcBorders>
              <w:left w:val="single" w:sz="4" w:space="0" w:color="000000"/>
              <w:right w:val="single" w:sz="4" w:space="0" w:color="000000"/>
            </w:tcBorders>
          </w:tcPr>
          <w:p>
            <w:pPr/>
          </w:p>
        </w:tc>
        <w:tc>
          <w:tcPr>
            <w:tcW w:w="159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进行减值测试</w:t>
            </w:r>
          </w:p>
        </w:tc>
        <w:tc>
          <w:tcPr>
            <w:tcW w:w="1662" w:type="dxa"/>
            <w:tcBorders>
              <w:top w:val="nil" w:sz="6" w:space="0" w:color="auto"/>
              <w:left w:val="single" w:sz="4" w:space="0" w:color="000000"/>
              <w:bottom w:val="single" w:sz="4" w:space="0" w:color="000000"/>
              <w:right w:val="single" w:sz="4" w:space="0" w:color="000000"/>
            </w:tcBorders>
          </w:tcPr>
          <w:p>
            <w:pPr/>
          </w:p>
        </w:tc>
        <w:tc>
          <w:tcPr>
            <w:tcW w:w="1529" w:type="dxa"/>
            <w:vMerge/>
            <w:tcBorders>
              <w:left w:val="single" w:sz="4" w:space="0" w:color="000000"/>
              <w:bottom w:val="single" w:sz="4" w:space="0" w:color="000000"/>
              <w:right w:val="single" w:sz="4" w:space="0" w:color="000000"/>
            </w:tcBorders>
          </w:tcPr>
          <w:p>
            <w:pPr/>
          </w:p>
        </w:tc>
        <w:tc>
          <w:tcPr>
            <w:tcW w:w="1530" w:type="dxa"/>
            <w:tcBorders>
              <w:top w:val="nil" w:sz="6" w:space="0" w:color="auto"/>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2"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石家庄常山北明科技</w:t>
            </w:r>
          </w:p>
        </w:tc>
        <w:tc>
          <w:tcPr>
            <w:tcW w:w="1662" w:type="dxa"/>
            <w:tcBorders>
              <w:top w:val="single" w:sz="4" w:space="0" w:color="000000"/>
              <w:left w:val="single" w:sz="4" w:space="0" w:color="000000"/>
              <w:bottom w:val="nil" w:sz="6" w:space="0" w:color="auto"/>
              <w:right w:val="single" w:sz="4" w:space="0" w:color="000000"/>
            </w:tcBorders>
          </w:tcPr>
          <w:p>
            <w:pPr/>
          </w:p>
        </w:tc>
        <w:tc>
          <w:tcPr>
            <w:tcW w:w="1529" w:type="dxa"/>
            <w:vMerge w:val="restart"/>
            <w:tcBorders>
              <w:top w:val="single" w:sz="4" w:space="0" w:color="000000"/>
              <w:left w:val="single" w:sz="4" w:space="0" w:color="000000"/>
              <w:right w:val="single" w:sz="4" w:space="0" w:color="000000"/>
            </w:tcBorders>
          </w:tcPr>
          <w:p>
            <w:pPr/>
          </w:p>
        </w:tc>
        <w:tc>
          <w:tcPr>
            <w:tcW w:w="1530"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2"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股份有限公司拟对合</w:t>
            </w:r>
          </w:p>
        </w:tc>
        <w:tc>
          <w:tcPr>
            <w:tcW w:w="1662" w:type="dxa"/>
            <w:tcBorders>
              <w:top w:val="nil" w:sz="6" w:space="0" w:color="auto"/>
              <w:left w:val="single" w:sz="4" w:space="0" w:color="000000"/>
              <w:bottom w:val="nil" w:sz="6" w:space="0" w:color="auto"/>
              <w:right w:val="single" w:sz="4" w:space="0" w:color="000000"/>
            </w:tcBorders>
          </w:tcPr>
          <w:p>
            <w:pPr/>
          </w:p>
        </w:tc>
        <w:tc>
          <w:tcPr>
            <w:tcW w:w="1529" w:type="dxa"/>
            <w:vMerge/>
            <w:tcBorders>
              <w:left w:val="single" w:sz="4" w:space="0" w:color="000000"/>
              <w:right w:val="single" w:sz="4" w:space="0" w:color="000000"/>
            </w:tcBorders>
          </w:tcPr>
          <w:p>
            <w:pPr/>
          </w:p>
        </w:tc>
        <w:tc>
          <w:tcPr>
            <w:tcW w:w="1530"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2"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并北明天时能源科技</w:t>
            </w:r>
          </w:p>
        </w:tc>
        <w:tc>
          <w:tcPr>
            <w:tcW w:w="16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184,243,605.71</w:t>
            </w:r>
          </w:p>
        </w:tc>
        <w:tc>
          <w:tcPr>
            <w:tcW w:w="1529" w:type="dxa"/>
            <w:vMerge/>
            <w:tcBorders>
              <w:left w:val="single" w:sz="4" w:space="0" w:color="000000"/>
              <w:right w:val="single" w:sz="4" w:space="0" w:color="000000"/>
            </w:tcBorders>
          </w:tcPr>
          <w:p>
            <w:pPr/>
          </w:p>
        </w:tc>
        <w:tc>
          <w:tcPr>
            <w:tcW w:w="153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184,243,605.71</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28,559,444.95</w:t>
            </w:r>
          </w:p>
        </w:tc>
        <w:tc>
          <w:tcPr>
            <w:tcW w:w="159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212,803,050.66</w:t>
            </w:r>
          </w:p>
        </w:tc>
      </w:tr>
      <w:tr>
        <w:trPr>
          <w:trHeight w:val="308" w:hRule="exact"/>
        </w:trPr>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pacing w:val="-6"/>
                <w:sz w:val="18"/>
                <w:szCs w:val="18"/>
              </w:rPr>
              <w:t>（北京）有限公司形成</w:t>
            </w:r>
          </w:p>
        </w:tc>
        <w:tc>
          <w:tcPr>
            <w:tcW w:w="1662" w:type="dxa"/>
            <w:tcBorders>
              <w:top w:val="nil" w:sz="6" w:space="0" w:color="auto"/>
              <w:left w:val="single" w:sz="4" w:space="0" w:color="000000"/>
              <w:bottom w:val="nil" w:sz="6" w:space="0" w:color="auto"/>
              <w:right w:val="single" w:sz="4" w:space="0" w:color="000000"/>
            </w:tcBorders>
          </w:tcPr>
          <w:p>
            <w:pPr/>
          </w:p>
        </w:tc>
        <w:tc>
          <w:tcPr>
            <w:tcW w:w="1529" w:type="dxa"/>
            <w:vMerge/>
            <w:tcBorders>
              <w:left w:val="single" w:sz="4" w:space="0" w:color="000000"/>
              <w:right w:val="single" w:sz="4" w:space="0" w:color="000000"/>
            </w:tcBorders>
          </w:tcPr>
          <w:p>
            <w:pPr/>
          </w:p>
        </w:tc>
        <w:tc>
          <w:tcPr>
            <w:tcW w:w="1530"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的商誉进行减值测试</w:t>
            </w:r>
          </w:p>
        </w:tc>
        <w:tc>
          <w:tcPr>
            <w:tcW w:w="1662" w:type="dxa"/>
            <w:tcBorders>
              <w:top w:val="nil" w:sz="6" w:space="0" w:color="auto"/>
              <w:left w:val="single" w:sz="4" w:space="0" w:color="000000"/>
              <w:bottom w:val="single" w:sz="4" w:space="0" w:color="000000"/>
              <w:right w:val="single" w:sz="4" w:space="0" w:color="000000"/>
            </w:tcBorders>
          </w:tcPr>
          <w:p>
            <w:pPr/>
          </w:p>
        </w:tc>
        <w:tc>
          <w:tcPr>
            <w:tcW w:w="1529" w:type="dxa"/>
            <w:vMerge/>
            <w:tcBorders>
              <w:left w:val="single" w:sz="4" w:space="0" w:color="000000"/>
              <w:bottom w:val="single" w:sz="4" w:space="0" w:color="000000"/>
              <w:right w:val="single" w:sz="4" w:space="0" w:color="000000"/>
            </w:tcBorders>
          </w:tcPr>
          <w:p>
            <w:pPr/>
          </w:p>
        </w:tc>
        <w:tc>
          <w:tcPr>
            <w:tcW w:w="1530"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2"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石家庄常山北明科技</w:t>
            </w:r>
          </w:p>
        </w:tc>
        <w:tc>
          <w:tcPr>
            <w:tcW w:w="1662" w:type="dxa"/>
            <w:tcBorders>
              <w:top w:val="single" w:sz="4" w:space="0" w:color="000000"/>
              <w:left w:val="single" w:sz="4" w:space="0" w:color="000000"/>
              <w:bottom w:val="nil" w:sz="6" w:space="0" w:color="auto"/>
              <w:right w:val="single" w:sz="4" w:space="0" w:color="000000"/>
            </w:tcBorders>
          </w:tcPr>
          <w:p>
            <w:pPr/>
          </w:p>
        </w:tc>
        <w:tc>
          <w:tcPr>
            <w:tcW w:w="1529" w:type="dxa"/>
            <w:vMerge w:val="restart"/>
            <w:tcBorders>
              <w:top w:val="single" w:sz="4" w:space="0" w:color="000000"/>
              <w:left w:val="single" w:sz="4" w:space="0" w:color="000000"/>
              <w:right w:val="single" w:sz="4" w:space="0" w:color="000000"/>
            </w:tcBorders>
          </w:tcPr>
          <w:p>
            <w:pPr/>
          </w:p>
        </w:tc>
        <w:tc>
          <w:tcPr>
            <w:tcW w:w="1530"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2"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股份有限公司拟对合</w:t>
            </w:r>
          </w:p>
        </w:tc>
        <w:tc>
          <w:tcPr>
            <w:tcW w:w="1662" w:type="dxa"/>
            <w:tcBorders>
              <w:top w:val="nil" w:sz="6" w:space="0" w:color="auto"/>
              <w:left w:val="single" w:sz="4" w:space="0" w:color="000000"/>
              <w:bottom w:val="nil" w:sz="6" w:space="0" w:color="auto"/>
              <w:right w:val="single" w:sz="4" w:space="0" w:color="000000"/>
            </w:tcBorders>
          </w:tcPr>
          <w:p>
            <w:pPr/>
          </w:p>
        </w:tc>
        <w:tc>
          <w:tcPr>
            <w:tcW w:w="1529" w:type="dxa"/>
            <w:vMerge/>
            <w:tcBorders>
              <w:left w:val="single" w:sz="4" w:space="0" w:color="000000"/>
              <w:right w:val="single" w:sz="4" w:space="0" w:color="000000"/>
            </w:tcBorders>
          </w:tcPr>
          <w:p>
            <w:pPr/>
          </w:p>
        </w:tc>
        <w:tc>
          <w:tcPr>
            <w:tcW w:w="1530"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2"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并索科维尔（北京）软</w:t>
            </w:r>
          </w:p>
        </w:tc>
        <w:tc>
          <w:tcPr>
            <w:tcW w:w="16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83,431,509.61</w:t>
            </w:r>
          </w:p>
        </w:tc>
        <w:tc>
          <w:tcPr>
            <w:tcW w:w="1529" w:type="dxa"/>
            <w:vMerge/>
            <w:tcBorders>
              <w:left w:val="single" w:sz="4" w:space="0" w:color="000000"/>
              <w:right w:val="single" w:sz="4" w:space="0" w:color="000000"/>
            </w:tcBorders>
          </w:tcPr>
          <w:p>
            <w:pPr/>
          </w:p>
        </w:tc>
        <w:tc>
          <w:tcPr>
            <w:tcW w:w="153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83,431,509.61</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5,233,102.58</w:t>
            </w:r>
          </w:p>
        </w:tc>
        <w:tc>
          <w:tcPr>
            <w:tcW w:w="159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88,664,612.19</w:t>
            </w:r>
          </w:p>
        </w:tc>
      </w:tr>
      <w:tr>
        <w:trPr>
          <w:trHeight w:val="308" w:hRule="exact"/>
        </w:trPr>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件系统有限公司形成</w:t>
            </w:r>
          </w:p>
        </w:tc>
        <w:tc>
          <w:tcPr>
            <w:tcW w:w="1662" w:type="dxa"/>
            <w:tcBorders>
              <w:top w:val="nil" w:sz="6" w:space="0" w:color="auto"/>
              <w:left w:val="single" w:sz="4" w:space="0" w:color="000000"/>
              <w:bottom w:val="nil" w:sz="6" w:space="0" w:color="auto"/>
              <w:right w:val="single" w:sz="4" w:space="0" w:color="000000"/>
            </w:tcBorders>
          </w:tcPr>
          <w:p>
            <w:pPr/>
          </w:p>
        </w:tc>
        <w:tc>
          <w:tcPr>
            <w:tcW w:w="1529" w:type="dxa"/>
            <w:vMerge/>
            <w:tcBorders>
              <w:left w:val="single" w:sz="4" w:space="0" w:color="000000"/>
              <w:right w:val="single" w:sz="4" w:space="0" w:color="000000"/>
            </w:tcBorders>
          </w:tcPr>
          <w:p>
            <w:pPr/>
          </w:p>
        </w:tc>
        <w:tc>
          <w:tcPr>
            <w:tcW w:w="1530"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的商誉进行减值测试</w:t>
            </w:r>
          </w:p>
        </w:tc>
        <w:tc>
          <w:tcPr>
            <w:tcW w:w="1662" w:type="dxa"/>
            <w:tcBorders>
              <w:top w:val="nil" w:sz="6" w:space="0" w:color="auto"/>
              <w:left w:val="single" w:sz="4" w:space="0" w:color="000000"/>
              <w:bottom w:val="single" w:sz="4" w:space="0" w:color="000000"/>
              <w:right w:val="single" w:sz="4" w:space="0" w:color="000000"/>
            </w:tcBorders>
          </w:tcPr>
          <w:p>
            <w:pPr/>
          </w:p>
        </w:tc>
        <w:tc>
          <w:tcPr>
            <w:tcW w:w="1529" w:type="dxa"/>
            <w:vMerge/>
            <w:tcBorders>
              <w:left w:val="single" w:sz="4" w:space="0" w:color="000000"/>
              <w:bottom w:val="single" w:sz="4" w:space="0" w:color="000000"/>
              <w:right w:val="single" w:sz="4" w:space="0" w:color="000000"/>
            </w:tcBorders>
          </w:tcPr>
          <w:p>
            <w:pPr/>
          </w:p>
        </w:tc>
        <w:tc>
          <w:tcPr>
            <w:tcW w:w="1530"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2"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石家庄常山北明科技</w:t>
            </w:r>
          </w:p>
        </w:tc>
        <w:tc>
          <w:tcPr>
            <w:tcW w:w="1662" w:type="dxa"/>
            <w:tcBorders>
              <w:top w:val="single" w:sz="4" w:space="0" w:color="000000"/>
              <w:left w:val="single" w:sz="4" w:space="0" w:color="000000"/>
              <w:bottom w:val="nil" w:sz="6" w:space="0" w:color="auto"/>
              <w:right w:val="single" w:sz="4" w:space="0" w:color="000000"/>
            </w:tcBorders>
          </w:tcPr>
          <w:p>
            <w:pPr/>
          </w:p>
        </w:tc>
        <w:tc>
          <w:tcPr>
            <w:tcW w:w="1529" w:type="dxa"/>
            <w:vMerge w:val="restart"/>
            <w:tcBorders>
              <w:top w:val="single" w:sz="4" w:space="0" w:color="000000"/>
              <w:left w:val="single" w:sz="4" w:space="0" w:color="000000"/>
              <w:right w:val="single" w:sz="4" w:space="0" w:color="000000"/>
            </w:tcBorders>
          </w:tcPr>
          <w:p>
            <w:pPr/>
          </w:p>
        </w:tc>
        <w:tc>
          <w:tcPr>
            <w:tcW w:w="1530"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2"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股份有限公司拟对合</w:t>
            </w:r>
          </w:p>
        </w:tc>
        <w:tc>
          <w:tcPr>
            <w:tcW w:w="1662" w:type="dxa"/>
            <w:tcBorders>
              <w:top w:val="nil" w:sz="6" w:space="0" w:color="auto"/>
              <w:left w:val="single" w:sz="4" w:space="0" w:color="000000"/>
              <w:bottom w:val="nil" w:sz="6" w:space="0" w:color="auto"/>
              <w:right w:val="single" w:sz="4" w:space="0" w:color="000000"/>
            </w:tcBorders>
          </w:tcPr>
          <w:p>
            <w:pPr/>
          </w:p>
        </w:tc>
        <w:tc>
          <w:tcPr>
            <w:tcW w:w="1529" w:type="dxa"/>
            <w:vMerge/>
            <w:tcBorders>
              <w:left w:val="single" w:sz="4" w:space="0" w:color="000000"/>
              <w:right w:val="single" w:sz="4" w:space="0" w:color="000000"/>
            </w:tcBorders>
          </w:tcPr>
          <w:p>
            <w:pPr/>
          </w:p>
        </w:tc>
        <w:tc>
          <w:tcPr>
            <w:tcW w:w="1530"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2"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并山东成功信息技术</w:t>
            </w:r>
          </w:p>
        </w:tc>
        <w:tc>
          <w:tcPr>
            <w:tcW w:w="16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38,595,589.90</w:t>
            </w:r>
          </w:p>
        </w:tc>
        <w:tc>
          <w:tcPr>
            <w:tcW w:w="1529" w:type="dxa"/>
            <w:vMerge/>
            <w:tcBorders>
              <w:left w:val="single" w:sz="4" w:space="0" w:color="000000"/>
              <w:right w:val="single" w:sz="4" w:space="0" w:color="000000"/>
            </w:tcBorders>
          </w:tcPr>
          <w:p>
            <w:pPr/>
          </w:p>
        </w:tc>
        <w:tc>
          <w:tcPr>
            <w:tcW w:w="153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38,595,589.90</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6,903,647.89</w:t>
            </w:r>
          </w:p>
        </w:tc>
        <w:tc>
          <w:tcPr>
            <w:tcW w:w="159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45,499,237.79</w:t>
            </w:r>
          </w:p>
        </w:tc>
      </w:tr>
      <w:tr>
        <w:trPr>
          <w:trHeight w:val="308" w:hRule="exact"/>
        </w:trPr>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有限公司形成的商誉</w:t>
            </w:r>
          </w:p>
        </w:tc>
        <w:tc>
          <w:tcPr>
            <w:tcW w:w="1662" w:type="dxa"/>
            <w:tcBorders>
              <w:top w:val="nil" w:sz="6" w:space="0" w:color="auto"/>
              <w:left w:val="single" w:sz="4" w:space="0" w:color="000000"/>
              <w:bottom w:val="nil" w:sz="6" w:space="0" w:color="auto"/>
              <w:right w:val="single" w:sz="4" w:space="0" w:color="000000"/>
            </w:tcBorders>
          </w:tcPr>
          <w:p>
            <w:pPr/>
          </w:p>
        </w:tc>
        <w:tc>
          <w:tcPr>
            <w:tcW w:w="1529" w:type="dxa"/>
            <w:vMerge/>
            <w:tcBorders>
              <w:left w:val="single" w:sz="4" w:space="0" w:color="000000"/>
              <w:right w:val="single" w:sz="4" w:space="0" w:color="000000"/>
            </w:tcBorders>
          </w:tcPr>
          <w:p>
            <w:pPr/>
          </w:p>
        </w:tc>
        <w:tc>
          <w:tcPr>
            <w:tcW w:w="1530"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进行减值测试</w:t>
            </w:r>
          </w:p>
        </w:tc>
        <w:tc>
          <w:tcPr>
            <w:tcW w:w="1662" w:type="dxa"/>
            <w:tcBorders>
              <w:top w:val="nil" w:sz="6" w:space="0" w:color="auto"/>
              <w:left w:val="single" w:sz="4" w:space="0" w:color="000000"/>
              <w:bottom w:val="single" w:sz="4" w:space="0" w:color="000000"/>
              <w:right w:val="single" w:sz="4" w:space="0" w:color="000000"/>
            </w:tcBorders>
          </w:tcPr>
          <w:p>
            <w:pPr/>
          </w:p>
        </w:tc>
        <w:tc>
          <w:tcPr>
            <w:tcW w:w="1529" w:type="dxa"/>
            <w:vMerge/>
            <w:tcBorders>
              <w:left w:val="single" w:sz="4" w:space="0" w:color="000000"/>
              <w:bottom w:val="single" w:sz="4" w:space="0" w:color="000000"/>
              <w:right w:val="single" w:sz="4" w:space="0" w:color="000000"/>
            </w:tcBorders>
          </w:tcPr>
          <w:p>
            <w:pPr/>
          </w:p>
        </w:tc>
        <w:tc>
          <w:tcPr>
            <w:tcW w:w="1530"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2"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石家庄常山北明科技</w:t>
            </w:r>
          </w:p>
        </w:tc>
        <w:tc>
          <w:tcPr>
            <w:tcW w:w="1662" w:type="dxa"/>
            <w:tcBorders>
              <w:top w:val="single" w:sz="4" w:space="0" w:color="000000"/>
              <w:left w:val="single" w:sz="4" w:space="0" w:color="000000"/>
              <w:bottom w:val="nil" w:sz="6" w:space="0" w:color="auto"/>
              <w:right w:val="single" w:sz="4" w:space="0" w:color="000000"/>
            </w:tcBorders>
          </w:tcPr>
          <w:p>
            <w:pPr/>
          </w:p>
        </w:tc>
        <w:tc>
          <w:tcPr>
            <w:tcW w:w="1529" w:type="dxa"/>
            <w:vMerge w:val="restart"/>
            <w:tcBorders>
              <w:top w:val="single" w:sz="4" w:space="0" w:color="000000"/>
              <w:left w:val="single" w:sz="4" w:space="0" w:color="000000"/>
              <w:right w:val="single" w:sz="4" w:space="0" w:color="000000"/>
            </w:tcBorders>
          </w:tcPr>
          <w:p>
            <w:pPr/>
          </w:p>
        </w:tc>
        <w:tc>
          <w:tcPr>
            <w:tcW w:w="1530"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2"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股份有限公司拟对合</w:t>
            </w:r>
          </w:p>
        </w:tc>
        <w:tc>
          <w:tcPr>
            <w:tcW w:w="1662" w:type="dxa"/>
            <w:tcBorders>
              <w:top w:val="nil" w:sz="6" w:space="0" w:color="auto"/>
              <w:left w:val="single" w:sz="4" w:space="0" w:color="000000"/>
              <w:bottom w:val="nil" w:sz="6" w:space="0" w:color="auto"/>
              <w:right w:val="single" w:sz="4" w:space="0" w:color="000000"/>
            </w:tcBorders>
          </w:tcPr>
          <w:p>
            <w:pPr/>
          </w:p>
        </w:tc>
        <w:tc>
          <w:tcPr>
            <w:tcW w:w="1529" w:type="dxa"/>
            <w:vMerge/>
            <w:tcBorders>
              <w:left w:val="single" w:sz="4" w:space="0" w:color="000000"/>
              <w:right w:val="single" w:sz="4" w:space="0" w:color="000000"/>
            </w:tcBorders>
          </w:tcPr>
          <w:p>
            <w:pPr/>
          </w:p>
        </w:tc>
        <w:tc>
          <w:tcPr>
            <w:tcW w:w="1530"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2"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并北京明润华创科技</w:t>
            </w:r>
          </w:p>
        </w:tc>
        <w:tc>
          <w:tcPr>
            <w:tcW w:w="16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37,903,438.01</w:t>
            </w:r>
          </w:p>
        </w:tc>
        <w:tc>
          <w:tcPr>
            <w:tcW w:w="1529" w:type="dxa"/>
            <w:vMerge/>
            <w:tcBorders>
              <w:left w:val="single" w:sz="4" w:space="0" w:color="000000"/>
              <w:right w:val="single" w:sz="4" w:space="0" w:color="000000"/>
            </w:tcBorders>
          </w:tcPr>
          <w:p>
            <w:pPr/>
          </w:p>
        </w:tc>
        <w:tc>
          <w:tcPr>
            <w:tcW w:w="153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37,903,438.01</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1,228,201.28</w:t>
            </w:r>
          </w:p>
        </w:tc>
        <w:tc>
          <w:tcPr>
            <w:tcW w:w="159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39,131,639.29</w:t>
            </w:r>
          </w:p>
        </w:tc>
      </w:tr>
      <w:tr>
        <w:trPr>
          <w:trHeight w:val="308" w:hRule="exact"/>
        </w:trPr>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有限责任公司形成的</w:t>
            </w:r>
          </w:p>
        </w:tc>
        <w:tc>
          <w:tcPr>
            <w:tcW w:w="1662" w:type="dxa"/>
            <w:tcBorders>
              <w:top w:val="nil" w:sz="6" w:space="0" w:color="auto"/>
              <w:left w:val="single" w:sz="4" w:space="0" w:color="000000"/>
              <w:bottom w:val="nil" w:sz="6" w:space="0" w:color="auto"/>
              <w:right w:val="single" w:sz="4" w:space="0" w:color="000000"/>
            </w:tcBorders>
          </w:tcPr>
          <w:p>
            <w:pPr/>
          </w:p>
        </w:tc>
        <w:tc>
          <w:tcPr>
            <w:tcW w:w="1529" w:type="dxa"/>
            <w:vMerge/>
            <w:tcBorders>
              <w:left w:val="single" w:sz="4" w:space="0" w:color="000000"/>
              <w:right w:val="single" w:sz="4" w:space="0" w:color="000000"/>
            </w:tcBorders>
          </w:tcPr>
          <w:p>
            <w:pPr/>
          </w:p>
        </w:tc>
        <w:tc>
          <w:tcPr>
            <w:tcW w:w="1530"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商誉进行减值测试</w:t>
            </w:r>
          </w:p>
        </w:tc>
        <w:tc>
          <w:tcPr>
            <w:tcW w:w="1662" w:type="dxa"/>
            <w:tcBorders>
              <w:top w:val="nil" w:sz="6" w:space="0" w:color="auto"/>
              <w:left w:val="single" w:sz="4" w:space="0" w:color="000000"/>
              <w:bottom w:val="single" w:sz="4" w:space="0" w:color="000000"/>
              <w:right w:val="single" w:sz="4" w:space="0" w:color="000000"/>
            </w:tcBorders>
          </w:tcPr>
          <w:p>
            <w:pPr/>
          </w:p>
        </w:tc>
        <w:tc>
          <w:tcPr>
            <w:tcW w:w="1529" w:type="dxa"/>
            <w:vMerge/>
            <w:tcBorders>
              <w:left w:val="single" w:sz="4" w:space="0" w:color="000000"/>
              <w:bottom w:val="single" w:sz="4" w:space="0" w:color="000000"/>
              <w:right w:val="single" w:sz="4" w:space="0" w:color="000000"/>
            </w:tcBorders>
          </w:tcPr>
          <w:p>
            <w:pPr/>
          </w:p>
        </w:tc>
        <w:tc>
          <w:tcPr>
            <w:tcW w:w="1530"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2"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石家庄常山北明科技</w:t>
            </w:r>
          </w:p>
        </w:tc>
        <w:tc>
          <w:tcPr>
            <w:tcW w:w="1662" w:type="dxa"/>
            <w:tcBorders>
              <w:top w:val="single" w:sz="4" w:space="0" w:color="000000"/>
              <w:left w:val="single" w:sz="4" w:space="0" w:color="000000"/>
              <w:bottom w:val="nil" w:sz="6" w:space="0" w:color="auto"/>
              <w:right w:val="single" w:sz="4" w:space="0" w:color="000000"/>
            </w:tcBorders>
          </w:tcPr>
          <w:p>
            <w:pPr/>
          </w:p>
        </w:tc>
        <w:tc>
          <w:tcPr>
            <w:tcW w:w="1529" w:type="dxa"/>
            <w:vMerge w:val="restart"/>
            <w:tcBorders>
              <w:top w:val="single" w:sz="4" w:space="0" w:color="000000"/>
              <w:left w:val="single" w:sz="4" w:space="0" w:color="000000"/>
              <w:right w:val="single" w:sz="4" w:space="0" w:color="000000"/>
            </w:tcBorders>
          </w:tcPr>
          <w:p>
            <w:pPr/>
          </w:p>
        </w:tc>
        <w:tc>
          <w:tcPr>
            <w:tcW w:w="1530"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2"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股份有限公司拟对合</w:t>
            </w:r>
          </w:p>
        </w:tc>
        <w:tc>
          <w:tcPr>
            <w:tcW w:w="1662" w:type="dxa"/>
            <w:tcBorders>
              <w:top w:val="nil" w:sz="6" w:space="0" w:color="auto"/>
              <w:left w:val="single" w:sz="4" w:space="0" w:color="000000"/>
              <w:bottom w:val="nil" w:sz="6" w:space="0" w:color="auto"/>
              <w:right w:val="single" w:sz="4" w:space="0" w:color="000000"/>
            </w:tcBorders>
          </w:tcPr>
          <w:p>
            <w:pPr/>
          </w:p>
        </w:tc>
        <w:tc>
          <w:tcPr>
            <w:tcW w:w="1529" w:type="dxa"/>
            <w:vMerge/>
            <w:tcBorders>
              <w:left w:val="single" w:sz="4" w:space="0" w:color="000000"/>
              <w:right w:val="single" w:sz="4" w:space="0" w:color="000000"/>
            </w:tcBorders>
          </w:tcPr>
          <w:p>
            <w:pPr/>
          </w:p>
        </w:tc>
        <w:tc>
          <w:tcPr>
            <w:tcW w:w="1530"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2"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并北京金实盈信科技</w:t>
            </w:r>
          </w:p>
        </w:tc>
        <w:tc>
          <w:tcPr>
            <w:tcW w:w="16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146,897,754.50</w:t>
            </w:r>
          </w:p>
        </w:tc>
        <w:tc>
          <w:tcPr>
            <w:tcW w:w="1529" w:type="dxa"/>
            <w:vMerge/>
            <w:tcBorders>
              <w:left w:val="single" w:sz="4" w:space="0" w:color="000000"/>
              <w:right w:val="single" w:sz="4" w:space="0" w:color="000000"/>
            </w:tcBorders>
          </w:tcPr>
          <w:p>
            <w:pPr/>
          </w:p>
        </w:tc>
        <w:tc>
          <w:tcPr>
            <w:tcW w:w="153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146,897,754.50</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11,108,892.32</w:t>
            </w:r>
          </w:p>
        </w:tc>
        <w:tc>
          <w:tcPr>
            <w:tcW w:w="159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168,852,146.82</w:t>
            </w:r>
          </w:p>
        </w:tc>
      </w:tr>
      <w:tr>
        <w:trPr>
          <w:trHeight w:val="308" w:hRule="exact"/>
        </w:trPr>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有限公司形成的商誉</w:t>
            </w:r>
          </w:p>
        </w:tc>
        <w:tc>
          <w:tcPr>
            <w:tcW w:w="1662" w:type="dxa"/>
            <w:tcBorders>
              <w:top w:val="nil" w:sz="6" w:space="0" w:color="auto"/>
              <w:left w:val="single" w:sz="4" w:space="0" w:color="000000"/>
              <w:bottom w:val="nil" w:sz="6" w:space="0" w:color="auto"/>
              <w:right w:val="single" w:sz="4" w:space="0" w:color="000000"/>
            </w:tcBorders>
          </w:tcPr>
          <w:p>
            <w:pPr/>
          </w:p>
        </w:tc>
        <w:tc>
          <w:tcPr>
            <w:tcW w:w="1529" w:type="dxa"/>
            <w:vMerge/>
            <w:tcBorders>
              <w:left w:val="single" w:sz="4" w:space="0" w:color="000000"/>
              <w:right w:val="single" w:sz="4" w:space="0" w:color="000000"/>
            </w:tcBorders>
          </w:tcPr>
          <w:p>
            <w:pPr/>
          </w:p>
        </w:tc>
        <w:tc>
          <w:tcPr>
            <w:tcW w:w="1530"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进行减值测试</w:t>
            </w:r>
          </w:p>
        </w:tc>
        <w:tc>
          <w:tcPr>
            <w:tcW w:w="1662" w:type="dxa"/>
            <w:tcBorders>
              <w:top w:val="nil" w:sz="6" w:space="0" w:color="auto"/>
              <w:left w:val="single" w:sz="4" w:space="0" w:color="000000"/>
              <w:bottom w:val="single" w:sz="4" w:space="0" w:color="000000"/>
              <w:right w:val="single" w:sz="4" w:space="0" w:color="000000"/>
            </w:tcBorders>
          </w:tcPr>
          <w:p>
            <w:pPr/>
          </w:p>
        </w:tc>
        <w:tc>
          <w:tcPr>
            <w:tcW w:w="1529" w:type="dxa"/>
            <w:vMerge/>
            <w:tcBorders>
              <w:left w:val="single" w:sz="4" w:space="0" w:color="000000"/>
              <w:bottom w:val="single" w:sz="4" w:space="0" w:color="000000"/>
              <w:right w:val="single" w:sz="4" w:space="0" w:color="000000"/>
            </w:tcBorders>
          </w:tcPr>
          <w:p>
            <w:pPr/>
          </w:p>
        </w:tc>
        <w:tc>
          <w:tcPr>
            <w:tcW w:w="1530"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2"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石家庄常山北明科技</w:t>
            </w:r>
          </w:p>
        </w:tc>
        <w:tc>
          <w:tcPr>
            <w:tcW w:w="1662" w:type="dxa"/>
            <w:tcBorders>
              <w:top w:val="single" w:sz="4" w:space="0" w:color="000000"/>
              <w:left w:val="single" w:sz="4" w:space="0" w:color="000000"/>
              <w:bottom w:val="nil" w:sz="6" w:space="0" w:color="auto"/>
              <w:right w:val="single" w:sz="4" w:space="0" w:color="000000"/>
            </w:tcBorders>
          </w:tcPr>
          <w:p>
            <w:pPr/>
          </w:p>
        </w:tc>
        <w:tc>
          <w:tcPr>
            <w:tcW w:w="1529" w:type="dxa"/>
            <w:vMerge w:val="restart"/>
            <w:tcBorders>
              <w:top w:val="single" w:sz="4" w:space="0" w:color="000000"/>
              <w:left w:val="single" w:sz="4" w:space="0" w:color="000000"/>
              <w:right w:val="single" w:sz="4" w:space="0" w:color="000000"/>
            </w:tcBorders>
          </w:tcPr>
          <w:p>
            <w:pPr/>
          </w:p>
        </w:tc>
        <w:tc>
          <w:tcPr>
            <w:tcW w:w="1530"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2"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股份有限公司拟对合</w:t>
            </w:r>
          </w:p>
        </w:tc>
        <w:tc>
          <w:tcPr>
            <w:tcW w:w="1662" w:type="dxa"/>
            <w:tcBorders>
              <w:top w:val="nil" w:sz="6" w:space="0" w:color="auto"/>
              <w:left w:val="single" w:sz="4" w:space="0" w:color="000000"/>
              <w:bottom w:val="nil" w:sz="6" w:space="0" w:color="auto"/>
              <w:right w:val="single" w:sz="4" w:space="0" w:color="000000"/>
            </w:tcBorders>
          </w:tcPr>
          <w:p>
            <w:pPr/>
          </w:p>
        </w:tc>
        <w:tc>
          <w:tcPr>
            <w:tcW w:w="1529" w:type="dxa"/>
            <w:vMerge/>
            <w:tcBorders>
              <w:left w:val="single" w:sz="4" w:space="0" w:color="000000"/>
              <w:right w:val="single" w:sz="4" w:space="0" w:color="000000"/>
            </w:tcBorders>
          </w:tcPr>
          <w:p>
            <w:pPr/>
          </w:p>
        </w:tc>
        <w:tc>
          <w:tcPr>
            <w:tcW w:w="1530"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2"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并北明软件有限公司</w:t>
            </w:r>
          </w:p>
        </w:tc>
        <w:tc>
          <w:tcPr>
            <w:tcW w:w="16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1,613,779,392.82</w:t>
            </w:r>
          </w:p>
        </w:tc>
        <w:tc>
          <w:tcPr>
            <w:tcW w:w="1529" w:type="dxa"/>
            <w:vMerge/>
            <w:tcBorders>
              <w:left w:val="single" w:sz="4" w:space="0" w:color="000000"/>
              <w:right w:val="single" w:sz="4" w:space="0" w:color="000000"/>
            </w:tcBorders>
          </w:tcPr>
          <w:p>
            <w:pPr/>
          </w:p>
        </w:tc>
        <w:tc>
          <w:tcPr>
            <w:tcW w:w="153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1,613,779,392.82</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953,892,588.06</w:t>
            </w:r>
          </w:p>
        </w:tc>
        <w:tc>
          <w:tcPr>
            <w:tcW w:w="159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2,567,671,980.88</w:t>
            </w:r>
          </w:p>
        </w:tc>
      </w:tr>
      <w:tr>
        <w:trPr>
          <w:trHeight w:val="308" w:hRule="exact"/>
        </w:trPr>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形成的商誉进行减值</w:t>
            </w:r>
          </w:p>
        </w:tc>
        <w:tc>
          <w:tcPr>
            <w:tcW w:w="1662" w:type="dxa"/>
            <w:tcBorders>
              <w:top w:val="nil" w:sz="6" w:space="0" w:color="auto"/>
              <w:left w:val="single" w:sz="4" w:space="0" w:color="000000"/>
              <w:bottom w:val="nil" w:sz="6" w:space="0" w:color="auto"/>
              <w:right w:val="single" w:sz="4" w:space="0" w:color="000000"/>
            </w:tcBorders>
          </w:tcPr>
          <w:p>
            <w:pPr/>
          </w:p>
        </w:tc>
        <w:tc>
          <w:tcPr>
            <w:tcW w:w="1529" w:type="dxa"/>
            <w:vMerge/>
            <w:tcBorders>
              <w:left w:val="single" w:sz="4" w:space="0" w:color="000000"/>
              <w:right w:val="single" w:sz="4" w:space="0" w:color="000000"/>
            </w:tcBorders>
          </w:tcPr>
          <w:p>
            <w:pPr/>
          </w:p>
        </w:tc>
        <w:tc>
          <w:tcPr>
            <w:tcW w:w="1530" w:type="dxa"/>
            <w:tcBorders>
              <w:top w:val="nil" w:sz="6" w:space="0" w:color="auto"/>
              <w:left w:val="single" w:sz="4" w:space="0" w:color="000000"/>
              <w:bottom w:val="nil" w:sz="6" w:space="0" w:color="auto"/>
              <w:right w:val="single" w:sz="4" w:space="0" w:color="000000"/>
            </w:tcBorders>
          </w:tcPr>
          <w:p>
            <w:pPr/>
          </w:p>
        </w:tc>
        <w:tc>
          <w:tcPr>
            <w:tcW w:w="1594" w:type="dxa"/>
            <w:tcBorders>
              <w:top w:val="nil" w:sz="6" w:space="0" w:color="auto"/>
              <w:left w:val="single" w:sz="4" w:space="0" w:color="000000"/>
              <w:bottom w:val="nil" w:sz="6" w:space="0" w:color="auto"/>
              <w:right w:val="single" w:sz="4" w:space="0" w:color="000000"/>
            </w:tcBorders>
          </w:tcPr>
          <w:p>
            <w:pPr/>
          </w:p>
        </w:tc>
        <w:tc>
          <w:tcPr>
            <w:tcW w:w="1592"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80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测试</w:t>
            </w:r>
          </w:p>
        </w:tc>
        <w:tc>
          <w:tcPr>
            <w:tcW w:w="1662" w:type="dxa"/>
            <w:tcBorders>
              <w:top w:val="nil" w:sz="6" w:space="0" w:color="auto"/>
              <w:left w:val="single" w:sz="4" w:space="0" w:color="000000"/>
              <w:bottom w:val="single" w:sz="4" w:space="0" w:color="000000"/>
              <w:right w:val="single" w:sz="4" w:space="0" w:color="000000"/>
            </w:tcBorders>
          </w:tcPr>
          <w:p>
            <w:pPr/>
          </w:p>
        </w:tc>
        <w:tc>
          <w:tcPr>
            <w:tcW w:w="1529" w:type="dxa"/>
            <w:vMerge/>
            <w:tcBorders>
              <w:left w:val="single" w:sz="4" w:space="0" w:color="000000"/>
              <w:bottom w:val="single" w:sz="4" w:space="0" w:color="000000"/>
              <w:right w:val="single" w:sz="4" w:space="0" w:color="000000"/>
            </w:tcBorders>
          </w:tcPr>
          <w:p>
            <w:pPr/>
          </w:p>
        </w:tc>
        <w:tc>
          <w:tcPr>
            <w:tcW w:w="1530"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2" w:type="dxa"/>
            <w:tcBorders>
              <w:top w:val="nil" w:sz="6" w:space="0" w:color="auto"/>
              <w:left w:val="single" w:sz="4" w:space="0" w:color="000000"/>
              <w:bottom w:val="single" w:sz="4" w:space="0" w:color="000000"/>
              <w:right w:val="single" w:sz="4" w:space="0" w:color="000000"/>
            </w:tcBorders>
          </w:tcPr>
          <w:p>
            <w:pPr/>
          </w:p>
        </w:tc>
      </w:tr>
    </w:tbl>
    <w:p>
      <w:pPr>
        <w:pStyle w:val="BodyText"/>
        <w:spacing w:line="338" w:lineRule="auto" w:before="51"/>
        <w:ind w:left="153" w:right="0"/>
        <w:jc w:val="left"/>
      </w:pPr>
      <w:r>
        <w:rPr>
          <w:spacing w:val="-2"/>
        </w:rPr>
        <w:t>说明商誉减值测试过程、关键参数（如预计未来现金流量现值时的预测期增长率、稳定期增长率、利润率、折现率、预测期</w:t>
      </w:r>
      <w:r>
        <w:rPr>
          <w:spacing w:val="-68"/>
        </w:rPr>
        <w:t> </w:t>
      </w:r>
      <w:r>
        <w:rPr>
          <w:spacing w:val="-68"/>
        </w:rPr>
      </w:r>
      <w:r>
        <w:rPr/>
        <w:t>等）及商誉减值损失的确认方法： </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日，公司对商誉进行减值测试。包含商誉的资产组的可收回金额是依据管理层批准的五年期预算，采用预计未</w:t>
      </w:r>
    </w:p>
    <w:p>
      <w:pPr>
        <w:spacing w:after="0" w:line="338"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153" w:right="0"/>
        <w:jc w:val="left"/>
      </w:pPr>
      <w:r>
        <w:rPr>
          <w:spacing w:val="-2"/>
        </w:rPr>
        <w:t>来现金流量折现方法计算。超过该五年期的未来现金流量采用估计的永续年增长率作出推算。各资产组采用预计未来现金流</w:t>
      </w:r>
      <w:r>
        <w:rPr>
          <w:spacing w:val="-64"/>
        </w:rPr>
        <w:t> </w:t>
      </w:r>
      <w:r>
        <w:rPr>
          <w:spacing w:val="-64"/>
        </w:rPr>
      </w:r>
      <w:r>
        <w:rPr/>
        <w:t>量折现方法的关键假设：</w:t>
      </w:r>
    </w:p>
    <w:tbl>
      <w:tblPr>
        <w:tblW w:w="0" w:type="auto"/>
        <w:jc w:val="left"/>
        <w:tblInd w:w="146" w:type="dxa"/>
        <w:tblLayout w:type="fixed"/>
        <w:tblCellMar>
          <w:top w:w="0" w:type="dxa"/>
          <w:left w:w="0" w:type="dxa"/>
          <w:bottom w:w="0" w:type="dxa"/>
          <w:right w:w="0" w:type="dxa"/>
        </w:tblCellMar>
        <w:tblLook w:val="01E0"/>
      </w:tblPr>
      <w:tblGrid>
        <w:gridCol w:w="2928"/>
        <w:gridCol w:w="1068"/>
        <w:gridCol w:w="818"/>
        <w:gridCol w:w="817"/>
        <w:gridCol w:w="818"/>
        <w:gridCol w:w="818"/>
        <w:gridCol w:w="817"/>
        <w:gridCol w:w="818"/>
        <w:gridCol w:w="814"/>
      </w:tblGrid>
      <w:tr>
        <w:trPr>
          <w:trHeight w:val="659" w:hRule="exact"/>
        </w:trPr>
        <w:tc>
          <w:tcPr>
            <w:tcW w:w="2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45" w:right="346"/>
              <w:jc w:val="left"/>
              <w:rPr>
                <w:rFonts w:ascii="宋体" w:hAnsi="宋体" w:cs="宋体" w:eastAsia="宋体" w:hint="default"/>
                <w:sz w:val="18"/>
                <w:szCs w:val="18"/>
              </w:rPr>
            </w:pPr>
            <w:r>
              <w:rPr>
                <w:rFonts w:ascii="宋体" w:hAnsi="宋体" w:cs="宋体" w:eastAsia="宋体" w:hint="default"/>
                <w:sz w:val="18"/>
                <w:szCs w:val="18"/>
              </w:rPr>
              <w:t>北明 软件</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20" w:right="221"/>
              <w:jc w:val="left"/>
              <w:rPr>
                <w:rFonts w:ascii="宋体" w:hAnsi="宋体" w:cs="宋体" w:eastAsia="宋体" w:hint="default"/>
                <w:sz w:val="18"/>
                <w:szCs w:val="18"/>
              </w:rPr>
            </w:pPr>
            <w:r>
              <w:rPr>
                <w:rFonts w:ascii="宋体" w:hAnsi="宋体" w:cs="宋体" w:eastAsia="宋体" w:hint="default"/>
                <w:sz w:val="18"/>
                <w:szCs w:val="18"/>
              </w:rPr>
              <w:t>珠海 震星</w:t>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20" w:right="221"/>
              <w:jc w:val="left"/>
              <w:rPr>
                <w:rFonts w:ascii="宋体" w:hAnsi="宋体" w:cs="宋体" w:eastAsia="宋体" w:hint="default"/>
                <w:sz w:val="18"/>
                <w:szCs w:val="18"/>
              </w:rPr>
            </w:pPr>
            <w:r>
              <w:rPr>
                <w:rFonts w:ascii="宋体" w:hAnsi="宋体" w:cs="宋体" w:eastAsia="宋体" w:hint="default"/>
                <w:sz w:val="18"/>
                <w:szCs w:val="18"/>
              </w:rPr>
              <w:t>北明 正实</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22" w:right="221"/>
              <w:jc w:val="left"/>
              <w:rPr>
                <w:rFonts w:ascii="宋体" w:hAnsi="宋体" w:cs="宋体" w:eastAsia="宋体" w:hint="default"/>
                <w:sz w:val="18"/>
                <w:szCs w:val="18"/>
              </w:rPr>
            </w:pPr>
            <w:r>
              <w:rPr>
                <w:rFonts w:ascii="宋体" w:hAnsi="宋体" w:cs="宋体" w:eastAsia="宋体" w:hint="default"/>
                <w:sz w:val="18"/>
                <w:szCs w:val="18"/>
              </w:rPr>
              <w:t>天时 能源</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20" w:right="221"/>
              <w:jc w:val="left"/>
              <w:rPr>
                <w:rFonts w:ascii="宋体" w:hAnsi="宋体" w:cs="宋体" w:eastAsia="宋体" w:hint="default"/>
                <w:sz w:val="18"/>
                <w:szCs w:val="18"/>
              </w:rPr>
            </w:pPr>
            <w:r>
              <w:rPr>
                <w:rFonts w:ascii="宋体" w:hAnsi="宋体" w:cs="宋体" w:eastAsia="宋体" w:hint="default"/>
                <w:sz w:val="18"/>
                <w:szCs w:val="18"/>
              </w:rPr>
              <w:t>北明 成功</w:t>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20" w:right="221"/>
              <w:jc w:val="left"/>
              <w:rPr>
                <w:rFonts w:ascii="宋体" w:hAnsi="宋体" w:cs="宋体" w:eastAsia="宋体" w:hint="default"/>
                <w:sz w:val="18"/>
                <w:szCs w:val="18"/>
              </w:rPr>
            </w:pPr>
            <w:r>
              <w:rPr>
                <w:rFonts w:ascii="宋体" w:hAnsi="宋体" w:cs="宋体" w:eastAsia="宋体" w:hint="default"/>
                <w:sz w:val="18"/>
                <w:szCs w:val="18"/>
              </w:rPr>
              <w:t>索科 维尔</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22" w:right="219"/>
              <w:jc w:val="left"/>
              <w:rPr>
                <w:rFonts w:ascii="宋体" w:hAnsi="宋体" w:cs="宋体" w:eastAsia="宋体" w:hint="default"/>
                <w:sz w:val="18"/>
                <w:szCs w:val="18"/>
              </w:rPr>
            </w:pPr>
            <w:r>
              <w:rPr>
                <w:rFonts w:ascii="宋体" w:hAnsi="宋体" w:cs="宋体" w:eastAsia="宋体" w:hint="default"/>
                <w:sz w:val="18"/>
                <w:szCs w:val="18"/>
              </w:rPr>
              <w:t>明润 华创</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19" w:right="217"/>
              <w:jc w:val="left"/>
              <w:rPr>
                <w:rFonts w:ascii="宋体" w:hAnsi="宋体" w:cs="宋体" w:eastAsia="宋体" w:hint="default"/>
                <w:sz w:val="18"/>
                <w:szCs w:val="18"/>
              </w:rPr>
            </w:pPr>
            <w:r>
              <w:rPr>
                <w:rFonts w:ascii="宋体" w:hAnsi="宋体" w:cs="宋体" w:eastAsia="宋体" w:hint="default"/>
                <w:sz w:val="18"/>
                <w:szCs w:val="18"/>
              </w:rPr>
              <w:t>金实 盈信</w:t>
            </w:r>
          </w:p>
        </w:tc>
      </w:tr>
      <w:tr>
        <w:trPr>
          <w:trHeight w:val="347" w:hRule="exact"/>
        </w:trPr>
        <w:tc>
          <w:tcPr>
            <w:tcW w:w="2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永续年增长率</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w:t>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0%</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w:t>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0%</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0%</w:t>
            </w:r>
          </w:p>
        </w:tc>
      </w:tr>
      <w:tr>
        <w:trPr>
          <w:trHeight w:val="347" w:hRule="exact"/>
        </w:trPr>
        <w:tc>
          <w:tcPr>
            <w:tcW w:w="2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毛利率（剔除补贴收入，永续年度）</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17.93%</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37.27%</w:t>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41.40%</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36.53%</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49.95%</w:t>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57.37%</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37.53%</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67.49%</w:t>
            </w:r>
          </w:p>
        </w:tc>
      </w:tr>
      <w:tr>
        <w:trPr>
          <w:trHeight w:val="348" w:hRule="exact"/>
        </w:trPr>
        <w:tc>
          <w:tcPr>
            <w:tcW w:w="29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折现率</w:t>
            </w:r>
          </w:p>
        </w:tc>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13.93%</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16.20%</w:t>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14.59%</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14.2%</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14.0%</w:t>
            </w:r>
          </w:p>
        </w:tc>
        <w:tc>
          <w:tcPr>
            <w:tcW w:w="8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15.8%</w:t>
            </w:r>
          </w:p>
        </w:tc>
        <w:tc>
          <w:tcPr>
            <w:tcW w:w="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14.1%</w:t>
            </w:r>
          </w:p>
        </w:tc>
        <w:tc>
          <w:tcPr>
            <w:tcW w:w="8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13.9%</w:t>
            </w:r>
          </w:p>
        </w:tc>
      </w:tr>
    </w:tbl>
    <w:p>
      <w:pPr>
        <w:pStyle w:val="BodyText"/>
        <w:spacing w:line="316" w:lineRule="auto" w:before="19"/>
        <w:ind w:right="1030" w:firstLine="360"/>
        <w:jc w:val="left"/>
      </w:pPr>
      <w:r>
        <w:rPr/>
        <w:t>管理层根据该等假设分析各资产组的可收回金额，认为收购珠海震星、天时能源、金实盈信形成的商誉存在减值迹象， 需要计提减值准备。</w:t>
      </w:r>
    </w:p>
    <w:p>
      <w:pPr>
        <w:pStyle w:val="BodyText"/>
        <w:spacing w:line="240" w:lineRule="auto" w:before="59"/>
        <w:ind w:left="444" w:right="0"/>
        <w:jc w:val="left"/>
      </w:pPr>
      <w:r>
        <w:rPr/>
        <w:t>为谨慎起见，公司聘请中联资产评估集团有限公司对收购上述各公司股权所形成的包含商誉的相关资产组在评估基准日</w:t>
      </w:r>
    </w:p>
    <w:p>
      <w:pPr>
        <w:pStyle w:val="BodyText"/>
        <w:spacing w:line="240" w:lineRule="auto" w:before="75"/>
        <w:ind w:left="153" w:right="0"/>
        <w:jc w:val="left"/>
        <w:rPr>
          <w:rFonts w:ascii="Times New Roman" w:hAnsi="Times New Roman" w:cs="Times New Roman" w:eastAsia="Times New Roman" w:hint="default"/>
        </w:rPr>
      </w:pPr>
      <w:r>
        <w:rPr>
          <w:rFonts w:ascii="Times New Roman" w:hAnsi="Times New Roman" w:cs="Times New Roman" w:eastAsia="Times New Roman" w:hint="default"/>
        </w:rPr>
        <w:t>2019</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日的预计未来现金流量的现值进行了评估，并分别出具了《资产评估报告》（中联评报字【</w:t>
      </w:r>
      <w:r>
        <w:rPr>
          <w:rFonts w:ascii="Times New Roman" w:hAnsi="Times New Roman" w:cs="Times New Roman" w:eastAsia="Times New Roman" w:hint="default"/>
        </w:rPr>
        <w:t>2020</w:t>
      </w:r>
      <w:r>
        <w:rPr/>
        <w:t>】第</w:t>
      </w:r>
      <w:r>
        <w:rPr>
          <w:spacing w:val="-46"/>
        </w:rPr>
        <w:t> </w:t>
      </w:r>
      <w:r>
        <w:rPr>
          <w:rFonts w:ascii="Times New Roman" w:hAnsi="Times New Roman" w:cs="Times New Roman" w:eastAsia="Times New Roman" w:hint="default"/>
        </w:rPr>
        <w:t>608</w:t>
      </w:r>
    </w:p>
    <w:p>
      <w:pPr>
        <w:pStyle w:val="BodyText"/>
        <w:spacing w:line="240" w:lineRule="auto" w:before="63"/>
        <w:ind w:right="0"/>
        <w:jc w:val="left"/>
      </w:pPr>
      <w:r>
        <w:rPr/>
        <w:t>号、中联评报字【</w:t>
      </w:r>
      <w:r>
        <w:rPr>
          <w:rFonts w:ascii="Times New Roman" w:hAnsi="Times New Roman" w:cs="Times New Roman" w:eastAsia="Times New Roman" w:hint="default"/>
        </w:rPr>
        <w:t>2020</w:t>
      </w:r>
      <w:r>
        <w:rPr/>
        <w:t>】第</w:t>
      </w:r>
      <w:r>
        <w:rPr>
          <w:spacing w:val="-58"/>
        </w:rPr>
        <w:t> </w:t>
      </w:r>
      <w:r>
        <w:rPr>
          <w:rFonts w:ascii="Times New Roman" w:hAnsi="Times New Roman" w:cs="Times New Roman" w:eastAsia="Times New Roman" w:hint="default"/>
        </w:rPr>
        <w:t>601</w:t>
      </w:r>
      <w:r>
        <w:rPr>
          <w:rFonts w:ascii="Times New Roman" w:hAnsi="Times New Roman" w:cs="Times New Roman" w:eastAsia="Times New Roman" w:hint="default"/>
          <w:spacing w:val="-19"/>
        </w:rPr>
        <w:t> </w:t>
      </w:r>
      <w:r>
        <w:rPr/>
        <w:t>号、中联评报字【</w:t>
      </w:r>
      <w:r>
        <w:rPr>
          <w:rFonts w:ascii="Times New Roman" w:hAnsi="Times New Roman" w:cs="Times New Roman" w:eastAsia="Times New Roman" w:hint="default"/>
        </w:rPr>
        <w:t>2020</w:t>
      </w:r>
      <w:r>
        <w:rPr/>
        <w:t>】第</w:t>
      </w:r>
      <w:r>
        <w:rPr>
          <w:spacing w:val="-58"/>
        </w:rPr>
        <w:t> </w:t>
      </w:r>
      <w:r>
        <w:rPr>
          <w:rFonts w:ascii="Times New Roman" w:hAnsi="Times New Roman" w:cs="Times New Roman" w:eastAsia="Times New Roman" w:hint="default"/>
        </w:rPr>
        <w:t>602</w:t>
      </w:r>
      <w:r>
        <w:rPr>
          <w:rFonts w:ascii="Times New Roman" w:hAnsi="Times New Roman" w:cs="Times New Roman" w:eastAsia="Times New Roman" w:hint="default"/>
          <w:spacing w:val="-19"/>
        </w:rPr>
        <w:t> </w:t>
      </w:r>
      <w:r>
        <w:rPr/>
        <w:t>号、中联评报字【</w:t>
      </w:r>
      <w:r>
        <w:rPr>
          <w:rFonts w:ascii="Times New Roman" w:hAnsi="Times New Roman" w:cs="Times New Roman" w:eastAsia="Times New Roman" w:hint="default"/>
        </w:rPr>
        <w:t>2020</w:t>
      </w:r>
      <w:r>
        <w:rPr/>
        <w:t>】第</w:t>
      </w:r>
      <w:r>
        <w:rPr>
          <w:spacing w:val="-58"/>
        </w:rPr>
        <w:t> </w:t>
      </w:r>
      <w:r>
        <w:rPr>
          <w:rFonts w:ascii="Times New Roman" w:hAnsi="Times New Roman" w:cs="Times New Roman" w:eastAsia="Times New Roman" w:hint="default"/>
        </w:rPr>
        <w:t>603</w:t>
      </w:r>
      <w:r>
        <w:rPr>
          <w:rFonts w:ascii="Times New Roman" w:hAnsi="Times New Roman" w:cs="Times New Roman" w:eastAsia="Times New Roman" w:hint="default"/>
          <w:spacing w:val="-19"/>
        </w:rPr>
        <w:t> </w:t>
      </w:r>
      <w:r>
        <w:rPr/>
        <w:t>号、中联评报字【</w:t>
      </w:r>
      <w:r>
        <w:rPr>
          <w:rFonts w:ascii="Times New Roman" w:hAnsi="Times New Roman" w:cs="Times New Roman" w:eastAsia="Times New Roman" w:hint="default"/>
        </w:rPr>
        <w:t>2020</w:t>
      </w:r>
      <w:r>
        <w:rPr/>
        <w:t>】第</w:t>
      </w:r>
    </w:p>
    <w:p>
      <w:pPr>
        <w:pStyle w:val="BodyText"/>
        <w:spacing w:line="240" w:lineRule="auto" w:before="63"/>
        <w:ind w:right="0"/>
        <w:jc w:val="left"/>
      </w:pPr>
      <w:r>
        <w:rPr>
          <w:rFonts w:ascii="Times New Roman" w:hAnsi="Times New Roman" w:cs="Times New Roman" w:eastAsia="Times New Roman" w:hint="default"/>
        </w:rPr>
        <w:t>605</w:t>
      </w:r>
      <w:r>
        <w:rPr>
          <w:rFonts w:ascii="Times New Roman" w:hAnsi="Times New Roman" w:cs="Times New Roman" w:eastAsia="Times New Roman" w:hint="default"/>
          <w:spacing w:val="-9"/>
        </w:rPr>
        <w:t> </w:t>
      </w:r>
      <w:r>
        <w:rPr/>
        <w:t>号、中联评报字【</w:t>
      </w:r>
      <w:r>
        <w:rPr>
          <w:rFonts w:ascii="Times New Roman" w:hAnsi="Times New Roman" w:cs="Times New Roman" w:eastAsia="Times New Roman" w:hint="default"/>
        </w:rPr>
        <w:t>2020</w:t>
      </w:r>
      <w:r>
        <w:rPr/>
        <w:t>】第</w:t>
      </w:r>
      <w:r>
        <w:rPr>
          <w:spacing w:val="-46"/>
        </w:rPr>
        <w:t> </w:t>
      </w:r>
      <w:r>
        <w:rPr>
          <w:rFonts w:ascii="Times New Roman" w:hAnsi="Times New Roman" w:cs="Times New Roman" w:eastAsia="Times New Roman" w:hint="default"/>
        </w:rPr>
        <w:t>604</w:t>
      </w:r>
      <w:r>
        <w:rPr>
          <w:rFonts w:ascii="Times New Roman" w:hAnsi="Times New Roman" w:cs="Times New Roman" w:eastAsia="Times New Roman" w:hint="default"/>
          <w:spacing w:val="-9"/>
        </w:rPr>
        <w:t> </w:t>
      </w:r>
      <w:r>
        <w:rPr/>
        <w:t>号、中联评报字【</w:t>
      </w:r>
      <w:r>
        <w:rPr>
          <w:rFonts w:ascii="Times New Roman" w:hAnsi="Times New Roman" w:cs="Times New Roman" w:eastAsia="Times New Roman" w:hint="default"/>
        </w:rPr>
        <w:t>2020</w:t>
      </w:r>
      <w:r>
        <w:rPr/>
        <w:t>】第</w:t>
      </w:r>
      <w:r>
        <w:rPr>
          <w:spacing w:val="-46"/>
        </w:rPr>
        <w:t> </w:t>
      </w:r>
      <w:r>
        <w:rPr>
          <w:rFonts w:ascii="Times New Roman" w:hAnsi="Times New Roman" w:cs="Times New Roman" w:eastAsia="Times New Roman" w:hint="default"/>
        </w:rPr>
        <w:t>606</w:t>
      </w:r>
      <w:r>
        <w:rPr>
          <w:rFonts w:ascii="Times New Roman" w:hAnsi="Times New Roman" w:cs="Times New Roman" w:eastAsia="Times New Roman" w:hint="default"/>
          <w:spacing w:val="-9"/>
        </w:rPr>
        <w:t> </w:t>
      </w:r>
      <w:r>
        <w:rPr/>
        <w:t>号、中联评报字【</w:t>
      </w:r>
      <w:r>
        <w:rPr>
          <w:rFonts w:ascii="Times New Roman" w:hAnsi="Times New Roman" w:cs="Times New Roman" w:eastAsia="Times New Roman" w:hint="default"/>
        </w:rPr>
        <w:t>2020</w:t>
      </w:r>
      <w:r>
        <w:rPr/>
        <w:t>】第</w:t>
      </w:r>
      <w:r>
        <w:rPr>
          <w:spacing w:val="-46"/>
        </w:rPr>
        <w:t> </w:t>
      </w:r>
      <w:r>
        <w:rPr>
          <w:rFonts w:ascii="Times New Roman" w:hAnsi="Times New Roman" w:cs="Times New Roman" w:eastAsia="Times New Roman" w:hint="default"/>
        </w:rPr>
        <w:t>607</w:t>
      </w:r>
      <w:r>
        <w:rPr>
          <w:rFonts w:ascii="Times New Roman" w:hAnsi="Times New Roman" w:cs="Times New Roman" w:eastAsia="Times New Roman" w:hint="default"/>
          <w:spacing w:val="-9"/>
        </w:rPr>
        <w:t> </w:t>
      </w:r>
      <w:r>
        <w:rPr/>
        <w:t>号）。根据《资产评估</w:t>
      </w:r>
    </w:p>
    <w:p>
      <w:pPr>
        <w:pStyle w:val="BodyText"/>
        <w:spacing w:line="240" w:lineRule="auto" w:before="63"/>
        <w:ind w:right="0"/>
        <w:jc w:val="left"/>
      </w:pPr>
      <w:r>
        <w:rPr/>
        <w:t>报告》所载评估结果，天时能源减值</w:t>
      </w:r>
      <w:r>
        <w:rPr>
          <w:spacing w:val="-47"/>
        </w:rPr>
        <w:t> </w:t>
      </w:r>
      <w:r>
        <w:rPr>
          <w:rFonts w:ascii="Times New Roman" w:hAnsi="Times New Roman" w:cs="Times New Roman" w:eastAsia="Times New Roman" w:hint="default"/>
        </w:rPr>
        <w:t>934.22</w:t>
      </w:r>
      <w:r>
        <w:rPr>
          <w:rFonts w:ascii="Times New Roman" w:hAnsi="Times New Roman" w:cs="Times New Roman" w:eastAsia="Times New Roman" w:hint="default"/>
          <w:spacing w:val="-10"/>
        </w:rPr>
        <w:t> </w:t>
      </w:r>
      <w:r>
        <w:rPr/>
        <w:t>万元；金实盈信减值</w:t>
      </w:r>
      <w:r>
        <w:rPr>
          <w:spacing w:val="-47"/>
        </w:rPr>
        <w:t> </w:t>
      </w:r>
      <w:r>
        <w:rPr>
          <w:rFonts w:ascii="Times New Roman" w:hAnsi="Times New Roman" w:cs="Times New Roman" w:eastAsia="Times New Roman" w:hint="default"/>
        </w:rPr>
        <w:t>1,084.55</w:t>
      </w:r>
      <w:r>
        <w:rPr>
          <w:rFonts w:ascii="Times New Roman" w:hAnsi="Times New Roman" w:cs="Times New Roman" w:eastAsia="Times New Roman" w:hint="default"/>
          <w:spacing w:val="-10"/>
        </w:rPr>
        <w:t> </w:t>
      </w:r>
      <w:r>
        <w:rPr/>
        <w:t>万元；珠海震星因收入对单一大客户云南农信依</w:t>
      </w:r>
    </w:p>
    <w:p>
      <w:pPr>
        <w:pStyle w:val="BodyText"/>
        <w:spacing w:line="240" w:lineRule="auto" w:before="63"/>
        <w:ind w:right="0"/>
        <w:jc w:val="left"/>
      </w:pPr>
      <w:r>
        <w:rPr>
          <w:spacing w:val="-4"/>
        </w:rPr>
        <w:t>赖较为严重，而</w:t>
      </w:r>
      <w:r>
        <w:rPr>
          <w:spacing w:val="-5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8"/>
        </w:rPr>
        <w:t> </w:t>
      </w:r>
      <w:r>
        <w:rPr/>
        <w:t>年云南农信系统改由建设银行承建，造成珠海震星</w:t>
      </w:r>
      <w:r>
        <w:rPr>
          <w:spacing w:val="-5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8"/>
        </w:rPr>
        <w:t> </w:t>
      </w:r>
      <w:r>
        <w:rPr/>
        <w:t>年度收入骤减，而震星公司在其行业细分领域</w:t>
      </w:r>
    </w:p>
    <w:p>
      <w:pPr>
        <w:pStyle w:val="BodyText"/>
        <w:spacing w:line="302" w:lineRule="auto" w:before="63"/>
        <w:ind w:right="1112"/>
        <w:jc w:val="left"/>
      </w:pPr>
      <w:r>
        <w:rPr/>
        <w:t>拓展客户存在困难，经测算预计未来现金流现值低于含商誉资产组的账面价值，公司对其商誉</w:t>
      </w:r>
      <w:r>
        <w:rPr>
          <w:spacing w:val="-61"/>
        </w:rPr>
        <w:t> </w:t>
      </w:r>
      <w:r>
        <w:rPr>
          <w:rFonts w:ascii="Times New Roman" w:hAnsi="Times New Roman" w:cs="Times New Roman" w:eastAsia="Times New Roman" w:hint="default"/>
        </w:rPr>
        <w:t>29.62</w:t>
      </w:r>
      <w:r>
        <w:rPr>
          <w:rFonts w:ascii="Times New Roman" w:hAnsi="Times New Roman" w:cs="Times New Roman" w:eastAsia="Times New Roman" w:hint="default"/>
          <w:spacing w:val="-21"/>
        </w:rPr>
        <w:t> </w:t>
      </w:r>
      <w:r>
        <w:rPr/>
        <w:t>万元全额计提了减值准 备；其他资产组（含商誉）评估结果均高于账面价值，无需计提减值准备。</w:t>
      </w:r>
    </w:p>
    <w:p>
      <w:pPr>
        <w:spacing w:line="240" w:lineRule="auto" w:before="3"/>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17</w:t>
      </w:r>
      <w:r>
        <w:rPr/>
        <w:t>、长期待摊费用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25,295,063.02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7,735,384.33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4,214,389.15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28,816,058.20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25,315.07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65,373.00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44,926.97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45,761.10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绿化工程</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455,630.05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156,216.00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299,414.05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消防系统</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220,913.43</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104,706.11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116,207.32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25,996,921.57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7,800,757.33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4,520,238.23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29,277,440.67</w:t>
            </w:r>
          </w:p>
        </w:tc>
      </w:tr>
    </w:tbl>
    <w:p>
      <w:pPr>
        <w:spacing w:line="240" w:lineRule="auto" w:before="7"/>
        <w:rPr>
          <w:rFonts w:ascii="宋体" w:hAnsi="宋体" w:cs="宋体" w:eastAsia="宋体" w:hint="default"/>
          <w:sz w:val="14"/>
          <w:szCs w:val="14"/>
        </w:rPr>
      </w:pPr>
    </w:p>
    <w:p>
      <w:pPr>
        <w:pStyle w:val="Heading3"/>
        <w:spacing w:line="240" w:lineRule="auto" w:before="35"/>
        <w:ind w:right="0"/>
        <w:jc w:val="left"/>
        <w:rPr>
          <w:b w:val="0"/>
          <w:bCs w:val="0"/>
        </w:rPr>
      </w:pPr>
      <w:r>
        <w:rPr>
          <w:rFonts w:ascii="Times New Roman" w:hAnsi="Times New Roman" w:cs="Times New Roman" w:eastAsia="Times New Roman" w:hint="default"/>
        </w:rPr>
        <w:t>18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3"/>
        <w:rPr>
          <w:rFonts w:ascii="宋体" w:hAnsi="宋体" w:cs="宋体" w:eastAsia="宋体" w:hint="default"/>
          <w:b/>
          <w:bCs/>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08"/>
        <w:gridCol w:w="1801"/>
        <w:gridCol w:w="1620"/>
        <w:gridCol w:w="1848"/>
        <w:gridCol w:w="1800"/>
      </w:tblGrid>
      <w:tr>
        <w:trPr>
          <w:trHeight w:val="200" w:hRule="exact"/>
        </w:trPr>
        <w:tc>
          <w:tcPr>
            <w:tcW w:w="2508" w:type="dxa"/>
            <w:tcBorders>
              <w:top w:val="single" w:sz="4" w:space="0" w:color="000000"/>
              <w:left w:val="single" w:sz="4" w:space="0" w:color="000000"/>
              <w:bottom w:val="nil" w:sz="6" w:space="0" w:color="auto"/>
              <w:right w:val="single" w:sz="4" w:space="0" w:color="000000"/>
            </w:tcBorders>
            <w:shd w:val="clear" w:color="auto" w:fill="D3D3D3"/>
          </w:tcPr>
          <w:p>
            <w:pPr/>
          </w:p>
        </w:tc>
        <w:tc>
          <w:tcPr>
            <w:tcW w:w="342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4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1" w:hRule="exact"/>
        </w:trPr>
        <w:tc>
          <w:tcPr>
            <w:tcW w:w="250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421" w:type="dxa"/>
            <w:gridSpan w:val="2"/>
            <w:vMerge/>
            <w:tcBorders>
              <w:left w:val="single" w:sz="4" w:space="0" w:color="000000"/>
              <w:bottom w:val="single" w:sz="4" w:space="0" w:color="000000"/>
              <w:right w:val="single" w:sz="4" w:space="0" w:color="000000"/>
            </w:tcBorders>
            <w:shd w:val="clear" w:color="auto" w:fill="D3D3D3"/>
          </w:tcPr>
          <w:p>
            <w:pPr/>
          </w:p>
        </w:tc>
        <w:tc>
          <w:tcPr>
            <w:tcW w:w="3648" w:type="dxa"/>
            <w:gridSpan w:val="2"/>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2508" w:type="dxa"/>
            <w:vMerge/>
            <w:tcBorders>
              <w:left w:val="single" w:sz="4" w:space="0" w:color="000000"/>
              <w:bottom w:val="nil" w:sz="6" w:space="0" w:color="auto"/>
              <w:right w:val="single" w:sz="4" w:space="0" w:color="000000"/>
            </w:tcBorders>
            <w:shd w:val="clear" w:color="auto" w:fill="D3D3D3"/>
          </w:tcPr>
          <w:p>
            <w:pPr/>
          </w:p>
        </w:tc>
        <w:tc>
          <w:tcPr>
            <w:tcW w:w="180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7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62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7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4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98"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8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26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12" w:hRule="exact"/>
        </w:trPr>
        <w:tc>
          <w:tcPr>
            <w:tcW w:w="2508" w:type="dxa"/>
            <w:tcBorders>
              <w:top w:val="nil" w:sz="6" w:space="0" w:color="auto"/>
              <w:left w:val="single" w:sz="4" w:space="0" w:color="000000"/>
              <w:bottom w:val="single" w:sz="4" w:space="0" w:color="000000"/>
              <w:right w:val="single" w:sz="4" w:space="0" w:color="000000"/>
            </w:tcBorders>
            <w:shd w:val="clear" w:color="auto" w:fill="D3D3D3"/>
          </w:tcPr>
          <w:p>
            <w:pPr/>
          </w:p>
        </w:tc>
        <w:tc>
          <w:tcPr>
            <w:tcW w:w="1801" w:type="dxa"/>
            <w:vMerge/>
            <w:tcBorders>
              <w:left w:val="single" w:sz="4" w:space="0" w:color="000000"/>
              <w:bottom w:val="single" w:sz="4" w:space="0" w:color="000000"/>
              <w:right w:val="single" w:sz="4" w:space="0" w:color="000000"/>
            </w:tcBorders>
            <w:shd w:val="clear" w:color="auto" w:fill="D3D3D3"/>
          </w:tcPr>
          <w:p>
            <w:pPr/>
          </w:p>
        </w:tc>
        <w:tc>
          <w:tcPr>
            <w:tcW w:w="1620" w:type="dxa"/>
            <w:vMerge/>
            <w:tcBorders>
              <w:left w:val="single" w:sz="4" w:space="0" w:color="000000"/>
              <w:bottom w:val="single" w:sz="4" w:space="0" w:color="000000"/>
              <w:right w:val="single" w:sz="4" w:space="0" w:color="000000"/>
            </w:tcBorders>
            <w:shd w:val="clear" w:color="auto" w:fill="D3D3D3"/>
          </w:tcPr>
          <w:p>
            <w:pPr/>
          </w:p>
        </w:tc>
        <w:tc>
          <w:tcPr>
            <w:tcW w:w="1848" w:type="dxa"/>
            <w:vMerge/>
            <w:tcBorders>
              <w:left w:val="single" w:sz="4" w:space="0" w:color="000000"/>
              <w:bottom w:val="single" w:sz="4" w:space="0" w:color="000000"/>
              <w:right w:val="single" w:sz="4" w:space="0" w:color="000000"/>
            </w:tcBorders>
            <w:shd w:val="clear" w:color="auto" w:fill="D3D3D3"/>
          </w:tcPr>
          <w:p>
            <w:pPr/>
          </w:p>
        </w:tc>
        <w:tc>
          <w:tcPr>
            <w:tcW w:w="180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5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8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31,160,593.55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7,707,090.92</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298,969,476.42</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60,677,998.07</w:t>
            </w:r>
          </w:p>
        </w:tc>
      </w:tr>
      <w:tr>
        <w:trPr>
          <w:trHeight w:val="402" w:hRule="exact"/>
        </w:trPr>
        <w:tc>
          <w:tcPr>
            <w:tcW w:w="25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80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15,209,688.40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3,802,417.11</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128,555.68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32,138.92</w:t>
            </w:r>
          </w:p>
        </w:tc>
      </w:tr>
      <w:tr>
        <w:trPr>
          <w:trHeight w:val="402" w:hRule="exact"/>
        </w:trPr>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23,102,656.83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3,482,830.10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22,811,388.91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3,635,499.19</w:t>
            </w:r>
          </w:p>
        </w:tc>
      </w:tr>
      <w:tr>
        <w:trPr>
          <w:trHeight w:val="401" w:hRule="exact"/>
        </w:trPr>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信用减值准备</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247,123,747.52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42,352,996.29</w:t>
            </w:r>
          </w:p>
        </w:tc>
        <w:tc>
          <w:tcPr>
            <w:tcW w:w="1848"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其他权益工具公允价值计量</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21,562,016.87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5,390,504.22</w:t>
            </w:r>
          </w:p>
        </w:tc>
        <w:tc>
          <w:tcPr>
            <w:tcW w:w="1848"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08"/>
        <w:gridCol w:w="1812"/>
        <w:gridCol w:w="1620"/>
        <w:gridCol w:w="1848"/>
        <w:gridCol w:w="1800"/>
      </w:tblGrid>
      <w:tr>
        <w:trPr>
          <w:trHeight w:val="402" w:hRule="exact"/>
        </w:trPr>
        <w:tc>
          <w:tcPr>
            <w:tcW w:w="25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646" w:right="0"/>
              <w:jc w:val="left"/>
              <w:rPr>
                <w:rFonts w:ascii="Times New Roman" w:hAnsi="Times New Roman" w:cs="Times New Roman" w:eastAsia="Times New Roman" w:hint="default"/>
                <w:sz w:val="18"/>
                <w:szCs w:val="18"/>
              </w:rPr>
            </w:pPr>
            <w:r>
              <w:rPr>
                <w:rFonts w:ascii="Times New Roman"/>
                <w:sz w:val="18"/>
              </w:rPr>
              <w:t>338,158,703.17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0" w:right="0"/>
              <w:jc w:val="left"/>
              <w:rPr>
                <w:rFonts w:ascii="Times New Roman" w:hAnsi="Times New Roman" w:cs="Times New Roman" w:eastAsia="Times New Roman" w:hint="default"/>
                <w:sz w:val="18"/>
                <w:szCs w:val="18"/>
              </w:rPr>
            </w:pPr>
            <w:r>
              <w:rPr>
                <w:rFonts w:ascii="Times New Roman"/>
                <w:sz w:val="18"/>
              </w:rPr>
              <w:t>62,735,838.64</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0" w:right="0"/>
              <w:jc w:val="left"/>
              <w:rPr>
                <w:rFonts w:ascii="Times New Roman" w:hAnsi="Times New Roman" w:cs="Times New Roman" w:eastAsia="Times New Roman" w:hint="default"/>
                <w:sz w:val="18"/>
                <w:szCs w:val="18"/>
              </w:rPr>
            </w:pPr>
            <w:r>
              <w:rPr>
                <w:rFonts w:ascii="Times New Roman"/>
                <w:sz w:val="18"/>
              </w:rPr>
              <w:t>321,909,421.01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0" w:right="0"/>
              <w:jc w:val="left"/>
              <w:rPr>
                <w:rFonts w:ascii="Times New Roman" w:hAnsi="Times New Roman" w:cs="Times New Roman" w:eastAsia="Times New Roman" w:hint="default"/>
                <w:sz w:val="18"/>
                <w:szCs w:val="18"/>
              </w:rPr>
            </w:pPr>
            <w:r>
              <w:rPr>
                <w:rFonts w:ascii="Times New Roman"/>
                <w:sz w:val="18"/>
              </w:rPr>
              <w:t>64,345,636.18</w:t>
            </w:r>
          </w:p>
        </w:tc>
      </w:tr>
    </w:tbl>
    <w:p>
      <w:pPr>
        <w:spacing w:line="240" w:lineRule="auto" w:before="7"/>
        <w:rPr>
          <w:rFonts w:ascii="宋体" w:hAnsi="宋体" w:cs="宋体" w:eastAsia="宋体" w:hint="default"/>
          <w:sz w:val="14"/>
          <w:szCs w:val="1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资产评估增值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19,426,390.96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2,920,448.12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29,306,681.81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4,380,563.48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19,426,390.96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2,920,448.12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29,306,681.81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4,380,563.48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39"/>
        <w:gridCol w:w="1914"/>
        <w:gridCol w:w="1914"/>
        <w:gridCol w:w="1903"/>
      </w:tblGrid>
      <w:tr>
        <w:trPr>
          <w:trHeight w:val="161" w:hRule="exact"/>
        </w:trPr>
        <w:tc>
          <w:tcPr>
            <w:tcW w:w="1889" w:type="dxa"/>
            <w:tcBorders>
              <w:top w:val="single" w:sz="4" w:space="0" w:color="000000"/>
              <w:left w:val="single" w:sz="4" w:space="0" w:color="000000"/>
              <w:bottom w:val="nil" w:sz="6" w:space="0" w:color="auto"/>
              <w:right w:val="single" w:sz="4" w:space="0" w:color="000000"/>
            </w:tcBorders>
            <w:shd w:val="clear" w:color="auto" w:fill="D3D3D3"/>
          </w:tcPr>
          <w:p>
            <w:pPr/>
          </w:p>
        </w:tc>
        <w:tc>
          <w:tcPr>
            <w:tcW w:w="1939"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425" w:right="6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10" w:right="62"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400" w:right="62"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10"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88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39" w:type="dxa"/>
            <w:vMerge/>
            <w:tcBorders>
              <w:left w:val="single" w:sz="4" w:space="0" w:color="000000"/>
              <w:right w:val="single" w:sz="4" w:space="0" w:color="000000"/>
            </w:tcBorders>
            <w:shd w:val="clear" w:color="auto" w:fill="D3D3D3"/>
          </w:tcPr>
          <w:p>
            <w:pPr/>
          </w:p>
        </w:tc>
        <w:tc>
          <w:tcPr>
            <w:tcW w:w="1914" w:type="dxa"/>
            <w:vMerge/>
            <w:tcBorders>
              <w:left w:val="single" w:sz="4" w:space="0" w:color="000000"/>
              <w:right w:val="single" w:sz="4" w:space="0" w:color="000000"/>
            </w:tcBorders>
            <w:shd w:val="clear" w:color="auto" w:fill="D3D3D3"/>
          </w:tcPr>
          <w:p>
            <w:pPr/>
          </w:p>
        </w:tc>
        <w:tc>
          <w:tcPr>
            <w:tcW w:w="1914" w:type="dxa"/>
            <w:vMerge/>
            <w:tcBorders>
              <w:left w:val="single" w:sz="4" w:space="0" w:color="000000"/>
              <w:right w:val="single" w:sz="4" w:space="0" w:color="000000"/>
            </w:tcBorders>
            <w:shd w:val="clear" w:color="auto" w:fill="D3D3D3"/>
          </w:tcPr>
          <w:p>
            <w:pPr/>
          </w:p>
        </w:tc>
        <w:tc>
          <w:tcPr>
            <w:tcW w:w="1903" w:type="dxa"/>
            <w:vMerge/>
            <w:tcBorders>
              <w:left w:val="single" w:sz="4" w:space="0" w:color="000000"/>
              <w:right w:val="single" w:sz="4" w:space="0" w:color="000000"/>
            </w:tcBorders>
            <w:shd w:val="clear" w:color="auto" w:fill="D3D3D3"/>
          </w:tcPr>
          <w:p>
            <w:pPr/>
          </w:p>
        </w:tc>
      </w:tr>
      <w:tr>
        <w:trPr>
          <w:trHeight w:val="161" w:hRule="exact"/>
        </w:trPr>
        <w:tc>
          <w:tcPr>
            <w:tcW w:w="1889" w:type="dxa"/>
            <w:tcBorders>
              <w:top w:val="nil" w:sz="6" w:space="0" w:color="auto"/>
              <w:left w:val="single" w:sz="4" w:space="0" w:color="000000"/>
              <w:bottom w:val="single" w:sz="4" w:space="0" w:color="000000"/>
              <w:right w:val="single" w:sz="4" w:space="0" w:color="000000"/>
            </w:tcBorders>
            <w:shd w:val="clear" w:color="auto" w:fill="D3D3D3"/>
          </w:tcPr>
          <w:p>
            <w:pPr/>
          </w:p>
        </w:tc>
        <w:tc>
          <w:tcPr>
            <w:tcW w:w="1939"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0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39"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62,735,838.64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64,345,636.18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39"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2,920,448.12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4,380,563.48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8,488,180.30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20,955,101.18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220,722,699.98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200,883,895.91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229,210,880.28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221,838,997.09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14,879,178.71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90,064,130.78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95,051,663.85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2,654,939.74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10,238,154.02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54,505,527.18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55,481,688.17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16,862,491.39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14,964,178.11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43,137,518.82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5,784,358.89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5,784,358.89</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4,484,674.16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4,484,674.16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3,229,059.02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220,722,699.98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200,883,895.91</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19</w:t>
      </w:r>
      <w:r>
        <w:rPr/>
        <w:t>、其他非流动资产</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0"/>
        </w:sectPr>
      </w:pPr>
    </w:p>
    <w:p>
      <w:pPr>
        <w:pStyle w:val="BodyText"/>
        <w:spacing w:line="240" w:lineRule="auto" w:before="44"/>
        <w:ind w:right="-20"/>
        <w:jc w:val="left"/>
      </w:pPr>
      <w:r>
        <w:rPr/>
        <w:t>是否已执行新收入准则</w:t>
      </w:r>
    </w:p>
    <w:p>
      <w:pPr>
        <w:pStyle w:val="BodyText"/>
        <w:spacing w:line="240" w:lineRule="auto" w:before="117"/>
        <w:ind w:left="153" w:right="-20"/>
        <w:jc w:val="left"/>
      </w:pPr>
      <w:r>
        <w:rPr/>
        <w:t>□ 是 √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0"/>
          <w:cols w:num="2" w:equalWidth="0">
            <w:col w:w="1955" w:space="6874"/>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预付土地款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141,642,454.10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134,101.21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134,101.21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141,776,555.31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134,101.21</w:t>
            </w:r>
          </w:p>
        </w:tc>
      </w:tr>
    </w:tbl>
    <w:p>
      <w:pPr>
        <w:pStyle w:val="BodyText"/>
        <w:spacing w:line="357" w:lineRule="auto" w:before="51"/>
        <w:ind w:left="371" w:right="6033" w:hanging="218"/>
        <w:jc w:val="left"/>
      </w:pPr>
      <w:r>
        <w:rPr/>
        <w:t>其他说明： 公司将在预付账款中核算的土地款重分类至本科目列示。</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20</w:t>
      </w:r>
      <w:r>
        <w:rPr/>
        <w:t>、短期借款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6"/>
        <w:gridCol w:w="3193"/>
        <w:gridCol w:w="3188"/>
      </w:tblGrid>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2,549,644,733.38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2,701,501,687.06</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303,477,018.07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160,000,000.00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7,191,843.62</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2,860,313,595.07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2,861,501,687.06</w:t>
            </w:r>
          </w:p>
        </w:tc>
      </w:tr>
    </w:tbl>
    <w:p>
      <w:pPr>
        <w:pStyle w:val="BodyText"/>
        <w:spacing w:line="357" w:lineRule="auto" w:before="51"/>
        <w:ind w:left="444" w:right="6700" w:hanging="291"/>
        <w:jc w:val="left"/>
        <w:rPr>
          <w:rFonts w:ascii="Times New Roman" w:hAnsi="Times New Roman" w:cs="Times New Roman" w:eastAsia="Times New Roman" w:hint="default"/>
        </w:rPr>
      </w:pPr>
      <w:r>
        <w:rPr/>
        <w:t>短期借款分类的说明： 期末保证借款见</w:t>
      </w:r>
      <w:r>
        <w:rPr>
          <w:rFonts w:ascii="Times New Roman" w:hAnsi="Times New Roman" w:cs="Times New Roman" w:eastAsia="Times New Roman" w:hint="default"/>
        </w:rPr>
        <w:t>“</w:t>
      </w:r>
      <w:r>
        <w:rPr/>
        <w:t>十一、</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）关联担保情况</w:t>
      </w:r>
      <w:r>
        <w:rPr>
          <w:rFonts w:ascii="Times New Roman" w:hAnsi="Times New Roman" w:cs="Times New Roman" w:eastAsia="Times New Roman" w:hint="default"/>
        </w:rPr>
        <w:t>”</w:t>
      </w:r>
    </w:p>
    <w:p>
      <w:pPr>
        <w:spacing w:line="240" w:lineRule="auto" w:before="11"/>
        <w:rPr>
          <w:rFonts w:ascii="Times New Roman" w:hAnsi="Times New Roman" w:cs="Times New Roman" w:eastAsia="Times New Roman"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21</w:t>
      </w:r>
      <w:r>
        <w:rPr/>
        <w:t>、应付票据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441,847,780.09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808,416,248.16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357,880,258.12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71,123,410.99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799,728,038.21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879,539,659.15</w:t>
            </w:r>
          </w:p>
        </w:tc>
      </w:tr>
    </w:tbl>
    <w:p>
      <w:pPr>
        <w:pStyle w:val="BodyText"/>
        <w:spacing w:line="240" w:lineRule="auto" w:before="51"/>
        <w:ind w:right="0"/>
        <w:jc w:val="left"/>
      </w:pPr>
      <w:r>
        <w:rPr/>
        <w:t>本期末已到期未支付的应付票据总额为元。</w:t>
      </w:r>
    </w:p>
    <w:p>
      <w:pPr>
        <w:spacing w:after="0" w:line="240" w:lineRule="auto"/>
        <w:jc w:val="left"/>
        <w:sectPr>
          <w:type w:val="continuous"/>
          <w:pgSz w:w="11910" w:h="16840"/>
          <w:pgMar w:top="1060" w:bottom="118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22</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1,386,434,038.26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1,486,712,230.61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167,312,018.88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99,076,895.72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30,000,972.72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49,924,356.18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37,106,179.82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44,307,811.99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1,620,853,209.68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1,680,021,294.50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方欣科技有限公司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14,734,966.87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山东金钟科技集团股份有限公司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12,206,978.15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兴唐通信科技有限公司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10,688,965.52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37,630,910.54</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23</w:t>
      </w:r>
      <w:r>
        <w:rPr/>
        <w:t>、预收款项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是否已执行新收入准则</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332,167,929.19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311,488,360.32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一至二年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26,013,332.75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42,285,861.08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二至三年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5,559,541.00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9,158,789.40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15,001,328.94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13,056,580.67</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378,742,131.88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375,989,591.47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阳江市人民医院</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3,956,760.00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广州市职业技能鉴定指导中心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2,194,403.00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6,151,163.00</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24</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11,655,367.08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510,144,404.82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504,373,710.48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17,426,061.42</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3,496,410.57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51,227,959.03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51,482,597.42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3,241,772.18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24,419.18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3,673,625.37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3,673,625.37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24,419.18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15,176,196.83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565,045,989.22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559,529,933.27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20,692,252.78</w:t>
            </w:r>
          </w:p>
        </w:tc>
      </w:tr>
    </w:tbl>
    <w:p>
      <w:pPr>
        <w:spacing w:line="240" w:lineRule="auto" w:before="1"/>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037"/>
        <w:gridCol w:w="1632"/>
        <w:gridCol w:w="1620"/>
        <w:gridCol w:w="1620"/>
        <w:gridCol w:w="1620"/>
      </w:tblGrid>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6,370,823.83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430,966,505.93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425,289,845.14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12,047,484.62</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632" w:type="dxa"/>
            <w:tcBorders>
              <w:top w:val="single" w:sz="4" w:space="0" w:color="000000"/>
              <w:left w:val="single" w:sz="10" w:space="0" w:color="D3D3D3"/>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12,350,242.76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12,350,242.76</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1,287,656.53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32,508,749.73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32,136,810.65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1,659,595.61</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1,091,318.83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27,809,915.71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27,458,834.49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1,442,400.05</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87,472.40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1,973,276.37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1,952,979.42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107,769.35</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108,865.30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2,725,557.65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2,724,996.74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109,426.21</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2,087,100.01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28,663,983.07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29,221,340.71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1,529,742.37</w:t>
            </w:r>
          </w:p>
        </w:tc>
      </w:tr>
      <w:tr>
        <w:trPr>
          <w:trHeight w:val="402"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1,909,786.71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5,654,923.33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5,375,471.22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2,189,238.82</w:t>
            </w:r>
          </w:p>
        </w:tc>
      </w:tr>
      <w:tr>
        <w:trPr>
          <w:trHeight w:val="403" w:hRule="exact"/>
        </w:trPr>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3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11,655,367.08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510,144,404.82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504,373,710.48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17,426,061.42</w:t>
            </w:r>
          </w:p>
        </w:tc>
      </w:tr>
    </w:tbl>
    <w:p>
      <w:pPr>
        <w:spacing w:line="240" w:lineRule="auto" w:before="7"/>
        <w:rPr>
          <w:rFonts w:ascii="宋体" w:hAnsi="宋体" w:cs="宋体" w:eastAsia="宋体" w:hint="default"/>
          <w:sz w:val="14"/>
          <w:szCs w:val="1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5" w:type="dxa"/>
        <w:tblLayout w:type="fixed"/>
        <w:tblCellMar>
          <w:top w:w="0" w:type="dxa"/>
          <w:left w:w="0" w:type="dxa"/>
          <w:bottom w:w="0" w:type="dxa"/>
          <w:right w:w="0" w:type="dxa"/>
        </w:tblCellMar>
        <w:tblLook w:val="01E0"/>
      </w:tblPr>
      <w:tblGrid>
        <w:gridCol w:w="1884"/>
        <w:gridCol w:w="1928"/>
        <w:gridCol w:w="1914"/>
        <w:gridCol w:w="1914"/>
        <w:gridCol w:w="1914"/>
      </w:tblGrid>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3,331,584.40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49,340,875.86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49,665,408.61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3,007,051.65</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164,826.17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1,887,083.17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1,817,188.81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234,720.53</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3,496,410.57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51,227,959.03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51,482,597.42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3,241,772.18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25</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113,807,710.14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127,657,161.35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3" w:type="dxa"/>
            <w:tcBorders>
              <w:top w:val="single" w:sz="4" w:space="0" w:color="000000"/>
              <w:left w:val="single" w:sz="13" w:space="0" w:color="D3D3D3"/>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21,591,152.72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33,771,652.51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932,488.80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995,448.80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874,902.71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2,167,160.43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690,221.01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1,581,475.14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400,311.85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546,857.99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637,372.28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636,779.98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661,447.13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829,453.04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45,591.66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146,556.81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139,641,198.30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168,332,546.05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26</w:t>
      </w:r>
      <w:r>
        <w:rPr/>
        <w:t>、其他应付款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5" w:type="dxa"/>
            <w:tcBorders>
              <w:top w:val="single" w:sz="4" w:space="0" w:color="000000"/>
              <w:left w:val="single" w:sz="13" w:space="0" w:color="D3D3D3"/>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5,642,118.74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29,968,422.13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29,968,422.13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128,720,298.60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240,496,542.43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158,688,720.73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276,107,083.30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5" w:type="dxa"/>
            <w:tcBorders>
              <w:top w:val="single" w:sz="4" w:space="0" w:color="000000"/>
              <w:left w:val="single" w:sz="13" w:space="0" w:color="D3D3D3"/>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5,642,118.74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5,642,118.74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）应付股利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5"/>
        <w:gridCol w:w="3205"/>
        <w:gridCol w:w="3177"/>
      </w:tblGrid>
      <w:tr>
        <w:trPr>
          <w:trHeight w:val="401" w:hRule="exact"/>
        </w:trPr>
        <w:tc>
          <w:tcPr>
            <w:tcW w:w="3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112" w:right="0"/>
              <w:jc w:val="left"/>
              <w:rPr>
                <w:rFonts w:ascii="Times New Roman" w:hAnsi="Times New Roman" w:cs="Times New Roman" w:eastAsia="Times New Roman" w:hint="default"/>
                <w:sz w:val="18"/>
                <w:szCs w:val="18"/>
              </w:rPr>
            </w:pPr>
            <w:r>
              <w:rPr>
                <w:rFonts w:ascii="Times New Roman"/>
                <w:sz w:val="18"/>
              </w:rPr>
              <w:t>29,968,422.13</w:t>
            </w:r>
          </w:p>
        </w:tc>
        <w:tc>
          <w:tcPr>
            <w:tcW w:w="3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09" w:right="0"/>
              <w:jc w:val="left"/>
              <w:rPr>
                <w:rFonts w:ascii="Times New Roman" w:hAnsi="Times New Roman" w:cs="Times New Roman" w:eastAsia="Times New Roman" w:hint="default"/>
                <w:sz w:val="18"/>
                <w:szCs w:val="18"/>
              </w:rPr>
            </w:pPr>
            <w:r>
              <w:rPr>
                <w:rFonts w:ascii="Times New Roman"/>
                <w:sz w:val="18"/>
              </w:rPr>
              <w:t>29,968,422.13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29,968,422.13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29,968,422.13</w:t>
            </w:r>
          </w:p>
        </w:tc>
      </w:tr>
    </w:tbl>
    <w:p>
      <w:pPr>
        <w:pStyle w:val="BodyText"/>
        <w:spacing w:line="338" w:lineRule="auto" w:before="51"/>
        <w:ind w:left="444" w:right="1120" w:hanging="291"/>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 </w:t>
      </w:r>
      <w:r>
        <w:rPr>
          <w:spacing w:val="-1"/>
        </w:rPr>
        <w:t>其中</w:t>
      </w:r>
      <w:r>
        <w:rPr>
          <w:rFonts w:ascii="Times New Roman" w:hAnsi="Times New Roman" w:cs="Times New Roman" w:eastAsia="Times New Roman" w:hint="default"/>
          <w:spacing w:val="-1"/>
        </w:rPr>
        <w:t>468,422.13</w:t>
      </w:r>
      <w:r>
        <w:rPr>
          <w:spacing w:val="-1"/>
        </w:rPr>
        <w:t>元系股东尚未领取形成；</w:t>
      </w:r>
      <w:r>
        <w:rPr>
          <w:rFonts w:ascii="Times New Roman" w:hAnsi="Times New Roman" w:cs="Times New Roman" w:eastAsia="Times New Roman" w:hint="default"/>
          <w:spacing w:val="-1"/>
        </w:rPr>
        <w:t>29,500,000.00</w:t>
      </w:r>
      <w:r>
        <w:rPr>
          <w:spacing w:val="-1"/>
        </w:rPr>
        <w:t>元系非同一控制下合并北明天时能源科技（北京）有限公司分配原</w:t>
      </w:r>
    </w:p>
    <w:p>
      <w:pPr>
        <w:pStyle w:val="BodyText"/>
        <w:spacing w:line="217" w:lineRule="exact"/>
        <w:ind w:left="153" w:right="0"/>
        <w:jc w:val="left"/>
      </w:pPr>
      <w:r>
        <w:rPr/>
        <w:t>股东股利。</w:t>
      </w:r>
    </w:p>
    <w:p>
      <w:pPr>
        <w:spacing w:line="240" w:lineRule="auto" w:before="1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）按款项性质列示其他应付款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待付款项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58,858,260.59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68,804,554.81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22,646,545.31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22,325,200.85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6,521,873.89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5,322,134.74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子公司股权收购款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13,391,900.00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117,194,000.00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预提费用（包含售后服务费）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27,301,718.81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26,850,652.03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128,720,298.60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240,496,542.43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西安盈泰企业管理咨询有限公司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19,778,000.00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未支付的股权款</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席波</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18,182,000.00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未支付的股权款</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韩向明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9,841,182.50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未支付的股权款</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47,801,182.50</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27</w:t>
      </w:r>
      <w:r>
        <w:rPr/>
        <w:t>、一年内到期的非流动负债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6"/>
        <w:gridCol w:w="3193"/>
        <w:gridCol w:w="3188"/>
      </w:tblGrid>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60,770,000.00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1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243,158,926.02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99,358,980.51</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一年内到期的递延收益</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3,890,920.60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1,900,429.19</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1,035,059,355.21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164,019,901.11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28</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75"/>
        <w:gridCol w:w="3205"/>
        <w:gridCol w:w="3188"/>
      </w:tblGrid>
      <w:tr>
        <w:trPr>
          <w:trHeight w:val="402" w:hRule="exact"/>
        </w:trPr>
        <w:tc>
          <w:tcPr>
            <w:tcW w:w="3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136,733,520.00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1,175,000,000.00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1,235,770,000.00</w:t>
            </w:r>
          </w:p>
        </w:tc>
      </w:tr>
      <w:tr>
        <w:trPr>
          <w:trHeight w:val="402" w:hRule="exact"/>
        </w:trPr>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-790,000,000.00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-60,770,000.00</w:t>
            </w:r>
          </w:p>
        </w:tc>
      </w:tr>
      <w:tr>
        <w:trPr>
          <w:trHeight w:val="403" w:hRule="exact"/>
        </w:trPr>
        <w:tc>
          <w:tcPr>
            <w:tcW w:w="3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521,733,520.00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1,175,000,000.00</w:t>
            </w:r>
          </w:p>
        </w:tc>
      </w:tr>
    </w:tbl>
    <w:p>
      <w:pPr>
        <w:pStyle w:val="BodyText"/>
        <w:spacing w:line="240" w:lineRule="auto" w:before="51"/>
        <w:ind w:right="0"/>
        <w:jc w:val="left"/>
      </w:pPr>
      <w:r>
        <w:rPr/>
        <w:t>长期借款分类的说明：</w:t>
      </w:r>
    </w:p>
    <w:p>
      <w:pPr>
        <w:pStyle w:val="BodyText"/>
        <w:spacing w:line="300" w:lineRule="auto" w:before="115"/>
        <w:ind w:left="153" w:right="0" w:firstLine="360"/>
        <w:jc w:val="left"/>
      </w:pPr>
      <w:r>
        <w:rPr>
          <w:rFonts w:ascii="Times New Roman" w:hAnsi="Times New Roman" w:cs="Times New Roman" w:eastAsia="Times New Roman" w:hint="default"/>
          <w:spacing w:val="-1"/>
        </w:rPr>
        <w:t>1</w:t>
      </w:r>
      <w:r>
        <w:rPr>
          <w:spacing w:val="-1"/>
        </w:rPr>
        <w:t>、公司以账面原值</w:t>
      </w:r>
      <w:r>
        <w:rPr>
          <w:rFonts w:ascii="Times New Roman" w:hAnsi="Times New Roman" w:cs="Times New Roman" w:eastAsia="Times New Roman" w:hint="default"/>
          <w:spacing w:val="-1"/>
        </w:rPr>
        <w:t>237,457,097.40</w:t>
      </w:r>
      <w:r>
        <w:rPr>
          <w:spacing w:val="-1"/>
        </w:rPr>
        <w:t>元、累计折旧</w:t>
      </w:r>
      <w:r>
        <w:rPr>
          <w:rFonts w:ascii="Times New Roman" w:hAnsi="Times New Roman" w:cs="Times New Roman" w:eastAsia="Times New Roman" w:hint="default"/>
          <w:spacing w:val="-1"/>
        </w:rPr>
        <w:t>44,050,723.32</w:t>
      </w:r>
      <w:r>
        <w:rPr>
          <w:spacing w:val="-1"/>
        </w:rPr>
        <w:t>元、净额</w:t>
      </w:r>
      <w:r>
        <w:rPr>
          <w:rFonts w:ascii="Times New Roman" w:hAnsi="Times New Roman" w:cs="Times New Roman" w:eastAsia="Times New Roman" w:hint="default"/>
          <w:spacing w:val="-1"/>
        </w:rPr>
        <w:t>193,406,374.08</w:t>
      </w:r>
      <w:r>
        <w:rPr>
          <w:spacing w:val="-1"/>
        </w:rPr>
        <w:t>元的房屋建筑物抵押向大华银行香</w:t>
      </w:r>
      <w:r>
        <w:rPr/>
        <w:t> 港分行借款</w:t>
      </w:r>
      <w:r>
        <w:rPr>
          <w:rFonts w:ascii="Times New Roman" w:hAnsi="Times New Roman" w:cs="Times New Roman" w:eastAsia="Times New Roman" w:hint="default"/>
        </w:rPr>
        <w:t>19,600,000.00</w:t>
      </w:r>
      <w:r>
        <w:rPr/>
        <w:t>美元，期末折合人民币</w:t>
      </w:r>
      <w:r>
        <w:rPr>
          <w:rFonts w:ascii="Times New Roman" w:hAnsi="Times New Roman" w:cs="Times New Roman" w:eastAsia="Times New Roman" w:hint="default"/>
        </w:rPr>
        <w:t>136,733,520.00</w:t>
      </w:r>
      <w:r>
        <w:rPr/>
        <w:t>元。</w:t>
      </w:r>
    </w:p>
    <w:p>
      <w:pPr>
        <w:pStyle w:val="BodyText"/>
        <w:spacing w:line="240" w:lineRule="auto" w:before="133"/>
        <w:ind w:left="444"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、期末保证借款见</w:t>
      </w:r>
      <w:r>
        <w:rPr>
          <w:rFonts w:ascii="Times New Roman" w:hAnsi="Times New Roman" w:cs="Times New Roman" w:eastAsia="Times New Roman" w:hint="default"/>
        </w:rPr>
        <w:t>“</w:t>
      </w:r>
      <w:r>
        <w:rPr/>
        <w:t>十、</w:t>
      </w:r>
      <w:r>
        <w:rPr>
          <w:rFonts w:ascii="Times New Roman" w:hAnsi="Times New Roman" w:cs="Times New Roman" w:eastAsia="Times New Roman" w:hint="default"/>
        </w:rPr>
        <w:t>5</w:t>
      </w:r>
      <w:r>
        <w:rPr/>
        <w:t>、（</w:t>
      </w:r>
      <w:r>
        <w:rPr>
          <w:rFonts w:ascii="Times New Roman" w:hAnsi="Times New Roman" w:cs="Times New Roman" w:eastAsia="Times New Roman" w:hint="default"/>
        </w:rPr>
        <w:t>2</w:t>
      </w:r>
      <w:r>
        <w:rPr/>
        <w:t>）关联担保情况</w:t>
      </w:r>
      <w:r>
        <w:rPr>
          <w:rFonts w:ascii="Times New Roman" w:hAnsi="Times New Roman" w:cs="Times New Roman" w:eastAsia="Times New Roman" w:hint="default"/>
        </w:rPr>
        <w:t>”</w:t>
      </w:r>
    </w:p>
    <w:p>
      <w:pPr>
        <w:spacing w:line="240" w:lineRule="auto" w:before="4"/>
        <w:rPr>
          <w:rFonts w:ascii="Times New Roman" w:hAnsi="Times New Roman" w:cs="Times New Roman" w:eastAsia="Times New Roman" w:hint="default"/>
          <w:sz w:val="24"/>
          <w:szCs w:val="24"/>
        </w:rPr>
      </w:pPr>
    </w:p>
    <w:p>
      <w:pPr>
        <w:pStyle w:val="BodyText"/>
        <w:spacing w:line="357" w:lineRule="auto"/>
        <w:ind w:left="153" w:right="8608"/>
        <w:jc w:val="left"/>
      </w:pPr>
      <w:r>
        <w:rPr/>
        <w:t>其他说明，包括利率区间： 年利率为</w:t>
      </w:r>
      <w:r>
        <w:rPr>
          <w:rFonts w:ascii="Times New Roman" w:hAnsi="Times New Roman" w:cs="Times New Roman" w:eastAsia="Times New Roman" w:hint="default"/>
        </w:rPr>
        <w:t>1.80%-5.70%</w:t>
      </w:r>
      <w:r>
        <w:rPr/>
        <w:t>。</w:t>
      </w:r>
    </w:p>
    <w:p>
      <w:pPr>
        <w:spacing w:line="240" w:lineRule="auto" w:before="5"/>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29</w:t>
      </w:r>
      <w:r>
        <w:rPr/>
        <w:t>、长期应付款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328,118,047.16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167,214,716.54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328,118,047.16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167,214,716.54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571,276,973.18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266,573,697.05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减：一年内到期部分（附注七、</w:t>
            </w:r>
            <w:r>
              <w:rPr>
                <w:rFonts w:ascii="Times New Roman" w:hAnsi="Times New Roman" w:cs="Times New Roman" w:eastAsia="Times New Roman" w:hint="default"/>
                <w:sz w:val="18"/>
                <w:szCs w:val="18"/>
              </w:rPr>
              <w:t>27</w:t>
            </w:r>
            <w:r>
              <w:rPr>
                <w:rFonts w:ascii="宋体" w:hAnsi="宋体" w:cs="宋体" w:eastAsia="宋体" w:hint="default"/>
                <w:sz w:val="18"/>
                <w:szCs w:val="18"/>
              </w:rPr>
              <w:t>）</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243,158,926.02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99,358,980.51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328,118,047.16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167,214,716.54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30</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5"/>
        <w:gridCol w:w="1594"/>
        <w:gridCol w:w="1594"/>
        <w:gridCol w:w="1595"/>
      </w:tblGrid>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439" w:right="0"/>
              <w:jc w:val="left"/>
              <w:rPr>
                <w:rFonts w:ascii="Times New Roman" w:hAnsi="Times New Roman" w:cs="Times New Roman" w:eastAsia="Times New Roman" w:hint="default"/>
                <w:sz w:val="18"/>
                <w:szCs w:val="18"/>
              </w:rPr>
            </w:pPr>
            <w:r>
              <w:rPr>
                <w:rFonts w:ascii="Times New Roman"/>
                <w:sz w:val="18"/>
              </w:rPr>
              <w:t>283,031,909.46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7" w:right="0"/>
              <w:jc w:val="left"/>
              <w:rPr>
                <w:rFonts w:ascii="Times New Roman" w:hAnsi="Times New Roman" w:cs="Times New Roman" w:eastAsia="Times New Roman" w:hint="default"/>
                <w:sz w:val="18"/>
                <w:szCs w:val="18"/>
              </w:rPr>
            </w:pPr>
            <w:r>
              <w:rPr>
                <w:rFonts w:ascii="Times New Roman"/>
                <w:sz w:val="18"/>
              </w:rPr>
              <w:t>374,026,150.00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287,692,042.45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369,366,017.01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439" w:right="0"/>
              <w:jc w:val="left"/>
              <w:rPr>
                <w:rFonts w:ascii="Times New Roman" w:hAnsi="Times New Roman" w:cs="Times New Roman" w:eastAsia="Times New Roman" w:hint="default"/>
                <w:sz w:val="18"/>
                <w:szCs w:val="18"/>
              </w:rPr>
            </w:pPr>
            <w:r>
              <w:rPr>
                <w:rFonts w:ascii="Times New Roman"/>
                <w:sz w:val="18"/>
              </w:rPr>
              <w:t>283,031,909.46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7" w:right="0"/>
              <w:jc w:val="left"/>
              <w:rPr>
                <w:rFonts w:ascii="Times New Roman" w:hAnsi="Times New Roman" w:cs="Times New Roman" w:eastAsia="Times New Roman" w:hint="default"/>
                <w:sz w:val="18"/>
                <w:szCs w:val="18"/>
              </w:rPr>
            </w:pPr>
            <w:r>
              <w:rPr>
                <w:rFonts w:ascii="Times New Roman"/>
                <w:sz w:val="18"/>
              </w:rPr>
              <w:t>374,026,150.00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287,692,042.45</w:t>
            </w:r>
          </w:p>
        </w:tc>
        <w:tc>
          <w:tcPr>
            <w:tcW w:w="1594"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369,366,017.01</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涉及政府补助的项目：</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12"/>
        <w:gridCol w:w="1249"/>
        <w:gridCol w:w="1010"/>
        <w:gridCol w:w="1010"/>
        <w:gridCol w:w="1009"/>
        <w:gridCol w:w="1010"/>
        <w:gridCol w:w="1010"/>
        <w:gridCol w:w="1248"/>
        <w:gridCol w:w="1009"/>
      </w:tblGrid>
      <w:tr>
        <w:trPr>
          <w:trHeight w:val="1026" w:hRule="exact"/>
        </w:trPr>
        <w:tc>
          <w:tcPr>
            <w:tcW w:w="1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2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0" w:right="48"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9" w:right="49"/>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9" w:right="4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49" w:right="23"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026"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高档新型纤 维面料项目 开发补助</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187,600.00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187,600.00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企业搬迁补 助</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200,961,894.22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128,473,598.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54</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40,967,452.0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288,468,040.74</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企业搬迁补 助</w:t>
            </w: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241,526,401.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46</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241,526,401.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46</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院士工作站 项目</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仿麻弹力竹 节布和仿竹 节弹力提花 布的研发项 目</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领军人物项 目</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提高自主创 新能力及高 新技术产业 发展项目专 项资金</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1,607,143.08</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1,607,143.08</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重点产业振 兴和技术改 造项目专项 资金</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7,023,809.00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7,023,809.00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利用紧密纺 技术开发复 合纱线项目</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2,500,000.00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高档纱线公 共实验检测 平台</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158,333.09</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158,333.09</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技术中心项 目专项资金</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267,000.00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267,000.00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4"/>
              <w:jc w:val="center"/>
              <w:rPr>
                <w:rFonts w:ascii="宋体" w:hAnsi="宋体" w:cs="宋体" w:eastAsia="宋体" w:hint="default"/>
                <w:sz w:val="18"/>
                <w:szCs w:val="18"/>
              </w:rPr>
            </w:pPr>
            <w:r>
              <w:rPr>
                <w:rFonts w:ascii="宋体" w:hAnsi="宋体" w:cs="宋体" w:eastAsia="宋体" w:hint="default"/>
                <w:sz w:val="18"/>
                <w:szCs w:val="18"/>
              </w:rPr>
              <w:t>杨普工作室</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4"/>
              <w:jc w:val="center"/>
              <w:rPr>
                <w:rFonts w:ascii="宋体" w:hAnsi="宋体" w:cs="宋体" w:eastAsia="宋体" w:hint="default"/>
                <w:sz w:val="18"/>
                <w:szCs w:val="18"/>
              </w:rPr>
            </w:pPr>
            <w:r>
              <w:rPr>
                <w:rFonts w:ascii="宋体" w:hAnsi="宋体" w:cs="宋体" w:eastAsia="宋体" w:hint="default"/>
                <w:sz w:val="18"/>
                <w:szCs w:val="18"/>
              </w:rPr>
              <w:t>多组分差别</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12"/>
        <w:gridCol w:w="1249"/>
        <w:gridCol w:w="1010"/>
        <w:gridCol w:w="1010"/>
        <w:gridCol w:w="1009"/>
        <w:gridCol w:w="1010"/>
        <w:gridCol w:w="1010"/>
        <w:gridCol w:w="1248"/>
        <w:gridCol w:w="1009"/>
      </w:tblGrid>
      <w:tr>
        <w:trPr>
          <w:trHeight w:val="986"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7"/>
              <w:jc w:val="both"/>
              <w:rPr>
                <w:rFonts w:ascii="宋体" w:hAnsi="宋体" w:cs="宋体" w:eastAsia="宋体" w:hint="default"/>
                <w:sz w:val="18"/>
                <w:szCs w:val="18"/>
              </w:rPr>
            </w:pPr>
            <w:r>
              <w:rPr>
                <w:rFonts w:ascii="宋体" w:hAnsi="宋体" w:cs="宋体" w:eastAsia="宋体" w:hint="default"/>
                <w:sz w:val="18"/>
                <w:szCs w:val="18"/>
              </w:rPr>
              <w:t>化纤维面料 研发项目专 项资金</w:t>
            </w: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技术中心项 目专项资金</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58,000.00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正定纺织工 业园建设资 金补助</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3,866,626.14</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3,866,626.14</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7" w:hRule="exact"/>
        </w:trPr>
        <w:tc>
          <w:tcPr>
            <w:tcW w:w="10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高档服装面</w:t>
            </w: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09"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8" w:type="dxa"/>
            <w:vMerge w:val="restart"/>
            <w:tcBorders>
              <w:top w:val="single" w:sz="4" w:space="0" w:color="000000"/>
              <w:left w:val="single" w:sz="4" w:space="0" w:color="000000"/>
              <w:right w:val="single" w:sz="4" w:space="0" w:color="000000"/>
            </w:tcBorders>
          </w:tcPr>
          <w:p>
            <w:pPr/>
          </w:p>
        </w:tc>
        <w:tc>
          <w:tcPr>
            <w:tcW w:w="1009"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料工程技术 研究中心经</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w:t>
            </w: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w:t>
            </w: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0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费</w:t>
            </w: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09"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00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新型制造生</w:t>
            </w: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09"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8" w:type="dxa"/>
            <w:vMerge w:val="restart"/>
            <w:tcBorders>
              <w:top w:val="single" w:sz="4" w:space="0" w:color="000000"/>
              <w:left w:val="single" w:sz="4" w:space="0" w:color="000000"/>
              <w:right w:val="single" w:sz="4" w:space="0" w:color="000000"/>
            </w:tcBorders>
          </w:tcPr>
          <w:p>
            <w:pPr/>
          </w:p>
        </w:tc>
        <w:tc>
          <w:tcPr>
            <w:tcW w:w="1009"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产线技术改 造项目贴息</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600,000.00</w:t>
            </w: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0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09"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00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工业企业技</w:t>
            </w: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09"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8" w:type="dxa"/>
            <w:vMerge w:val="restart"/>
            <w:tcBorders>
              <w:top w:val="single" w:sz="4" w:space="0" w:color="000000"/>
              <w:left w:val="single" w:sz="4" w:space="0" w:color="000000"/>
              <w:right w:val="single" w:sz="4" w:space="0" w:color="000000"/>
            </w:tcBorders>
          </w:tcPr>
          <w:p>
            <w:pPr/>
          </w:p>
        </w:tc>
        <w:tc>
          <w:tcPr>
            <w:tcW w:w="1009"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术改造贴息</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1,700,000.00</w:t>
            </w: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pacing w:val="-1"/>
                <w:sz w:val="18"/>
              </w:rPr>
              <w:t>1,700,000.00</w:t>
            </w: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53"/>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3" w:hRule="exact"/>
        </w:trPr>
        <w:tc>
          <w:tcPr>
            <w:tcW w:w="10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及补助资金</w:t>
            </w: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09"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00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工业企业技</w:t>
            </w: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09"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1009"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术改造专项</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15,880,000.00</w:t>
            </w: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15,880,000.00</w:t>
            </w:r>
          </w:p>
        </w:tc>
        <w:tc>
          <w:tcPr>
            <w:tcW w:w="10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5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3" w:hRule="exact"/>
        </w:trPr>
        <w:tc>
          <w:tcPr>
            <w:tcW w:w="10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1009"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年度工</w:t>
            </w: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09"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1009" w:type="dxa"/>
            <w:tcBorders>
              <w:top w:val="single" w:sz="4" w:space="0" w:color="000000"/>
              <w:left w:val="single" w:sz="4" w:space="0" w:color="000000"/>
              <w:bottom w:val="nil" w:sz="6" w:space="0" w:color="auto"/>
              <w:right w:val="single" w:sz="4" w:space="0" w:color="000000"/>
            </w:tcBorders>
          </w:tcPr>
          <w:p>
            <w:pPr/>
          </w:p>
        </w:tc>
      </w:tr>
      <w:tr>
        <w:trPr>
          <w:trHeight w:val="619"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77"/>
              <w:jc w:val="left"/>
              <w:rPr>
                <w:rFonts w:ascii="宋体" w:hAnsi="宋体" w:cs="宋体" w:eastAsia="宋体" w:hint="default"/>
                <w:sz w:val="18"/>
                <w:szCs w:val="18"/>
              </w:rPr>
            </w:pPr>
            <w:r>
              <w:rPr>
                <w:rFonts w:ascii="宋体" w:hAnsi="宋体" w:cs="宋体" w:eastAsia="宋体" w:hint="default"/>
                <w:sz w:val="18"/>
                <w:szCs w:val="18"/>
              </w:rPr>
              <w:t>业企业技术 改造补助资</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1,650,000.00</w:t>
            </w: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1,650,000.00</w:t>
            </w:r>
          </w:p>
        </w:tc>
        <w:tc>
          <w:tcPr>
            <w:tcW w:w="100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7" w:hRule="exact"/>
        </w:trPr>
        <w:tc>
          <w:tcPr>
            <w:tcW w:w="10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1009"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年度工</w:t>
            </w: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09"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1009" w:type="dxa"/>
            <w:tcBorders>
              <w:top w:val="single" w:sz="4" w:space="0" w:color="000000"/>
              <w:left w:val="single" w:sz="4" w:space="0" w:color="000000"/>
              <w:bottom w:val="nil" w:sz="6" w:space="0" w:color="auto"/>
              <w:right w:val="single" w:sz="4" w:space="0" w:color="000000"/>
            </w:tcBorders>
          </w:tcPr>
          <w:p>
            <w:pPr/>
          </w:p>
        </w:tc>
      </w:tr>
      <w:tr>
        <w:trPr>
          <w:trHeight w:val="619"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77"/>
              <w:jc w:val="left"/>
              <w:rPr>
                <w:rFonts w:ascii="宋体" w:hAnsi="宋体" w:cs="宋体" w:eastAsia="宋体" w:hint="default"/>
                <w:sz w:val="18"/>
                <w:szCs w:val="18"/>
              </w:rPr>
            </w:pPr>
            <w:r>
              <w:rPr>
                <w:rFonts w:ascii="宋体" w:hAnsi="宋体" w:cs="宋体" w:eastAsia="宋体" w:hint="default"/>
                <w:sz w:val="18"/>
                <w:szCs w:val="18"/>
              </w:rPr>
              <w:t>业企业技术 改造专项资</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1,184,999.81</w:t>
            </w: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1,184,999.81</w:t>
            </w:r>
          </w:p>
        </w:tc>
        <w:tc>
          <w:tcPr>
            <w:tcW w:w="100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7" w:hRule="exact"/>
        </w:trPr>
        <w:tc>
          <w:tcPr>
            <w:tcW w:w="10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100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新疆常山恒</w:t>
            </w: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09"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1009"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宏纺织科技</w:t>
            </w:r>
          </w:p>
        </w:tc>
        <w:tc>
          <w:tcPr>
            <w:tcW w:w="1249"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09"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有限公司纺</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16,218,500.00</w:t>
            </w: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16,218,500.00</w:t>
            </w:r>
          </w:p>
        </w:tc>
        <w:tc>
          <w:tcPr>
            <w:tcW w:w="10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5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08"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织服装综合</w:t>
            </w:r>
          </w:p>
        </w:tc>
        <w:tc>
          <w:tcPr>
            <w:tcW w:w="1249"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0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建设项目</w:t>
            </w: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1009"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先</w:t>
            </w: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09"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8" w:type="dxa"/>
            <w:vMerge w:val="restart"/>
            <w:tcBorders>
              <w:top w:val="single" w:sz="4" w:space="0" w:color="000000"/>
              <w:left w:val="single" w:sz="4" w:space="0" w:color="000000"/>
              <w:right w:val="single" w:sz="4" w:space="0" w:color="000000"/>
            </w:tcBorders>
          </w:tcPr>
          <w:p>
            <w:pPr/>
          </w:p>
        </w:tc>
        <w:tc>
          <w:tcPr>
            <w:tcW w:w="100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进制造业</w:t>
            </w:r>
            <w:r>
              <w:rPr>
                <w:rFonts w:ascii="Times New Roman" w:hAnsi="Times New Roman" w:cs="Times New Roman" w:eastAsia="Times New Roman" w:hint="default"/>
                <w:sz w:val="18"/>
                <w:szCs w:val="18"/>
              </w:rPr>
              <w:t>"</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9"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0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53"/>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2" w:hRule="exact"/>
        </w:trPr>
        <w:tc>
          <w:tcPr>
            <w:tcW w:w="10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模式应用</w:t>
            </w: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09"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009" w:type="dxa"/>
            <w:tcBorders>
              <w:top w:val="nil" w:sz="6" w:space="0" w:color="auto"/>
              <w:left w:val="single" w:sz="4" w:space="0" w:color="000000"/>
              <w:bottom w:val="single" w:sz="4" w:space="0" w:color="000000"/>
              <w:right w:val="single" w:sz="4" w:space="0" w:color="000000"/>
            </w:tcBorders>
          </w:tcPr>
          <w:p>
            <w:pPr/>
          </w:p>
        </w:tc>
      </w:tr>
      <w:tr>
        <w:trPr>
          <w:trHeight w:val="352" w:hRule="exact"/>
        </w:trPr>
        <w:tc>
          <w:tcPr>
            <w:tcW w:w="10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w:t>
            </w: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09"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1009"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2" w:right="0"/>
              <w:jc w:val="left"/>
              <w:rPr>
                <w:rFonts w:ascii="宋体" w:hAnsi="宋体" w:cs="宋体" w:eastAsia="宋体" w:hint="default"/>
                <w:sz w:val="18"/>
                <w:szCs w:val="18"/>
              </w:rPr>
            </w:pPr>
            <w:r>
              <w:rPr>
                <w:rFonts w:ascii="宋体" w:hAnsi="宋体" w:cs="宋体" w:eastAsia="宋体" w:hint="default"/>
                <w:sz w:val="18"/>
                <w:szCs w:val="18"/>
              </w:rPr>
              <w:t>信息产业发</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21"/>
              <w:jc w:val="right"/>
              <w:rPr>
                <w:rFonts w:ascii="Times New Roman" w:hAnsi="Times New Roman" w:cs="Times New Roman" w:eastAsia="Times New Roman" w:hint="default"/>
                <w:sz w:val="18"/>
                <w:szCs w:val="18"/>
              </w:rPr>
            </w:pPr>
            <w:r>
              <w:rPr>
                <w:rFonts w:ascii="Times New Roman"/>
                <w:spacing w:val="-1"/>
                <w:sz w:val="18"/>
              </w:rPr>
              <w:t>5,350,000.00</w:t>
            </w: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22"/>
              <w:jc w:val="right"/>
              <w:rPr>
                <w:rFonts w:ascii="Times New Roman" w:hAnsi="Times New Roman" w:cs="Times New Roman" w:eastAsia="Times New Roman" w:hint="default"/>
                <w:sz w:val="18"/>
                <w:szCs w:val="18"/>
              </w:rPr>
            </w:pPr>
            <w:r>
              <w:rPr>
                <w:rFonts w:ascii="Times New Roman"/>
                <w:spacing w:val="-1"/>
                <w:sz w:val="18"/>
              </w:rPr>
              <w:t>5,350,000.00</w:t>
            </w:r>
          </w:p>
        </w:tc>
        <w:tc>
          <w:tcPr>
            <w:tcW w:w="1009" w:type="dxa"/>
            <w:tcBorders>
              <w:top w:val="nil" w:sz="6" w:space="0" w:color="auto"/>
              <w:left w:val="single" w:sz="4" w:space="0" w:color="000000"/>
              <w:bottom w:val="nil" w:sz="6" w:space="0" w:color="auto"/>
              <w:right w:val="single" w:sz="4" w:space="0" w:color="000000"/>
            </w:tcBorders>
          </w:tcPr>
          <w:p>
            <w:pPr>
              <w:pStyle w:val="TableParagraph"/>
              <w:spacing w:line="231" w:lineRule="exact"/>
              <w:ind w:right="5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8" w:hRule="exact"/>
        </w:trPr>
        <w:tc>
          <w:tcPr>
            <w:tcW w:w="10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展专项资金</w:t>
            </w: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100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12"/>
        <w:gridCol w:w="1249"/>
        <w:gridCol w:w="1010"/>
        <w:gridCol w:w="1010"/>
        <w:gridCol w:w="1009"/>
        <w:gridCol w:w="1010"/>
        <w:gridCol w:w="1010"/>
        <w:gridCol w:w="1248"/>
        <w:gridCol w:w="1009"/>
      </w:tblGrid>
      <w:tr>
        <w:trPr>
          <w:trHeight w:val="986"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7"/>
              <w:jc w:val="both"/>
              <w:rPr>
                <w:rFonts w:ascii="宋体" w:hAnsi="宋体" w:cs="宋体" w:eastAsia="宋体" w:hint="default"/>
                <w:sz w:val="18"/>
                <w:szCs w:val="18"/>
              </w:rPr>
            </w:pPr>
            <w:r>
              <w:rPr>
                <w:rFonts w:ascii="宋体" w:hAnsi="宋体" w:cs="宋体" w:eastAsia="宋体" w:hint="default"/>
                <w:sz w:val="18"/>
                <w:szCs w:val="18"/>
              </w:rPr>
              <w:t>（电子政务 公共服务平 台）</w:t>
            </w: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0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w:t>
            </w: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09"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1009"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前沿与关键</w:t>
            </w: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技术创新专</w:t>
            </w: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项资金（面</w:t>
            </w: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09"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向科技创新</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32" w:right="0"/>
              <w:jc w:val="left"/>
              <w:rPr>
                <w:rFonts w:ascii="Times New Roman" w:hAnsi="Times New Roman" w:cs="Times New Roman" w:eastAsia="Times New Roman" w:hint="default"/>
                <w:sz w:val="18"/>
                <w:szCs w:val="18"/>
              </w:rPr>
            </w:pPr>
            <w:r>
              <w:rPr>
                <w:rFonts w:ascii="Times New Roman"/>
                <w:sz w:val="18"/>
              </w:rPr>
              <w:t>1,000,000.00</w:t>
            </w:r>
          </w:p>
        </w:tc>
        <w:tc>
          <w:tcPr>
            <w:tcW w:w="1010"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2,500,000.00</w:t>
            </w:r>
          </w:p>
        </w:tc>
        <w:tc>
          <w:tcPr>
            <w:tcW w:w="10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5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08"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服务的大数</w:t>
            </w: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据技术研发</w:t>
            </w: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09"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及示范应</w:t>
            </w:r>
          </w:p>
        </w:tc>
        <w:tc>
          <w:tcPr>
            <w:tcW w:w="1249" w:type="dxa"/>
            <w:tcBorders>
              <w:top w:val="nil" w:sz="6" w:space="0" w:color="auto"/>
              <w:left w:val="single" w:sz="4" w:space="0" w:color="000000"/>
              <w:bottom w:val="nil" w:sz="6" w:space="0" w:color="auto"/>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0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用）</w:t>
            </w: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1009"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年度省</w:t>
            </w: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09"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1009"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协同创新与</w:t>
            </w:r>
          </w:p>
        </w:tc>
        <w:tc>
          <w:tcPr>
            <w:tcW w:w="1249"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平台环境建</w:t>
            </w:r>
          </w:p>
        </w:tc>
        <w:tc>
          <w:tcPr>
            <w:tcW w:w="1249"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09"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设专项资金</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广东智慧</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830,000.00</w:t>
            </w: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830,000.00</w:t>
            </w:r>
          </w:p>
        </w:tc>
        <w:tc>
          <w:tcPr>
            <w:tcW w:w="100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07"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城市研究产</w:t>
            </w:r>
          </w:p>
        </w:tc>
        <w:tc>
          <w:tcPr>
            <w:tcW w:w="1249"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09"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学研合作项</w:t>
            </w:r>
          </w:p>
        </w:tc>
        <w:tc>
          <w:tcPr>
            <w:tcW w:w="1249"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0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1009"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年度广</w:t>
            </w: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09"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1009" w:type="dxa"/>
            <w:tcBorders>
              <w:top w:val="single" w:sz="4" w:space="0" w:color="000000"/>
              <w:left w:val="single" w:sz="4" w:space="0" w:color="000000"/>
              <w:bottom w:val="nil" w:sz="6" w:space="0" w:color="auto"/>
              <w:right w:val="single" w:sz="4" w:space="0" w:color="000000"/>
            </w:tcBorders>
          </w:tcPr>
          <w:p>
            <w:pPr/>
          </w:p>
        </w:tc>
      </w:tr>
      <w:tr>
        <w:trPr>
          <w:trHeight w:val="619"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77"/>
              <w:jc w:val="left"/>
              <w:rPr>
                <w:rFonts w:ascii="宋体" w:hAnsi="宋体" w:cs="宋体" w:eastAsia="宋体" w:hint="default"/>
                <w:sz w:val="18"/>
                <w:szCs w:val="18"/>
              </w:rPr>
            </w:pPr>
            <w:r>
              <w:rPr>
                <w:rFonts w:ascii="宋体" w:hAnsi="宋体" w:cs="宋体" w:eastAsia="宋体" w:hint="default"/>
                <w:sz w:val="18"/>
                <w:szCs w:val="18"/>
              </w:rPr>
              <w:t>东省应用型 科技研发专</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4,208,333.27</w:t>
            </w: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4,208,333.27</w:t>
            </w:r>
          </w:p>
        </w:tc>
        <w:tc>
          <w:tcPr>
            <w:tcW w:w="100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7" w:hRule="exact"/>
        </w:trPr>
        <w:tc>
          <w:tcPr>
            <w:tcW w:w="10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项资金</w:t>
            </w: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1009"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年市战</w:t>
            </w: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09"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1009"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略性主导产</w:t>
            </w:r>
          </w:p>
        </w:tc>
        <w:tc>
          <w:tcPr>
            <w:tcW w:w="1249"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09"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业发展资金</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366,666.54</w:t>
            </w: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366,666.54</w:t>
            </w:r>
          </w:p>
        </w:tc>
        <w:tc>
          <w:tcPr>
            <w:tcW w:w="10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5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08"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拟扶持新业</w:t>
            </w:r>
          </w:p>
        </w:tc>
        <w:tc>
          <w:tcPr>
            <w:tcW w:w="1249"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0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态项目</w:t>
            </w: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1009"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年天河</w:t>
            </w: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09"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1009"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区配套大数</w:t>
            </w:r>
          </w:p>
        </w:tc>
        <w:tc>
          <w:tcPr>
            <w:tcW w:w="1249"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09"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据信息资源 库核心技术</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w:t>
            </w: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80,000.00</w:t>
            </w:r>
          </w:p>
        </w:tc>
        <w:tc>
          <w:tcPr>
            <w:tcW w:w="100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3"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开发及示范</w:t>
            </w:r>
          </w:p>
        </w:tc>
        <w:tc>
          <w:tcPr>
            <w:tcW w:w="1249"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0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应用</w:t>
            </w: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1009"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年广东</w:t>
            </w: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09"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1009"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省应用型科</w:t>
            </w:r>
          </w:p>
        </w:tc>
        <w:tc>
          <w:tcPr>
            <w:tcW w:w="1249"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技研发专项</w:t>
            </w:r>
          </w:p>
        </w:tc>
        <w:tc>
          <w:tcPr>
            <w:tcW w:w="1249"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09"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资金（视频</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3,366,666.73</w:t>
            </w: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3,366,666.73</w:t>
            </w:r>
          </w:p>
        </w:tc>
        <w:tc>
          <w:tcPr>
            <w:tcW w:w="10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5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08"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大数据云平</w:t>
            </w:r>
          </w:p>
        </w:tc>
        <w:tc>
          <w:tcPr>
            <w:tcW w:w="1249"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09"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台研究以及</w:t>
            </w:r>
          </w:p>
        </w:tc>
        <w:tc>
          <w:tcPr>
            <w:tcW w:w="1249"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0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应用）</w:t>
            </w: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100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12"/>
        <w:gridCol w:w="1249"/>
        <w:gridCol w:w="1010"/>
        <w:gridCol w:w="1010"/>
        <w:gridCol w:w="1009"/>
        <w:gridCol w:w="1010"/>
        <w:gridCol w:w="1010"/>
        <w:gridCol w:w="1248"/>
        <w:gridCol w:w="1009"/>
      </w:tblGrid>
      <w:tr>
        <w:trPr>
          <w:trHeight w:val="1962"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32"/>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年智慧 广州专项资 金（智慧城 市信息资源 统一管理和 服务平台）</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1,228,571.51</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1,228,571.51</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898"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2"/>
              <w:jc w:val="both"/>
              <w:rPr>
                <w:rFonts w:ascii="宋体" w:hAnsi="宋体" w:cs="宋体" w:eastAsia="宋体" w:hint="default"/>
                <w:sz w:val="18"/>
                <w:szCs w:val="18"/>
              </w:rPr>
            </w:pPr>
            <w:r>
              <w:rPr>
                <w:rFonts w:ascii="宋体" w:hAnsi="宋体" w:cs="宋体" w:eastAsia="宋体" w:hint="default"/>
                <w:sz w:val="18"/>
                <w:szCs w:val="18"/>
              </w:rPr>
              <w:t>天河区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年度科技计 划经费补助</w:t>
            </w:r>
          </w:p>
          <w:p>
            <w:pPr>
              <w:pStyle w:val="TableParagraph"/>
              <w:spacing w:line="314" w:lineRule="auto" w:before="24"/>
              <w:ind w:left="22" w:right="77"/>
              <w:jc w:val="left"/>
              <w:rPr>
                <w:rFonts w:ascii="宋体" w:hAnsi="宋体" w:cs="宋体" w:eastAsia="宋体" w:hint="default"/>
                <w:sz w:val="18"/>
                <w:szCs w:val="18"/>
              </w:rPr>
            </w:pPr>
            <w:r>
              <w:rPr>
                <w:rFonts w:ascii="宋体" w:hAnsi="宋体" w:cs="宋体" w:eastAsia="宋体" w:hint="default"/>
                <w:sz w:val="18"/>
                <w:szCs w:val="18"/>
              </w:rPr>
              <w:t>（天河区配 套</w:t>
            </w:r>
            <w:r>
              <w:rPr>
                <w:rFonts w:ascii="Times New Roman" w:hAnsi="Times New Roman" w:cs="Times New Roman" w:eastAsia="Times New Roman" w:hint="default"/>
                <w:sz w:val="18"/>
                <w:szCs w:val="18"/>
              </w:rPr>
              <w:t>-</w:t>
            </w:r>
            <w:r>
              <w:rPr>
                <w:rFonts w:ascii="宋体" w:hAnsi="宋体" w:cs="宋体" w:eastAsia="宋体" w:hint="default"/>
                <w:sz w:val="18"/>
                <w:szCs w:val="18"/>
              </w:rPr>
              <w:t>智慧城 市跨领域协 同的云服务 平台研发及 示范应用）</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420,833.27</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420,833.27</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2"/>
              <w:jc w:val="both"/>
              <w:rPr>
                <w:rFonts w:ascii="宋体" w:hAnsi="宋体" w:cs="宋体" w:eastAsia="宋体" w:hint="default"/>
                <w:sz w:val="18"/>
                <w:szCs w:val="18"/>
              </w:rPr>
            </w:pPr>
            <w:r>
              <w:rPr>
                <w:rFonts w:ascii="宋体" w:hAnsi="宋体" w:cs="宋体" w:eastAsia="宋体" w:hint="default"/>
                <w:sz w:val="18"/>
                <w:szCs w:val="18"/>
              </w:rPr>
              <w:t>天河区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年度科技计 划经费补助</w:t>
            </w:r>
          </w:p>
          <w:p>
            <w:pPr>
              <w:pStyle w:val="TableParagraph"/>
              <w:spacing w:line="319" w:lineRule="auto" w:before="24"/>
              <w:ind w:left="22" w:right="77"/>
              <w:jc w:val="left"/>
              <w:rPr>
                <w:rFonts w:ascii="宋体" w:hAnsi="宋体" w:cs="宋体" w:eastAsia="宋体" w:hint="default"/>
                <w:sz w:val="18"/>
                <w:szCs w:val="18"/>
              </w:rPr>
            </w:pPr>
            <w:r>
              <w:rPr>
                <w:rFonts w:ascii="宋体" w:hAnsi="宋体" w:cs="宋体" w:eastAsia="宋体" w:hint="default"/>
                <w:sz w:val="18"/>
                <w:szCs w:val="18"/>
              </w:rPr>
              <w:t>（面向移动 端的政务协 同服务平 台）</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84,166.73</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84,166.73</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5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22"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32"/>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年广东 省前沿与关 键技术创新 专项资金</w:t>
            </w:r>
          </w:p>
          <w:p>
            <w:pPr>
              <w:pStyle w:val="TableParagraph"/>
              <w:spacing w:line="319" w:lineRule="auto" w:before="22"/>
              <w:ind w:left="22" w:right="20"/>
              <w:jc w:val="both"/>
              <w:rPr>
                <w:rFonts w:ascii="宋体" w:hAnsi="宋体" w:cs="宋体" w:eastAsia="宋体" w:hint="default"/>
                <w:sz w:val="18"/>
                <w:szCs w:val="18"/>
              </w:rPr>
            </w:pPr>
            <w:r>
              <w:rPr>
                <w:rFonts w:ascii="宋体" w:hAnsi="宋体" w:cs="宋体" w:eastAsia="宋体" w:hint="default"/>
                <w:sz w:val="18"/>
                <w:szCs w:val="18"/>
              </w:rPr>
              <w:t>（省重大科 </w:t>
            </w:r>
            <w:r>
              <w:rPr>
                <w:rFonts w:ascii="宋体" w:hAnsi="宋体" w:cs="宋体" w:eastAsia="宋体" w:hint="default"/>
                <w:spacing w:val="-21"/>
                <w:sz w:val="18"/>
                <w:szCs w:val="18"/>
              </w:rPr>
              <w:t>技专项）（基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于医学大数 据的肿瘤分 析系统关键 技术研究及 应用）</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600,000.00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586"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2"/>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年企业 研发机构建 设专项项目</w:t>
            </w:r>
          </w:p>
          <w:p>
            <w:pPr>
              <w:pStyle w:val="TableParagraph"/>
              <w:spacing w:line="319" w:lineRule="auto" w:before="24"/>
              <w:ind w:left="22" w:right="77"/>
              <w:jc w:val="both"/>
              <w:rPr>
                <w:rFonts w:ascii="宋体" w:hAnsi="宋体" w:cs="宋体" w:eastAsia="宋体" w:hint="default"/>
                <w:sz w:val="18"/>
                <w:szCs w:val="18"/>
              </w:rPr>
            </w:pPr>
            <w:r>
              <w:rPr>
                <w:rFonts w:ascii="宋体" w:hAnsi="宋体" w:cs="宋体" w:eastAsia="宋体" w:hint="default"/>
                <w:sz w:val="18"/>
                <w:szCs w:val="18"/>
              </w:rPr>
              <w:t>（广州市北 明智慧城市 信息资源集 成技术研究 院）</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666,666.80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z w:val="18"/>
              </w:rPr>
              <w:t>666,666.80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5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74"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基于云计算 的智慧政务</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4,000,000.00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12"/>
        <w:gridCol w:w="1249"/>
        <w:gridCol w:w="1010"/>
        <w:gridCol w:w="1010"/>
        <w:gridCol w:w="1009"/>
        <w:gridCol w:w="1010"/>
        <w:gridCol w:w="1010"/>
        <w:gridCol w:w="1248"/>
        <w:gridCol w:w="1009"/>
      </w:tblGrid>
      <w:tr>
        <w:trPr>
          <w:trHeight w:val="674"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协同服务及 应用项目</w:t>
            </w: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0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w:t>
            </w: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09"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1009"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工业和信息</w:t>
            </w:r>
          </w:p>
        </w:tc>
        <w:tc>
          <w:tcPr>
            <w:tcW w:w="1249"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09"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化专项（支</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2,150,000.00</w:t>
            </w: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2,150,000.00</w:t>
            </w:r>
          </w:p>
        </w:tc>
        <w:tc>
          <w:tcPr>
            <w:tcW w:w="10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5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08"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持大数据示</w:t>
            </w:r>
          </w:p>
        </w:tc>
        <w:tc>
          <w:tcPr>
            <w:tcW w:w="1249"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0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范应用）</w:t>
            </w: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1009"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年天河</w:t>
            </w: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09"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1009"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区科技计划</w:t>
            </w:r>
          </w:p>
        </w:tc>
        <w:tc>
          <w:tcPr>
            <w:tcW w:w="1249"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项目（基于</w:t>
            </w:r>
          </w:p>
        </w:tc>
        <w:tc>
          <w:tcPr>
            <w:tcW w:w="1249"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09"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神经网络的 海量文档相</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300,000.00</w:t>
            </w:r>
          </w:p>
        </w:tc>
        <w:tc>
          <w:tcPr>
            <w:tcW w:w="100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2"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似性分析技</w:t>
            </w:r>
          </w:p>
        </w:tc>
        <w:tc>
          <w:tcPr>
            <w:tcW w:w="1249"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09"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术及示范应</w:t>
            </w:r>
          </w:p>
        </w:tc>
        <w:tc>
          <w:tcPr>
            <w:tcW w:w="1249"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0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用 ）</w:t>
            </w: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100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面向诉讼全</w:t>
            </w: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09"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1009"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流程的一体</w:t>
            </w:r>
          </w:p>
        </w:tc>
        <w:tc>
          <w:tcPr>
            <w:tcW w:w="1249"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09"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化便民服务 技术及装备</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916,560.00</w:t>
            </w: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916,560.00</w:t>
            </w:r>
          </w:p>
        </w:tc>
        <w:tc>
          <w:tcPr>
            <w:tcW w:w="100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3"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研究科研项</w:t>
            </w:r>
          </w:p>
        </w:tc>
        <w:tc>
          <w:tcPr>
            <w:tcW w:w="1249"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0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100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大数据生命</w:t>
            </w:r>
          </w:p>
        </w:tc>
        <w:tc>
          <w:tcPr>
            <w:tcW w:w="1249" w:type="dxa"/>
            <w:vMerge w:val="restart"/>
            <w:tcBorders>
              <w:top w:val="single" w:sz="4" w:space="0" w:color="000000"/>
              <w:left w:val="single" w:sz="4" w:space="0" w:color="000000"/>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09"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1009"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周期管理技</w:t>
            </w: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09"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术及其在智</w:t>
            </w: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010"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10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5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08"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慧城市中的</w:t>
            </w: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0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应用</w:t>
            </w:r>
          </w:p>
        </w:tc>
        <w:tc>
          <w:tcPr>
            <w:tcW w:w="1249" w:type="dxa"/>
            <w:vMerge/>
            <w:tcBorders>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100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国家重点研</w:t>
            </w:r>
          </w:p>
        </w:tc>
        <w:tc>
          <w:tcPr>
            <w:tcW w:w="1249" w:type="dxa"/>
            <w:vMerge w:val="restart"/>
            <w:tcBorders>
              <w:top w:val="single" w:sz="4" w:space="0" w:color="000000"/>
              <w:left w:val="single" w:sz="4" w:space="0" w:color="000000"/>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09"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1009"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发计划项目</w:t>
            </w: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207,550.00</w:t>
            </w:r>
          </w:p>
        </w:tc>
        <w:tc>
          <w:tcPr>
            <w:tcW w:w="1010"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207,550.00</w:t>
            </w:r>
          </w:p>
        </w:tc>
        <w:tc>
          <w:tcPr>
            <w:tcW w:w="10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5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3" w:hRule="exact"/>
        </w:trPr>
        <w:tc>
          <w:tcPr>
            <w:tcW w:w="10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子课题项目</w:t>
            </w:r>
          </w:p>
        </w:tc>
        <w:tc>
          <w:tcPr>
            <w:tcW w:w="1249" w:type="dxa"/>
            <w:vMerge/>
            <w:tcBorders>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100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哈尔滨工业</w:t>
            </w:r>
          </w:p>
        </w:tc>
        <w:tc>
          <w:tcPr>
            <w:tcW w:w="1249" w:type="dxa"/>
            <w:vMerge w:val="restart"/>
            <w:tcBorders>
              <w:top w:val="single" w:sz="4" w:space="0" w:color="000000"/>
              <w:left w:val="single" w:sz="4" w:space="0" w:color="000000"/>
              <w:right w:val="single" w:sz="4" w:space="0" w:color="000000"/>
            </w:tcBorders>
          </w:tcPr>
          <w:p>
            <w:pPr/>
          </w:p>
        </w:tc>
        <w:tc>
          <w:tcPr>
            <w:tcW w:w="1010"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09"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8" w:type="dxa"/>
            <w:tcBorders>
              <w:top w:val="single" w:sz="4" w:space="0" w:color="000000"/>
              <w:left w:val="single" w:sz="4" w:space="0" w:color="000000"/>
              <w:bottom w:val="nil" w:sz="6" w:space="0" w:color="auto"/>
              <w:right w:val="single" w:sz="4" w:space="0" w:color="000000"/>
            </w:tcBorders>
          </w:tcPr>
          <w:p>
            <w:pPr/>
          </w:p>
        </w:tc>
        <w:tc>
          <w:tcPr>
            <w:tcW w:w="1009"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大学公共安</w:t>
            </w: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09"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全风险防控 与应急技术</w:t>
            </w: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218,600.00</w:t>
            </w:r>
          </w:p>
        </w:tc>
        <w:tc>
          <w:tcPr>
            <w:tcW w:w="1010"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218,600.00</w:t>
            </w:r>
          </w:p>
        </w:tc>
        <w:tc>
          <w:tcPr>
            <w:tcW w:w="100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3"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装备重点专</w:t>
            </w:r>
          </w:p>
        </w:tc>
        <w:tc>
          <w:tcPr>
            <w:tcW w:w="1249" w:type="dxa"/>
            <w:vMerge/>
            <w:tcBorders>
              <w:left w:val="single" w:sz="4" w:space="0" w:color="000000"/>
              <w:right w:val="single" w:sz="4" w:space="0" w:color="000000"/>
            </w:tcBorders>
          </w:tcPr>
          <w:p>
            <w:pPr/>
          </w:p>
        </w:tc>
        <w:tc>
          <w:tcPr>
            <w:tcW w:w="1010"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tcBorders>
              <w:top w:val="nil" w:sz="6" w:space="0" w:color="auto"/>
              <w:left w:val="single" w:sz="4" w:space="0" w:color="000000"/>
              <w:bottom w:val="nil" w:sz="6" w:space="0" w:color="auto"/>
              <w:right w:val="single" w:sz="4" w:space="0" w:color="000000"/>
            </w:tcBorders>
          </w:tcPr>
          <w:p>
            <w:pPr/>
          </w:p>
        </w:tc>
        <w:tc>
          <w:tcPr>
            <w:tcW w:w="100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项课题研究</w:t>
            </w:r>
          </w:p>
        </w:tc>
        <w:tc>
          <w:tcPr>
            <w:tcW w:w="1249" w:type="dxa"/>
            <w:vMerge/>
            <w:tcBorders>
              <w:left w:val="single" w:sz="4" w:space="0" w:color="000000"/>
              <w:bottom w:val="single" w:sz="4" w:space="0" w:color="000000"/>
              <w:right w:val="single" w:sz="4" w:space="0" w:color="000000"/>
            </w:tcBorders>
          </w:tcPr>
          <w:p>
            <w:pPr/>
          </w:p>
        </w:tc>
        <w:tc>
          <w:tcPr>
            <w:tcW w:w="1010"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8" w:type="dxa"/>
            <w:tcBorders>
              <w:top w:val="nil" w:sz="6" w:space="0" w:color="auto"/>
              <w:left w:val="single" w:sz="4" w:space="0" w:color="000000"/>
              <w:bottom w:val="single" w:sz="4" w:space="0" w:color="000000"/>
              <w:right w:val="single" w:sz="4" w:space="0" w:color="000000"/>
            </w:tcBorders>
          </w:tcPr>
          <w:p>
            <w:pPr/>
          </w:p>
        </w:tc>
        <w:tc>
          <w:tcPr>
            <w:tcW w:w="1009"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0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年省科</w:t>
            </w:r>
          </w:p>
        </w:tc>
        <w:tc>
          <w:tcPr>
            <w:tcW w:w="1249"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09" w:type="dxa"/>
            <w:tcBorders>
              <w:top w:val="single" w:sz="4" w:space="0" w:color="000000"/>
              <w:left w:val="single" w:sz="4" w:space="0" w:color="000000"/>
              <w:bottom w:val="nil" w:sz="6" w:space="0" w:color="auto"/>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8" w:type="dxa"/>
            <w:vMerge w:val="restart"/>
            <w:tcBorders>
              <w:top w:val="single" w:sz="4" w:space="0" w:color="000000"/>
              <w:left w:val="single" w:sz="4" w:space="0" w:color="000000"/>
              <w:right w:val="single" w:sz="4" w:space="0" w:color="000000"/>
            </w:tcBorders>
          </w:tcPr>
          <w:p>
            <w:pPr/>
          </w:p>
        </w:tc>
        <w:tc>
          <w:tcPr>
            <w:tcW w:w="1009"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技型中小企</w:t>
            </w:r>
          </w:p>
        </w:tc>
        <w:tc>
          <w:tcPr>
            <w:tcW w:w="1249"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9"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09"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业技术创新</w:t>
            </w:r>
          </w:p>
        </w:tc>
        <w:tc>
          <w:tcPr>
            <w:tcW w:w="1249"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9"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09" w:type="dxa"/>
            <w:tcBorders>
              <w:top w:val="nil" w:sz="6" w:space="0" w:color="auto"/>
              <w:left w:val="single" w:sz="4" w:space="0" w:color="000000"/>
              <w:bottom w:val="nil" w:sz="6" w:space="0" w:color="auto"/>
              <w:right w:val="single" w:sz="4" w:space="0" w:color="000000"/>
            </w:tcBorders>
          </w:tcPr>
          <w:p>
            <w:pPr/>
          </w:p>
        </w:tc>
      </w:tr>
      <w:tr>
        <w:trPr>
          <w:trHeight w:val="322"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发展专项扶</w:t>
            </w:r>
          </w:p>
        </w:tc>
        <w:tc>
          <w:tcPr>
            <w:tcW w:w="1249"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right="20"/>
              <w:jc w:val="right"/>
              <w:rPr>
                <w:rFonts w:ascii="Times New Roman" w:hAnsi="Times New Roman" w:cs="Times New Roman" w:eastAsia="Times New Roman" w:hint="default"/>
                <w:sz w:val="18"/>
                <w:szCs w:val="18"/>
              </w:rPr>
            </w:pPr>
            <w:r>
              <w:rPr>
                <w:rFonts w:ascii="Times New Roman"/>
                <w:sz w:val="18"/>
              </w:rPr>
              <w:t>12,534.99</w:t>
            </w: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9"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255" w:right="0"/>
              <w:jc w:val="left"/>
              <w:rPr>
                <w:rFonts w:ascii="Times New Roman" w:hAnsi="Times New Roman" w:cs="Times New Roman" w:eastAsia="Times New Roman" w:hint="default"/>
                <w:sz w:val="18"/>
                <w:szCs w:val="18"/>
              </w:rPr>
            </w:pPr>
            <w:r>
              <w:rPr>
                <w:rFonts w:ascii="Times New Roman"/>
                <w:sz w:val="18"/>
              </w:rPr>
              <w:t>12,534.99</w:t>
            </w: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0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53"/>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2"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持资金（基</w:t>
            </w:r>
          </w:p>
        </w:tc>
        <w:tc>
          <w:tcPr>
            <w:tcW w:w="1249"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9"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0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于物联网应</w:t>
            </w:r>
          </w:p>
        </w:tc>
        <w:tc>
          <w:tcPr>
            <w:tcW w:w="1249"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9" w:type="dxa"/>
            <w:tcBorders>
              <w:top w:val="nil" w:sz="6" w:space="0" w:color="auto"/>
              <w:left w:val="single" w:sz="4" w:space="0" w:color="000000"/>
              <w:bottom w:val="nil" w:sz="6" w:space="0" w:color="auto"/>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09"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0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用技术的区</w:t>
            </w:r>
          </w:p>
        </w:tc>
        <w:tc>
          <w:tcPr>
            <w:tcW w:w="1249"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09" w:type="dxa"/>
            <w:tcBorders>
              <w:top w:val="nil" w:sz="6" w:space="0" w:color="auto"/>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00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12"/>
        <w:gridCol w:w="1249"/>
        <w:gridCol w:w="1010"/>
        <w:gridCol w:w="1010"/>
        <w:gridCol w:w="1009"/>
        <w:gridCol w:w="1010"/>
        <w:gridCol w:w="1010"/>
        <w:gridCol w:w="1248"/>
        <w:gridCol w:w="1009"/>
      </w:tblGrid>
      <w:tr>
        <w:trPr>
          <w:trHeight w:val="674"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7"/>
              <w:jc w:val="left"/>
              <w:rPr>
                <w:rFonts w:ascii="宋体" w:hAnsi="宋体" w:cs="宋体" w:eastAsia="宋体" w:hint="default"/>
                <w:sz w:val="18"/>
                <w:szCs w:val="18"/>
              </w:rPr>
            </w:pPr>
            <w:r>
              <w:rPr>
                <w:rFonts w:ascii="宋体" w:hAnsi="宋体" w:cs="宋体" w:eastAsia="宋体" w:hint="default"/>
                <w:sz w:val="18"/>
                <w:szCs w:val="18"/>
              </w:rPr>
              <w:t>域公共卫生 信息平台）</w:t>
            </w: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2"/>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年市级 信息产业发 展专项资金</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29,214.14</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24,064.63</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5,149.51</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53"/>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32"/>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年国家 第一批科技 型中小企业 技术创新基 金</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30,536.59</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26,090.40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4,446.19</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586"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32"/>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临沂市 科技惠民计 划专项资金</w:t>
            </w:r>
          </w:p>
          <w:p>
            <w:pPr>
              <w:pStyle w:val="TableParagraph"/>
              <w:spacing w:line="319" w:lineRule="auto" w:before="24"/>
              <w:ind w:left="22" w:right="77"/>
              <w:jc w:val="both"/>
              <w:rPr>
                <w:rFonts w:ascii="宋体" w:hAnsi="宋体" w:cs="宋体" w:eastAsia="宋体" w:hint="default"/>
                <w:sz w:val="18"/>
                <w:szCs w:val="18"/>
              </w:rPr>
            </w:pPr>
            <w:r>
              <w:rPr>
                <w:rFonts w:ascii="宋体" w:hAnsi="宋体" w:cs="宋体" w:eastAsia="宋体" w:hint="default"/>
                <w:sz w:val="18"/>
                <w:szCs w:val="18"/>
              </w:rPr>
              <w:t>（以基于大 数据应用技 术的居家养 老信息管理 平台建设）</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106,008.34</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37,101.36</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2"/>
              <w:jc w:val="right"/>
              <w:rPr>
                <w:rFonts w:ascii="Times New Roman" w:hAnsi="Times New Roman" w:cs="Times New Roman" w:eastAsia="Times New Roman" w:hint="default"/>
                <w:sz w:val="18"/>
                <w:szCs w:val="18"/>
              </w:rPr>
            </w:pPr>
            <w:r>
              <w:rPr>
                <w:rFonts w:ascii="Times New Roman"/>
                <w:sz w:val="18"/>
              </w:rPr>
              <w:t>68,906.98</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53"/>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898"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2"/>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 信息公共服 务平台和两 化融合奖励 资金（基于 大数据应用 技术的居家 养老信息管 理平台）</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58,096.43</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41,968.41</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16,128.02</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32"/>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年市级 科技型中小 企业创新发 展验收资金</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16,161.37</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11,408.17</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z w:val="18"/>
              </w:rPr>
              <w:t>4,753.20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53"/>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898"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省科技惠民 专项资金</w:t>
            </w:r>
          </w:p>
          <w:p>
            <w:pPr>
              <w:pStyle w:val="TableParagraph"/>
              <w:spacing w:line="319" w:lineRule="auto" w:before="19"/>
              <w:ind w:left="22" w:right="77"/>
              <w:jc w:val="both"/>
              <w:rPr>
                <w:rFonts w:ascii="宋体" w:hAnsi="宋体" w:cs="宋体" w:eastAsia="宋体" w:hint="default"/>
                <w:sz w:val="18"/>
                <w:szCs w:val="18"/>
              </w:rPr>
            </w:pPr>
            <w:r>
              <w:rPr>
                <w:rFonts w:ascii="宋体" w:hAnsi="宋体" w:cs="宋体" w:eastAsia="宋体" w:hint="default"/>
                <w:sz w:val="18"/>
                <w:szCs w:val="18"/>
              </w:rPr>
              <w:t>（以移动互 联网、云技 术等为支撑 的居家养老 智慧社区建 设科技惠民 示范工程）</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55,604.49</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20,855.65</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34,748.84</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4"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2"/>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年市级 中小企业创</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49,382.92</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15,165.36</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34,217.56</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53"/>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12"/>
        <w:gridCol w:w="1249"/>
        <w:gridCol w:w="1010"/>
        <w:gridCol w:w="1010"/>
        <w:gridCol w:w="1009"/>
        <w:gridCol w:w="1010"/>
        <w:gridCol w:w="1010"/>
        <w:gridCol w:w="1248"/>
        <w:gridCol w:w="1009"/>
      </w:tblGrid>
      <w:tr>
        <w:trPr>
          <w:trHeight w:val="317" w:hRule="exact"/>
        </w:trPr>
        <w:tc>
          <w:tcPr>
            <w:tcW w:w="10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业补助资金</w:t>
            </w:r>
          </w:p>
        </w:tc>
        <w:tc>
          <w:tcPr>
            <w:tcW w:w="1249"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09"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010" w:type="dxa"/>
            <w:vMerge w:val="restart"/>
            <w:tcBorders>
              <w:top w:val="single" w:sz="4" w:space="0" w:color="000000"/>
              <w:left w:val="single" w:sz="4" w:space="0" w:color="000000"/>
              <w:right w:val="single" w:sz="4" w:space="0" w:color="000000"/>
            </w:tcBorders>
          </w:tcPr>
          <w:p>
            <w:pPr/>
          </w:p>
        </w:tc>
        <w:tc>
          <w:tcPr>
            <w:tcW w:w="1248" w:type="dxa"/>
            <w:vMerge w:val="restart"/>
            <w:tcBorders>
              <w:top w:val="single" w:sz="4" w:space="0" w:color="000000"/>
              <w:left w:val="single" w:sz="4" w:space="0" w:color="000000"/>
              <w:right w:val="single" w:sz="4" w:space="0" w:color="000000"/>
            </w:tcBorders>
          </w:tcPr>
          <w:p>
            <w:pPr/>
          </w:p>
        </w:tc>
        <w:tc>
          <w:tcPr>
            <w:tcW w:w="1009" w:type="dxa"/>
            <w:vMerge w:val="restart"/>
            <w:tcBorders>
              <w:top w:val="single" w:sz="4" w:space="0" w:color="000000"/>
              <w:left w:val="single" w:sz="4" w:space="0" w:color="000000"/>
              <w:right w:val="single" w:sz="4" w:space="0" w:color="000000"/>
            </w:tcBorders>
          </w:tcPr>
          <w:p>
            <w:pPr/>
          </w:p>
        </w:tc>
      </w:tr>
      <w:tr>
        <w:trPr>
          <w:trHeight w:val="312"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（基于</w:t>
            </w:r>
          </w:p>
        </w:tc>
        <w:tc>
          <w:tcPr>
            <w:tcW w:w="124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r>
      <w:tr>
        <w:trPr>
          <w:trHeight w:val="317"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SAAS</w:t>
            </w:r>
            <w:r>
              <w:rPr>
                <w:rFonts w:ascii="宋体" w:hAnsi="宋体" w:cs="宋体" w:eastAsia="宋体" w:hint="default"/>
                <w:spacing w:val="-7"/>
                <w:sz w:val="18"/>
                <w:szCs w:val="18"/>
              </w:rPr>
              <w:t>（云计</w:t>
            </w:r>
          </w:p>
        </w:tc>
        <w:tc>
          <w:tcPr>
            <w:tcW w:w="124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r>
      <w:tr>
        <w:trPr>
          <w:trHeight w:val="307"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算应用技</w:t>
            </w:r>
          </w:p>
        </w:tc>
        <w:tc>
          <w:tcPr>
            <w:tcW w:w="124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r>
      <w:tr>
        <w:trPr>
          <w:trHeight w:val="312"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术）运营模</w:t>
            </w:r>
          </w:p>
        </w:tc>
        <w:tc>
          <w:tcPr>
            <w:tcW w:w="124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r>
      <w:tr>
        <w:trPr>
          <w:trHeight w:val="312"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式的数字民</w:t>
            </w:r>
          </w:p>
        </w:tc>
        <w:tc>
          <w:tcPr>
            <w:tcW w:w="124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r>
      <w:tr>
        <w:trPr>
          <w:trHeight w:val="313" w:hRule="exact"/>
        </w:trPr>
        <w:tc>
          <w:tcPr>
            <w:tcW w:w="10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政综合管理</w:t>
            </w:r>
          </w:p>
        </w:tc>
        <w:tc>
          <w:tcPr>
            <w:tcW w:w="124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248" w:type="dxa"/>
            <w:vMerge/>
            <w:tcBorders>
              <w:left w:val="single" w:sz="4" w:space="0" w:color="000000"/>
              <w:right w:val="single" w:sz="4" w:space="0" w:color="000000"/>
            </w:tcBorders>
          </w:tcPr>
          <w:p>
            <w:pPr/>
          </w:p>
        </w:tc>
        <w:tc>
          <w:tcPr>
            <w:tcW w:w="1009" w:type="dxa"/>
            <w:vMerge/>
            <w:tcBorders>
              <w:left w:val="single" w:sz="4" w:space="0" w:color="000000"/>
              <w:right w:val="single" w:sz="4" w:space="0" w:color="000000"/>
            </w:tcBorders>
          </w:tcPr>
          <w:p>
            <w:pPr/>
          </w:p>
        </w:tc>
      </w:tr>
      <w:tr>
        <w:trPr>
          <w:trHeight w:val="357" w:hRule="exact"/>
        </w:trPr>
        <w:tc>
          <w:tcPr>
            <w:tcW w:w="10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信息平台）</w:t>
            </w:r>
          </w:p>
        </w:tc>
        <w:tc>
          <w:tcPr>
            <w:tcW w:w="1249"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248" w:type="dxa"/>
            <w:vMerge/>
            <w:tcBorders>
              <w:left w:val="single" w:sz="4" w:space="0" w:color="000000"/>
              <w:bottom w:val="single" w:sz="4" w:space="0" w:color="000000"/>
              <w:right w:val="single" w:sz="4" w:space="0" w:color="000000"/>
            </w:tcBorders>
          </w:tcPr>
          <w:p>
            <w:pPr/>
          </w:p>
        </w:tc>
        <w:tc>
          <w:tcPr>
            <w:tcW w:w="1009" w:type="dxa"/>
            <w:vMerge/>
            <w:tcBorders>
              <w:left w:val="single" w:sz="4" w:space="0" w:color="000000"/>
              <w:bottom w:val="single" w:sz="4" w:space="0" w:color="000000"/>
              <w:right w:val="single" w:sz="4" w:space="0" w:color="000000"/>
            </w:tcBorders>
          </w:tcPr>
          <w:p>
            <w:pPr/>
          </w:p>
        </w:tc>
      </w:tr>
      <w:tr>
        <w:trPr>
          <w:trHeight w:val="714" w:hRule="exact"/>
        </w:trPr>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283,031,909.46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374,026,150.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287,692,042.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45</w:t>
            </w:r>
          </w:p>
        </w:tc>
        <w:tc>
          <w:tcPr>
            <w:tcW w:w="1010"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369,366,017.01</w:t>
            </w:r>
          </w:p>
        </w:tc>
        <w:tc>
          <w:tcPr>
            <w:tcW w:w="100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31</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889"/>
        <w:gridCol w:w="1439"/>
        <w:gridCol w:w="1080"/>
        <w:gridCol w:w="900"/>
        <w:gridCol w:w="1196"/>
        <w:gridCol w:w="1196"/>
        <w:gridCol w:w="1184"/>
        <w:gridCol w:w="1644"/>
      </w:tblGrid>
      <w:tr>
        <w:trPr>
          <w:trHeight w:val="200" w:hRule="exact"/>
        </w:trPr>
        <w:tc>
          <w:tcPr>
            <w:tcW w:w="889" w:type="dxa"/>
            <w:tcBorders>
              <w:top w:val="single" w:sz="4" w:space="0" w:color="000000"/>
              <w:left w:val="single" w:sz="4" w:space="0" w:color="000000"/>
              <w:bottom w:val="nil" w:sz="6" w:space="0" w:color="auto"/>
              <w:right w:val="single" w:sz="4" w:space="0" w:color="000000"/>
            </w:tcBorders>
            <w:shd w:val="clear" w:color="auto" w:fill="D3D3D3"/>
          </w:tcPr>
          <w:p>
            <w:pPr/>
          </w:p>
        </w:tc>
        <w:tc>
          <w:tcPr>
            <w:tcW w:w="1439" w:type="dxa"/>
            <w:tcBorders>
              <w:top w:val="single" w:sz="4" w:space="0" w:color="000000"/>
              <w:left w:val="single" w:sz="4" w:space="0" w:color="000000"/>
              <w:bottom w:val="nil" w:sz="6" w:space="0" w:color="auto"/>
              <w:right w:val="single" w:sz="4" w:space="0" w:color="000000"/>
            </w:tcBorders>
            <w:shd w:val="clear" w:color="auto" w:fill="D3D3D3"/>
          </w:tcPr>
          <w:p>
            <w:pPr/>
          </w:p>
        </w:tc>
        <w:tc>
          <w:tcPr>
            <w:tcW w:w="5557"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4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2" w:hRule="exact"/>
        </w:trPr>
        <w:tc>
          <w:tcPr>
            <w:tcW w:w="889" w:type="dxa"/>
            <w:vMerge w:val="restart"/>
            <w:tcBorders>
              <w:top w:val="nil" w:sz="6" w:space="0" w:color="auto"/>
              <w:left w:val="single" w:sz="4" w:space="0" w:color="000000"/>
              <w:right w:val="single" w:sz="4" w:space="0" w:color="000000"/>
            </w:tcBorders>
            <w:shd w:val="clear" w:color="auto" w:fill="D3D3D3"/>
          </w:tcPr>
          <w:p>
            <w:pPr/>
          </w:p>
        </w:tc>
        <w:tc>
          <w:tcPr>
            <w:tcW w:w="143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557" w:type="dxa"/>
            <w:gridSpan w:val="5"/>
            <w:vMerge/>
            <w:tcBorders>
              <w:left w:val="single" w:sz="4" w:space="0" w:color="000000"/>
              <w:bottom w:val="single" w:sz="4" w:space="0" w:color="000000"/>
              <w:right w:val="single" w:sz="4" w:space="0" w:color="000000"/>
            </w:tcBorders>
            <w:shd w:val="clear" w:color="auto" w:fill="D3D3D3"/>
          </w:tcPr>
          <w:p>
            <w:pPr/>
          </w:p>
        </w:tc>
        <w:tc>
          <w:tcPr>
            <w:tcW w:w="164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889" w:type="dxa"/>
            <w:vMerge/>
            <w:tcBorders>
              <w:left w:val="single" w:sz="4" w:space="0" w:color="000000"/>
              <w:bottom w:val="nil" w:sz="6" w:space="0" w:color="auto"/>
              <w:right w:val="single" w:sz="4" w:space="0" w:color="000000"/>
            </w:tcBorders>
            <w:shd w:val="clear" w:color="auto" w:fill="D3D3D3"/>
          </w:tcPr>
          <w:p>
            <w:pPr/>
          </w:p>
        </w:tc>
        <w:tc>
          <w:tcPr>
            <w:tcW w:w="1439" w:type="dxa"/>
            <w:vMerge/>
            <w:tcBorders>
              <w:left w:val="single" w:sz="4" w:space="0" w:color="000000"/>
              <w:bottom w:val="nil" w:sz="6" w:space="0" w:color="auto"/>
              <w:right w:val="single" w:sz="4" w:space="0" w:color="000000"/>
            </w:tcBorders>
            <w:shd w:val="clear" w:color="auto" w:fill="D3D3D3"/>
          </w:tcPr>
          <w:p>
            <w:pPr/>
          </w:p>
        </w:tc>
        <w:tc>
          <w:tcPr>
            <w:tcW w:w="10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74"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9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64"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644" w:type="dxa"/>
            <w:vMerge/>
            <w:tcBorders>
              <w:left w:val="single" w:sz="4" w:space="0" w:color="000000"/>
              <w:bottom w:val="nil" w:sz="6" w:space="0" w:color="auto"/>
              <w:right w:val="single" w:sz="4" w:space="0" w:color="000000"/>
            </w:tcBorders>
            <w:shd w:val="clear" w:color="auto" w:fill="D3D3D3"/>
          </w:tcPr>
          <w:p>
            <w:pPr/>
          </w:p>
        </w:tc>
      </w:tr>
      <w:tr>
        <w:trPr>
          <w:trHeight w:val="211" w:hRule="exact"/>
        </w:trPr>
        <w:tc>
          <w:tcPr>
            <w:tcW w:w="889" w:type="dxa"/>
            <w:tcBorders>
              <w:top w:val="nil" w:sz="6" w:space="0" w:color="auto"/>
              <w:left w:val="single" w:sz="4" w:space="0" w:color="000000"/>
              <w:bottom w:val="single" w:sz="4" w:space="0" w:color="000000"/>
              <w:right w:val="single" w:sz="4" w:space="0" w:color="000000"/>
            </w:tcBorders>
            <w:shd w:val="clear" w:color="auto" w:fill="D3D3D3"/>
          </w:tcPr>
          <w:p>
            <w:pPr/>
          </w:p>
        </w:tc>
        <w:tc>
          <w:tcPr>
            <w:tcW w:w="1439" w:type="dxa"/>
            <w:tcBorders>
              <w:top w:val="nil" w:sz="6" w:space="0" w:color="auto"/>
              <w:left w:val="single" w:sz="4" w:space="0" w:color="000000"/>
              <w:bottom w:val="single" w:sz="4" w:space="0" w:color="000000"/>
              <w:right w:val="single" w:sz="4" w:space="0" w:color="000000"/>
            </w:tcBorders>
            <w:shd w:val="clear" w:color="auto" w:fill="D3D3D3"/>
          </w:tcPr>
          <w:p>
            <w:pPr/>
          </w:p>
        </w:tc>
        <w:tc>
          <w:tcPr>
            <w:tcW w:w="1080" w:type="dxa"/>
            <w:vMerge/>
            <w:tcBorders>
              <w:left w:val="single" w:sz="4" w:space="0" w:color="000000"/>
              <w:bottom w:val="single" w:sz="4" w:space="0" w:color="000000"/>
              <w:right w:val="single" w:sz="4" w:space="0" w:color="000000"/>
            </w:tcBorders>
            <w:shd w:val="clear" w:color="auto" w:fill="D3D3D3"/>
          </w:tcPr>
          <w:p>
            <w:pPr/>
          </w:p>
        </w:tc>
        <w:tc>
          <w:tcPr>
            <w:tcW w:w="900"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84" w:type="dxa"/>
            <w:vMerge/>
            <w:tcBorders>
              <w:left w:val="single" w:sz="4" w:space="0" w:color="000000"/>
              <w:bottom w:val="single" w:sz="4" w:space="0" w:color="000000"/>
              <w:right w:val="single" w:sz="4" w:space="0" w:color="000000"/>
            </w:tcBorders>
            <w:shd w:val="clear" w:color="auto" w:fill="D3D3D3"/>
          </w:tcPr>
          <w:p>
            <w:pPr/>
          </w:p>
        </w:tc>
        <w:tc>
          <w:tcPr>
            <w:tcW w:w="164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3" w:hRule="exact"/>
        </w:trPr>
        <w:tc>
          <w:tcPr>
            <w:tcW w:w="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4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1,652,874,961.00</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left"/>
              <w:rPr>
                <w:rFonts w:ascii="Times New Roman" w:hAnsi="Times New Roman" w:cs="Times New Roman" w:eastAsia="Times New Roman" w:hint="default"/>
                <w:sz w:val="18"/>
                <w:szCs w:val="18"/>
              </w:rPr>
            </w:pPr>
            <w:r>
              <w:rPr>
                <w:rFonts w:ascii="Times New Roman"/>
                <w:sz w:val="18"/>
              </w:rPr>
              <w:t>-54,258,240.00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left"/>
              <w:rPr>
                <w:rFonts w:ascii="Times New Roman" w:hAnsi="Times New Roman" w:cs="Times New Roman" w:eastAsia="Times New Roman" w:hint="default"/>
                <w:sz w:val="18"/>
                <w:szCs w:val="18"/>
              </w:rPr>
            </w:pPr>
            <w:r>
              <w:rPr>
                <w:rFonts w:ascii="Times New Roman"/>
                <w:sz w:val="18"/>
              </w:rPr>
              <w:t>-54,258,240.00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0" w:right="0"/>
              <w:jc w:val="left"/>
              <w:rPr>
                <w:rFonts w:ascii="Times New Roman" w:hAnsi="Times New Roman" w:cs="Times New Roman" w:eastAsia="Times New Roman" w:hint="default"/>
                <w:sz w:val="18"/>
                <w:szCs w:val="18"/>
              </w:rPr>
            </w:pPr>
            <w:r>
              <w:rPr>
                <w:rFonts w:ascii="Times New Roman"/>
                <w:sz w:val="18"/>
              </w:rPr>
              <w:t>1,598,616,721.00</w:t>
            </w:r>
          </w:p>
        </w:tc>
      </w:tr>
    </w:tbl>
    <w:p>
      <w:pPr>
        <w:spacing w:line="240" w:lineRule="auto" w:before="5"/>
        <w:rPr>
          <w:rFonts w:ascii="宋体" w:hAnsi="宋体" w:cs="宋体" w:eastAsia="宋体" w:hint="default"/>
          <w:sz w:val="27"/>
          <w:szCs w:val="27"/>
        </w:rPr>
      </w:pPr>
    </w:p>
    <w:p>
      <w:pPr>
        <w:pStyle w:val="BodyText"/>
        <w:spacing w:line="240" w:lineRule="auto" w:before="44"/>
        <w:ind w:right="0"/>
        <w:jc w:val="left"/>
      </w:pPr>
      <w:r>
        <w:rPr/>
        <w:t>其他说明：</w:t>
      </w:r>
    </w:p>
    <w:p>
      <w:pPr>
        <w:pStyle w:val="BodyText"/>
        <w:spacing w:line="300" w:lineRule="auto" w:before="116"/>
        <w:ind w:right="1095" w:firstLine="290"/>
        <w:jc w:val="both"/>
      </w:pPr>
      <w:r>
        <w:rPr>
          <w:spacing w:val="-2"/>
        </w:rPr>
        <w:t>公司分别于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13</w:t>
      </w:r>
      <w:r>
        <w:rPr>
          <w:spacing w:val="-2"/>
        </w:rPr>
        <w:t>日和</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29</w:t>
      </w:r>
      <w:r>
        <w:rPr>
          <w:spacing w:val="-2"/>
        </w:rPr>
        <w:t>日召开董事会七届三次会议和</w:t>
      </w:r>
      <w:r>
        <w:rPr>
          <w:rFonts w:ascii="Times New Roman" w:hAnsi="Times New Roman" w:cs="Times New Roman" w:eastAsia="Times New Roman" w:hint="default"/>
          <w:spacing w:val="-2"/>
        </w:rPr>
        <w:t>2018</w:t>
      </w:r>
      <w:r>
        <w:rPr>
          <w:spacing w:val="-2"/>
        </w:rPr>
        <w:t>年度第</w:t>
      </w:r>
      <w:r>
        <w:rPr>
          <w:rFonts w:ascii="Times New Roman" w:hAnsi="Times New Roman" w:cs="Times New Roman" w:eastAsia="Times New Roman" w:hint="default"/>
          <w:spacing w:val="-2"/>
        </w:rPr>
        <w:t>4</w:t>
      </w:r>
      <w:r>
        <w:rPr>
          <w:spacing w:val="-2"/>
        </w:rPr>
        <w:t>次临时股东大会，审议通过了《关</w:t>
      </w:r>
      <w:r>
        <w:rPr/>
        <w:t> </w:t>
      </w:r>
      <w:r>
        <w:rPr>
          <w:spacing w:val="-2"/>
        </w:rPr>
        <w:t>于以集中竞价交易方式回购公司股份的议案》。截止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28</w:t>
      </w:r>
      <w:r>
        <w:rPr>
          <w:spacing w:val="-2"/>
        </w:rPr>
        <w:t>日，公司回购股份期限届满并实施完毕。公司以集中竞价</w:t>
      </w:r>
      <w:r>
        <w:rPr>
          <w:spacing w:val="-58"/>
        </w:rPr>
        <w:t> </w:t>
      </w:r>
      <w:r>
        <w:rPr>
          <w:spacing w:val="-58"/>
        </w:rPr>
      </w:r>
      <w:r>
        <w:rPr/>
        <w:t>方式以合计金额</w:t>
      </w:r>
      <w:r>
        <w:rPr>
          <w:rFonts w:ascii="Times New Roman" w:hAnsi="Times New Roman" w:cs="Times New Roman" w:eastAsia="Times New Roman" w:hint="default"/>
        </w:rPr>
        <w:t>299,972,833.85</w:t>
      </w:r>
      <w:r>
        <w:rPr/>
        <w:t>元回购股份</w:t>
      </w:r>
      <w:r>
        <w:rPr>
          <w:rFonts w:ascii="Times New Roman" w:hAnsi="Times New Roman" w:cs="Times New Roman" w:eastAsia="Times New Roman" w:hint="default"/>
        </w:rPr>
        <w:t>54,258,240</w:t>
      </w:r>
      <w:r>
        <w:rPr/>
        <w:t>股，截止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日，公司已办理完毕上述回购股份的注销事宜， 回购注销变更后的注册资本为人民币</w:t>
      </w:r>
      <w:r>
        <w:rPr>
          <w:rFonts w:ascii="Times New Roman" w:hAnsi="Times New Roman" w:cs="Times New Roman" w:eastAsia="Times New Roman" w:hint="default"/>
        </w:rPr>
        <w:t>1,598,616,721</w:t>
      </w:r>
      <w:r>
        <w:rPr/>
        <w:t>元，同时减少资本公积</w:t>
      </w:r>
      <w:r>
        <w:rPr>
          <w:rFonts w:ascii="Times New Roman" w:hAnsi="Times New Roman" w:cs="Times New Roman" w:eastAsia="Times New Roman" w:hint="default"/>
        </w:rPr>
        <w:t>245,714,593.85</w:t>
      </w:r>
      <w:r>
        <w:rPr/>
        <w:t>元。</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32</w:t>
      </w:r>
      <w:r>
        <w:rPr/>
        <w:t>、资本公积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2,771,664,802.01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245,714,593.85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2,525,950,208.16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125,425,565.85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125,425,565.85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2,897,090,367.86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245,714,593.85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2,651,375,774.01</w:t>
            </w:r>
          </w:p>
        </w:tc>
      </w:tr>
    </w:tbl>
    <w:p>
      <w:pPr>
        <w:pStyle w:val="BodyText"/>
        <w:spacing w:line="360" w:lineRule="auto" w:before="51"/>
        <w:ind w:left="153" w:right="6611"/>
        <w:jc w:val="left"/>
      </w:pPr>
      <w:r>
        <w:rPr/>
        <w:t>其他说明，包括本期增减变动情况、变动原因说明： 详见附注七、</w:t>
      </w:r>
      <w:r>
        <w:rPr>
          <w:rFonts w:ascii="Times New Roman" w:hAnsi="Times New Roman" w:cs="Times New Roman" w:eastAsia="Times New Roman" w:hint="default"/>
        </w:rPr>
        <w:t>31</w:t>
      </w:r>
      <w:r>
        <w:rPr/>
        <w:t>、股本说明。</w:t>
      </w:r>
    </w:p>
    <w:p>
      <w:pPr>
        <w:spacing w:line="240" w:lineRule="auto" w:before="1"/>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33</w:t>
      </w:r>
      <w:r>
        <w:rPr/>
        <w:t>、库存股</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26,954,164.03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273,018,669.82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299,972,833.85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26,954,164.03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273,018,669.82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299,972,833.85</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13"/>
        <w:rPr>
          <w:rFonts w:ascii="宋体" w:hAnsi="宋体" w:cs="宋体" w:eastAsia="宋体" w:hint="default"/>
          <w:sz w:val="25"/>
          <w:szCs w:val="25"/>
        </w:rPr>
      </w:pPr>
    </w:p>
    <w:p>
      <w:pPr>
        <w:pStyle w:val="BodyText"/>
        <w:spacing w:line="357" w:lineRule="auto" w:before="44"/>
        <w:ind w:left="153" w:right="6611"/>
        <w:jc w:val="left"/>
      </w:pPr>
      <w:r>
        <w:rPr/>
        <w:t>其他说明，包括本期增减变动情况、变动原因说明： 详见附注七、</w:t>
      </w:r>
      <w:r>
        <w:rPr>
          <w:rFonts w:ascii="Times New Roman" w:hAnsi="Times New Roman" w:cs="Times New Roman" w:eastAsia="Times New Roman" w:hint="default"/>
        </w:rPr>
        <w:t>31</w:t>
      </w:r>
      <w:r>
        <w:rPr/>
        <w:t>、股本说明。</w:t>
      </w:r>
    </w:p>
    <w:p>
      <w:pPr>
        <w:spacing w:line="240" w:lineRule="auto" w:before="4"/>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34</w:t>
      </w:r>
      <w:r>
        <w:rPr/>
        <w:t>、其他综合收益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00"/>
        <w:gridCol w:w="1260"/>
        <w:gridCol w:w="851"/>
        <w:gridCol w:w="1050"/>
        <w:gridCol w:w="853"/>
        <w:gridCol w:w="852"/>
        <w:gridCol w:w="865"/>
        <w:gridCol w:w="829"/>
        <w:gridCol w:w="1181"/>
      </w:tblGrid>
      <w:tr>
        <w:trPr>
          <w:trHeight w:val="402" w:hRule="exact"/>
        </w:trPr>
        <w:tc>
          <w:tcPr>
            <w:tcW w:w="1800" w:type="dxa"/>
            <w:vMerge w:val="restart"/>
            <w:tcBorders>
              <w:top w:val="single" w:sz="4" w:space="0" w:color="000000"/>
              <w:left w:val="single" w:sz="4" w:space="0" w:color="000000"/>
              <w:right w:val="single" w:sz="4" w:space="0" w:color="000000"/>
            </w:tcBorders>
            <w:shd w:val="clear" w:color="auto" w:fill="D3D3D3"/>
          </w:tcPr>
          <w:p>
            <w:pPr/>
          </w:p>
        </w:tc>
        <w:tc>
          <w:tcPr>
            <w:tcW w:w="1260" w:type="dxa"/>
            <w:vMerge w:val="restart"/>
            <w:tcBorders>
              <w:top w:val="single" w:sz="4" w:space="0" w:color="000000"/>
              <w:left w:val="single" w:sz="4" w:space="0" w:color="000000"/>
              <w:right w:val="single" w:sz="4" w:space="0" w:color="000000"/>
            </w:tcBorders>
            <w:shd w:val="clear" w:color="auto" w:fill="D3D3D3"/>
          </w:tcPr>
          <w:p>
            <w:pPr/>
          </w:p>
        </w:tc>
        <w:tc>
          <w:tcPr>
            <w:tcW w:w="5299"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181" w:type="dxa"/>
            <w:vMerge w:val="restart"/>
            <w:tcBorders>
              <w:top w:val="single" w:sz="4" w:space="0" w:color="000000"/>
              <w:left w:val="single" w:sz="4" w:space="0" w:color="000000"/>
              <w:right w:val="single" w:sz="4" w:space="0" w:color="000000"/>
            </w:tcBorders>
            <w:shd w:val="clear" w:color="auto" w:fill="D3D3D3"/>
          </w:tcPr>
          <w:p>
            <w:pPr/>
          </w:p>
        </w:tc>
      </w:tr>
      <w:tr>
        <w:trPr>
          <w:trHeight w:val="162" w:hRule="exact"/>
        </w:trPr>
        <w:tc>
          <w:tcPr>
            <w:tcW w:w="1800" w:type="dxa"/>
            <w:vMerge/>
            <w:tcBorders>
              <w:left w:val="single" w:sz="4" w:space="0" w:color="000000"/>
              <w:right w:val="single" w:sz="4" w:space="0" w:color="000000"/>
            </w:tcBorders>
            <w:shd w:val="clear" w:color="auto" w:fill="D3D3D3"/>
          </w:tcPr>
          <w:p>
            <w:pPr/>
          </w:p>
        </w:tc>
        <w:tc>
          <w:tcPr>
            <w:tcW w:w="1260" w:type="dxa"/>
            <w:vMerge/>
            <w:tcBorders>
              <w:left w:val="single" w:sz="4" w:space="0" w:color="000000"/>
              <w:right w:val="single" w:sz="4" w:space="0" w:color="000000"/>
            </w:tcBorders>
            <w:shd w:val="clear" w:color="auto" w:fill="D3D3D3"/>
          </w:tcPr>
          <w:p>
            <w:pPr/>
          </w:p>
        </w:tc>
        <w:tc>
          <w:tcPr>
            <w:tcW w:w="851" w:type="dxa"/>
            <w:vMerge w:val="restart"/>
            <w:tcBorders>
              <w:top w:val="single" w:sz="4" w:space="0" w:color="000000"/>
              <w:left w:val="single" w:sz="4" w:space="0" w:color="000000"/>
              <w:right w:val="single" w:sz="4" w:space="0" w:color="000000"/>
            </w:tcBorders>
            <w:shd w:val="clear" w:color="auto" w:fill="D3D3D3"/>
          </w:tcPr>
          <w:p>
            <w:pPr/>
          </w:p>
        </w:tc>
        <w:tc>
          <w:tcPr>
            <w:tcW w:w="1050" w:type="dxa"/>
            <w:tcBorders>
              <w:top w:val="single" w:sz="4" w:space="0" w:color="000000"/>
              <w:left w:val="single" w:sz="4" w:space="0" w:color="000000"/>
              <w:bottom w:val="nil" w:sz="6" w:space="0" w:color="auto"/>
              <w:right w:val="single" w:sz="4" w:space="0" w:color="000000"/>
            </w:tcBorders>
            <w:shd w:val="clear" w:color="auto" w:fill="D3D3D3"/>
          </w:tcPr>
          <w:p>
            <w:pPr/>
          </w:p>
        </w:tc>
        <w:tc>
          <w:tcPr>
            <w:tcW w:w="85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60" w:right="60"/>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52" w:type="dxa"/>
            <w:vMerge w:val="restart"/>
            <w:tcBorders>
              <w:top w:val="single" w:sz="4" w:space="0" w:color="000000"/>
              <w:left w:val="single" w:sz="4" w:space="0" w:color="000000"/>
              <w:right w:val="single" w:sz="4" w:space="0" w:color="000000"/>
            </w:tcBorders>
            <w:shd w:val="clear" w:color="auto" w:fill="D3D3D3"/>
          </w:tcPr>
          <w:p>
            <w:pPr/>
          </w:p>
        </w:tc>
        <w:tc>
          <w:tcPr>
            <w:tcW w:w="865" w:type="dxa"/>
            <w:vMerge w:val="restart"/>
            <w:tcBorders>
              <w:top w:val="single" w:sz="4" w:space="0" w:color="000000"/>
              <w:left w:val="single" w:sz="4" w:space="0" w:color="000000"/>
              <w:right w:val="single" w:sz="4" w:space="0" w:color="000000"/>
            </w:tcBorders>
            <w:shd w:val="clear" w:color="auto" w:fill="D3D3D3"/>
          </w:tcPr>
          <w:p>
            <w:pPr/>
          </w:p>
        </w:tc>
        <w:tc>
          <w:tcPr>
            <w:tcW w:w="829" w:type="dxa"/>
            <w:vMerge w:val="restart"/>
            <w:tcBorders>
              <w:top w:val="single" w:sz="4" w:space="0" w:color="000000"/>
              <w:left w:val="single" w:sz="4" w:space="0" w:color="000000"/>
              <w:right w:val="single" w:sz="4" w:space="0" w:color="000000"/>
            </w:tcBorders>
            <w:shd w:val="clear" w:color="auto" w:fill="D3D3D3"/>
          </w:tcPr>
          <w:p>
            <w:pPr/>
          </w:p>
        </w:tc>
        <w:tc>
          <w:tcPr>
            <w:tcW w:w="1181" w:type="dxa"/>
            <w:vMerge/>
            <w:tcBorders>
              <w:left w:val="single" w:sz="4" w:space="0" w:color="000000"/>
              <w:right w:val="single" w:sz="4" w:space="0" w:color="000000"/>
            </w:tcBorders>
            <w:shd w:val="clear" w:color="auto" w:fill="D3D3D3"/>
          </w:tcPr>
          <w:p>
            <w:pPr/>
          </w:p>
        </w:tc>
      </w:tr>
      <w:tr>
        <w:trPr>
          <w:trHeight w:val="156" w:hRule="exact"/>
        </w:trPr>
        <w:tc>
          <w:tcPr>
            <w:tcW w:w="1800" w:type="dxa"/>
            <w:vMerge/>
            <w:tcBorders>
              <w:left w:val="single" w:sz="4" w:space="0" w:color="000000"/>
              <w:right w:val="single" w:sz="4" w:space="0" w:color="000000"/>
            </w:tcBorders>
            <w:shd w:val="clear" w:color="auto" w:fill="D3D3D3"/>
          </w:tcPr>
          <w:p>
            <w:pPr/>
          </w:p>
        </w:tc>
        <w:tc>
          <w:tcPr>
            <w:tcW w:w="1260" w:type="dxa"/>
            <w:vMerge/>
            <w:tcBorders>
              <w:left w:val="single" w:sz="4" w:space="0" w:color="000000"/>
              <w:right w:val="single" w:sz="4" w:space="0" w:color="000000"/>
            </w:tcBorders>
            <w:shd w:val="clear" w:color="auto" w:fill="D3D3D3"/>
          </w:tcPr>
          <w:p>
            <w:pPr/>
          </w:p>
        </w:tc>
        <w:tc>
          <w:tcPr>
            <w:tcW w:w="851" w:type="dxa"/>
            <w:vMerge/>
            <w:tcBorders>
              <w:left w:val="single" w:sz="4" w:space="0" w:color="000000"/>
              <w:bottom w:val="nil" w:sz="6" w:space="0" w:color="auto"/>
              <w:right w:val="single" w:sz="4" w:space="0" w:color="000000"/>
            </w:tcBorders>
            <w:shd w:val="clear" w:color="auto" w:fill="D3D3D3"/>
          </w:tcPr>
          <w:p>
            <w:pPr/>
          </w:p>
        </w:tc>
        <w:tc>
          <w:tcPr>
            <w:tcW w:w="1050"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3" w:right="21"/>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53" w:type="dxa"/>
            <w:vMerge/>
            <w:tcBorders>
              <w:left w:val="single" w:sz="4" w:space="0" w:color="000000"/>
              <w:right w:val="single" w:sz="4" w:space="0" w:color="000000"/>
            </w:tcBorders>
            <w:shd w:val="clear" w:color="auto" w:fill="D3D3D3"/>
          </w:tcPr>
          <w:p>
            <w:pPr/>
          </w:p>
        </w:tc>
        <w:tc>
          <w:tcPr>
            <w:tcW w:w="852" w:type="dxa"/>
            <w:vMerge/>
            <w:tcBorders>
              <w:left w:val="single" w:sz="4" w:space="0" w:color="000000"/>
              <w:right w:val="single" w:sz="4" w:space="0" w:color="000000"/>
            </w:tcBorders>
            <w:shd w:val="clear" w:color="auto" w:fill="D3D3D3"/>
          </w:tcPr>
          <w:p>
            <w:pPr/>
          </w:p>
        </w:tc>
        <w:tc>
          <w:tcPr>
            <w:tcW w:w="865" w:type="dxa"/>
            <w:vMerge/>
            <w:tcBorders>
              <w:left w:val="single" w:sz="4" w:space="0" w:color="000000"/>
              <w:right w:val="single" w:sz="4" w:space="0" w:color="000000"/>
            </w:tcBorders>
            <w:shd w:val="clear" w:color="auto" w:fill="D3D3D3"/>
          </w:tcPr>
          <w:p>
            <w:pPr/>
          </w:p>
        </w:tc>
        <w:tc>
          <w:tcPr>
            <w:tcW w:w="829" w:type="dxa"/>
            <w:vMerge/>
            <w:tcBorders>
              <w:left w:val="single" w:sz="4" w:space="0" w:color="000000"/>
              <w:bottom w:val="nil" w:sz="6" w:space="0" w:color="auto"/>
              <w:right w:val="single" w:sz="4" w:space="0" w:color="000000"/>
            </w:tcBorders>
            <w:shd w:val="clear" w:color="auto" w:fill="D3D3D3"/>
          </w:tcPr>
          <w:p>
            <w:pPr/>
          </w:p>
        </w:tc>
        <w:tc>
          <w:tcPr>
            <w:tcW w:w="1181" w:type="dxa"/>
            <w:vMerge/>
            <w:tcBorders>
              <w:left w:val="single" w:sz="4" w:space="0" w:color="000000"/>
              <w:right w:val="single" w:sz="4" w:space="0" w:color="000000"/>
            </w:tcBorders>
            <w:shd w:val="clear" w:color="auto" w:fill="D3D3D3"/>
          </w:tcPr>
          <w:p>
            <w:pPr/>
          </w:p>
        </w:tc>
      </w:tr>
      <w:tr>
        <w:trPr>
          <w:trHeight w:val="105" w:hRule="exact"/>
        </w:trPr>
        <w:tc>
          <w:tcPr>
            <w:tcW w:w="1800" w:type="dxa"/>
            <w:vMerge/>
            <w:tcBorders>
              <w:left w:val="single" w:sz="4" w:space="0" w:color="000000"/>
              <w:bottom w:val="nil" w:sz="6" w:space="0" w:color="auto"/>
              <w:right w:val="single" w:sz="4" w:space="0" w:color="000000"/>
            </w:tcBorders>
            <w:shd w:val="clear" w:color="auto" w:fill="D3D3D3"/>
          </w:tcPr>
          <w:p>
            <w:pPr/>
          </w:p>
        </w:tc>
        <w:tc>
          <w:tcPr>
            <w:tcW w:w="1260" w:type="dxa"/>
            <w:vMerge/>
            <w:tcBorders>
              <w:left w:val="single" w:sz="4" w:space="0" w:color="000000"/>
              <w:bottom w:val="nil" w:sz="6" w:space="0" w:color="auto"/>
              <w:right w:val="single" w:sz="4" w:space="0" w:color="000000"/>
            </w:tcBorders>
            <w:shd w:val="clear" w:color="auto" w:fill="D3D3D3"/>
          </w:tcPr>
          <w:p>
            <w:pPr/>
          </w:p>
        </w:tc>
        <w:tc>
          <w:tcPr>
            <w:tcW w:w="851"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60" w:right="59"/>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0" w:type="dxa"/>
            <w:vMerge/>
            <w:tcBorders>
              <w:left w:val="single" w:sz="4" w:space="0" w:color="000000"/>
              <w:right w:val="single" w:sz="4" w:space="0" w:color="000000"/>
            </w:tcBorders>
            <w:shd w:val="clear" w:color="auto" w:fill="D3D3D3"/>
          </w:tcPr>
          <w:p>
            <w:pPr/>
          </w:p>
        </w:tc>
        <w:tc>
          <w:tcPr>
            <w:tcW w:w="853" w:type="dxa"/>
            <w:vMerge/>
            <w:tcBorders>
              <w:left w:val="single" w:sz="4" w:space="0" w:color="000000"/>
              <w:right w:val="single" w:sz="4" w:space="0" w:color="000000"/>
            </w:tcBorders>
            <w:shd w:val="clear" w:color="auto" w:fill="D3D3D3"/>
          </w:tcPr>
          <w:p>
            <w:pPr/>
          </w:p>
        </w:tc>
        <w:tc>
          <w:tcPr>
            <w:tcW w:w="852" w:type="dxa"/>
            <w:vMerge/>
            <w:tcBorders>
              <w:left w:val="single" w:sz="4" w:space="0" w:color="000000"/>
              <w:bottom w:val="nil" w:sz="6" w:space="0" w:color="auto"/>
              <w:right w:val="single" w:sz="4" w:space="0" w:color="000000"/>
            </w:tcBorders>
            <w:shd w:val="clear" w:color="auto" w:fill="D3D3D3"/>
          </w:tcPr>
          <w:p>
            <w:pPr/>
          </w:p>
        </w:tc>
        <w:tc>
          <w:tcPr>
            <w:tcW w:w="865" w:type="dxa"/>
            <w:vMerge/>
            <w:tcBorders>
              <w:left w:val="single" w:sz="4" w:space="0" w:color="000000"/>
              <w:bottom w:val="nil" w:sz="6" w:space="0" w:color="auto"/>
              <w:right w:val="single" w:sz="4" w:space="0" w:color="000000"/>
            </w:tcBorders>
            <w:shd w:val="clear" w:color="auto" w:fill="D3D3D3"/>
          </w:tcPr>
          <w:p>
            <w:pPr/>
          </w:p>
        </w:tc>
        <w:tc>
          <w:tcPr>
            <w:tcW w:w="829"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48" w:right="4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1181" w:type="dxa"/>
            <w:vMerge/>
            <w:tcBorders>
              <w:left w:val="single" w:sz="4" w:space="0" w:color="000000"/>
              <w:bottom w:val="nil" w:sz="6" w:space="0" w:color="auto"/>
              <w:right w:val="single" w:sz="4" w:space="0" w:color="000000"/>
            </w:tcBorders>
            <w:shd w:val="clear" w:color="auto" w:fill="D3D3D3"/>
          </w:tcPr>
          <w:p>
            <w:pPr/>
          </w:p>
        </w:tc>
      </w:tr>
      <w:tr>
        <w:trPr>
          <w:trHeight w:val="366" w:hRule="exact"/>
        </w:trPr>
        <w:tc>
          <w:tcPr>
            <w:tcW w:w="18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851" w:type="dxa"/>
            <w:vMerge/>
            <w:tcBorders>
              <w:left w:val="single" w:sz="4" w:space="0" w:color="000000"/>
              <w:right w:val="single" w:sz="4" w:space="0" w:color="000000"/>
            </w:tcBorders>
            <w:shd w:val="clear" w:color="auto" w:fill="D3D3D3"/>
          </w:tcPr>
          <w:p>
            <w:pPr/>
          </w:p>
        </w:tc>
        <w:tc>
          <w:tcPr>
            <w:tcW w:w="1050" w:type="dxa"/>
            <w:vMerge/>
            <w:tcBorders>
              <w:left w:val="single" w:sz="4" w:space="0" w:color="000000"/>
              <w:right w:val="single" w:sz="4" w:space="0" w:color="000000"/>
            </w:tcBorders>
            <w:shd w:val="clear" w:color="auto" w:fill="D3D3D3"/>
          </w:tcPr>
          <w:p>
            <w:pPr/>
          </w:p>
        </w:tc>
        <w:tc>
          <w:tcPr>
            <w:tcW w:w="853" w:type="dxa"/>
            <w:vMerge/>
            <w:tcBorders>
              <w:left w:val="single" w:sz="4" w:space="0" w:color="000000"/>
              <w:right w:val="single" w:sz="4" w:space="0" w:color="000000"/>
            </w:tcBorders>
            <w:shd w:val="clear" w:color="auto" w:fill="D3D3D3"/>
          </w:tcPr>
          <w:p>
            <w:pPr/>
          </w:p>
        </w:tc>
        <w:tc>
          <w:tcPr>
            <w:tcW w:w="852"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76"/>
              <w:ind w:left="149" w:right="60" w:hanging="90"/>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6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76"/>
              <w:ind w:left="61" w:right="71"/>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29" w:type="dxa"/>
            <w:vMerge/>
            <w:tcBorders>
              <w:left w:val="single" w:sz="4" w:space="0" w:color="000000"/>
              <w:right w:val="single" w:sz="4" w:space="0" w:color="000000"/>
            </w:tcBorders>
            <w:shd w:val="clear" w:color="auto" w:fill="D3D3D3"/>
          </w:tcPr>
          <w:p>
            <w:pPr/>
          </w:p>
        </w:tc>
        <w:tc>
          <w:tcPr>
            <w:tcW w:w="118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6"/>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62" w:hRule="exact"/>
        </w:trPr>
        <w:tc>
          <w:tcPr>
            <w:tcW w:w="1800" w:type="dxa"/>
            <w:vMerge w:val="restart"/>
            <w:tcBorders>
              <w:top w:val="nil" w:sz="6" w:space="0" w:color="auto"/>
              <w:left w:val="single" w:sz="4" w:space="0" w:color="000000"/>
              <w:right w:val="single" w:sz="4" w:space="0" w:color="000000"/>
            </w:tcBorders>
            <w:shd w:val="clear" w:color="auto" w:fill="D3D3D3"/>
          </w:tcPr>
          <w:p>
            <w:pPr/>
          </w:p>
        </w:tc>
        <w:tc>
          <w:tcPr>
            <w:tcW w:w="1260" w:type="dxa"/>
            <w:vMerge w:val="restart"/>
            <w:tcBorders>
              <w:top w:val="nil" w:sz="6" w:space="0" w:color="auto"/>
              <w:left w:val="single" w:sz="4" w:space="0" w:color="000000"/>
              <w:right w:val="single" w:sz="4" w:space="0" w:color="000000"/>
            </w:tcBorders>
            <w:shd w:val="clear" w:color="auto" w:fill="D3D3D3"/>
          </w:tcPr>
          <w:p>
            <w:pPr/>
          </w:p>
        </w:tc>
        <w:tc>
          <w:tcPr>
            <w:tcW w:w="851" w:type="dxa"/>
            <w:vMerge/>
            <w:tcBorders>
              <w:left w:val="single" w:sz="4" w:space="0" w:color="000000"/>
              <w:right w:val="single" w:sz="4" w:space="0" w:color="000000"/>
            </w:tcBorders>
            <w:shd w:val="clear" w:color="auto" w:fill="D3D3D3"/>
          </w:tcPr>
          <w:p>
            <w:pPr/>
          </w:p>
        </w:tc>
        <w:tc>
          <w:tcPr>
            <w:tcW w:w="1050" w:type="dxa"/>
            <w:vMerge/>
            <w:tcBorders>
              <w:left w:val="single" w:sz="4" w:space="0" w:color="000000"/>
              <w:right w:val="single" w:sz="4" w:space="0" w:color="000000"/>
            </w:tcBorders>
            <w:shd w:val="clear" w:color="auto" w:fill="D3D3D3"/>
          </w:tcPr>
          <w:p>
            <w:pPr/>
          </w:p>
        </w:tc>
        <w:tc>
          <w:tcPr>
            <w:tcW w:w="853" w:type="dxa"/>
            <w:vMerge/>
            <w:tcBorders>
              <w:left w:val="single" w:sz="4" w:space="0" w:color="000000"/>
              <w:right w:val="single" w:sz="4" w:space="0" w:color="000000"/>
            </w:tcBorders>
            <w:shd w:val="clear" w:color="auto" w:fill="D3D3D3"/>
          </w:tcPr>
          <w:p>
            <w:pPr/>
          </w:p>
        </w:tc>
        <w:tc>
          <w:tcPr>
            <w:tcW w:w="852" w:type="dxa"/>
            <w:vMerge/>
            <w:tcBorders>
              <w:left w:val="single" w:sz="4" w:space="0" w:color="000000"/>
              <w:bottom w:val="nil" w:sz="6" w:space="0" w:color="auto"/>
              <w:right w:val="single" w:sz="4" w:space="0" w:color="000000"/>
            </w:tcBorders>
            <w:shd w:val="clear" w:color="auto" w:fill="D3D3D3"/>
          </w:tcPr>
          <w:p>
            <w:pPr/>
          </w:p>
        </w:tc>
        <w:tc>
          <w:tcPr>
            <w:tcW w:w="865" w:type="dxa"/>
            <w:vMerge/>
            <w:tcBorders>
              <w:left w:val="single" w:sz="4" w:space="0" w:color="000000"/>
              <w:bottom w:val="nil" w:sz="6" w:space="0" w:color="auto"/>
              <w:right w:val="single" w:sz="4" w:space="0" w:color="000000"/>
            </w:tcBorders>
            <w:shd w:val="clear" w:color="auto" w:fill="D3D3D3"/>
          </w:tcPr>
          <w:p>
            <w:pPr/>
          </w:p>
        </w:tc>
        <w:tc>
          <w:tcPr>
            <w:tcW w:w="829" w:type="dxa"/>
            <w:vMerge/>
            <w:tcBorders>
              <w:left w:val="single" w:sz="4" w:space="0" w:color="000000"/>
              <w:right w:val="single" w:sz="4" w:space="0" w:color="000000"/>
            </w:tcBorders>
            <w:shd w:val="clear" w:color="auto" w:fill="D3D3D3"/>
          </w:tcPr>
          <w:p>
            <w:pPr/>
          </w:p>
        </w:tc>
        <w:tc>
          <w:tcPr>
            <w:tcW w:w="1181" w:type="dxa"/>
            <w:vMerge w:val="restart"/>
            <w:tcBorders>
              <w:top w:val="nil" w:sz="6" w:space="0" w:color="auto"/>
              <w:left w:val="single" w:sz="4" w:space="0" w:color="000000"/>
              <w:right w:val="single" w:sz="4" w:space="0" w:color="000000"/>
            </w:tcBorders>
            <w:shd w:val="clear" w:color="auto" w:fill="D3D3D3"/>
          </w:tcPr>
          <w:p>
            <w:pPr/>
          </w:p>
        </w:tc>
      </w:tr>
      <w:tr>
        <w:trPr>
          <w:trHeight w:val="156" w:hRule="exact"/>
        </w:trPr>
        <w:tc>
          <w:tcPr>
            <w:tcW w:w="1800" w:type="dxa"/>
            <w:vMerge/>
            <w:tcBorders>
              <w:left w:val="single" w:sz="4" w:space="0" w:color="000000"/>
              <w:right w:val="single" w:sz="4" w:space="0" w:color="000000"/>
            </w:tcBorders>
            <w:shd w:val="clear" w:color="auto" w:fill="D3D3D3"/>
          </w:tcPr>
          <w:p>
            <w:pPr/>
          </w:p>
        </w:tc>
        <w:tc>
          <w:tcPr>
            <w:tcW w:w="1260" w:type="dxa"/>
            <w:vMerge/>
            <w:tcBorders>
              <w:left w:val="single" w:sz="4" w:space="0" w:color="000000"/>
              <w:right w:val="single" w:sz="4" w:space="0" w:color="000000"/>
            </w:tcBorders>
            <w:shd w:val="clear" w:color="auto" w:fill="D3D3D3"/>
          </w:tcPr>
          <w:p>
            <w:pPr/>
          </w:p>
        </w:tc>
        <w:tc>
          <w:tcPr>
            <w:tcW w:w="851" w:type="dxa"/>
            <w:vMerge/>
            <w:tcBorders>
              <w:left w:val="single" w:sz="4" w:space="0" w:color="000000"/>
              <w:bottom w:val="nil" w:sz="6" w:space="0" w:color="auto"/>
              <w:right w:val="single" w:sz="4" w:space="0" w:color="000000"/>
            </w:tcBorders>
            <w:shd w:val="clear" w:color="auto" w:fill="D3D3D3"/>
          </w:tcPr>
          <w:p>
            <w:pPr/>
          </w:p>
        </w:tc>
        <w:tc>
          <w:tcPr>
            <w:tcW w:w="1050" w:type="dxa"/>
            <w:vMerge/>
            <w:tcBorders>
              <w:left w:val="single" w:sz="4" w:space="0" w:color="000000"/>
              <w:right w:val="single" w:sz="4" w:space="0" w:color="000000"/>
            </w:tcBorders>
            <w:shd w:val="clear" w:color="auto" w:fill="D3D3D3"/>
          </w:tcPr>
          <w:p>
            <w:pPr/>
          </w:p>
        </w:tc>
        <w:tc>
          <w:tcPr>
            <w:tcW w:w="853" w:type="dxa"/>
            <w:vMerge/>
            <w:tcBorders>
              <w:left w:val="single" w:sz="4" w:space="0" w:color="000000"/>
              <w:right w:val="single" w:sz="4" w:space="0" w:color="000000"/>
            </w:tcBorders>
            <w:shd w:val="clear" w:color="auto" w:fill="D3D3D3"/>
          </w:tcPr>
          <w:p>
            <w:pPr/>
          </w:p>
        </w:tc>
        <w:tc>
          <w:tcPr>
            <w:tcW w:w="852" w:type="dxa"/>
            <w:vMerge w:val="restart"/>
            <w:tcBorders>
              <w:top w:val="nil" w:sz="6" w:space="0" w:color="auto"/>
              <w:left w:val="single" w:sz="4" w:space="0" w:color="000000"/>
              <w:right w:val="single" w:sz="4" w:space="0" w:color="000000"/>
            </w:tcBorders>
            <w:shd w:val="clear" w:color="auto" w:fill="D3D3D3"/>
          </w:tcPr>
          <w:p>
            <w:pPr/>
          </w:p>
        </w:tc>
        <w:tc>
          <w:tcPr>
            <w:tcW w:w="865" w:type="dxa"/>
            <w:vMerge w:val="restart"/>
            <w:tcBorders>
              <w:top w:val="nil" w:sz="6" w:space="0" w:color="auto"/>
              <w:left w:val="single" w:sz="4" w:space="0" w:color="000000"/>
              <w:right w:val="single" w:sz="4" w:space="0" w:color="000000"/>
            </w:tcBorders>
            <w:shd w:val="clear" w:color="auto" w:fill="D3D3D3"/>
          </w:tcPr>
          <w:p>
            <w:pPr/>
          </w:p>
        </w:tc>
        <w:tc>
          <w:tcPr>
            <w:tcW w:w="829" w:type="dxa"/>
            <w:vMerge/>
            <w:tcBorders>
              <w:left w:val="single" w:sz="4" w:space="0" w:color="000000"/>
              <w:bottom w:val="nil" w:sz="6" w:space="0" w:color="auto"/>
              <w:right w:val="single" w:sz="4" w:space="0" w:color="000000"/>
            </w:tcBorders>
            <w:shd w:val="clear" w:color="auto" w:fill="D3D3D3"/>
          </w:tcPr>
          <w:p>
            <w:pPr/>
          </w:p>
        </w:tc>
        <w:tc>
          <w:tcPr>
            <w:tcW w:w="1181" w:type="dxa"/>
            <w:vMerge/>
            <w:tcBorders>
              <w:left w:val="single" w:sz="4" w:space="0" w:color="000000"/>
              <w:right w:val="single" w:sz="4" w:space="0" w:color="000000"/>
            </w:tcBorders>
            <w:shd w:val="clear" w:color="auto" w:fill="D3D3D3"/>
          </w:tcPr>
          <w:p>
            <w:pPr/>
          </w:p>
        </w:tc>
      </w:tr>
      <w:tr>
        <w:trPr>
          <w:trHeight w:val="156" w:hRule="exact"/>
        </w:trPr>
        <w:tc>
          <w:tcPr>
            <w:tcW w:w="1800" w:type="dxa"/>
            <w:vMerge/>
            <w:tcBorders>
              <w:left w:val="single" w:sz="4" w:space="0" w:color="000000"/>
              <w:right w:val="single" w:sz="4" w:space="0" w:color="000000"/>
            </w:tcBorders>
            <w:shd w:val="clear" w:color="auto" w:fill="D3D3D3"/>
          </w:tcPr>
          <w:p>
            <w:pPr/>
          </w:p>
        </w:tc>
        <w:tc>
          <w:tcPr>
            <w:tcW w:w="1260" w:type="dxa"/>
            <w:vMerge/>
            <w:tcBorders>
              <w:left w:val="single" w:sz="4" w:space="0" w:color="000000"/>
              <w:right w:val="single" w:sz="4" w:space="0" w:color="000000"/>
            </w:tcBorders>
            <w:shd w:val="clear" w:color="auto" w:fill="D3D3D3"/>
          </w:tcPr>
          <w:p>
            <w:pPr/>
          </w:p>
        </w:tc>
        <w:tc>
          <w:tcPr>
            <w:tcW w:w="851" w:type="dxa"/>
            <w:vMerge w:val="restart"/>
            <w:tcBorders>
              <w:top w:val="nil" w:sz="6" w:space="0" w:color="auto"/>
              <w:left w:val="single" w:sz="4" w:space="0" w:color="000000"/>
              <w:right w:val="single" w:sz="4" w:space="0" w:color="000000"/>
            </w:tcBorders>
            <w:shd w:val="clear" w:color="auto" w:fill="D3D3D3"/>
          </w:tcPr>
          <w:p>
            <w:pPr/>
          </w:p>
        </w:tc>
        <w:tc>
          <w:tcPr>
            <w:tcW w:w="1050" w:type="dxa"/>
            <w:vMerge/>
            <w:tcBorders>
              <w:left w:val="single" w:sz="4" w:space="0" w:color="000000"/>
              <w:bottom w:val="nil" w:sz="6" w:space="0" w:color="auto"/>
              <w:right w:val="single" w:sz="4" w:space="0" w:color="000000"/>
            </w:tcBorders>
            <w:shd w:val="clear" w:color="auto" w:fill="D3D3D3"/>
          </w:tcPr>
          <w:p>
            <w:pPr/>
          </w:p>
        </w:tc>
        <w:tc>
          <w:tcPr>
            <w:tcW w:w="853" w:type="dxa"/>
            <w:vMerge/>
            <w:tcBorders>
              <w:left w:val="single" w:sz="4" w:space="0" w:color="000000"/>
              <w:right w:val="single" w:sz="4" w:space="0" w:color="000000"/>
            </w:tcBorders>
            <w:shd w:val="clear" w:color="auto" w:fill="D3D3D3"/>
          </w:tcPr>
          <w:p>
            <w:pPr/>
          </w:p>
        </w:tc>
        <w:tc>
          <w:tcPr>
            <w:tcW w:w="852" w:type="dxa"/>
            <w:vMerge/>
            <w:tcBorders>
              <w:left w:val="single" w:sz="4" w:space="0" w:color="000000"/>
              <w:right w:val="single" w:sz="4" w:space="0" w:color="000000"/>
            </w:tcBorders>
            <w:shd w:val="clear" w:color="auto" w:fill="D3D3D3"/>
          </w:tcPr>
          <w:p>
            <w:pPr/>
          </w:p>
        </w:tc>
        <w:tc>
          <w:tcPr>
            <w:tcW w:w="865" w:type="dxa"/>
            <w:vMerge/>
            <w:tcBorders>
              <w:left w:val="single" w:sz="4" w:space="0" w:color="000000"/>
              <w:right w:val="single" w:sz="4" w:space="0" w:color="000000"/>
            </w:tcBorders>
            <w:shd w:val="clear" w:color="auto" w:fill="D3D3D3"/>
          </w:tcPr>
          <w:p>
            <w:pPr/>
          </w:p>
        </w:tc>
        <w:tc>
          <w:tcPr>
            <w:tcW w:w="829" w:type="dxa"/>
            <w:vMerge w:val="restart"/>
            <w:tcBorders>
              <w:top w:val="nil" w:sz="6" w:space="0" w:color="auto"/>
              <w:left w:val="single" w:sz="4" w:space="0" w:color="000000"/>
              <w:right w:val="single" w:sz="4" w:space="0" w:color="000000"/>
            </w:tcBorders>
            <w:shd w:val="clear" w:color="auto" w:fill="D3D3D3"/>
          </w:tcPr>
          <w:p>
            <w:pPr/>
          </w:p>
        </w:tc>
        <w:tc>
          <w:tcPr>
            <w:tcW w:w="1181" w:type="dxa"/>
            <w:vMerge/>
            <w:tcBorders>
              <w:left w:val="single" w:sz="4" w:space="0" w:color="000000"/>
              <w:right w:val="single" w:sz="4" w:space="0" w:color="000000"/>
            </w:tcBorders>
            <w:shd w:val="clear" w:color="auto" w:fill="D3D3D3"/>
          </w:tcPr>
          <w:p>
            <w:pPr/>
          </w:p>
        </w:tc>
      </w:tr>
      <w:tr>
        <w:trPr>
          <w:trHeight w:val="162" w:hRule="exact"/>
        </w:trPr>
        <w:tc>
          <w:tcPr>
            <w:tcW w:w="1800" w:type="dxa"/>
            <w:vMerge/>
            <w:tcBorders>
              <w:left w:val="single" w:sz="4" w:space="0" w:color="000000"/>
              <w:bottom w:val="single" w:sz="4" w:space="0" w:color="000000"/>
              <w:right w:val="single" w:sz="4" w:space="0" w:color="000000"/>
            </w:tcBorders>
            <w:shd w:val="clear" w:color="auto" w:fill="D3D3D3"/>
          </w:tcPr>
          <w:p>
            <w:pPr/>
          </w:p>
        </w:tc>
        <w:tc>
          <w:tcPr>
            <w:tcW w:w="1260" w:type="dxa"/>
            <w:vMerge/>
            <w:tcBorders>
              <w:left w:val="single" w:sz="4" w:space="0" w:color="000000"/>
              <w:bottom w:val="single" w:sz="4" w:space="0" w:color="000000"/>
              <w:right w:val="single" w:sz="4" w:space="0" w:color="000000"/>
            </w:tcBorders>
            <w:shd w:val="clear" w:color="auto" w:fill="D3D3D3"/>
          </w:tcPr>
          <w:p>
            <w:pPr/>
          </w:p>
        </w:tc>
        <w:tc>
          <w:tcPr>
            <w:tcW w:w="851" w:type="dxa"/>
            <w:vMerge/>
            <w:tcBorders>
              <w:left w:val="single" w:sz="4" w:space="0" w:color="000000"/>
              <w:bottom w:val="single" w:sz="4" w:space="0" w:color="000000"/>
              <w:right w:val="single" w:sz="4" w:space="0" w:color="000000"/>
            </w:tcBorders>
            <w:shd w:val="clear" w:color="auto" w:fill="D3D3D3"/>
          </w:tcPr>
          <w:p>
            <w:pPr/>
          </w:p>
        </w:tc>
        <w:tc>
          <w:tcPr>
            <w:tcW w:w="1050" w:type="dxa"/>
            <w:tcBorders>
              <w:top w:val="nil" w:sz="6" w:space="0" w:color="auto"/>
              <w:left w:val="single" w:sz="4" w:space="0" w:color="000000"/>
              <w:bottom w:val="single" w:sz="4" w:space="0" w:color="000000"/>
              <w:right w:val="single" w:sz="4" w:space="0" w:color="000000"/>
            </w:tcBorders>
            <w:shd w:val="clear" w:color="auto" w:fill="D3D3D3"/>
          </w:tcPr>
          <w:p>
            <w:pPr/>
          </w:p>
        </w:tc>
        <w:tc>
          <w:tcPr>
            <w:tcW w:w="853" w:type="dxa"/>
            <w:vMerge/>
            <w:tcBorders>
              <w:left w:val="single" w:sz="4" w:space="0" w:color="000000"/>
              <w:bottom w:val="single" w:sz="4" w:space="0" w:color="000000"/>
              <w:right w:val="single" w:sz="4" w:space="0" w:color="000000"/>
            </w:tcBorders>
            <w:shd w:val="clear" w:color="auto" w:fill="D3D3D3"/>
          </w:tcPr>
          <w:p>
            <w:pPr/>
          </w:p>
        </w:tc>
        <w:tc>
          <w:tcPr>
            <w:tcW w:w="852" w:type="dxa"/>
            <w:vMerge/>
            <w:tcBorders>
              <w:left w:val="single" w:sz="4" w:space="0" w:color="000000"/>
              <w:bottom w:val="single" w:sz="4" w:space="0" w:color="000000"/>
              <w:right w:val="single" w:sz="4" w:space="0" w:color="000000"/>
            </w:tcBorders>
            <w:shd w:val="clear" w:color="auto" w:fill="D3D3D3"/>
          </w:tcPr>
          <w:p>
            <w:pPr/>
          </w:p>
        </w:tc>
        <w:tc>
          <w:tcPr>
            <w:tcW w:w="865" w:type="dxa"/>
            <w:vMerge/>
            <w:tcBorders>
              <w:left w:val="single" w:sz="4" w:space="0" w:color="000000"/>
              <w:bottom w:val="single" w:sz="4" w:space="0" w:color="000000"/>
              <w:right w:val="single" w:sz="4" w:space="0" w:color="000000"/>
            </w:tcBorders>
            <w:shd w:val="clear" w:color="auto" w:fill="D3D3D3"/>
          </w:tcPr>
          <w:p>
            <w:pPr/>
          </w:p>
        </w:tc>
        <w:tc>
          <w:tcPr>
            <w:tcW w:w="829" w:type="dxa"/>
            <w:vMerge/>
            <w:tcBorders>
              <w:left w:val="single" w:sz="4" w:space="0" w:color="000000"/>
              <w:bottom w:val="single" w:sz="4" w:space="0" w:color="000000"/>
              <w:right w:val="single" w:sz="4" w:space="0" w:color="000000"/>
            </w:tcBorders>
            <w:shd w:val="clear" w:color="auto" w:fill="D3D3D3"/>
          </w:tcPr>
          <w:p>
            <w:pPr/>
          </w:p>
        </w:tc>
        <w:tc>
          <w:tcPr>
            <w:tcW w:w="1181"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6"/>
                <w:sz w:val="18"/>
                <w:szCs w:val="18"/>
              </w:rPr>
              <w:t>一、不能重分类进损益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的其他综合收益</w:t>
            </w:r>
          </w:p>
        </w:tc>
        <w:tc>
          <w:tcPr>
            <w:tcW w:w="126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2" w:right="0"/>
              <w:jc w:val="center"/>
              <w:rPr>
                <w:rFonts w:ascii="Times New Roman" w:hAnsi="Times New Roman" w:cs="Times New Roman" w:eastAsia="Times New Roman" w:hint="default"/>
                <w:sz w:val="18"/>
                <w:szCs w:val="18"/>
              </w:rPr>
            </w:pPr>
            <w:r>
              <w:rPr>
                <w:rFonts w:ascii="Times New Roman"/>
                <w:sz w:val="18"/>
              </w:rPr>
              <w:t>-16,171,512.65</w:t>
            </w:r>
          </w:p>
        </w:tc>
        <w:tc>
          <w:tcPr>
            <w:tcW w:w="851"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-16,171,512.65</w:t>
            </w:r>
          </w:p>
        </w:tc>
      </w:tr>
      <w:tr>
        <w:trPr>
          <w:trHeight w:val="714" w:hRule="exact"/>
        </w:trPr>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5" w:firstLine="540"/>
              <w:jc w:val="left"/>
              <w:rPr>
                <w:rFonts w:ascii="宋体" w:hAnsi="宋体" w:cs="宋体" w:eastAsia="宋体" w:hint="default"/>
                <w:sz w:val="18"/>
                <w:szCs w:val="18"/>
              </w:rPr>
            </w:pPr>
            <w:r>
              <w:rPr>
                <w:rFonts w:ascii="宋体" w:hAnsi="宋体" w:cs="宋体" w:eastAsia="宋体" w:hint="default"/>
                <w:sz w:val="18"/>
                <w:szCs w:val="18"/>
              </w:rPr>
              <w:t>其他权益工具 投资公允价值变动</w:t>
            </w:r>
          </w:p>
        </w:tc>
        <w:tc>
          <w:tcPr>
            <w:tcW w:w="126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2" w:right="0"/>
              <w:jc w:val="center"/>
              <w:rPr>
                <w:rFonts w:ascii="Times New Roman" w:hAnsi="Times New Roman" w:cs="Times New Roman" w:eastAsia="Times New Roman" w:hint="default"/>
                <w:sz w:val="18"/>
                <w:szCs w:val="18"/>
              </w:rPr>
            </w:pPr>
            <w:r>
              <w:rPr>
                <w:rFonts w:ascii="Times New Roman"/>
                <w:sz w:val="18"/>
              </w:rPr>
              <w:t>-16,171,512.65</w:t>
            </w:r>
          </w:p>
        </w:tc>
        <w:tc>
          <w:tcPr>
            <w:tcW w:w="851"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-16,171,512.65</w:t>
            </w:r>
          </w:p>
        </w:tc>
      </w:tr>
      <w:tr>
        <w:trPr>
          <w:trHeight w:val="402" w:hRule="exact"/>
        </w:trPr>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26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102" w:right="0"/>
              <w:jc w:val="center"/>
              <w:rPr>
                <w:rFonts w:ascii="Times New Roman" w:hAnsi="Times New Roman" w:cs="Times New Roman" w:eastAsia="Times New Roman" w:hint="default"/>
                <w:sz w:val="18"/>
                <w:szCs w:val="18"/>
              </w:rPr>
            </w:pPr>
            <w:r>
              <w:rPr>
                <w:rFonts w:ascii="Times New Roman"/>
                <w:sz w:val="18"/>
              </w:rPr>
              <w:t>-16,171,512.65</w:t>
            </w:r>
          </w:p>
        </w:tc>
        <w:tc>
          <w:tcPr>
            <w:tcW w:w="851" w:type="dxa"/>
            <w:tcBorders>
              <w:top w:val="single" w:sz="4" w:space="0" w:color="000000"/>
              <w:left w:val="single" w:sz="4" w:space="0" w:color="000000"/>
              <w:bottom w:val="single" w:sz="4" w:space="0" w:color="000000"/>
              <w:right w:val="single" w:sz="4" w:space="0" w:color="000000"/>
            </w:tcBorders>
          </w:tcPr>
          <w:p>
            <w:pPr/>
          </w:p>
        </w:tc>
        <w:tc>
          <w:tcPr>
            <w:tcW w:w="1050"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65" w:type="dxa"/>
            <w:tcBorders>
              <w:top w:val="single" w:sz="4" w:space="0" w:color="000000"/>
              <w:left w:val="single" w:sz="4" w:space="0" w:color="000000"/>
              <w:bottom w:val="single" w:sz="4" w:space="0" w:color="000000"/>
              <w:right w:val="single" w:sz="4" w:space="0" w:color="000000"/>
            </w:tcBorders>
          </w:tcPr>
          <w:p>
            <w:pPr/>
          </w:p>
        </w:tc>
        <w:tc>
          <w:tcPr>
            <w:tcW w:w="829"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center"/>
              <w:rPr>
                <w:rFonts w:ascii="Times New Roman" w:hAnsi="Times New Roman" w:cs="Times New Roman" w:eastAsia="Times New Roman" w:hint="default"/>
                <w:sz w:val="18"/>
                <w:szCs w:val="18"/>
              </w:rPr>
            </w:pPr>
            <w:r>
              <w:rPr>
                <w:rFonts w:ascii="Times New Roman"/>
                <w:sz w:val="18"/>
              </w:rPr>
              <w:t>-16,171,512.65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35</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180,654,384.11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7,315,183.74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187,969,567.85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66,201,555.52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3,657,591.87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69,859,147.39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246,855,939.63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10,972,775.61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257,828,715.24</w:t>
            </w:r>
          </w:p>
        </w:tc>
      </w:tr>
    </w:tbl>
    <w:p>
      <w:pPr>
        <w:pStyle w:val="BodyText"/>
        <w:spacing w:line="357" w:lineRule="auto" w:before="51"/>
        <w:ind w:left="371" w:right="4563" w:hanging="218"/>
        <w:jc w:val="left"/>
      </w:pPr>
      <w:r>
        <w:rPr/>
        <w:t>盈余公积说明，包括本期增减变动情况、变动原因说明： 公司按净利润的</w:t>
      </w:r>
      <w:r>
        <w:rPr>
          <w:rFonts w:ascii="Times New Roman" w:hAnsi="Times New Roman" w:cs="Times New Roman" w:eastAsia="Times New Roman" w:hint="default"/>
        </w:rPr>
        <w:t>10%</w:t>
      </w:r>
      <w:r>
        <w:rPr/>
        <w:t>计提法定盈余公积，按净利润的</w:t>
      </w:r>
      <w:r>
        <w:rPr>
          <w:rFonts w:ascii="Times New Roman" w:hAnsi="Times New Roman" w:cs="Times New Roman" w:eastAsia="Times New Roman" w:hint="default"/>
        </w:rPr>
        <w:t>5%</w:t>
      </w:r>
      <w:r>
        <w:rPr/>
        <w:t>计提任意盈余公积。</w:t>
      </w:r>
    </w:p>
    <w:p>
      <w:pPr>
        <w:pStyle w:val="Heading3"/>
        <w:spacing w:line="240" w:lineRule="auto" w:before="59"/>
        <w:ind w:right="0"/>
        <w:jc w:val="left"/>
        <w:rPr>
          <w:b w:val="0"/>
          <w:bCs w:val="0"/>
        </w:rPr>
      </w:pPr>
      <w:r>
        <w:rPr>
          <w:rFonts w:ascii="Times New Roman" w:hAnsi="Times New Roman" w:cs="Times New Roman" w:eastAsia="Times New Roman" w:hint="default"/>
        </w:rPr>
        <w:t>36</w:t>
      </w:r>
      <w:r>
        <w:rPr/>
        <w:t>、未分配利润</w:t>
      </w:r>
      <w:r>
        <w:rPr>
          <w:b w:val="0"/>
          <w:bCs w:val="0"/>
        </w:rPr>
      </w:r>
    </w:p>
    <w:p>
      <w:pPr>
        <w:spacing w:line="240" w:lineRule="auto" w:before="5"/>
        <w:rPr>
          <w:rFonts w:ascii="宋体" w:hAnsi="宋体" w:cs="宋体" w:eastAsia="宋体" w:hint="default"/>
          <w:b/>
          <w:bCs/>
          <w:sz w:val="9"/>
          <w:szCs w:val="9"/>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13"/>
        <w:gridCol w:w="2924"/>
        <w:gridCol w:w="2918"/>
      </w:tblGrid>
      <w:tr>
        <w:trPr>
          <w:trHeight w:val="402" w:hRule="exact"/>
        </w:trPr>
        <w:tc>
          <w:tcPr>
            <w:tcW w:w="37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1,314,594,063.13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1,222,830,477.61</w:t>
            </w:r>
          </w:p>
        </w:tc>
      </w:tr>
      <w:tr>
        <w:trPr>
          <w:trHeight w:val="402" w:hRule="exact"/>
        </w:trPr>
        <w:tc>
          <w:tcPr>
            <w:tcW w:w="37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2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16,171,512.65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1,330,765,575.78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1,222,830,477.61</w:t>
            </w:r>
          </w:p>
        </w:tc>
      </w:tr>
      <w:tr>
        <w:trPr>
          <w:trHeight w:val="402" w:hRule="exact"/>
        </w:trPr>
        <w:tc>
          <w:tcPr>
            <w:tcW w:w="37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101,100,814.74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185,972,590.91</w:t>
            </w:r>
          </w:p>
        </w:tc>
      </w:tr>
      <w:tr>
        <w:trPr>
          <w:trHeight w:val="402" w:hRule="exact"/>
        </w:trPr>
        <w:tc>
          <w:tcPr>
            <w:tcW w:w="37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7,315,183.74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7,710,171.56</w:t>
            </w:r>
          </w:p>
        </w:tc>
      </w:tr>
      <w:tr>
        <w:trPr>
          <w:trHeight w:val="402" w:hRule="exact"/>
        </w:trPr>
        <w:tc>
          <w:tcPr>
            <w:tcW w:w="37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提取任意盈余公积</w:t>
            </w:r>
          </w:p>
        </w:tc>
        <w:tc>
          <w:tcPr>
            <w:tcW w:w="292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3,657,591.87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3,855,085.78</w:t>
            </w:r>
          </w:p>
        </w:tc>
      </w:tr>
      <w:tr>
        <w:trPr>
          <w:trHeight w:val="402" w:hRule="exact"/>
        </w:trPr>
        <w:tc>
          <w:tcPr>
            <w:tcW w:w="37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13" w:space="0" w:color="D3D3D3"/>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82,643,748.05</w:t>
            </w:r>
          </w:p>
        </w:tc>
      </w:tr>
      <w:tr>
        <w:trPr>
          <w:trHeight w:val="402" w:hRule="exact"/>
        </w:trPr>
        <w:tc>
          <w:tcPr>
            <w:tcW w:w="37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1,420,893,614.91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1,314,594,063.13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调整期初未分配利润明细：</w:t>
      </w:r>
    </w:p>
    <w:p>
      <w:pPr>
        <w:pStyle w:val="BodyText"/>
        <w:spacing w:line="240" w:lineRule="auto" w:before="116"/>
        <w:ind w:left="153"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left="153"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left="153"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left="153"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left="153"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37</w:t>
      </w:r>
      <w:r>
        <w:rPr/>
        <w:t>、营业收入和营业成本</w:t>
      </w:r>
      <w:r>
        <w:rPr>
          <w:b w:val="0"/>
          <w:bCs w:val="0"/>
        </w:rPr>
      </w:r>
    </w:p>
    <w:p>
      <w:pPr>
        <w:spacing w:line="240" w:lineRule="auto" w:before="6"/>
        <w:rPr>
          <w:rFonts w:ascii="宋体" w:hAnsi="宋体" w:cs="宋体" w:eastAsia="宋体" w:hint="default"/>
          <w:b/>
          <w:bCs/>
          <w:sz w:val="9"/>
          <w:szCs w:val="9"/>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201" w:hRule="exact"/>
        </w:trPr>
        <w:tc>
          <w:tcPr>
            <w:tcW w:w="1912" w:type="dxa"/>
            <w:tcBorders>
              <w:top w:val="single" w:sz="4" w:space="0" w:color="000000"/>
              <w:left w:val="single" w:sz="4" w:space="0" w:color="000000"/>
              <w:bottom w:val="nil" w:sz="6" w:space="0" w:color="auto"/>
              <w:right w:val="single" w:sz="4" w:space="0" w:color="000000"/>
            </w:tcBorders>
            <w:shd w:val="clear" w:color="auto" w:fill="D3D3D3"/>
          </w:tcPr>
          <w:p>
            <w:pPr/>
          </w:p>
        </w:tc>
        <w:tc>
          <w:tcPr>
            <w:tcW w:w="383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01" w:hRule="exact"/>
        </w:trPr>
        <w:tc>
          <w:tcPr>
            <w:tcW w:w="191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3D3D3"/>
          </w:tcPr>
          <w:p>
            <w:pPr/>
          </w:p>
        </w:tc>
        <w:tc>
          <w:tcPr>
            <w:tcW w:w="3828" w:type="dxa"/>
            <w:gridSpan w:val="2"/>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1912" w:type="dxa"/>
            <w:vMerge/>
            <w:tcBorders>
              <w:left w:val="single" w:sz="4" w:space="0" w:color="000000"/>
              <w:bottom w:val="nil" w:sz="6" w:space="0" w:color="auto"/>
              <w:right w:val="single" w:sz="4" w:space="0" w:color="000000"/>
            </w:tcBorders>
            <w:shd w:val="clear" w:color="auto" w:fill="D3D3D3"/>
          </w:tcPr>
          <w:p>
            <w:pPr/>
          </w:p>
        </w:tc>
        <w:tc>
          <w:tcPr>
            <w:tcW w:w="19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11" w:hRule="exact"/>
        </w:trPr>
        <w:tc>
          <w:tcPr>
            <w:tcW w:w="1912"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6"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9,359,484,848.18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8,576,204,608.39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9,546,043,182.45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8,701,640,005.96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87,135,538.87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63,614,131.15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110,065,972.82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62,512,033.45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9,446,620,387.05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8,639,818,739.54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9,656,109,155.27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8,764,152,039.41</w:t>
            </w:r>
          </w:p>
        </w:tc>
      </w:tr>
    </w:tbl>
    <w:p>
      <w:pPr>
        <w:pStyle w:val="BodyText"/>
        <w:spacing w:line="240" w:lineRule="auto" w:before="51"/>
        <w:ind w:right="0"/>
        <w:jc w:val="left"/>
      </w:pPr>
      <w:r>
        <w:rPr/>
        <w:t>是否已执行新收入准则</w:t>
      </w:r>
    </w:p>
    <w:p>
      <w:pPr>
        <w:pStyle w:val="BodyText"/>
        <w:spacing w:line="240" w:lineRule="auto" w:before="117"/>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38</w:t>
      </w:r>
      <w:r>
        <w:rPr/>
        <w:t>、税金及附加</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6,394,044.56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7,395,067.12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4,775,192.97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5,548,627.34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378,404.40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462,756.80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12,618,341.02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14,699,381.60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22,360,815.06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22,746,636.78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36,098.01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42,198.70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5,203,573.58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5,965,929.30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50,037.56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55,529.80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51,816,507.16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56,916,127.44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39</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26,636,163.89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28,312,512.53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64,685,861.79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72,610,340.78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18,218,044.53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26,868,395.96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26,440,896.87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24,282,868.29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21,041,204.27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14,772,793.42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仓储费用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283,151.67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792,927.73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外销费用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720,040.82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789,302.72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售后服务费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20,659,694.09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20,037,859.18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21,393,745.88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18,478,627.28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1,649,434.02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1,411,595.37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4,489,955.69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2,736,786.13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1,144,075.53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880,295.88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8,901,953.84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7,925,228.06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3,703,843.52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2,706,409.70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培训费用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130,412.13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2,750,638.25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1,056,761.28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2,548,370.03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221,155,239.82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227,904,951.31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40</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115,249,819.77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124,933,280.44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1,892,604.64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1,191,747.83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60,257,087.71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52,249,297.44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327,472.06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1,353,046.01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10,084,658.07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8,709,991.35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7,938,313.84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5,003,136.75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3,320,411.94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2,190,270.72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10,726,560.82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20,566,268.68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30,837,011.08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28,388,893.53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聘请中介机构费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7,273,693.71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3,478,663.26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仓库经费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290,554.71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431,092.41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低值易耗品摊销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655,368.21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496,195.76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13,180,560.99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13,932,106.31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22,267,869.10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21,402,736.06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4,064,729.74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4,873,325.70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4,040,125.79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3,597,454.09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292,406,842.18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292,797,506.34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41</w:t>
      </w:r>
      <w:r>
        <w:rPr/>
        <w:t>、研发费用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工资及附加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66,557,839.24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35,285,713.64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19,527,269.46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3,592,592.09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3,574.20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66,054.56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差旅费及汽车费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21,244,594.26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3,312,925.79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2,554,516.74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529,609.89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967,950.23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5,988.00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502,363.15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1,743,226.57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533,991.08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房屋租金及物业费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2,214,355.10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2,721,301.10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115,315,688.95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46,048,176.15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42</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227,884,211.77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211,564,568.56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11,445,760.34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7,099,070.57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3,660,776.91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192,959.28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2,607,819.63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749,069.40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票据贴现利息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39,629,619.26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47,907,617.61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12,219,046.00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8,908,169.65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269,340,073.97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260,725,175.13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43</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300"/>
        <w:gridCol w:w="1672"/>
        <w:gridCol w:w="1620"/>
      </w:tblGrid>
      <w:tr>
        <w:trPr>
          <w:trHeight w:val="402" w:hRule="exact"/>
        </w:trPr>
        <w:tc>
          <w:tcPr>
            <w:tcW w:w="6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16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c>
          <w:tcPr>
            <w:tcW w:w="167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企业搬迁补助</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40,967,452.02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29,393,536.38</w:t>
            </w:r>
          </w:p>
        </w:tc>
      </w:tr>
      <w:tr>
        <w:trPr>
          <w:trHeight w:val="403"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高档新型纤维面料项目开发补助</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124,992.00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124,992.00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300"/>
        <w:gridCol w:w="1672"/>
        <w:gridCol w:w="1620"/>
      </w:tblGrid>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提高自主创新能力及高新技术产业发展项目专项资金</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214,285.68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214,285.68</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重点产业振兴和技术改造项目专项资金</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1,035,714.36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1,035,714.36</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高档纱线公共实验检测平台</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20,000.04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20,000.04</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石家庄常山纺织股份有限公司技术中心项目专项资金</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14,500.00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14,500.00</w:t>
            </w:r>
          </w:p>
        </w:tc>
      </w:tr>
      <w:tr>
        <w:trPr>
          <w:trHeight w:val="714"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年度省协同创新与平台环境建设专项资金（广东智慧城市研究院产学研合 作项目）</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120,000.00</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年市战略性主导产业发展资金拟扶持新业态项目</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200,000.04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200,000.04</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年天河区配套大数据信息资源库核心技术开发及示范应用</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30,000.00</w:t>
            </w:r>
          </w:p>
        </w:tc>
      </w:tr>
      <w:tr>
        <w:trPr>
          <w:trHeight w:val="714"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年企业研发机构建设专项项目（广州市北明智慧城市信息资源集成技术研 究院）</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399,999.96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399,999.96</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年省级信息产业发展专项资金（电子政务公共服务云平台）</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50,000.00</w:t>
            </w:r>
          </w:p>
        </w:tc>
      </w:tr>
      <w:tr>
        <w:trPr>
          <w:trHeight w:val="714"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天河区</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年度科技计划经费补助（天河区配套</w:t>
            </w:r>
            <w:r>
              <w:rPr>
                <w:rFonts w:ascii="Times New Roman" w:hAnsi="Times New Roman" w:cs="Times New Roman" w:eastAsia="Times New Roman" w:hint="default"/>
                <w:sz w:val="18"/>
                <w:szCs w:val="18"/>
              </w:rPr>
              <w:t>-</w:t>
            </w:r>
            <w:r>
              <w:rPr>
                <w:rFonts w:ascii="宋体" w:hAnsi="宋体" w:cs="宋体" w:eastAsia="宋体" w:hint="default"/>
                <w:sz w:val="18"/>
                <w:szCs w:val="18"/>
              </w:rPr>
              <w:t>智慧城市跨领域协同的云服务 平台研发及示范应用）</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50,000.04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29,166.69</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年广东省应用型科技研发专项资金（视频大数据云平台研究以及应用）</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399,999.96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233,333.31</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年智慧广州专项资金（智慧城市信息资源统一管理和服务平台）</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171,428.52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99,999.97</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天河区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年度科技计划经费补助（面向移动端的政务协同服务平台）</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9,999.96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5,833.31</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年度广东省应用型科技研发专项资金</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500,000.04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291,666.69</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67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企业搬迁补助</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241,526,401.46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250,036,456.68</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出口信保补贴资金</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24,765.00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384,300.00</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杨普工作室</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112,000.00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新型制造生产线技术改造项目贴息资金</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600,000.00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工业企业技术改造贴息及补助资金</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1,700,000.00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多组分差别化纤维面料研发项目专项资金</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450,000.00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技术中心项目专项资金</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267,000.00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高档服装面料工程技术研究中心经费</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80,000.00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仿麻弹力竹节布和仿竹节弹力提花布的研发项目</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400,000.00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领军人物项目</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200,000.00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院士工作站项目</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200,000.00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年工业转型升级（技改）专项资金（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先进制造业</w:t>
            </w:r>
            <w:r>
              <w:rPr>
                <w:rFonts w:ascii="Times New Roman" w:hAnsi="Times New Roman" w:cs="Times New Roman" w:eastAsia="Times New Roman" w:hint="default"/>
                <w:sz w:val="18"/>
                <w:szCs w:val="18"/>
              </w:rPr>
              <w:t>"</w:t>
            </w:r>
            <w:r>
              <w:rPr>
                <w:rFonts w:ascii="宋体" w:hAnsi="宋体" w:cs="宋体" w:eastAsia="宋体" w:hint="default"/>
                <w:sz w:val="18"/>
                <w:szCs w:val="18"/>
              </w:rPr>
              <w:t>模式应用）</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残疾人补助金</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3,750.00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年园区招商引资补贴</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361,576.65</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研发费用补助</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150,000.00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数字经济补助</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天河区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年四季度规模以上软件企业营收增长支持专项</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466,200.00</w:t>
            </w: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300"/>
        <w:gridCol w:w="1672"/>
        <w:gridCol w:w="1620"/>
      </w:tblGrid>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广州市商务发展专项资金服务外包项目</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79,500.00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年天河区产业发展专项资金支持高端服务业发展</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250,000.00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天河区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年一季度规模以上软件企业营收增长专项</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750,000.00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天河区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年二季度规模以上软件企业营收增长专项</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709,700.00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天河区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年三季度规模以上软件企业营收增长专项</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255,200.00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年企业研发支出财政补助</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224,500.00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新兴产业企业发展扶持资金</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229,700.00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年市级水利专项资金</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200,000.00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知识产权专项资金</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116,838.11</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石家庄商务局款</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石家庄市长安区市场监督管理局专利资助资金</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4,500.00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新疆运费补贴</w:t>
            </w:r>
          </w:p>
        </w:tc>
        <w:tc>
          <w:tcPr>
            <w:tcW w:w="167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63,300.00</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收石家庄市长安区人民政府办公室补偿金</w:t>
            </w:r>
          </w:p>
        </w:tc>
        <w:tc>
          <w:tcPr>
            <w:tcW w:w="167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247,453.00</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年房产税、土地税减免</w:t>
            </w:r>
          </w:p>
        </w:tc>
        <w:tc>
          <w:tcPr>
            <w:tcW w:w="167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549,517.12</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年房产税、土地税减免</w:t>
            </w:r>
          </w:p>
        </w:tc>
        <w:tc>
          <w:tcPr>
            <w:tcW w:w="167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568,294.08</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年度专利申请资助资金</w:t>
            </w:r>
          </w:p>
        </w:tc>
        <w:tc>
          <w:tcPr>
            <w:tcW w:w="167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4,000.00</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提升国际化经营能力项目补贴款</w:t>
            </w:r>
          </w:p>
        </w:tc>
        <w:tc>
          <w:tcPr>
            <w:tcW w:w="167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19,400.00</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收高新区科技局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年度专利申请资助资金</w:t>
            </w:r>
          </w:p>
        </w:tc>
        <w:tc>
          <w:tcPr>
            <w:tcW w:w="167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石家庄市长安区财政集中支付中心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年专利资助资金</w:t>
            </w:r>
          </w:p>
        </w:tc>
        <w:tc>
          <w:tcPr>
            <w:tcW w:w="167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2,500.00</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904,321.90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3,381,548.80</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年中央外经贸发展专项资金</w:t>
            </w:r>
          </w:p>
        </w:tc>
        <w:tc>
          <w:tcPr>
            <w:tcW w:w="167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5,100.00</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香洲区科工信局拨付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年度省企业研究开发省级财政补助资金</w:t>
            </w:r>
          </w:p>
        </w:tc>
        <w:tc>
          <w:tcPr>
            <w:tcW w:w="167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132,500.00</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省科技惠民专项资金</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20,855.65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20,855.81</w:t>
            </w:r>
          </w:p>
        </w:tc>
      </w:tr>
      <w:tr>
        <w:trPr>
          <w:trHeight w:val="714"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年市级中小企业创业补助资金（基于</w:t>
            </w:r>
            <w:r>
              <w:rPr>
                <w:rFonts w:ascii="宋体" w:hAnsi="宋体" w:cs="宋体" w:eastAsia="宋体" w:hint="default"/>
                <w:spacing w:val="-59"/>
                <w:sz w:val="18"/>
                <w:szCs w:val="18"/>
              </w:rPr>
              <w:t> </w:t>
            </w:r>
            <w:r>
              <w:rPr>
                <w:rFonts w:ascii="Times New Roman" w:hAnsi="Times New Roman" w:cs="Times New Roman" w:eastAsia="Times New Roman" w:hint="default"/>
                <w:spacing w:val="-3"/>
                <w:sz w:val="18"/>
                <w:szCs w:val="18"/>
              </w:rPr>
              <w:t>SAAS</w:t>
            </w:r>
            <w:r>
              <w:rPr>
                <w:rFonts w:ascii="宋体" w:hAnsi="宋体" w:cs="宋体" w:eastAsia="宋体" w:hint="default"/>
                <w:spacing w:val="-3"/>
                <w:sz w:val="18"/>
                <w:szCs w:val="18"/>
              </w:rPr>
              <w:t>（云计算应用技术）运营模式的</w:t>
            </w:r>
            <w:r>
              <w:rPr>
                <w:rFonts w:ascii="宋体" w:hAnsi="宋体" w:cs="宋体" w:eastAsia="宋体" w:hint="default"/>
                <w:sz w:val="18"/>
                <w:szCs w:val="18"/>
              </w:rPr>
              <w:t> 数字民政综合管理信息平台）</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15,165.36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15,165.36</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年市级科技型中小企业创新发展验收资金</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11,408.17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11,407.97</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年省级信息公共服务平台和两化融合奖励资金</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41,968.41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41,967.90</w:t>
            </w:r>
          </w:p>
        </w:tc>
      </w:tr>
      <w:tr>
        <w:trPr>
          <w:trHeight w:val="714"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年临沂市科技惠民计划专项资金（以基于大数据应用技术的居家养老信息 管理平台建设）</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37,101.36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37,101.99</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年市级信息产业发展专项资金</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24,064.63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37,241.24</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年省科技型中小企业技术创新发展专项扶持资金</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12,534.99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36,332.01</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年国家第一批科技型中小企业技术创新基金</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26,090.40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38,373.08</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5,171,874.19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6,870,384.53</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年度省企业研究开发省级财政补助项目</w:t>
            </w:r>
          </w:p>
        </w:tc>
        <w:tc>
          <w:tcPr>
            <w:tcW w:w="167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1,207,100.00</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天河区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年一季度规模以上软件企业营收增长支持专项</w:t>
            </w:r>
          </w:p>
        </w:tc>
        <w:tc>
          <w:tcPr>
            <w:tcW w:w="167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300"/>
        <w:gridCol w:w="1672"/>
        <w:gridCol w:w="1620"/>
      </w:tblGrid>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已整改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年科技创新政策支持产业发展专项</w:t>
            </w:r>
          </w:p>
        </w:tc>
        <w:tc>
          <w:tcPr>
            <w:tcW w:w="167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120,000.00</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年市企业创新能力建设计划企业研发后补助</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674,000.00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674,000.00</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天河区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年规模以上软件企业营收增长支持专项</w:t>
            </w:r>
            <w:r>
              <w:rPr>
                <w:rFonts w:ascii="Times New Roman" w:hAnsi="Times New Roman" w:cs="Times New Roman" w:eastAsia="Times New Roman" w:hint="default"/>
                <w:sz w:val="18"/>
                <w:szCs w:val="18"/>
              </w:rPr>
              <w:t>(</w:t>
            </w:r>
            <w:r>
              <w:rPr>
                <w:rFonts w:ascii="宋体" w:hAnsi="宋体" w:cs="宋体" w:eastAsia="宋体" w:hint="default"/>
                <w:sz w:val="18"/>
                <w:szCs w:val="18"/>
              </w:rPr>
              <w:t>三季度</w:t>
            </w:r>
            <w:r>
              <w:rPr>
                <w:rFonts w:ascii="Times New Roman" w:hAnsi="Times New Roman" w:cs="Times New Roman" w:eastAsia="Times New Roman" w:hint="default"/>
                <w:sz w:val="18"/>
                <w:szCs w:val="18"/>
              </w:rPr>
              <w:t>)</w:t>
            </w:r>
          </w:p>
        </w:tc>
        <w:tc>
          <w:tcPr>
            <w:tcW w:w="167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750,000.00</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香洲区科工信局拨珠海市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年通过认定的高新技术产品补助资金</w:t>
            </w:r>
          </w:p>
        </w:tc>
        <w:tc>
          <w:tcPr>
            <w:tcW w:w="167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年广州市商务发展专项资金服务贸易和服务外包</w:t>
            </w:r>
          </w:p>
        </w:tc>
        <w:tc>
          <w:tcPr>
            <w:tcW w:w="167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年天河区支持高端服务业发展专项支持资金</w:t>
            </w:r>
          </w:p>
        </w:tc>
        <w:tc>
          <w:tcPr>
            <w:tcW w:w="167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125,000.00</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年天河区企业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R&amp;D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投入支持专项</w:t>
            </w:r>
          </w:p>
        </w:tc>
        <w:tc>
          <w:tcPr>
            <w:tcW w:w="1672"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212,100.00</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代扣代缴个人所得税手续费</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316,538.68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39,764.00</w:t>
            </w: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111,149.76</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302,607,077.34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298,754,692.00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44</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97"/>
        <w:gridCol w:w="2712"/>
        <w:gridCol w:w="2520"/>
      </w:tblGrid>
      <w:tr>
        <w:trPr>
          <w:trHeight w:val="402" w:hRule="exact"/>
        </w:trPr>
        <w:tc>
          <w:tcPr>
            <w:tcW w:w="42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0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2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7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-5,102,958.51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-8,806.14</w:t>
            </w:r>
          </w:p>
        </w:tc>
      </w:tr>
      <w:tr>
        <w:trPr>
          <w:trHeight w:val="402" w:hRule="exact"/>
        </w:trPr>
        <w:tc>
          <w:tcPr>
            <w:tcW w:w="42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其他权益工具投资在持有期间取得的股利收入</w:t>
            </w:r>
          </w:p>
        </w:tc>
        <w:tc>
          <w:tcPr>
            <w:tcW w:w="271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4,070,137.60</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2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2712" w:type="dxa"/>
            <w:tcBorders>
              <w:top w:val="single" w:sz="4" w:space="0" w:color="000000"/>
              <w:left w:val="single" w:sz="10" w:space="0" w:color="D3D3D3"/>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2,035,068.80</w:t>
            </w:r>
          </w:p>
        </w:tc>
      </w:tr>
      <w:tr>
        <w:trPr>
          <w:trHeight w:val="402"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12"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2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-1,032,820.91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2,026,262.66</w:t>
            </w:r>
          </w:p>
        </w:tc>
      </w:tr>
    </w:tbl>
    <w:p>
      <w:pPr>
        <w:pStyle w:val="BodyText"/>
        <w:spacing w:line="240" w:lineRule="auto" w:before="52"/>
        <w:ind w:right="0"/>
        <w:jc w:val="left"/>
      </w:pPr>
      <w:r>
        <w:rPr/>
        <w:t>其他说明：</w:t>
      </w:r>
    </w:p>
    <w:p>
      <w:pPr>
        <w:spacing w:line="240" w:lineRule="auto" w:before="0"/>
        <w:rPr>
          <w:rFonts w:ascii="宋体" w:hAnsi="宋体" w:cs="宋体" w:eastAsia="宋体" w:hint="default"/>
          <w:sz w:val="15"/>
          <w:szCs w:val="15"/>
        </w:rPr>
      </w:pPr>
    </w:p>
    <w:p>
      <w:pPr>
        <w:pStyle w:val="BodyText"/>
        <w:spacing w:line="300" w:lineRule="auto"/>
        <w:ind w:left="153" w:right="1117" w:firstLine="290"/>
        <w:jc w:val="left"/>
      </w:pPr>
      <w:r>
        <w:rPr>
          <w:spacing w:val="-1"/>
        </w:rPr>
        <w:t>本期公司收购北京英特莱技术公司持有的赛孚纺织</w:t>
      </w:r>
      <w:r>
        <w:rPr>
          <w:rFonts w:ascii="Times New Roman" w:hAnsi="Times New Roman" w:cs="Times New Roman" w:eastAsia="Times New Roman" w:hint="default"/>
          <w:spacing w:val="-1"/>
        </w:rPr>
        <w:t>51.67%</w:t>
      </w:r>
      <w:r>
        <w:rPr>
          <w:spacing w:val="-1"/>
        </w:rPr>
        <w:t>股权后，赛孚纺织成为公司全资子公司，公司对其改按成本法</w:t>
      </w:r>
      <w:r>
        <w:rPr/>
        <w:t> 核算。</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45</w:t>
      </w:r>
      <w:r>
        <w:rPr/>
        <w:t>、信用减值损失</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8"/>
        <w:gridCol w:w="3190"/>
        <w:gridCol w:w="3190"/>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-7,971,867.94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-62,493,391.40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-70,465,259.34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46</w:t>
      </w:r>
      <w:r>
        <w:rPr/>
        <w:t>、资产减值损失</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0"/>
        </w:sectPr>
      </w:pPr>
    </w:p>
    <w:p>
      <w:pPr>
        <w:pStyle w:val="BodyText"/>
        <w:spacing w:line="240" w:lineRule="auto" w:before="44"/>
        <w:ind w:right="-20"/>
        <w:jc w:val="left"/>
      </w:pPr>
      <w:r>
        <w:rPr/>
        <w:t>是否已执行新收入准则</w:t>
      </w:r>
    </w:p>
    <w:p>
      <w:pPr>
        <w:pStyle w:val="BodyText"/>
        <w:spacing w:line="240" w:lineRule="auto" w:before="117"/>
        <w:ind w:left="153" w:right="-20"/>
        <w:jc w:val="left"/>
      </w:pPr>
      <w:r>
        <w:rPr/>
        <w:t>□ 是 √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0"/>
          <w:cols w:num="2" w:equalWidth="0">
            <w:col w:w="1955" w:space="6874"/>
            <w:col w:w="2101"/>
          </w:cols>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5" w:type="dxa"/>
            <w:tcBorders>
              <w:top w:val="single" w:sz="4" w:space="0" w:color="000000"/>
              <w:left w:val="single" w:sz="13" w:space="0" w:color="D3D3D3"/>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-51,742,878.61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-17,461,423.41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-6,047,653.16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5" w:type="dxa"/>
            <w:tcBorders>
              <w:top w:val="single" w:sz="4" w:space="0" w:color="000000"/>
              <w:left w:val="single" w:sz="13" w:space="0" w:color="D3D3D3"/>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-197,245.07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-8,644.52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-8,801,143.75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-406,642.82</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-20,483,881.57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-21,499,120.15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-38,360,592.32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-88,288,040.74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47</w:t>
      </w:r>
      <w:r>
        <w:rPr/>
        <w:t>、资产处置收益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49,635,276.81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-4,186,397.14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-1,520,073.44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-4,186,397.14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2"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51,155,350.25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48</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161" w:hRule="exact"/>
        </w:trPr>
        <w:tc>
          <w:tcPr>
            <w:tcW w:w="2389"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5"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8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89"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3,757,082.00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2,213,171.00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3,757,082.00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无需支付的股权转让款</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35,918,100.00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61,005,100.00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35,918,100.00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违约金及罚没收入</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613,832.73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613,832.73</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758,739.15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410,667.32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758,739.15</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41,047,753.88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63,628,938.32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41,047,753.88</w:t>
            </w:r>
          </w:p>
        </w:tc>
      </w:tr>
    </w:tbl>
    <w:p>
      <w:pPr>
        <w:pStyle w:val="BodyText"/>
        <w:spacing w:line="240" w:lineRule="auto" w:before="51"/>
        <w:ind w:right="0"/>
        <w:jc w:val="left"/>
      </w:pPr>
      <w:r>
        <w:rPr/>
        <w:t>计入当期损益的政府补助：</w:t>
      </w:r>
    </w:p>
    <w:p>
      <w:pPr>
        <w:pStyle w:val="BodyText"/>
        <w:spacing w:line="240" w:lineRule="auto" w:before="116"/>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3"/>
        <w:gridCol w:w="1063"/>
        <w:gridCol w:w="1063"/>
        <w:gridCol w:w="1063"/>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358"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03"/>
              <w:jc w:val="center"/>
              <w:rPr>
                <w:rFonts w:ascii="宋体" w:hAnsi="宋体" w:cs="宋体" w:eastAsia="宋体" w:hint="default"/>
                <w:sz w:val="18"/>
                <w:szCs w:val="18"/>
              </w:rPr>
            </w:pPr>
            <w:r>
              <w:rPr>
                <w:rFonts w:ascii="宋体" w:hAnsi="宋体" w:cs="宋体" w:eastAsia="宋体" w:hint="default"/>
                <w:sz w:val="18"/>
                <w:szCs w:val="18"/>
              </w:rPr>
              <w:t>因从事国家</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66"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3"/>
              <w:jc w:val="center"/>
              <w:rPr>
                <w:rFonts w:ascii="宋体" w:hAnsi="宋体" w:cs="宋体" w:eastAsia="宋体" w:hint="default"/>
                <w:sz w:val="18"/>
                <w:szCs w:val="18"/>
              </w:rPr>
            </w:pPr>
            <w:r>
              <w:rPr>
                <w:rFonts w:ascii="宋体" w:hAnsi="宋体" w:cs="宋体" w:eastAsia="宋体" w:hint="default"/>
                <w:sz w:val="18"/>
                <w:szCs w:val="18"/>
              </w:rPr>
              <w:t>鼓励和扶持</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安全生产三</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北京市海淀</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特定行业</w:t>
            </w:r>
            <w:r>
              <w:rPr>
                <w:rFonts w:ascii="宋体" w:hAnsi="宋体" w:cs="宋体" w:eastAsia="宋体" w:hint="default"/>
                <w:spacing w:val="-74"/>
                <w:sz w:val="18"/>
                <w:szCs w:val="18"/>
              </w:rPr>
              <w:t>、</w:t>
            </w:r>
            <w:r>
              <w:rPr>
                <w:rFonts w:ascii="宋体" w:hAnsi="宋体" w:cs="宋体" w:eastAsia="宋体" w:hint="default"/>
                <w:sz w:val="18"/>
                <w:szCs w:val="18"/>
              </w:rPr>
              <w:t>产</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级证书政府</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区人民政府</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3"/>
              <w:jc w:val="center"/>
              <w:rPr>
                <w:rFonts w:ascii="宋体" w:hAnsi="宋体" w:cs="宋体" w:eastAsia="宋体" w:hint="default"/>
                <w:sz w:val="18"/>
                <w:szCs w:val="18"/>
              </w:rPr>
            </w:pPr>
            <w:r>
              <w:rPr>
                <w:rFonts w:ascii="宋体" w:hAnsi="宋体" w:cs="宋体" w:eastAsia="宋体" w:hint="default"/>
                <w:sz w:val="18"/>
                <w:szCs w:val="18"/>
              </w:rPr>
              <w:t>业而获得的</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398" w:right="0"/>
              <w:jc w:val="left"/>
              <w:rPr>
                <w:rFonts w:ascii="Times New Roman" w:hAnsi="Times New Roman" w:cs="Times New Roman" w:eastAsia="Times New Roman" w:hint="default"/>
                <w:sz w:val="18"/>
                <w:szCs w:val="18"/>
              </w:rPr>
            </w:pPr>
            <w:r>
              <w:rPr>
                <w:rFonts w:ascii="Times New Roman"/>
                <w:sz w:val="18"/>
              </w:rPr>
              <w:t>2,000.00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8"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办公室</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 w:right="0"/>
              <w:jc w:val="center"/>
              <w:rPr>
                <w:rFonts w:ascii="宋体" w:hAnsi="宋体" w:cs="宋体" w:eastAsia="宋体" w:hint="default"/>
                <w:sz w:val="18"/>
                <w:szCs w:val="18"/>
              </w:rPr>
            </w:pPr>
            <w:r>
              <w:rPr>
                <w:rFonts w:ascii="宋体" w:hAnsi="宋体" w:cs="宋体" w:eastAsia="宋体" w:hint="default"/>
                <w:sz w:val="18"/>
                <w:szCs w:val="18"/>
              </w:rPr>
              <w:t>补</w:t>
            </w:r>
            <w:r>
              <w:rPr>
                <w:rFonts w:ascii="宋体" w:hAnsi="宋体" w:cs="宋体" w:eastAsia="宋体" w:hint="default"/>
                <w:spacing w:val="-74"/>
                <w:sz w:val="18"/>
                <w:szCs w:val="18"/>
              </w:rPr>
              <w:t>助</w:t>
            </w:r>
            <w:r>
              <w:rPr>
                <w:rFonts w:ascii="宋体" w:hAnsi="宋体" w:cs="宋体" w:eastAsia="宋体" w:hint="default"/>
                <w:sz w:val="18"/>
                <w:szCs w:val="18"/>
              </w:rPr>
              <w:t>（按国家</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66"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3"/>
              <w:jc w:val="center"/>
              <w:rPr>
                <w:rFonts w:ascii="宋体" w:hAnsi="宋体" w:cs="宋体" w:eastAsia="宋体" w:hint="default"/>
                <w:sz w:val="18"/>
                <w:szCs w:val="18"/>
              </w:rPr>
            </w:pPr>
            <w:r>
              <w:rPr>
                <w:rFonts w:ascii="宋体" w:hAnsi="宋体" w:cs="宋体" w:eastAsia="宋体" w:hint="default"/>
                <w:sz w:val="18"/>
                <w:szCs w:val="18"/>
              </w:rPr>
              <w:t>级政策规定</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03"/>
              <w:jc w:val="center"/>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69.640015pt;margin-top:299.899994pt;width:52.7pt;height:23.4pt;mso-position-horizontal-relative:page;mso-position-vertical-relative:page;z-index:-1362208" coordorigin="5393,5998" coordsize="1054,468">
            <v:shape style="position:absolute;left:5393;top:5998;width:1054;height:468" coordorigin="5393,5998" coordsize="1054,468" path="m5393,6466l6446,6466,6446,5998,5393,5998,5393,6466xe" filled="true" fillcolor="#ffffff" stroked="false">
              <v:path arrowok="t"/>
              <v:fill type="solid"/>
            </v:shape>
            <w10:wrap type="none"/>
          </v:group>
        </w:pict>
      </w:r>
      <w:r>
        <w:rPr/>
        <w:pict>
          <v:group style="position:absolute;margin-left:269.640015pt;margin-top:594.200012pt;width:52.7pt;height:23.4pt;mso-position-horizontal-relative:page;mso-position-vertical-relative:page;z-index:-1362184" coordorigin="5393,11884" coordsize="1054,468">
            <v:shape style="position:absolute;left:5393;top:11884;width:1054;height:468" coordorigin="5393,11884" coordsize="1054,468" path="m5393,12352l6446,12352,6446,11884,5393,11884,5393,12352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3"/>
        <w:gridCol w:w="1063"/>
        <w:gridCol w:w="1063"/>
        <w:gridCol w:w="1063"/>
        <w:gridCol w:w="1062"/>
        <w:gridCol w:w="1063"/>
      </w:tblGrid>
      <w:tr>
        <w:trPr>
          <w:trHeight w:val="357"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因从事国家</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1560"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新兴产业和 创新创业相 关政策奖励 补贴</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27"/>
              <w:jc w:val="both"/>
              <w:rPr>
                <w:rFonts w:ascii="宋体" w:hAnsi="宋体" w:cs="宋体" w:eastAsia="宋体" w:hint="default"/>
                <w:sz w:val="18"/>
                <w:szCs w:val="18"/>
              </w:rPr>
            </w:pPr>
            <w:r>
              <w:rPr>
                <w:rFonts w:ascii="宋体" w:hAnsi="宋体" w:cs="宋体" w:eastAsia="宋体" w:hint="default"/>
                <w:sz w:val="18"/>
                <w:szCs w:val="18"/>
              </w:rPr>
              <w:t>武汉市东湖 新技术开发 区财政局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因从事国家</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66"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鼓励和扶持</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00" w:lineRule="auto"/>
              <w:ind w:left="22" w:right="127"/>
              <w:jc w:val="left"/>
              <w:rPr>
                <w:rFonts w:ascii="宋体" w:hAnsi="宋体" w:cs="宋体" w:eastAsia="宋体" w:hint="default"/>
                <w:sz w:val="18"/>
                <w:szCs w:val="18"/>
              </w:rPr>
            </w:pPr>
            <w:r>
              <w:rPr>
                <w:rFonts w:ascii="Times New Roman" w:hAnsi="Times New Roman" w:cs="Times New Roman" w:eastAsia="Times New Roman" w:hint="default"/>
                <w:sz w:val="18"/>
                <w:szCs w:val="18"/>
              </w:rPr>
              <w:t>CMMI</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资质 奖励</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天河科技园 管委会</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3" w:hRule="exact"/>
        </w:trPr>
        <w:tc>
          <w:tcPr>
            <w:tcW w:w="1066"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级政策规定</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因研究开发</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25"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31"/>
              <w:jc w:val="left"/>
              <w:rPr>
                <w:rFonts w:ascii="宋体" w:hAnsi="宋体" w:cs="宋体" w:eastAsia="宋体" w:hint="default"/>
                <w:sz w:val="18"/>
                <w:szCs w:val="18"/>
              </w:rPr>
            </w:pPr>
            <w:r>
              <w:rPr>
                <w:rFonts w:ascii="宋体" w:hAnsi="宋体" w:cs="宋体" w:eastAsia="宋体" w:hint="default"/>
                <w:sz w:val="18"/>
                <w:szCs w:val="18"/>
              </w:rPr>
              <w:t>软件著作权 资质奖励</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27"/>
              <w:jc w:val="left"/>
              <w:rPr>
                <w:rFonts w:ascii="宋体" w:hAnsi="宋体" w:cs="宋体" w:eastAsia="宋体" w:hint="default"/>
                <w:sz w:val="18"/>
                <w:szCs w:val="18"/>
              </w:rPr>
            </w:pPr>
            <w:r>
              <w:rPr>
                <w:rFonts w:ascii="宋体" w:hAnsi="宋体" w:cs="宋体" w:eastAsia="宋体" w:hint="default"/>
                <w:sz w:val="18"/>
                <w:szCs w:val="18"/>
              </w:rPr>
              <w:t>天河科技园 管委会</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27"/>
              <w:jc w:val="left"/>
              <w:rPr>
                <w:rFonts w:ascii="宋体" w:hAnsi="宋体" w:cs="宋体" w:eastAsia="宋体" w:hint="default"/>
                <w:sz w:val="18"/>
                <w:szCs w:val="18"/>
              </w:rPr>
            </w:pPr>
            <w:r>
              <w:rPr>
                <w:rFonts w:ascii="宋体" w:hAnsi="宋体" w:cs="宋体" w:eastAsia="宋体" w:hint="default"/>
                <w:sz w:val="18"/>
                <w:szCs w:val="18"/>
              </w:rPr>
              <w:t>技术更新及 改造等获得</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54,000.00</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6"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的补助</w:t>
            </w: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因从事国家</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66"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鼓励和扶持</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企业贡献奖</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天河科技园 管委会</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2"/>
              <w:jc w:val="right"/>
              <w:rPr>
                <w:rFonts w:ascii="Times New Roman" w:hAnsi="Times New Roman" w:cs="Times New Roman" w:eastAsia="Times New Roman" w:hint="default"/>
                <w:sz w:val="18"/>
                <w:szCs w:val="18"/>
              </w:rPr>
            </w:pPr>
            <w:r>
              <w:rPr>
                <w:rFonts w:ascii="Times New Roman"/>
                <w:spacing w:val="-1"/>
                <w:sz w:val="18"/>
              </w:rPr>
              <w:t>1,750,000.00</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1"/>
              <w:jc w:val="right"/>
              <w:rPr>
                <w:rFonts w:ascii="Times New Roman" w:hAnsi="Times New Roman" w:cs="Times New Roman" w:eastAsia="Times New Roman" w:hint="default"/>
                <w:sz w:val="18"/>
                <w:szCs w:val="18"/>
              </w:rPr>
            </w:pPr>
            <w:r>
              <w:rPr>
                <w:rFonts w:ascii="Times New Roman"/>
                <w:spacing w:val="-1"/>
                <w:sz w:val="18"/>
              </w:rPr>
              <w:t>1,875,000.00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3" w:hRule="exact"/>
        </w:trPr>
        <w:tc>
          <w:tcPr>
            <w:tcW w:w="1066"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级政策规定</w:t>
            </w: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因从事国家</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1560"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2" w:lineRule="auto"/>
              <w:ind w:left="22" w:right="86"/>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年度高 新技术企业 认定奖补项 目拟立项</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广州市科技 创新委员会</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120,000.00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因研究开发</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51"/>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625"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31"/>
              <w:jc w:val="left"/>
              <w:rPr>
                <w:rFonts w:ascii="宋体" w:hAnsi="宋体" w:cs="宋体" w:eastAsia="宋体" w:hint="default"/>
                <w:sz w:val="18"/>
                <w:szCs w:val="18"/>
              </w:rPr>
            </w:pPr>
            <w:r>
              <w:rPr>
                <w:rFonts w:ascii="宋体" w:hAnsi="宋体" w:cs="宋体" w:eastAsia="宋体" w:hint="default"/>
                <w:sz w:val="18"/>
                <w:szCs w:val="18"/>
              </w:rPr>
              <w:t>服务外包奖 励</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27"/>
              <w:jc w:val="left"/>
              <w:rPr>
                <w:rFonts w:ascii="宋体" w:hAnsi="宋体" w:cs="宋体" w:eastAsia="宋体" w:hint="default"/>
                <w:sz w:val="18"/>
                <w:szCs w:val="18"/>
              </w:rPr>
            </w:pPr>
            <w:r>
              <w:rPr>
                <w:rFonts w:ascii="宋体" w:hAnsi="宋体" w:cs="宋体" w:eastAsia="宋体" w:hint="default"/>
                <w:sz w:val="18"/>
                <w:szCs w:val="18"/>
              </w:rPr>
              <w:t>天河科技园 管委会</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27"/>
              <w:jc w:val="left"/>
              <w:rPr>
                <w:rFonts w:ascii="宋体" w:hAnsi="宋体" w:cs="宋体" w:eastAsia="宋体" w:hint="default"/>
                <w:sz w:val="18"/>
                <w:szCs w:val="18"/>
              </w:rPr>
            </w:pPr>
            <w:r>
              <w:rPr>
                <w:rFonts w:ascii="宋体" w:hAnsi="宋体" w:cs="宋体" w:eastAsia="宋体" w:hint="default"/>
                <w:sz w:val="18"/>
                <w:szCs w:val="18"/>
              </w:rPr>
              <w:t>技术更新及 改造等获得</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143,804.00</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64,171.00</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6"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的补助</w:t>
            </w: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因从事国家</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1247"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309" w:lineRule="auto" w:before="146"/>
              <w:ind w:left="22" w:right="86"/>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年度总 部经济奖励 项目</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广州市天河 区财政局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1,609,278.00</w:t>
            </w: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8"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级政策规定</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3"/>
        <w:gridCol w:w="1063"/>
        <w:gridCol w:w="1063"/>
        <w:gridCol w:w="1063"/>
        <w:gridCol w:w="1062"/>
        <w:gridCol w:w="1063"/>
      </w:tblGrid>
      <w:tr>
        <w:trPr>
          <w:trHeight w:val="362"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066"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因从事国家</w:t>
            </w: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2"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r>
      <w:tr>
        <w:trPr>
          <w:trHeight w:val="1560"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2" w:lineRule="auto"/>
              <w:ind w:left="22" w:right="86"/>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年度高 新技术企业 认定通过奖 励</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27"/>
              <w:jc w:val="both"/>
              <w:rPr>
                <w:rFonts w:ascii="宋体" w:hAnsi="宋体" w:cs="宋体" w:eastAsia="宋体" w:hint="default"/>
                <w:sz w:val="18"/>
                <w:szCs w:val="18"/>
              </w:rPr>
            </w:pPr>
            <w:r>
              <w:rPr>
                <w:rFonts w:ascii="宋体" w:hAnsi="宋体" w:cs="宋体" w:eastAsia="宋体" w:hint="default"/>
                <w:sz w:val="18"/>
                <w:szCs w:val="18"/>
              </w:rPr>
              <w:t>广州市财政 局国库支付 分局</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0"/>
              <w:jc w:val="left"/>
              <w:rPr>
                <w:rFonts w:ascii="宋体" w:hAnsi="宋体" w:cs="宋体" w:eastAsia="宋体" w:hint="default"/>
                <w:sz w:val="18"/>
                <w:szCs w:val="18"/>
              </w:rPr>
            </w:pPr>
            <w:r>
              <w:rPr>
                <w:rFonts w:ascii="宋体" w:hAnsi="宋体" w:cs="宋体" w:eastAsia="宋体" w:hint="default"/>
                <w:sz w:val="18"/>
                <w:szCs w:val="18"/>
              </w:rPr>
              <w:t>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200,000.00</w:t>
            </w:r>
          </w:p>
        </w:tc>
        <w:tc>
          <w:tcPr>
            <w:tcW w:w="1062"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066"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依法取得）</w:t>
            </w: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2"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3,757,082.00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2,213,171.00</w:t>
            </w: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pStyle w:val="BodyText"/>
        <w:spacing w:line="300" w:lineRule="auto" w:before="116"/>
        <w:ind w:left="153" w:right="1131" w:firstLine="300"/>
        <w:jc w:val="both"/>
      </w:pPr>
      <w:r>
        <w:rPr>
          <w:spacing w:val="-1"/>
        </w:rPr>
        <w:t>无需支付的股权转让款为金实盈信在</w:t>
      </w:r>
      <w:r>
        <w:rPr>
          <w:rFonts w:ascii="Times New Roman" w:hAnsi="Times New Roman" w:cs="Times New Roman" w:eastAsia="Times New Roman" w:hint="default"/>
          <w:spacing w:val="-1"/>
        </w:rPr>
        <w:t>2019</w:t>
      </w:r>
      <w:r>
        <w:rPr>
          <w:spacing w:val="-1"/>
        </w:rPr>
        <w:t>年业绩承诺期满时，未能完成其累计业绩承诺，根据北明软件与交易对手签订</w:t>
      </w:r>
      <w:r>
        <w:rPr/>
        <w:t> </w:t>
      </w:r>
      <w:r>
        <w:rPr>
          <w:spacing w:val="-2"/>
        </w:rPr>
        <w:t>的《关于北京金实盈信科技有限公司之股权转让协议》相关条款计算确定的最终股权转让款为</w:t>
      </w:r>
      <w:r>
        <w:rPr>
          <w:rFonts w:ascii="Times New Roman" w:hAnsi="Times New Roman" w:cs="Times New Roman" w:eastAsia="Times New Roman" w:hint="default"/>
          <w:spacing w:val="-2"/>
        </w:rPr>
        <w:t>14,388.19</w:t>
      </w:r>
      <w:r>
        <w:rPr>
          <w:spacing w:val="-2"/>
        </w:rPr>
        <w:t>万元，与初始股权转</w:t>
      </w:r>
      <w:r>
        <w:rPr>
          <w:spacing w:val="-58"/>
        </w:rPr>
        <w:t> </w:t>
      </w:r>
      <w:r>
        <w:rPr>
          <w:spacing w:val="-58"/>
        </w:rPr>
      </w:r>
      <w:r>
        <w:rPr/>
        <w:t>让价格的差额为</w:t>
      </w:r>
      <w:r>
        <w:rPr>
          <w:rFonts w:ascii="Times New Roman" w:hAnsi="Times New Roman" w:cs="Times New Roman" w:eastAsia="Times New Roman" w:hint="default"/>
        </w:rPr>
        <w:t>3,591.81</w:t>
      </w:r>
      <w:r>
        <w:rPr/>
        <w:t>万元。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3"/>
        <w:ind w:right="0"/>
        <w:jc w:val="left"/>
        <w:rPr>
          <w:b w:val="0"/>
          <w:bCs w:val="0"/>
        </w:rPr>
      </w:pPr>
      <w:r>
        <w:rPr>
          <w:rFonts w:ascii="Times New Roman" w:hAnsi="Times New Roman" w:cs="Times New Roman" w:eastAsia="Times New Roman" w:hint="default"/>
        </w:rPr>
        <w:t>49</w:t>
      </w:r>
      <w:r>
        <w:rPr/>
        <w:t>、营业外支出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240"/>
        <w:gridCol w:w="1980"/>
        <w:gridCol w:w="1849"/>
        <w:gridCol w:w="2520"/>
      </w:tblGrid>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9"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198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503,746.00</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550,000.00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503,746.00</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5,756,797.88</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27,808.80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5,756,797.88</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53,100.00</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1,893,720.69</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53,100.00</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赔偿支出</w:t>
            </w:r>
          </w:p>
        </w:tc>
        <w:tc>
          <w:tcPr>
            <w:tcW w:w="1980" w:type="dxa"/>
            <w:tcBorders>
              <w:top w:val="single" w:sz="4" w:space="0" w:color="000000"/>
              <w:left w:val="single" w:sz="4" w:space="0" w:color="000000"/>
              <w:bottom w:val="single" w:sz="4" w:space="0" w:color="000000"/>
              <w:right w:val="single" w:sz="4" w:space="0" w:color="000000"/>
            </w:tcBorders>
          </w:tcPr>
          <w:p>
            <w:pP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1,242,800.00</w:t>
            </w:r>
          </w:p>
        </w:tc>
        <w:tc>
          <w:tcPr>
            <w:tcW w:w="25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棉五仓库火灾垫付商户损失赔偿款</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9,139,800.00</w:t>
            </w:r>
          </w:p>
        </w:tc>
        <w:tc>
          <w:tcPr>
            <w:tcW w:w="1849"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9,139,800.00</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841,217.96</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393,938.21</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841,217.96</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16,294,661.84</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4,108,267.70</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16,294,661.84</w:t>
            </w:r>
          </w:p>
        </w:tc>
      </w:tr>
    </w:tbl>
    <w:p>
      <w:pPr>
        <w:pStyle w:val="BodyText"/>
        <w:spacing w:line="240" w:lineRule="auto" w:before="51"/>
        <w:ind w:right="0"/>
        <w:jc w:val="left"/>
      </w:pPr>
      <w:r>
        <w:rPr/>
        <w:t>其他说明：</w:t>
      </w:r>
    </w:p>
    <w:p>
      <w:pPr>
        <w:pStyle w:val="BodyText"/>
        <w:spacing w:line="309" w:lineRule="auto" w:before="116"/>
        <w:ind w:left="153" w:right="1041" w:firstLine="290"/>
        <w:jc w:val="both"/>
      </w:pPr>
      <w:r>
        <w:rPr/>
        <w:t>按照谨慎性原则，公司将代替赔偿义务人垫付的租赁棉五仓库商户的火灾损失赔偿款</w:t>
      </w:r>
      <w:r>
        <w:rPr>
          <w:rFonts w:ascii="Times New Roman" w:hAnsi="Times New Roman" w:cs="Times New Roman" w:eastAsia="Times New Roman" w:hint="default"/>
        </w:rPr>
        <w:t>913.98</w:t>
      </w:r>
      <w:r>
        <w:rPr/>
        <w:t>万元计入了营业外支出。根 </w:t>
      </w:r>
      <w:r>
        <w:rPr>
          <w:spacing w:val="-2"/>
        </w:rPr>
        <w:t>据公司与商户签定的《棉五火灾赔偿协议书》，公司有权要求赔偿义务人将依法应当赔偿给商户的火灾损失赔偿款全部直接</w:t>
      </w:r>
      <w:r>
        <w:rPr>
          <w:spacing w:val="-66"/>
        </w:rPr>
        <w:t> </w:t>
      </w:r>
      <w:r>
        <w:rPr>
          <w:spacing w:val="-66"/>
        </w:rPr>
      </w:r>
      <w:r>
        <w:rPr>
          <w:spacing w:val="-4"/>
        </w:rPr>
        <w:t>给付给公司，用于偿付公司提前垫付给商户的款项。公司将在收到赔偿义务人给付的赔偿款后，计入收到当期的营业外收入。</w:t>
      </w:r>
    </w:p>
    <w:p>
      <w:pPr>
        <w:spacing w:line="240" w:lineRule="auto" w:before="12"/>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50</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28,624,368.96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38,512,467.86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70,611.30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53,944,048.05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28,694,980.26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92,456,515.91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6"/>
        <w:gridCol w:w="4800"/>
      </w:tblGrid>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123,904,069.05</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30,976,017.26</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-24,493,183.87</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1,185,803.93</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232,544.79</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24,999,862.46</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-8,726,491.43</w:t>
            </w:r>
          </w:p>
        </w:tc>
      </w:tr>
      <w:tr>
        <w:trPr>
          <w:trHeight w:val="714"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5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13,099,345.17</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-2,407,598.92</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研发费用加计扣除</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-6,171,319.13</w:t>
            </w:r>
          </w:p>
        </w:tc>
      </w:tr>
      <w:tr>
        <w:trPr>
          <w:trHeight w:val="402" w:hRule="exact"/>
        </w:trPr>
        <w:tc>
          <w:tcPr>
            <w:tcW w:w="4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其他调整因素</w:t>
            </w:r>
          </w:p>
        </w:tc>
        <w:tc>
          <w:tcPr>
            <w:tcW w:w="480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7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28,694,980.26</w:t>
            </w:r>
          </w:p>
        </w:tc>
      </w:tr>
    </w:tbl>
    <w:p>
      <w:pPr>
        <w:spacing w:line="240" w:lineRule="auto" w:before="3"/>
        <w:rPr>
          <w:rFonts w:ascii="宋体" w:hAnsi="宋体" w:cs="宋体" w:eastAsia="宋体" w:hint="default"/>
          <w:sz w:val="19"/>
          <w:szCs w:val="19"/>
        </w:rPr>
      </w:pPr>
    </w:p>
    <w:p>
      <w:pPr>
        <w:spacing w:line="544" w:lineRule="auto" w:before="35"/>
        <w:ind w:left="154" w:right="885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、其他综合收益</w:t>
      </w:r>
      <w:r>
        <w:rPr>
          <w:rFonts w:ascii="宋体" w:hAnsi="宋体" w:cs="宋体" w:eastAsia="宋体" w:hint="default"/>
          <w:b/>
          <w:bCs/>
          <w:spacing w:val="1"/>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52</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8"/>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11,445,760.34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7,099,070.57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384,207,783.66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314,795,636.66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备用金收回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2,753,325.96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496,603.09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违约金收入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780,707.91</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229,912.71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397,621.09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399,417,490.58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322,788,931.41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28,979,518.11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19,775,930.17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28,805,065.75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35,578,387.31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62,277,907.95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55,984,687.61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交通运输费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53,607,318.97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48,878,781.21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1,892,604.64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1,191,747.83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外销费用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720,040.82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789,302.72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投标费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8,901,953.84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7,925,228.06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租赁物业费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33,394,872.99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26,830,446.86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1,954,434.84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27,867,250.07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聘请中介机构费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7,273,693.71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3,478,663.26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38,096,773.84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32,416,721.59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12,219,046.00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5,708,169.65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往来及其他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20,283,412.82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12,259,015.83</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298,406,644.28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278,684,332.17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融资租赁款项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425,640,000.00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241,800,000.00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融资租赁款保证金</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425,640,000.00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271,800,000.00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融资租赁服务费及保证金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6,624,847.24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11,084,999.99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132,205,068.63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135,816,842.76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股份回购款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273,018,669.82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26,954,164.03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注销子公司归还少数股东投资</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1,705,945.95</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413,554,531.64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173,856,006.78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10"/>
        <w:rPr>
          <w:rFonts w:ascii="宋体" w:hAnsi="宋体" w:cs="宋体" w:eastAsia="宋体" w:hint="default"/>
          <w:sz w:val="24"/>
          <w:szCs w:val="24"/>
        </w:rPr>
      </w:pPr>
      <w:r>
        <w:rPr/>
        <w:pict>
          <v:group style="position:absolute;margin-left:373.079987pt;margin-top:292.079987pt;width:78.2pt;height:19.650pt;mso-position-horizontal-relative:page;mso-position-vertical-relative:page;z-index:-1362160" coordorigin="7462,5842" coordsize="1564,393">
            <v:shape style="position:absolute;left:7462;top:5842;width:1564;height:393" coordorigin="7462,5842" coordsize="1564,393" path="m7462,6234l9025,6234,9025,5842,7462,5842,7462,6234xe" filled="true" fillcolor="#ffffff" stroked="false">
              <v:path arrowok="t"/>
              <v:fill type="solid"/>
            </v:shape>
            <w10:wrap type="none"/>
          </v:group>
        </w:pict>
      </w:r>
    </w:p>
    <w:p>
      <w:pPr>
        <w:pStyle w:val="Heading3"/>
        <w:spacing w:line="240" w:lineRule="auto" w:before="35"/>
        <w:ind w:right="0"/>
        <w:jc w:val="left"/>
        <w:rPr>
          <w:b w:val="0"/>
          <w:bCs w:val="0"/>
        </w:rPr>
      </w:pPr>
      <w:r>
        <w:rPr>
          <w:rFonts w:ascii="Times New Roman" w:hAnsi="Times New Roman" w:cs="Times New Roman" w:eastAsia="Times New Roman" w:hint="default"/>
        </w:rPr>
        <w:t>53</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6272"/>
        <w:gridCol w:w="1637"/>
        <w:gridCol w:w="1620"/>
      </w:tblGrid>
      <w:tr>
        <w:trPr>
          <w:trHeight w:val="402" w:hRule="exact"/>
        </w:trPr>
        <w:tc>
          <w:tcPr>
            <w:tcW w:w="6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0"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6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6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95,209,088.79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182,935,850.98</w:t>
            </w:r>
          </w:p>
        </w:tc>
      </w:tr>
      <w:tr>
        <w:trPr>
          <w:trHeight w:val="402" w:hRule="exact"/>
        </w:trPr>
        <w:tc>
          <w:tcPr>
            <w:tcW w:w="6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16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108,825,851.66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88,288,040.74</w:t>
            </w:r>
          </w:p>
        </w:tc>
      </w:tr>
      <w:tr>
        <w:trPr>
          <w:trHeight w:val="402" w:hRule="exact"/>
        </w:trPr>
        <w:tc>
          <w:tcPr>
            <w:tcW w:w="6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16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175,425,906.10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140,219,829.17</w:t>
            </w:r>
          </w:p>
        </w:tc>
      </w:tr>
      <w:tr>
        <w:trPr>
          <w:trHeight w:val="402" w:hRule="exact"/>
        </w:trPr>
        <w:tc>
          <w:tcPr>
            <w:tcW w:w="6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6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35,588,037.53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27,412,863.99</w:t>
            </w:r>
          </w:p>
        </w:tc>
      </w:tr>
      <w:tr>
        <w:trPr>
          <w:trHeight w:val="402" w:hRule="exact"/>
        </w:trPr>
        <w:tc>
          <w:tcPr>
            <w:tcW w:w="6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6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4,520,238.23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5,664,801.75</w:t>
            </w:r>
          </w:p>
        </w:tc>
      </w:tr>
      <w:tr>
        <w:trPr>
          <w:trHeight w:val="402" w:hRule="exact"/>
        </w:trPr>
        <w:tc>
          <w:tcPr>
            <w:tcW w:w="6272" w:type="dxa"/>
            <w:tcBorders>
              <w:top w:val="single" w:sz="4" w:space="0" w:color="000000"/>
              <w:left w:val="single" w:sz="4" w:space="0" w:color="000000"/>
              <w:bottom w:val="single" w:sz="4" w:space="0" w:color="000000"/>
              <w:right w:val="single" w:sz="9" w:space="0" w:color="FFFFFF"/>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pacing w:val="-5"/>
                <w:sz w:val="18"/>
                <w:szCs w:val="18"/>
              </w:rPr>
              <w:t>处置固定资产、无形资产和其他长期资产的损失（收益以“－”号填列</w:t>
            </w:r>
          </w:p>
        </w:tc>
        <w:tc>
          <w:tcPr>
            <w:tcW w:w="1637" w:type="dxa"/>
            <w:tcBorders>
              <w:top w:val="single" w:sz="4" w:space="0" w:color="000000"/>
              <w:left w:val="single" w:sz="9" w:space="0" w:color="FFFFFF"/>
              <w:bottom w:val="single" w:sz="4" w:space="0" w:color="000000"/>
              <w:right w:val="single" w:sz="4" w:space="0" w:color="000000"/>
            </w:tcBorders>
          </w:tcPr>
          <w:p>
            <w:pPr>
              <w:pStyle w:val="TableParagraph"/>
              <w:tabs>
                <w:tab w:pos="502" w:val="left" w:leader="none"/>
              </w:tabs>
              <w:spacing w:line="240" w:lineRule="auto" w:before="51"/>
              <w:ind w:left="-113"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-49,635,276.81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4,186,397.14</w:t>
            </w:r>
          </w:p>
        </w:tc>
      </w:tr>
      <w:tr>
        <w:trPr>
          <w:trHeight w:val="402" w:hRule="exact"/>
        </w:trPr>
        <w:tc>
          <w:tcPr>
            <w:tcW w:w="6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固定资产报废损失（收益以“－”号填列）</w:t>
            </w:r>
          </w:p>
        </w:tc>
        <w:tc>
          <w:tcPr>
            <w:tcW w:w="16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5,756,797.88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27,808.80</w:t>
            </w:r>
          </w:p>
        </w:tc>
      </w:tr>
      <w:tr>
        <w:trPr>
          <w:trHeight w:val="402" w:hRule="exact"/>
        </w:trPr>
        <w:tc>
          <w:tcPr>
            <w:tcW w:w="6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16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229,511,024.96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214,489,783.88</w:t>
            </w:r>
          </w:p>
        </w:tc>
      </w:tr>
      <w:tr>
        <w:trPr>
          <w:trHeight w:val="402" w:hRule="exact"/>
        </w:trPr>
        <w:tc>
          <w:tcPr>
            <w:tcW w:w="6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投资损失（收益以“－”号填列）</w:t>
            </w:r>
          </w:p>
        </w:tc>
        <w:tc>
          <w:tcPr>
            <w:tcW w:w="16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1,032,820.91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-2,026,262.66</w:t>
            </w:r>
          </w:p>
        </w:tc>
      </w:tr>
      <w:tr>
        <w:trPr>
          <w:trHeight w:val="402" w:hRule="exact"/>
        </w:trPr>
        <w:tc>
          <w:tcPr>
            <w:tcW w:w="6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16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1,609,797.54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55,478,783.90</w:t>
            </w:r>
          </w:p>
        </w:tc>
      </w:tr>
      <w:tr>
        <w:trPr>
          <w:trHeight w:val="402" w:hRule="exact"/>
        </w:trPr>
        <w:tc>
          <w:tcPr>
            <w:tcW w:w="6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16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-1,460,115.36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-1,534,735.85</w:t>
            </w:r>
          </w:p>
        </w:tc>
      </w:tr>
      <w:tr>
        <w:trPr>
          <w:trHeight w:val="402" w:hRule="exact"/>
        </w:trPr>
        <w:tc>
          <w:tcPr>
            <w:tcW w:w="6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16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751,023.83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-90,014,144.89</w:t>
            </w:r>
          </w:p>
        </w:tc>
      </w:tr>
      <w:tr>
        <w:trPr>
          <w:trHeight w:val="402" w:hRule="exact"/>
        </w:trPr>
        <w:tc>
          <w:tcPr>
            <w:tcW w:w="6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经营性应收项目的减少（增加以“－”号填列）</w:t>
            </w:r>
          </w:p>
        </w:tc>
        <w:tc>
          <w:tcPr>
            <w:tcW w:w="16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-187,432,379.95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-128,700,857.45</w:t>
            </w:r>
          </w:p>
        </w:tc>
      </w:tr>
      <w:tr>
        <w:trPr>
          <w:trHeight w:val="402" w:hRule="exact"/>
        </w:trPr>
        <w:tc>
          <w:tcPr>
            <w:tcW w:w="6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经营性应付项目的增加（减少以“－”号填列）</w:t>
            </w:r>
          </w:p>
        </w:tc>
        <w:tc>
          <w:tcPr>
            <w:tcW w:w="16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-119,083,351.73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371,282,175.11</w:t>
            </w:r>
          </w:p>
        </w:tc>
      </w:tr>
      <w:tr>
        <w:trPr>
          <w:trHeight w:val="402" w:hRule="exact"/>
        </w:trPr>
        <w:tc>
          <w:tcPr>
            <w:tcW w:w="6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6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300,619,463.58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867,710,334.61</w:t>
            </w:r>
          </w:p>
        </w:tc>
      </w:tr>
      <w:tr>
        <w:trPr>
          <w:trHeight w:val="402" w:hRule="exact"/>
        </w:trPr>
        <w:tc>
          <w:tcPr>
            <w:tcW w:w="6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6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6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16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1,562,005,260.60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1,793,943,347.16</w:t>
            </w:r>
          </w:p>
        </w:tc>
      </w:tr>
      <w:tr>
        <w:trPr>
          <w:trHeight w:val="402" w:hRule="exact"/>
        </w:trPr>
        <w:tc>
          <w:tcPr>
            <w:tcW w:w="6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16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1,793,943,347.16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1,258,554,529.02</w:t>
            </w:r>
          </w:p>
        </w:tc>
      </w:tr>
      <w:tr>
        <w:trPr>
          <w:trHeight w:val="403" w:hRule="exact"/>
        </w:trPr>
        <w:tc>
          <w:tcPr>
            <w:tcW w:w="6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163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-231,938,086.56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535,388,818.14</w:t>
            </w:r>
          </w:p>
        </w:tc>
      </w:tr>
    </w:tbl>
    <w:p>
      <w:pPr>
        <w:spacing w:line="240" w:lineRule="auto" w:before="3"/>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960"/>
        <w:gridCol w:w="4596"/>
      </w:tblGrid>
      <w:tr>
        <w:trPr>
          <w:trHeight w:val="402" w:hRule="exact"/>
        </w:trPr>
        <w:tc>
          <w:tcPr>
            <w:tcW w:w="496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883,200.00</w:t>
            </w:r>
          </w:p>
        </w:tc>
      </w:tr>
      <w:tr>
        <w:trPr>
          <w:trHeight w:val="402" w:hRule="exact"/>
        </w:trPr>
        <w:tc>
          <w:tcPr>
            <w:tcW w:w="4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9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850,521.46</w:t>
            </w:r>
          </w:p>
        </w:tc>
      </w:tr>
      <w:tr>
        <w:trPr>
          <w:trHeight w:val="403" w:hRule="exact"/>
        </w:trPr>
        <w:tc>
          <w:tcPr>
            <w:tcW w:w="4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8"/>
        <w:gridCol w:w="4579"/>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67,884,000.00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2" w:right="0"/>
              <w:jc w:val="left"/>
              <w:rPr>
                <w:rFonts w:ascii="宋体" w:hAnsi="宋体" w:cs="宋体" w:eastAsia="宋体" w:hint="default"/>
                <w:sz w:val="18"/>
                <w:szCs w:val="18"/>
              </w:rPr>
            </w:pPr>
            <w:r>
              <w:rPr>
                <w:rFonts w:ascii="宋体" w:hAnsi="宋体" w:cs="宋体" w:eastAsia="宋体" w:hint="default"/>
                <w:sz w:val="18"/>
                <w:szCs w:val="18"/>
              </w:rPr>
              <w:t>北明成功软件（山东）有限公司</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9,034,000.00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2" w:right="0"/>
              <w:jc w:val="left"/>
              <w:rPr>
                <w:rFonts w:ascii="宋体" w:hAnsi="宋体" w:cs="宋体" w:eastAsia="宋体" w:hint="default"/>
                <w:sz w:val="18"/>
                <w:szCs w:val="18"/>
              </w:rPr>
            </w:pPr>
            <w:r>
              <w:rPr>
                <w:rFonts w:ascii="宋体" w:hAnsi="宋体" w:cs="宋体" w:eastAsia="宋体" w:hint="default"/>
                <w:sz w:val="18"/>
                <w:szCs w:val="18"/>
              </w:rPr>
              <w:t>北京明润华创科技有限责任公司</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7,170,000.00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2" w:right="0"/>
              <w:jc w:val="left"/>
              <w:rPr>
                <w:rFonts w:ascii="宋体" w:hAnsi="宋体" w:cs="宋体" w:eastAsia="宋体" w:hint="default"/>
                <w:sz w:val="18"/>
                <w:szCs w:val="18"/>
              </w:rPr>
            </w:pPr>
            <w:r>
              <w:rPr>
                <w:rFonts w:ascii="宋体" w:hAnsi="宋体" w:cs="宋体" w:eastAsia="宋体" w:hint="default"/>
                <w:sz w:val="18"/>
                <w:szCs w:val="18"/>
              </w:rPr>
              <w:t>北明天时能源科技（北京）有限公司</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35,700,000.00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2" w:right="0"/>
              <w:jc w:val="left"/>
              <w:rPr>
                <w:rFonts w:ascii="宋体" w:hAnsi="宋体" w:cs="宋体" w:eastAsia="宋体" w:hint="default"/>
                <w:sz w:val="18"/>
                <w:szCs w:val="18"/>
              </w:rPr>
            </w:pPr>
            <w:r>
              <w:rPr>
                <w:rFonts w:ascii="宋体" w:hAnsi="宋体" w:cs="宋体" w:eastAsia="宋体" w:hint="default"/>
                <w:sz w:val="18"/>
                <w:szCs w:val="18"/>
              </w:rPr>
              <w:t>北京金实盈信科技有限公司</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15,980,000.00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67,916,678.54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3068"/>
        <w:gridCol w:w="3184"/>
      </w:tblGrid>
      <w:tr>
        <w:trPr>
          <w:trHeight w:val="401"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1,562,005,260.60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1,793,943,347.16</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683,691.88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485,441.01</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1,561,321,568.72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1,793,457,906.15</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1,562,005,260.60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1,793,943,347.16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54</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4"/>
        <w:gridCol w:w="3068"/>
        <w:gridCol w:w="3184"/>
      </w:tblGrid>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245,145,084.31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票据、保函及农民工工资等保证金</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193,406,374.08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项目借款抵押</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8" w:type="dxa"/>
            <w:tcBorders>
              <w:top w:val="single" w:sz="4" w:space="0" w:color="000000"/>
              <w:left w:val="single" w:sz="10" w:space="0" w:color="D3D3D3"/>
              <w:bottom w:val="single" w:sz="4" w:space="0" w:color="000000"/>
              <w:right w:val="single" w:sz="9" w:space="0" w:color="D3D3D3"/>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438,551,458.39</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55</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67"/>
        <w:gridCol w:w="2310"/>
        <w:gridCol w:w="2390"/>
        <w:gridCol w:w="2389"/>
      </w:tblGrid>
      <w:tr>
        <w:trPr>
          <w:trHeight w:val="402" w:hRule="exact"/>
        </w:trPr>
        <w:tc>
          <w:tcPr>
            <w:tcW w:w="24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9"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7"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1,671,980.17</w:t>
            </w:r>
          </w:p>
        </w:tc>
      </w:tr>
      <w:tr>
        <w:trPr>
          <w:trHeight w:val="402" w:hRule="exact"/>
        </w:trPr>
        <w:tc>
          <w:tcPr>
            <w:tcW w:w="24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1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239,499.56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6.9762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1,670,796.83</w:t>
            </w:r>
          </w:p>
        </w:tc>
      </w:tr>
      <w:tr>
        <w:trPr>
          <w:trHeight w:val="402" w:hRule="exact"/>
        </w:trPr>
        <w:tc>
          <w:tcPr>
            <w:tcW w:w="24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1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151.41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0"/>
              <w:jc w:val="right"/>
              <w:rPr>
                <w:rFonts w:ascii="Times New Roman" w:hAnsi="Times New Roman" w:cs="Times New Roman" w:eastAsia="Times New Roman" w:hint="default"/>
                <w:sz w:val="18"/>
                <w:szCs w:val="18"/>
              </w:rPr>
            </w:pPr>
            <w:r>
              <w:rPr>
                <w:rFonts w:ascii="Times New Roman"/>
                <w:sz w:val="18"/>
              </w:rPr>
              <w:t>7.8155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1,183.34</w:t>
            </w:r>
          </w:p>
        </w:tc>
      </w:tr>
      <w:tr>
        <w:trPr>
          <w:trHeight w:val="402" w:hRule="exact"/>
        </w:trPr>
        <w:tc>
          <w:tcPr>
            <w:tcW w:w="24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10" w:type="dxa"/>
            <w:tcBorders>
              <w:top w:val="single" w:sz="4" w:space="0" w:color="000000"/>
              <w:left w:val="single" w:sz="13" w:space="0" w:color="D3D3D3"/>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7"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1,951,380.57</w:t>
            </w:r>
          </w:p>
        </w:tc>
      </w:tr>
      <w:tr>
        <w:trPr>
          <w:trHeight w:val="403" w:hRule="exact"/>
        </w:trPr>
        <w:tc>
          <w:tcPr>
            <w:tcW w:w="24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1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279,719.70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9"/>
              <w:jc w:val="right"/>
              <w:rPr>
                <w:rFonts w:ascii="Times New Roman" w:hAnsi="Times New Roman" w:cs="Times New Roman" w:eastAsia="Times New Roman" w:hint="default"/>
                <w:sz w:val="18"/>
                <w:szCs w:val="18"/>
              </w:rPr>
            </w:pPr>
            <w:r>
              <w:rPr>
                <w:rFonts w:ascii="Times New Roman"/>
                <w:sz w:val="18"/>
              </w:rPr>
              <w:t>6.9762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1,951,380.57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83"/>
        <w:gridCol w:w="2305"/>
        <w:gridCol w:w="2390"/>
        <w:gridCol w:w="2389"/>
      </w:tblGrid>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548"/>
              <w:jc w:val="righ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548"/>
              <w:jc w:val="righ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05"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88,605.41</w:t>
            </w: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12,701.10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9"/>
              <w:jc w:val="right"/>
              <w:rPr>
                <w:rFonts w:ascii="Times New Roman" w:hAnsi="Times New Roman" w:cs="Times New Roman" w:eastAsia="Times New Roman" w:hint="default"/>
                <w:sz w:val="18"/>
                <w:szCs w:val="18"/>
              </w:rPr>
            </w:pPr>
            <w:r>
              <w:rPr>
                <w:rFonts w:ascii="Times New Roman"/>
                <w:sz w:val="18"/>
              </w:rPr>
              <w:t>6.9762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88,605.41</w:t>
            </w: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136,733,520.00</w:t>
            </w: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19,600,000.00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0"/>
              <w:jc w:val="right"/>
              <w:rPr>
                <w:rFonts w:ascii="Times New Roman" w:hAnsi="Times New Roman" w:cs="Times New Roman" w:eastAsia="Times New Roman" w:hint="default"/>
                <w:sz w:val="18"/>
                <w:szCs w:val="18"/>
              </w:rPr>
            </w:pPr>
            <w:r>
              <w:rPr>
                <w:rFonts w:ascii="Times New Roman"/>
                <w:sz w:val="18"/>
              </w:rPr>
              <w:t>6.9762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136,733,520.00</w:t>
            </w: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548"/>
              <w:jc w:val="righ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3" w:space="0" w:color="D3D3D3"/>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548"/>
              <w:jc w:val="righ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3" w:space="0" w:color="D3D3D3"/>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59" w:lineRule="auto" w:before="35"/>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56</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80"/>
        <w:gridCol w:w="1260"/>
        <w:gridCol w:w="5400"/>
        <w:gridCol w:w="1800"/>
      </w:tblGrid>
      <w:tr>
        <w:trPr>
          <w:trHeight w:val="402" w:hRule="exact"/>
        </w:trPr>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4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3"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2"/>
              <w:jc w:val="center"/>
              <w:rPr>
                <w:rFonts w:ascii="宋体" w:hAnsi="宋体" w:cs="宋体" w:eastAsia="宋体" w:hint="default"/>
                <w:sz w:val="18"/>
                <w:szCs w:val="18"/>
              </w:rPr>
            </w:pPr>
            <w:r>
              <w:rPr>
                <w:rFonts w:ascii="宋体" w:hAnsi="宋体" w:cs="宋体" w:eastAsia="宋体" w:hint="default"/>
                <w:sz w:val="18"/>
                <w:szCs w:val="18"/>
              </w:rPr>
              <w:t>与资产相关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128,473,598.54</w:t>
            </w:r>
          </w:p>
        </w:tc>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企业搬迁补助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40,967,452.02</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2"/>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241,526,401.46</w:t>
            </w:r>
          </w:p>
        </w:tc>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企业搬迁补助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241,526,401.46</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2"/>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民族贴息</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2"/>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4,500.00</w:t>
            </w:r>
          </w:p>
        </w:tc>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石家庄市长安区市场监督管理局专利资助资金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4,500.00</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2"/>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904,321.90</w:t>
            </w:r>
          </w:p>
        </w:tc>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904,321.90</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2"/>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116,838.11</w:t>
            </w:r>
          </w:p>
        </w:tc>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知识产权专项资金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116,838.11</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2"/>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24,765.00</w:t>
            </w:r>
          </w:p>
        </w:tc>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出口信用保险补贴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24,765.00</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2"/>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10,000.00</w:t>
            </w:r>
          </w:p>
        </w:tc>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石家庄商务局款</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2"/>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200,000.00</w:t>
            </w:r>
          </w:p>
        </w:tc>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年市级水利专项资金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2"/>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5,171,874.19</w:t>
            </w:r>
          </w:p>
        </w:tc>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增值税退税返还</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5,171,874.19</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2"/>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150,000.00</w:t>
            </w:r>
          </w:p>
        </w:tc>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研发费用补助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150,000.00</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2"/>
              <w:jc w:val="center"/>
              <w:rPr>
                <w:rFonts w:ascii="宋体" w:hAnsi="宋体" w:cs="宋体" w:eastAsia="宋体" w:hint="default"/>
                <w:sz w:val="18"/>
                <w:szCs w:val="18"/>
              </w:rPr>
            </w:pPr>
            <w:r>
              <w:rPr>
                <w:rFonts w:ascii="宋体" w:hAnsi="宋体" w:cs="宋体" w:eastAsia="宋体" w:hint="default"/>
                <w:sz w:val="18"/>
                <w:szCs w:val="18"/>
              </w:rPr>
              <w:t>与收益相关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10,000.00</w:t>
            </w:r>
          </w:p>
        </w:tc>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数字经济补助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10,000.00</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2"/>
              <w:jc w:val="center"/>
              <w:rPr>
                <w:rFonts w:ascii="宋体" w:hAnsi="宋体" w:cs="宋体" w:eastAsia="宋体" w:hint="default"/>
                <w:sz w:val="18"/>
                <w:szCs w:val="18"/>
              </w:rPr>
            </w:pPr>
            <w:r>
              <w:rPr>
                <w:rFonts w:ascii="宋体" w:hAnsi="宋体" w:cs="宋体" w:eastAsia="宋体" w:hint="default"/>
                <w:sz w:val="18"/>
                <w:szCs w:val="18"/>
              </w:rPr>
              <w:t>与资产相关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大数据生命周期管理技术及其在智慧城市中的应用</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2"/>
              <w:jc w:val="center"/>
              <w:rPr>
                <w:rFonts w:ascii="宋体" w:hAnsi="宋体" w:cs="宋体" w:eastAsia="宋体" w:hint="default"/>
                <w:sz w:val="18"/>
                <w:szCs w:val="18"/>
              </w:rPr>
            </w:pPr>
            <w:r>
              <w:rPr>
                <w:rFonts w:ascii="宋体" w:hAnsi="宋体" w:cs="宋体" w:eastAsia="宋体" w:hint="default"/>
                <w:sz w:val="18"/>
                <w:szCs w:val="18"/>
              </w:rPr>
              <w:t>与资产相关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207,550.00</w:t>
            </w:r>
          </w:p>
        </w:tc>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国家重点研发计划项目子课题项目</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2"/>
              <w:jc w:val="center"/>
              <w:rPr>
                <w:rFonts w:ascii="宋体" w:hAnsi="宋体" w:cs="宋体" w:eastAsia="宋体" w:hint="default"/>
                <w:sz w:val="18"/>
                <w:szCs w:val="18"/>
              </w:rPr>
            </w:pPr>
            <w:r>
              <w:rPr>
                <w:rFonts w:ascii="宋体" w:hAnsi="宋体" w:cs="宋体" w:eastAsia="宋体" w:hint="default"/>
                <w:sz w:val="18"/>
                <w:szCs w:val="18"/>
              </w:rPr>
              <w:t>与资产相关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2"/>
                <w:sz w:val="18"/>
                <w:szCs w:val="18"/>
              </w:rPr>
              <w:t>面向科技创新服务的大数据技术研发及示范应用（智慧城市行业解决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方案系列项目）</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2"/>
              <w:jc w:val="center"/>
              <w:rPr>
                <w:rFonts w:ascii="宋体" w:hAnsi="宋体" w:cs="宋体" w:eastAsia="宋体" w:hint="default"/>
                <w:sz w:val="18"/>
                <w:szCs w:val="18"/>
              </w:rPr>
            </w:pPr>
            <w:r>
              <w:rPr>
                <w:rFonts w:ascii="宋体" w:hAnsi="宋体" w:cs="宋体" w:eastAsia="宋体" w:hint="default"/>
                <w:sz w:val="18"/>
                <w:szCs w:val="18"/>
              </w:rPr>
              <w:t>与资产相关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600,000.00</w:t>
            </w:r>
          </w:p>
        </w:tc>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基于医学大数据的肿瘤分析系统关键技术研究及应用</w:t>
            </w:r>
            <w:r>
              <w:rPr>
                <w:rFonts w:ascii="Times New Roman" w:hAnsi="Times New Roman" w:cs="Times New Roman" w:eastAsia="Times New Roman" w:hint="default"/>
                <w:sz w:val="18"/>
                <w:szCs w:val="18"/>
              </w:rPr>
              <w:t>(</w:t>
            </w:r>
            <w:r>
              <w:rPr>
                <w:rFonts w:ascii="宋体" w:hAnsi="宋体" w:cs="宋体" w:eastAsia="宋体" w:hint="default"/>
                <w:sz w:val="18"/>
                <w:szCs w:val="18"/>
              </w:rPr>
              <w:t>智慧城市行业</w:t>
            </w:r>
          </w:p>
        </w:tc>
        <w:tc>
          <w:tcPr>
            <w:tcW w:w="18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80"/>
        <w:gridCol w:w="1260"/>
        <w:gridCol w:w="5400"/>
        <w:gridCol w:w="1800"/>
      </w:tblGrid>
      <w:tr>
        <w:trPr>
          <w:trHeight w:val="362" w:hRule="exact"/>
        </w:trPr>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解决方案系列项目</w:t>
            </w:r>
            <w:r>
              <w:rPr>
                <w:rFonts w:ascii="Times New Roman" w:hAnsi="Times New Roman" w:cs="Times New Roman" w:eastAsia="Times New Roman" w:hint="default"/>
                <w:sz w:val="18"/>
                <w:szCs w:val="18"/>
              </w:rPr>
              <w:t>)</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218,600.00</w:t>
            </w:r>
          </w:p>
        </w:tc>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哈尔滨工业大学公共安全风险防控与应急技术装备重点专项课题研 究</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674,000.00</w:t>
            </w:r>
          </w:p>
        </w:tc>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年市企业创新能力建设计划企业研发后补助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674,000.00</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466,200.00</w:t>
            </w:r>
          </w:p>
        </w:tc>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天河区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年四季度规模以上软件企业营收增长支持专项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466,200.00</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79,500.00</w:t>
            </w:r>
          </w:p>
        </w:tc>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年广州市商务发展专项资金服务外包项目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79,500.00</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250,000.00</w:t>
            </w:r>
          </w:p>
        </w:tc>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年天河区产业发展专项资金支持高端服务业发展</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250,000.00</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1,609,278.00</w:t>
            </w:r>
          </w:p>
        </w:tc>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年度总部经济奖励项目</w:t>
            </w:r>
            <w:r>
              <w:rPr>
                <w:rFonts w:ascii="Times New Roman" w:hAnsi="Times New Roman" w:cs="Times New Roman" w:eastAsia="Times New Roman" w:hint="default"/>
                <w:sz w:val="18"/>
                <w:szCs w:val="18"/>
              </w:rPr>
              <w:t>-</w:t>
            </w:r>
            <w:r>
              <w:rPr>
                <w:rFonts w:ascii="宋体" w:hAnsi="宋体" w:cs="宋体" w:eastAsia="宋体" w:hint="default"/>
                <w:sz w:val="18"/>
                <w:szCs w:val="18"/>
              </w:rPr>
              <w:t>企业租赁办公用房补贴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1,609,278.00</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750,000.00</w:t>
            </w:r>
          </w:p>
        </w:tc>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天河区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年一季度规模以上软件企业营收增长专项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750,000.00</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709,700.00</w:t>
            </w:r>
          </w:p>
        </w:tc>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天河区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年二季度规模以上软件企业营收增长专项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709,700.00</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255,200.00</w:t>
            </w:r>
          </w:p>
        </w:tc>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天河区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年三季度规模以上软件企业营收增长专项</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255,200.00</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200,000.00</w:t>
            </w:r>
          </w:p>
        </w:tc>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年度高新技术企业认定通过奖励</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54,000.00</w:t>
            </w:r>
          </w:p>
        </w:tc>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软件著作权资质奖励</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54,000.00</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1,750,000.00</w:t>
            </w:r>
          </w:p>
        </w:tc>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企业贡献奖</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1,750,000.00</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143,804.00</w:t>
            </w:r>
          </w:p>
        </w:tc>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服务外包奖励</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143,804.00</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224,500.00</w:t>
            </w:r>
          </w:p>
        </w:tc>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年企业研发支出财政补助</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224,500.00</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229,700.00</w:t>
            </w:r>
          </w:p>
        </w:tc>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新兴产业企业发展扶持资金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229,700.00</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3,750.00</w:t>
            </w:r>
          </w:p>
        </w:tc>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残疾人补助金</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3,750.00</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361,576.65</w:t>
            </w:r>
          </w:p>
        </w:tc>
        <w:tc>
          <w:tcPr>
            <w:tcW w:w="5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年园区招商引资补贴</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361,576.65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3"/>
        <w:gridCol w:w="1064"/>
        <w:gridCol w:w="1063"/>
        <w:gridCol w:w="1064"/>
        <w:gridCol w:w="1064"/>
        <w:gridCol w:w="1063"/>
        <w:gridCol w:w="1062"/>
        <w:gridCol w:w="1062"/>
        <w:gridCol w:w="1062"/>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7"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6" w:right="73"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6" w:right="73"/>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6" w:right="7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338"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28"/>
              <w:jc w:val="both"/>
              <w:rPr>
                <w:rFonts w:ascii="宋体" w:hAnsi="宋体" w:cs="宋体" w:eastAsia="宋体" w:hint="default"/>
                <w:sz w:val="18"/>
                <w:szCs w:val="18"/>
              </w:rPr>
            </w:pPr>
            <w:r>
              <w:rPr>
                <w:rFonts w:ascii="宋体" w:hAnsi="宋体" w:cs="宋体" w:eastAsia="宋体" w:hint="default"/>
                <w:sz w:val="18"/>
                <w:szCs w:val="18"/>
              </w:rPr>
              <w:t>石家庄赛孚 纺织有限公 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883,200.00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51.67%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6"/>
              <w:jc w:val="both"/>
              <w:rPr>
                <w:rFonts w:ascii="宋体" w:hAnsi="宋体" w:cs="宋体" w:eastAsia="宋体" w:hint="default"/>
                <w:sz w:val="18"/>
                <w:szCs w:val="18"/>
              </w:rPr>
            </w:pPr>
            <w:r>
              <w:rPr>
                <w:rFonts w:ascii="宋体" w:hAnsi="宋体" w:cs="宋体" w:eastAsia="宋体" w:hint="default"/>
                <w:sz w:val="18"/>
                <w:szCs w:val="18"/>
              </w:rPr>
              <w:t>对被购买企 业的经营和 财务政策拥 有决策权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3,022,673.25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-1,992,411.25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5197"/>
        <w:gridCol w:w="4408"/>
      </w:tblGrid>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40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40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7,690,924.07</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40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7,690,924.07</w:t>
            </w:r>
          </w:p>
        </w:tc>
      </w:tr>
      <w:tr>
        <w:trPr>
          <w:trHeight w:val="402"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40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7,896,207.70</w:t>
            </w:r>
          </w:p>
        </w:tc>
      </w:tr>
      <w:tr>
        <w:trPr>
          <w:trHeight w:val="403" w:hRule="exact"/>
        </w:trPr>
        <w:tc>
          <w:tcPr>
            <w:tcW w:w="5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合并成本小于取得的可辨认净资产公允价值份额的金额</w:t>
            </w:r>
          </w:p>
        </w:tc>
        <w:tc>
          <w:tcPr>
            <w:tcW w:w="440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-205,283.63</w:t>
            </w:r>
          </w:p>
        </w:tc>
      </w:tr>
    </w:tbl>
    <w:p>
      <w:pPr>
        <w:pStyle w:val="BodyText"/>
        <w:spacing w:line="240" w:lineRule="auto" w:before="51"/>
        <w:ind w:right="0"/>
        <w:jc w:val="left"/>
      </w:pPr>
      <w:r>
        <w:rPr/>
        <w:t>合并成本公允价值的确定方法、或有对价及其变动的说明：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7"/>
          <w:szCs w:val="17"/>
        </w:rPr>
      </w:pPr>
    </w:p>
    <w:p>
      <w:pPr>
        <w:pStyle w:val="BodyText"/>
        <w:spacing w:line="240" w:lineRule="auto" w:before="44"/>
        <w:ind w:left="0" w:right="1131"/>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392" w:type="dxa"/>
            <w:gridSpan w:val="2"/>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3,479,137.36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2,058,573.80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4,082,545.89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16,100.35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3,410,301.65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1,979,462.48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7,281,503.00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6,967,723.64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8,262.12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207,936.64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1,376.37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22,593.38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856,431.96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9,585.37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732,857.13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8,558,740.77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5,262,091.91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1,031,772.03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253,875.53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145,699.93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142,640.14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39,337.69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48,773.26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11,497.16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23,498.19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8,718,555.71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6,889,908.82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8,718,555.71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6,889,908.82</w:t>
            </w:r>
          </w:p>
        </w:tc>
      </w:tr>
    </w:tbl>
    <w:p>
      <w:pPr>
        <w:pStyle w:val="BodyText"/>
        <w:spacing w:line="360" w:lineRule="auto" w:before="51"/>
        <w:ind w:left="153" w:right="7511"/>
        <w:jc w:val="left"/>
      </w:pPr>
      <w:r>
        <w:rPr/>
        <w:t>可辨认资产、负债公允价值的确定方法： 市场法 企业合并中承担的被购买方的或有负债： 其他说明：</w:t>
      </w:r>
    </w:p>
    <w:p>
      <w:pPr>
        <w:spacing w:after="0" w:line="360" w:lineRule="auto"/>
        <w:jc w:val="left"/>
        <w:sectPr>
          <w:pgSz w:w="11910" w:h="16840"/>
          <w:pgMar w:header="747" w:footer="982" w:top="1060" w:bottom="118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both"/>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是否存在通过多次交易分步实现企业合并且在报告期内取得控制权的交易</w:t>
      </w:r>
    </w:p>
    <w:p>
      <w:pPr>
        <w:pStyle w:val="BodyText"/>
        <w:spacing w:line="240" w:lineRule="auto" w:before="116"/>
        <w:ind w:left="153"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2</w:t>
      </w:r>
      <w:r>
        <w:rPr/>
        <w:t>、其他原因的合并范围变动</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513" w:right="0" w:hanging="360"/>
        <w:jc w:val="left"/>
      </w:pPr>
      <w:r>
        <w:rPr/>
        <w:t>说明其他原因导致的合并范围变动（如，新设子公司、清算子公司等）及其相关情况： </w:t>
      </w:r>
      <w:r>
        <w:rPr>
          <w:spacing w:val="-5"/>
        </w:rPr>
        <w:t>本年度增加8家合并单位，其中7家公司为2019年新设立的公司：河北北明鼎云信息技术有限公司、北明天时智能技术（北</w:t>
      </w:r>
      <w:r>
        <w:rPr/>
      </w:r>
    </w:p>
    <w:p>
      <w:pPr>
        <w:pStyle w:val="BodyText"/>
        <w:spacing w:line="224" w:lineRule="exact"/>
        <w:ind w:left="153" w:right="0"/>
        <w:jc w:val="both"/>
      </w:pPr>
      <w:r>
        <w:rPr/>
        <w:t>京）有限公司、湖南北明信息技术有限公司、北明（青岛）信息技术有限公司、成都北明祺舯信息技术有限公司、北京枫调</w:t>
      </w:r>
    </w:p>
    <w:p>
      <w:pPr>
        <w:pStyle w:val="BodyText"/>
        <w:spacing w:line="316" w:lineRule="auto" w:before="76"/>
        <w:ind w:left="153" w:right="1128"/>
        <w:jc w:val="both"/>
      </w:pPr>
      <w:r>
        <w:rPr>
          <w:spacing w:val="-2"/>
        </w:rPr>
        <w:t>理顺科技发展有限公司、全面智能（厦门）科技有限公司，上述，其中本公司持有河北北明鼎云信息技术有限公司、湖南北</w:t>
      </w:r>
      <w:r>
        <w:rPr>
          <w:spacing w:val="-68"/>
        </w:rPr>
        <w:t> </w:t>
      </w:r>
      <w:r>
        <w:rPr>
          <w:spacing w:val="-68"/>
        </w:rPr>
      </w:r>
      <w:r>
        <w:rPr>
          <w:spacing w:val="-2"/>
        </w:rPr>
        <w:t>明信息技术有限公司、北明（青岛）信息技术有限公司100%股权，持有北明天时智能技术（北京）有限公司、北京枫调理顺</w:t>
      </w:r>
      <w:r>
        <w:rPr>
          <w:spacing w:val="-61"/>
        </w:rPr>
        <w:t> </w:t>
      </w:r>
      <w:r>
        <w:rPr>
          <w:spacing w:val="-61"/>
        </w:rPr>
      </w:r>
      <w:r>
        <w:rPr/>
        <w:t>科技发展有限公司、全面智能（厦门）科技有限公司51%股权，持有成都北明祺舯信息技术有限公司60%股权；1家为2019年</w:t>
      </w:r>
      <w:r>
        <w:rPr>
          <w:spacing w:val="-83"/>
        </w:rPr>
        <w:t> </w:t>
      </w:r>
      <w:r>
        <w:rPr>
          <w:spacing w:val="-83"/>
        </w:rPr>
      </w:r>
      <w:r>
        <w:rPr/>
        <w:t>非同一控制下企业合并的公司：石家庄赛孚纺织有限公司。本年度减少2家合并单位为：北明云山（武汉）软件开发有限公</w:t>
      </w:r>
      <w:r>
        <w:rPr>
          <w:spacing w:val="-83"/>
        </w:rPr>
        <w:t> </w:t>
      </w:r>
      <w:r>
        <w:rPr>
          <w:spacing w:val="-83"/>
        </w:rPr>
      </w:r>
      <w:r>
        <w:rPr/>
        <w:t>司、北京北明云易信息科技有限公司，为2019年注销的公司。</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both"/>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320"/>
        <w:gridCol w:w="790"/>
        <w:gridCol w:w="900"/>
        <w:gridCol w:w="1080"/>
        <w:gridCol w:w="720"/>
        <w:gridCol w:w="720"/>
        <w:gridCol w:w="1080"/>
      </w:tblGrid>
      <w:tr>
        <w:trPr>
          <w:trHeight w:val="402" w:hRule="exact"/>
        </w:trPr>
        <w:tc>
          <w:tcPr>
            <w:tcW w:w="432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1"/>
              <w:ind w:left="298" w:right="29" w:hanging="270"/>
              <w:jc w:val="left"/>
              <w:rPr>
                <w:rFonts w:ascii="宋体" w:hAnsi="宋体" w:cs="宋体" w:eastAsia="宋体" w:hint="default"/>
                <w:sz w:val="18"/>
                <w:szCs w:val="18"/>
              </w:rPr>
            </w:pPr>
            <w:r>
              <w:rPr>
                <w:rFonts w:ascii="宋体" w:hAnsi="宋体" w:cs="宋体" w:eastAsia="宋体" w:hint="default"/>
                <w:sz w:val="18"/>
                <w:szCs w:val="18"/>
              </w:rPr>
              <w:t>主要经营 地</w:t>
            </w:r>
          </w:p>
        </w:tc>
        <w:tc>
          <w:tcPr>
            <w:tcW w:w="9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0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3"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4320" w:type="dxa"/>
            <w:vMerge/>
            <w:tcBorders>
              <w:left w:val="single" w:sz="4" w:space="0" w:color="000000"/>
              <w:bottom w:val="single" w:sz="4" w:space="0" w:color="000000"/>
              <w:right w:val="single" w:sz="4" w:space="0" w:color="000000"/>
            </w:tcBorders>
            <w:shd w:val="clear" w:color="auto" w:fill="D3D3D3"/>
          </w:tcPr>
          <w:p>
            <w:pPr/>
          </w:p>
        </w:tc>
        <w:tc>
          <w:tcPr>
            <w:tcW w:w="790" w:type="dxa"/>
            <w:vMerge/>
            <w:tcBorders>
              <w:left w:val="single" w:sz="4" w:space="0" w:color="000000"/>
              <w:bottom w:val="single" w:sz="4" w:space="0" w:color="000000"/>
              <w:right w:val="single" w:sz="4" w:space="0" w:color="000000"/>
            </w:tcBorders>
            <w:shd w:val="clear" w:color="auto" w:fill="D3D3D3"/>
          </w:tcPr>
          <w:p>
            <w:pPr/>
          </w:p>
        </w:tc>
        <w:tc>
          <w:tcPr>
            <w:tcW w:w="900" w:type="dxa"/>
            <w:vMerge/>
            <w:tcBorders>
              <w:left w:val="single" w:sz="4" w:space="0" w:color="000000"/>
              <w:bottom w:val="single" w:sz="4" w:space="0" w:color="000000"/>
              <w:right w:val="single" w:sz="4" w:space="0" w:color="000000"/>
            </w:tcBorders>
            <w:shd w:val="clear" w:color="auto" w:fill="D3D3D3"/>
          </w:tcPr>
          <w:p>
            <w:pPr/>
          </w:p>
        </w:tc>
        <w:tc>
          <w:tcPr>
            <w:tcW w:w="1080" w:type="dxa"/>
            <w:vMerge/>
            <w:tcBorders>
              <w:left w:val="single" w:sz="4" w:space="0" w:color="000000"/>
              <w:bottom w:val="single" w:sz="4" w:space="0" w:color="000000"/>
              <w:right w:val="single" w:sz="4" w:space="0" w:color="000000"/>
            </w:tcBorders>
            <w:shd w:val="clear" w:color="auto" w:fill="D3D3D3"/>
          </w:tcPr>
          <w:p>
            <w:pP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4"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08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上海冀源国际贸易有限公司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上海常纺恒友国际贸易有限公司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石家庄常山赵州纺织有限公司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402"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常山股份香港国际贸易有限公司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石家庄常山物业服务有限公司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库尔勒常山恒丰商贸有限责任公司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库尔勒市</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库尔勒市</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软件和信息 技术服务业</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非同一控制 下合并取得</w:t>
            </w:r>
          </w:p>
        </w:tc>
      </w:tr>
      <w:tr>
        <w:trPr>
          <w:trHeight w:val="714"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北京北明伟业科技有限公司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非同一控制 下合并取得</w:t>
            </w:r>
          </w:p>
        </w:tc>
      </w:tr>
      <w:tr>
        <w:trPr>
          <w:trHeight w:val="714"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珠海市震星信息技术有限公司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非同一控制 下合并取得</w:t>
            </w:r>
          </w:p>
        </w:tc>
      </w:tr>
      <w:tr>
        <w:trPr>
          <w:trHeight w:val="714"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北明云智（武汉）网软有限公司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69.60%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非同一控制 下合并取得</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320"/>
        <w:gridCol w:w="790"/>
        <w:gridCol w:w="900"/>
        <w:gridCol w:w="1080"/>
        <w:gridCol w:w="720"/>
        <w:gridCol w:w="720"/>
        <w:gridCol w:w="1080"/>
      </w:tblGrid>
      <w:tr>
        <w:trPr>
          <w:trHeight w:val="714"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北京北明正实科技有限公司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非同一控制 下合并取得</w:t>
            </w:r>
          </w:p>
        </w:tc>
      </w:tr>
      <w:tr>
        <w:trPr>
          <w:trHeight w:val="714"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广州市龙泰信息技术有限公司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非同一控制 下合并取得</w:t>
            </w:r>
          </w:p>
        </w:tc>
      </w:tr>
      <w:tr>
        <w:trPr>
          <w:trHeight w:val="714"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索科维尔（北京）软件系统有限公司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非同一控制 下合并取得</w:t>
            </w:r>
          </w:p>
        </w:tc>
      </w:tr>
      <w:tr>
        <w:trPr>
          <w:trHeight w:val="714"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北京明润华创科技有限责任公司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非同一控制 下合并取得</w:t>
            </w:r>
          </w:p>
        </w:tc>
      </w:tr>
      <w:tr>
        <w:trPr>
          <w:trHeight w:val="714"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北明天时能源科技（北京）有限公司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非同一控制 下合并取得</w:t>
            </w:r>
          </w:p>
        </w:tc>
      </w:tr>
      <w:tr>
        <w:trPr>
          <w:trHeight w:val="714"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北明成功软件（山东）有限公司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山东临沂 市</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山东临沂 市</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非同一控制 下合并取得</w:t>
            </w:r>
          </w:p>
        </w:tc>
      </w:tr>
      <w:tr>
        <w:trPr>
          <w:trHeight w:val="714"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北京天时前程工程技术有限公司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工程技术业</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非同一控制 下合并取得</w:t>
            </w:r>
          </w:p>
        </w:tc>
      </w:tr>
      <w:tr>
        <w:trPr>
          <w:trHeight w:val="714"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北京金实盈信科技有限公司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非同一控制 下合并取得</w:t>
            </w:r>
          </w:p>
        </w:tc>
      </w:tr>
      <w:tr>
        <w:trPr>
          <w:trHeight w:val="714"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北京爱意生活电子商务有限公司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批发</w:t>
            </w:r>
            <w:r>
              <w:rPr>
                <w:rFonts w:ascii="Times New Roman" w:hAnsi="Times New Roman" w:cs="Times New Roman" w:eastAsia="Times New Roman" w:hint="default"/>
                <w:sz w:val="18"/>
                <w:szCs w:val="18"/>
              </w:rPr>
              <w:t>/</w:t>
            </w:r>
            <w:r>
              <w:rPr>
                <w:rFonts w:ascii="宋体" w:hAnsi="宋体" w:cs="宋体" w:eastAsia="宋体" w:hint="default"/>
                <w:sz w:val="18"/>
                <w:szCs w:val="18"/>
              </w:rPr>
              <w:t>零售、 互联网</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新疆常山恒宏纺织科技有限公司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新疆阿拉 尔市</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新疆阿拉 尔市</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河北常山恒云数据科技有限公司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河北北明兴云互联网科技有限责任公司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石家庄爱意科技有限公司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舞钢智慧城市科技发展有限公司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河南舞钢</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河南舞钢</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青岛北明智慧城市科技有限公司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软件和信息 技术服务业</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北京北明数科信息技术有限公司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科技推广和 应用服务业</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石家庄赛孚纺织有限公司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非同一控制 下合并取得</w:t>
            </w:r>
          </w:p>
        </w:tc>
      </w:tr>
      <w:tr>
        <w:trPr>
          <w:trHeight w:val="402"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河北北明鼎云信息技术有限公司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北明天时智能技术（北京）有限公司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软件和信息 技术服务业</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湖南北明信息技术有限公司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益阳市</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益阳市</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北明（青岛）信息技术有限公司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软件和信息 技术服务业</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成都北明祺舯信息技术有限公司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信息技术业</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北京枫调理顺科技发展有限公司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软件和信息</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320"/>
        <w:gridCol w:w="790"/>
        <w:gridCol w:w="900"/>
        <w:gridCol w:w="1080"/>
        <w:gridCol w:w="720"/>
        <w:gridCol w:w="720"/>
        <w:gridCol w:w="1080"/>
      </w:tblGrid>
      <w:tr>
        <w:trPr>
          <w:trHeight w:val="362" w:hRule="exact"/>
        </w:trPr>
        <w:tc>
          <w:tcPr>
            <w:tcW w:w="432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技术服务业</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全面智能（厦门）科技有限公司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厦门市</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厦门市</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科技推广和 应用服务业</w:t>
            </w:r>
          </w:p>
        </w:tc>
        <w:tc>
          <w:tcPr>
            <w:tcW w:w="72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51.00%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60"/>
        <w:gridCol w:w="1800"/>
        <w:gridCol w:w="1736"/>
        <w:gridCol w:w="1504"/>
        <w:gridCol w:w="1620"/>
      </w:tblGrid>
      <w:tr>
        <w:trPr>
          <w:trHeight w:val="764" w:hRule="exact"/>
        </w:trPr>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69"/>
              <w:ind w:left="592" w:right="53" w:hanging="540"/>
              <w:jc w:val="left"/>
              <w:rPr>
                <w:rFonts w:ascii="宋体" w:hAnsi="宋体" w:cs="宋体" w:eastAsia="宋体" w:hint="default"/>
                <w:sz w:val="18"/>
                <w:szCs w:val="18"/>
              </w:rPr>
            </w:pPr>
            <w:r>
              <w:rPr>
                <w:rFonts w:ascii="宋体" w:hAnsi="宋体" w:cs="宋体" w:eastAsia="宋体" w:hint="default"/>
                <w:sz w:val="18"/>
                <w:szCs w:val="18"/>
              </w:rPr>
              <w:t>本期归属于少数股东 的损益</w:t>
            </w:r>
          </w:p>
        </w:tc>
        <w:tc>
          <w:tcPr>
            <w:tcW w:w="15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69"/>
              <w:ind w:left="206" w:right="25" w:hanging="180"/>
              <w:jc w:val="left"/>
              <w:rPr>
                <w:rFonts w:ascii="宋体" w:hAnsi="宋体" w:cs="宋体" w:eastAsia="宋体" w:hint="default"/>
                <w:sz w:val="18"/>
                <w:szCs w:val="18"/>
              </w:rPr>
            </w:pPr>
            <w:r>
              <w:rPr>
                <w:rFonts w:ascii="宋体" w:hAnsi="宋体" w:cs="宋体" w:eastAsia="宋体" w:hint="default"/>
                <w:sz w:val="18"/>
                <w:szCs w:val="18"/>
              </w:rPr>
              <w:t>本期向少数股东宣 告分派的股利</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69"/>
              <w:ind w:left="623" w:right="84" w:hanging="540"/>
              <w:jc w:val="left"/>
              <w:rPr>
                <w:rFonts w:ascii="宋体" w:hAnsi="宋体" w:cs="宋体" w:eastAsia="宋体" w:hint="default"/>
                <w:sz w:val="18"/>
                <w:szCs w:val="18"/>
              </w:rPr>
            </w:pPr>
            <w:r>
              <w:rPr>
                <w:rFonts w:ascii="宋体" w:hAnsi="宋体" w:cs="宋体" w:eastAsia="宋体" w:hint="default"/>
                <w:sz w:val="18"/>
                <w:szCs w:val="18"/>
              </w:rPr>
              <w:t>期末少数股东权益 余额</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北明云智（武汉）网软有限公司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30.40%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-678,181.11</w:t>
            </w:r>
          </w:p>
        </w:tc>
        <w:tc>
          <w:tcPr>
            <w:tcW w:w="150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-1,811,184.03</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北京爱意生活电子商务有限公司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-2,813,707.56</w:t>
            </w:r>
          </w:p>
        </w:tc>
        <w:tc>
          <w:tcPr>
            <w:tcW w:w="150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1,686,545.08</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舞钢智慧城市科技发展有限公司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-14,556.00</w:t>
            </w:r>
          </w:p>
        </w:tc>
        <w:tc>
          <w:tcPr>
            <w:tcW w:w="150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2,483,526.48</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北京北明数科信息技术有限公司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-2,392,365.64</w:t>
            </w:r>
          </w:p>
        </w:tc>
        <w:tc>
          <w:tcPr>
            <w:tcW w:w="1504"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1,607,634.36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4"/>
        <w:gridCol w:w="736"/>
        <w:gridCol w:w="734"/>
        <w:gridCol w:w="736"/>
        <w:gridCol w:w="734"/>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316" w:lineRule="auto"/>
              <w:ind w:left="182" w:right="91"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3D3D3"/>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3" w:right="90"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3" w:right="90"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4" w:right="90"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358"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北明云</w:t>
            </w: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智（武 </w:t>
            </w:r>
            <w:r>
              <w:rPr>
                <w:rFonts w:ascii="宋体" w:hAnsi="宋体" w:cs="宋体" w:eastAsia="宋体" w:hint="default"/>
                <w:spacing w:val="-10"/>
                <w:sz w:val="18"/>
                <w:szCs w:val="18"/>
              </w:rPr>
              <w:t>汉）网软</w:t>
            </w:r>
            <w:r>
              <w:rPr>
                <w:rFonts w:ascii="宋体" w:hAnsi="宋体" w:cs="宋体" w:eastAsia="宋体" w:hint="default"/>
                <w:sz w:val="18"/>
                <w:szCs w:val="18"/>
              </w:rPr>
              <w:t> 有限公</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5,478,23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9.98</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71" w:right="0"/>
              <w:jc w:val="left"/>
              <w:rPr>
                <w:rFonts w:ascii="Times New Roman" w:hAnsi="Times New Roman" w:cs="Times New Roman" w:eastAsia="Times New Roman" w:hint="default"/>
                <w:sz w:val="18"/>
                <w:szCs w:val="18"/>
              </w:rPr>
            </w:pPr>
            <w:r>
              <w:rPr>
                <w:rFonts w:ascii="Times New Roman"/>
                <w:sz w:val="18"/>
              </w:rPr>
              <w:t>7,836.59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5,486,07</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6.57</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11,444,4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82.50</w:t>
            </w:r>
          </w:p>
        </w:tc>
        <w:tc>
          <w:tcPr>
            <w:tcW w:w="734"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11,444,4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82.50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8,149,52</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3.65</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25,284.9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8,174,80</w:t>
            </w:r>
          </w:p>
          <w:p>
            <w:pPr>
              <w:pStyle w:val="TableParagraph"/>
              <w:spacing w:line="240" w:lineRule="auto" w:before="105"/>
              <w:ind w:left="386" w:right="0"/>
              <w:jc w:val="left"/>
              <w:rPr>
                <w:rFonts w:ascii="Times New Roman" w:hAnsi="Times New Roman" w:cs="Times New Roman" w:eastAsia="Times New Roman" w:hint="default"/>
                <w:sz w:val="18"/>
                <w:szCs w:val="18"/>
              </w:rPr>
            </w:pPr>
            <w:r>
              <w:rPr>
                <w:rFonts w:ascii="Times New Roman"/>
                <w:sz w:val="18"/>
              </w:rPr>
              <w:t>8.55</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2" w:right="0"/>
              <w:jc w:val="left"/>
              <w:rPr>
                <w:rFonts w:ascii="Times New Roman" w:hAnsi="Times New Roman" w:cs="Times New Roman" w:eastAsia="Times New Roman" w:hint="default"/>
                <w:sz w:val="18"/>
                <w:szCs w:val="18"/>
              </w:rPr>
            </w:pPr>
            <w:r>
              <w:rPr>
                <w:rFonts w:ascii="Times New Roman"/>
                <w:sz w:val="18"/>
              </w:rPr>
              <w:t>11,902,2</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82.32</w:t>
            </w: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11,902,2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82.32</w:t>
            </w:r>
          </w:p>
        </w:tc>
      </w:tr>
      <w:tr>
        <w:trPr>
          <w:trHeight w:val="357"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北京爱</w:t>
            </w: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1"/>
              <w:jc w:val="both"/>
              <w:rPr>
                <w:rFonts w:ascii="宋体" w:hAnsi="宋体" w:cs="宋体" w:eastAsia="宋体" w:hint="default"/>
                <w:sz w:val="18"/>
                <w:szCs w:val="18"/>
              </w:rPr>
            </w:pPr>
            <w:r>
              <w:rPr>
                <w:rFonts w:ascii="宋体" w:hAnsi="宋体" w:cs="宋体" w:eastAsia="宋体" w:hint="default"/>
                <w:sz w:val="18"/>
                <w:szCs w:val="18"/>
              </w:rPr>
              <w:t>意生活 电子商 务有限</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11,274,5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76.94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3,455,80</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6.00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14,730,3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82.94</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6,297,65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7.53</w:t>
            </w:r>
          </w:p>
        </w:tc>
        <w:tc>
          <w:tcPr>
            <w:tcW w:w="734"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6,297,65</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7.53</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20,140,2</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39.90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2,933,32</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4.51</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23,073,5</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64.41</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572,301.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19</w:t>
            </w: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572,301.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19</w:t>
            </w:r>
          </w:p>
        </w:tc>
      </w:tr>
      <w:tr>
        <w:trPr>
          <w:trHeight w:val="357"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舞钢智</w:t>
            </w: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1"/>
              <w:jc w:val="both"/>
              <w:rPr>
                <w:rFonts w:ascii="宋体" w:hAnsi="宋体" w:cs="宋体" w:eastAsia="宋体" w:hint="default"/>
                <w:sz w:val="18"/>
                <w:szCs w:val="18"/>
              </w:rPr>
            </w:pPr>
            <w:r>
              <w:rPr>
                <w:rFonts w:ascii="宋体" w:hAnsi="宋体" w:cs="宋体" w:eastAsia="宋体" w:hint="default"/>
                <w:sz w:val="18"/>
                <w:szCs w:val="18"/>
              </w:rPr>
              <w:t>慧城市 科技发 展有限</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37,087,0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47.30</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12,758,5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54.96</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49,845,6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02.26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08" w:right="0"/>
              <w:jc w:val="left"/>
              <w:rPr>
                <w:rFonts w:ascii="Times New Roman" w:hAnsi="Times New Roman" w:cs="Times New Roman" w:eastAsia="Times New Roman" w:hint="default"/>
                <w:sz w:val="18"/>
                <w:szCs w:val="18"/>
              </w:rPr>
            </w:pPr>
            <w:r>
              <w:rPr>
                <w:rFonts w:ascii="Times New Roman"/>
                <w:sz w:val="18"/>
              </w:rPr>
              <w:t>137.42</w:t>
            </w:r>
          </w:p>
        </w:tc>
        <w:tc>
          <w:tcPr>
            <w:tcW w:w="734"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07" w:right="0"/>
              <w:jc w:val="left"/>
              <w:rPr>
                <w:rFonts w:ascii="Times New Roman" w:hAnsi="Times New Roman" w:cs="Times New Roman" w:eastAsia="Times New Roman" w:hint="default"/>
                <w:sz w:val="18"/>
                <w:szCs w:val="18"/>
              </w:rPr>
            </w:pPr>
            <w:r>
              <w:rPr>
                <w:rFonts w:ascii="Times New Roman"/>
                <w:sz w:val="18"/>
              </w:rPr>
              <w:t>137.42</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44,662,0</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43.71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2,828,11</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8.57</w:t>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47,490,1</w:t>
            </w:r>
          </w:p>
          <w:p>
            <w:pPr>
              <w:pStyle w:val="TableParagraph"/>
              <w:spacing w:line="240" w:lineRule="auto" w:before="105"/>
              <w:ind w:left="296" w:right="0"/>
              <w:jc w:val="left"/>
              <w:rPr>
                <w:rFonts w:ascii="Times New Roman" w:hAnsi="Times New Roman" w:cs="Times New Roman" w:eastAsia="Times New Roman" w:hint="default"/>
                <w:sz w:val="18"/>
                <w:szCs w:val="18"/>
              </w:rPr>
            </w:pPr>
            <w:r>
              <w:rPr>
                <w:rFonts w:ascii="Times New Roman"/>
                <w:sz w:val="18"/>
              </w:rPr>
              <w:t>62.28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09" w:right="0"/>
              <w:jc w:val="left"/>
              <w:rPr>
                <w:rFonts w:ascii="Times New Roman" w:hAnsi="Times New Roman" w:cs="Times New Roman" w:eastAsia="Times New Roman" w:hint="default"/>
                <w:sz w:val="18"/>
                <w:szCs w:val="18"/>
              </w:rPr>
            </w:pPr>
            <w:r>
              <w:rPr>
                <w:rFonts w:ascii="Times New Roman"/>
                <w:sz w:val="18"/>
              </w:rPr>
              <w:t>137.42</w:t>
            </w: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07" w:right="0"/>
              <w:jc w:val="left"/>
              <w:rPr>
                <w:rFonts w:ascii="Times New Roman" w:hAnsi="Times New Roman" w:cs="Times New Roman" w:eastAsia="Times New Roman" w:hint="default"/>
                <w:sz w:val="18"/>
                <w:szCs w:val="18"/>
              </w:rPr>
            </w:pPr>
            <w:r>
              <w:rPr>
                <w:rFonts w:ascii="Times New Roman"/>
                <w:sz w:val="18"/>
              </w:rPr>
              <w:t>137.42</w:t>
            </w:r>
          </w:p>
        </w:tc>
      </w:tr>
      <w:tr>
        <w:trPr>
          <w:trHeight w:val="357"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w:t>
            </w: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r>
      <w:tr>
        <w:trPr>
          <w:trHeight w:val="936" w:hRule="exact"/>
        </w:trPr>
        <w:tc>
          <w:tcPr>
            <w:tcW w:w="7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61"/>
              <w:jc w:val="both"/>
              <w:rPr>
                <w:rFonts w:ascii="宋体" w:hAnsi="宋体" w:cs="宋体" w:eastAsia="宋体" w:hint="default"/>
                <w:sz w:val="18"/>
                <w:szCs w:val="18"/>
              </w:rPr>
            </w:pPr>
            <w:r>
              <w:rPr>
                <w:rFonts w:ascii="宋体" w:hAnsi="宋体" w:cs="宋体" w:eastAsia="宋体" w:hint="default"/>
                <w:sz w:val="18"/>
                <w:szCs w:val="18"/>
              </w:rPr>
              <w:t>明数科 信息技 术有限</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63,945,2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52.92</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2,847,47</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8.94</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66,792,7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31.86</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62,773,6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45.97</w:t>
            </w:r>
          </w:p>
        </w:tc>
        <w:tc>
          <w:tcPr>
            <w:tcW w:w="734"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62,773,6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45.97</w:t>
            </w:r>
          </w:p>
        </w:tc>
        <w:tc>
          <w:tcPr>
            <w:tcW w:w="734"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r>
      <w:tr>
        <w:trPr>
          <w:trHeight w:val="357" w:hRule="exact"/>
        </w:trPr>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3"/>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3D3D3"/>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7"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358" w:hRule="exact"/>
        </w:trPr>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北明云</w:t>
            </w:r>
            <w:r>
              <w:rPr>
                <w:rFonts w:ascii="宋体" w:hAnsi="宋体" w:cs="宋体" w:eastAsia="宋体" w:hint="default"/>
                <w:spacing w:val="-75"/>
                <w:sz w:val="18"/>
                <w:szCs w:val="18"/>
              </w:rPr>
              <w:t>智</w:t>
            </w:r>
            <w:r>
              <w:rPr>
                <w:rFonts w:ascii="宋体" w:hAnsi="宋体" w:cs="宋体" w:eastAsia="宋体" w:hint="default"/>
                <w:sz w:val="18"/>
                <w:szCs w:val="18"/>
              </w:rPr>
              <w:t>（武</w:t>
            </w:r>
          </w:p>
        </w:tc>
        <w:tc>
          <w:tcPr>
            <w:tcW w:w="1061" w:type="dxa"/>
            <w:tcBorders>
              <w:top w:val="single" w:sz="4" w:space="0" w:color="000000"/>
              <w:left w:val="single" w:sz="4" w:space="0" w:color="000000"/>
              <w:bottom w:val="nil" w:sz="6" w:space="0" w:color="auto"/>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汉</w:t>
            </w:r>
            <w:r>
              <w:rPr>
                <w:rFonts w:ascii="宋体" w:hAnsi="宋体" w:cs="宋体" w:eastAsia="宋体" w:hint="default"/>
                <w:spacing w:val="-75"/>
                <w:sz w:val="18"/>
                <w:szCs w:val="18"/>
              </w:rPr>
              <w:t>）</w:t>
            </w:r>
            <w:r>
              <w:rPr>
                <w:rFonts w:ascii="宋体" w:hAnsi="宋体" w:cs="宋体" w:eastAsia="宋体" w:hint="default"/>
                <w:sz w:val="18"/>
                <w:szCs w:val="18"/>
              </w:rPr>
              <w:t>网软有限</w:t>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62" w:right="0"/>
              <w:jc w:val="center"/>
              <w:rPr>
                <w:rFonts w:ascii="Times New Roman" w:hAnsi="Times New Roman" w:cs="Times New Roman" w:eastAsia="Times New Roman" w:hint="default"/>
                <w:sz w:val="18"/>
                <w:szCs w:val="18"/>
              </w:rPr>
            </w:pPr>
            <w:r>
              <w:rPr>
                <w:rFonts w:ascii="Times New Roman"/>
                <w:sz w:val="18"/>
              </w:rPr>
              <w:t>4,581,421.00</w:t>
            </w: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-2,230,932.16</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4" w:right="0"/>
              <w:jc w:val="center"/>
              <w:rPr>
                <w:rFonts w:ascii="Times New Roman" w:hAnsi="Times New Roman" w:cs="Times New Roman" w:eastAsia="Times New Roman" w:hint="default"/>
                <w:sz w:val="18"/>
                <w:szCs w:val="18"/>
              </w:rPr>
            </w:pPr>
            <w:r>
              <w:rPr>
                <w:rFonts w:ascii="Times New Roman"/>
                <w:sz w:val="18"/>
              </w:rPr>
              <w:t>-2,230,932.16</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-134,488.67</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62" w:right="0"/>
              <w:jc w:val="center"/>
              <w:rPr>
                <w:rFonts w:ascii="Times New Roman" w:hAnsi="Times New Roman" w:cs="Times New Roman" w:eastAsia="Times New Roman" w:hint="default"/>
                <w:sz w:val="18"/>
                <w:szCs w:val="18"/>
              </w:rPr>
            </w:pPr>
            <w:r>
              <w:rPr>
                <w:rFonts w:ascii="Times New Roman"/>
                <w:sz w:val="18"/>
              </w:rPr>
              <w:t>6,780,498.28</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pacing w:val="-1"/>
                <w:sz w:val="18"/>
              </w:rPr>
              <w:t>-3,639,943.92</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pacing w:val="-1"/>
                <w:sz w:val="18"/>
              </w:rPr>
              <w:t>-3,639,943.92</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-609,131.91</w:t>
            </w:r>
          </w:p>
        </w:tc>
      </w:tr>
      <w:tr>
        <w:trPr>
          <w:trHeight w:val="352" w:hRule="exact"/>
        </w:trPr>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061" w:type="dxa"/>
            <w:tcBorders>
              <w:top w:val="nil" w:sz="6" w:space="0" w:color="auto"/>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北京爱意生 活电子商务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3,484,117.95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-14,068,537.8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-14,068,537.8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-11,246,424.0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1,698,491.63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-9,185,872.16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-9,185,872.16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-13,678,988.9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r>
      <w:tr>
        <w:trPr>
          <w:trHeight w:val="358" w:hRule="exact"/>
        </w:trPr>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舞钢智慧城</w:t>
            </w:r>
          </w:p>
        </w:tc>
        <w:tc>
          <w:tcPr>
            <w:tcW w:w="1061" w:type="dxa"/>
            <w:vMerge w:val="restart"/>
            <w:tcBorders>
              <w:top w:val="single" w:sz="4" w:space="0" w:color="000000"/>
              <w:left w:val="single" w:sz="4" w:space="0" w:color="000000"/>
              <w:right w:val="single" w:sz="4" w:space="0" w:color="000000"/>
            </w:tcBorders>
          </w:tcPr>
          <w:p>
            <w:pPr/>
          </w:p>
        </w:tc>
        <w:tc>
          <w:tcPr>
            <w:tcW w:w="1062"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市科技发展</w:t>
            </w:r>
          </w:p>
        </w:tc>
        <w:tc>
          <w:tcPr>
            <w:tcW w:w="1061" w:type="dxa"/>
            <w:vMerge/>
            <w:tcBorders>
              <w:left w:val="single" w:sz="4" w:space="0" w:color="000000"/>
              <w:right w:val="single" w:sz="4" w:space="0" w:color="000000"/>
            </w:tcBorders>
          </w:tcPr>
          <w:p>
            <w:pPr/>
          </w:p>
        </w:tc>
        <w:tc>
          <w:tcPr>
            <w:tcW w:w="1062"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-145,560.02</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139" w:right="0"/>
              <w:jc w:val="center"/>
              <w:rPr>
                <w:rFonts w:ascii="Times New Roman" w:hAnsi="Times New Roman" w:cs="Times New Roman" w:eastAsia="Times New Roman" w:hint="default"/>
                <w:sz w:val="18"/>
                <w:szCs w:val="18"/>
              </w:rPr>
            </w:pPr>
            <w:r>
              <w:rPr>
                <w:rFonts w:ascii="Times New Roman"/>
                <w:sz w:val="18"/>
              </w:rPr>
              <w:t>-145,560.02</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-140,214.28</w:t>
            </w:r>
          </w:p>
        </w:tc>
        <w:tc>
          <w:tcPr>
            <w:tcW w:w="1063" w:type="dxa"/>
            <w:vMerge/>
            <w:tcBorders>
              <w:left w:val="single" w:sz="4" w:space="0" w:color="000000"/>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-29,175.14</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-29,175.14</w:t>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2"/>
              <w:jc w:val="right"/>
              <w:rPr>
                <w:rFonts w:ascii="Times New Roman" w:hAnsi="Times New Roman" w:cs="Times New Roman" w:eastAsia="Times New Roman" w:hint="default"/>
                <w:sz w:val="18"/>
                <w:szCs w:val="18"/>
              </w:rPr>
            </w:pPr>
            <w:r>
              <w:rPr>
                <w:rFonts w:ascii="Times New Roman"/>
                <w:sz w:val="18"/>
              </w:rPr>
              <w:t>-27,548.73</w:t>
            </w:r>
          </w:p>
        </w:tc>
      </w:tr>
      <w:tr>
        <w:trPr>
          <w:trHeight w:val="352" w:hRule="exact"/>
        </w:trPr>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061" w:type="dxa"/>
            <w:vMerge/>
            <w:tcBorders>
              <w:left w:val="single" w:sz="4" w:space="0" w:color="000000"/>
              <w:bottom w:val="single" w:sz="4" w:space="0" w:color="000000"/>
              <w:right w:val="single" w:sz="4" w:space="0" w:color="000000"/>
            </w:tcBorders>
          </w:tcPr>
          <w:p>
            <w:pPr/>
          </w:p>
        </w:tc>
        <w:tc>
          <w:tcPr>
            <w:tcW w:w="1062"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北京北明数 科信息技术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55,736,400.1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-5,980,914.11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-5,980,914.11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-11,038,876.4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1" w:hRule="exact"/>
        </w:trPr>
        <w:tc>
          <w:tcPr>
            <w:tcW w:w="13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320" w:right="49"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5" w:hRule="exact"/>
        </w:trPr>
        <w:tc>
          <w:tcPr>
            <w:tcW w:w="1372"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石家庄常山明荣 家纺有限公司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石家庄市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pacing w:val="-6"/>
                <w:sz w:val="18"/>
                <w:szCs w:val="18"/>
              </w:rPr>
              <w:t>床上用品、服装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纺织等加工销售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left="778" w:right="0"/>
              <w:jc w:val="lef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北京国智云鼎科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软件开发、技术 服务等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8" w:right="0"/>
              <w:jc w:val="lef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right="0"/>
        <w:jc w:val="left"/>
      </w:pPr>
      <w:r>
        <w:rPr/>
        <w:pict>
          <v:group style="position:absolute;margin-left:330.540009pt;margin-top:-71.437866pt;width:67.9pt;height:28pt;mso-position-horizontal-relative:page;mso-position-vertical-relative:paragraph;z-index:-1362136" coordorigin="6611,-1429" coordsize="1358,560">
            <v:group style="position:absolute;left:6622;top:-1273;width:2;height:392" coordorigin="6622,-1273" coordsize="2,392">
              <v:shape style="position:absolute;left:6622;top:-1273;width:2;height:392" coordorigin="6622,-1273" coordsize="0,392" path="m6622,-1273l6622,-881e" filled="false" stroked="true" strokeweight="1.140pt" strokecolor="#ffffff">
                <v:path arrowok="t"/>
              </v:shape>
            </v:group>
            <v:group style="position:absolute;left:6611;top:-1429;width:1358;height:156" coordorigin="6611,-1429" coordsize="1358,156">
              <v:shape style="position:absolute;left:6611;top:-1429;width:1358;height:156" coordorigin="6611,-1429" coordsize="1358,156" path="m6611,-1273l7968,-1273,7968,-1429,6611,-1429,6611,-1273xe" filled="true" fillcolor="#ffffff" stroked="false">
                <v:path arrowok="t"/>
                <v:fill type="solid"/>
              </v:shape>
            </v:group>
            <v:group style="position:absolute;left:6634;top:-1272;width:1311;height:392" coordorigin="6634,-1272" coordsize="1311,392">
              <v:shape style="position:absolute;left:6634;top:-1272;width:1311;height:392" coordorigin="6634,-1272" coordsize="1311,392" path="m6634,-881l7944,-881,7944,-1272,6634,-1272,6634,-881xe" filled="true" fillcolor="#ffffff" stroked="false">
                <v:path arrowok="t"/>
                <v:fill type="solid"/>
              </v:shape>
            </v:group>
            <w10:wrap type="none"/>
          </v:group>
        </w:pict>
      </w:r>
      <w:r>
        <w:rPr/>
        <w:t>在合营企业或联营企业的持股比例不同于表决权比例的说明：</w:t>
      </w:r>
    </w:p>
    <w:p>
      <w:pPr>
        <w:pStyle w:val="BodyText"/>
        <w:spacing w:line="240" w:lineRule="auto" w:before="117"/>
        <w:ind w:left="153"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191"/>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66"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center"/>
              <w:rPr>
                <w:rFonts w:ascii="宋体" w:hAnsi="宋体" w:cs="宋体" w:eastAsia="宋体" w:hint="default"/>
                <w:sz w:val="18"/>
                <w:szCs w:val="18"/>
              </w:rPr>
            </w:pPr>
            <w:r>
              <w:rPr>
                <w:rFonts w:ascii="宋体" w:hAnsi="宋体" w:cs="宋体" w:eastAsia="宋体" w:hint="default"/>
                <w:sz w:val="18"/>
                <w:szCs w:val="18"/>
              </w:rPr>
              <w:t>国智云鼎</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center"/>
              <w:rPr>
                <w:rFonts w:ascii="宋体" w:hAnsi="宋体" w:cs="宋体" w:eastAsia="宋体" w:hint="default"/>
                <w:sz w:val="18"/>
                <w:szCs w:val="18"/>
              </w:rPr>
            </w:pPr>
            <w:r>
              <w:rPr>
                <w:rFonts w:ascii="宋体" w:hAnsi="宋体" w:cs="宋体" w:eastAsia="宋体" w:hint="default"/>
                <w:sz w:val="18"/>
                <w:szCs w:val="18"/>
              </w:rPr>
              <w:t>国智云鼎</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48,072,594.50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34,033,070.27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3,341,385.27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2,237,464.48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51,413,979.77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36,270,534.75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18,452,915.83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9,426,657.98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18,452,915.83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9,426,657.98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32,961,063.94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26,843,876.77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14,144,425.57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12,497,550.70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14,144,425.57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12,497,550.70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9,898,449.13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26,658,875.68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5,117,187.17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1,594,082.36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5,117,187.17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1,594,082.36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07"/>
        <w:gridCol w:w="3076"/>
        <w:gridCol w:w="3186"/>
      </w:tblGrid>
      <w:tr>
        <w:trPr>
          <w:trHeight w:val="402" w:hRule="exact"/>
        </w:trPr>
        <w:tc>
          <w:tcPr>
            <w:tcW w:w="330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0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46,328.16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55,907.98</w:t>
            </w:r>
          </w:p>
        </w:tc>
      </w:tr>
      <w:tr>
        <w:trPr>
          <w:trHeight w:val="402" w:hRule="exact"/>
        </w:trPr>
        <w:tc>
          <w:tcPr>
            <w:tcW w:w="33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-9,579.82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6,734.91</w:t>
            </w:r>
          </w:p>
        </w:tc>
      </w:tr>
      <w:tr>
        <w:trPr>
          <w:trHeight w:val="402" w:hRule="exact"/>
        </w:trPr>
        <w:tc>
          <w:tcPr>
            <w:tcW w:w="33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-9,579.82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6,734.91</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131" w:firstLine="360"/>
        <w:jc w:val="both"/>
      </w:pPr>
      <w:r>
        <w:rPr>
          <w:spacing w:val="-2"/>
        </w:rPr>
        <w:t>本公司在经营过程中面临各种金融风险：信用风险、市场风险和流动性风险。公司经营管理层全面负责风险管理目标和</w:t>
      </w:r>
      <w:r>
        <w:rPr/>
        <w:t> 政策的确定，并对风险管理目标和政策承担最终责任。</w:t>
      </w:r>
      <w:r>
        <w:rPr>
          <w:spacing w:val="-18"/>
        </w:rPr>
        <w:t> </w:t>
      </w:r>
      <w:r>
        <w:rPr/>
        <w:t>经营管理层通过职能部门递交的月度工作报告来审查已执行程序的</w:t>
      </w:r>
      <w:r>
        <w:rPr/>
        <w:t> 有效性以及风险管理目标和政策的合理性。</w:t>
      </w:r>
    </w:p>
    <w:p>
      <w:pPr>
        <w:pStyle w:val="BodyText"/>
        <w:spacing w:line="319" w:lineRule="auto" w:before="56"/>
        <w:ind w:right="0" w:firstLine="360"/>
        <w:jc w:val="left"/>
      </w:pPr>
      <w:r>
        <w:rPr/>
        <w:t>本公司从事风险管理的目标是在风险和收益之间取得适当的平衡，将风险对本公司经营业绩的负面影响降低到最低水 </w:t>
      </w:r>
      <w:r>
        <w:rPr>
          <w:spacing w:val="-2"/>
        </w:rPr>
        <w:t>平，使股东及其他权益投资者的利益最大化。基于该风险管理目标，本公司风险管理的基本策略是确定和分析本公司所面临</w:t>
      </w:r>
      <w:r>
        <w:rPr>
          <w:spacing w:val="-66"/>
        </w:rPr>
        <w:t> </w:t>
      </w:r>
      <w:r>
        <w:rPr>
          <w:spacing w:val="-66"/>
        </w:rPr>
      </w:r>
      <w:r>
        <w:rPr>
          <w:spacing w:val="-4"/>
        </w:rPr>
        <w:t>的各种风险，建立适当的风险承受底线和进行风险管理，并及时可靠地对各种风险进行监督，将风险控制在限定的范围之内。</w:t>
      </w:r>
    </w:p>
    <w:p>
      <w:pPr>
        <w:pStyle w:val="BodyText"/>
        <w:spacing w:line="240" w:lineRule="auto" w:before="56"/>
        <w:ind w:left="514" w:right="0"/>
        <w:jc w:val="left"/>
      </w:pPr>
      <w:r>
        <w:rPr>
          <w:rFonts w:ascii="Times New Roman" w:hAnsi="Times New Roman" w:cs="Times New Roman" w:eastAsia="Times New Roman" w:hint="default"/>
        </w:rPr>
        <w:t>1</w:t>
      </w:r>
      <w:r>
        <w:rPr/>
        <w:t>、信用风险</w:t>
      </w:r>
    </w:p>
    <w:p>
      <w:pPr>
        <w:pStyle w:val="BodyText"/>
        <w:spacing w:line="319" w:lineRule="auto" w:before="101"/>
        <w:ind w:right="1129" w:firstLine="360"/>
        <w:jc w:val="both"/>
      </w:pPr>
      <w:r>
        <w:rPr/>
        <w:t>信用风险是指金融工具的一方不履行义务，造成另一方发生财务损失的风险。</w:t>
      </w:r>
      <w:r>
        <w:rPr>
          <w:spacing w:val="-19"/>
        </w:rPr>
        <w:t> </w:t>
      </w:r>
      <w:r>
        <w:rPr/>
        <w:t>本公司主要面临赊销导致的客户信用风</w:t>
      </w:r>
      <w:r>
        <w:rPr/>
        <w:t> </w:t>
      </w:r>
      <w:r>
        <w:rPr>
          <w:spacing w:val="-2"/>
        </w:rPr>
        <w:t>险。在签订新合同之前，本公司会对新客户的信用风险进行评估，包括外部信用评级和在某些情况下的银行资信证明（当此</w:t>
      </w:r>
      <w:r>
        <w:rPr>
          <w:spacing w:val="-66"/>
        </w:rPr>
        <w:t> </w:t>
      </w:r>
      <w:r>
        <w:rPr>
          <w:spacing w:val="-66"/>
        </w:rPr>
      </w:r>
      <w:r>
        <w:rPr/>
        <w:t>信息可获取时）。公司对每一客户均设置了赊销限额，该限额为无需获得额外批准的最大额度。</w:t>
      </w:r>
    </w:p>
    <w:p>
      <w:pPr>
        <w:pStyle w:val="BodyText"/>
        <w:spacing w:line="309" w:lineRule="auto" w:before="56"/>
        <w:ind w:left="153" w:right="0" w:firstLine="360"/>
        <w:jc w:val="left"/>
      </w:pPr>
      <w:r>
        <w:rPr/>
        <w:t>公司通过对已有客户信用评级的季度监控以及应收账款账龄分析的月度审核来确保公司的整体信用风险在可控的范围 </w:t>
      </w:r>
      <w:r>
        <w:rPr>
          <w:spacing w:val="-2"/>
        </w:rPr>
        <w:t>内。在监控客户的信用风险时，按照客户的信用特征对其分组。被评为</w:t>
      </w:r>
      <w:r>
        <w:rPr>
          <w:rFonts w:ascii="Times New Roman" w:hAnsi="Times New Roman" w:cs="Times New Roman" w:eastAsia="Times New Roman" w:hint="default"/>
          <w:spacing w:val="-2"/>
        </w:rPr>
        <w:t>“</w:t>
      </w:r>
      <w:r>
        <w:rPr>
          <w:spacing w:val="-2"/>
        </w:rPr>
        <w:t>高风险</w:t>
      </w:r>
      <w:r>
        <w:rPr>
          <w:rFonts w:ascii="Times New Roman" w:hAnsi="Times New Roman" w:cs="Times New Roman" w:eastAsia="Times New Roman" w:hint="default"/>
          <w:spacing w:val="-2"/>
        </w:rPr>
        <w:t>”</w:t>
      </w:r>
      <w:r>
        <w:rPr>
          <w:spacing w:val="-2"/>
        </w:rPr>
        <w:t>级别的客户会放在受限制客户名单里，并且</w:t>
      </w:r>
      <w:r>
        <w:rPr>
          <w:spacing w:val="-45"/>
        </w:rPr>
        <w:t> </w:t>
      </w:r>
      <w:r>
        <w:rPr>
          <w:spacing w:val="-45"/>
        </w:rPr>
      </w:r>
      <w:r>
        <w:rPr/>
        <w:t>只有在额外批准的前提下，公司才可在未来期间内对其赊销，否则必须要求其提前支付相应款项。</w:t>
      </w:r>
    </w:p>
    <w:p>
      <w:pPr>
        <w:spacing w:after="0" w:line="309" w:lineRule="auto"/>
        <w:jc w:val="left"/>
        <w:sectPr>
          <w:pgSz w:w="11910" w:h="16840"/>
          <w:pgMar w:header="747" w:footer="982" w:top="1060" w:bottom="1180" w:left="980" w:right="0"/>
        </w:sectPr>
      </w:pPr>
    </w:p>
    <w:p>
      <w:pPr>
        <w:spacing w:line="240" w:lineRule="auto" w:before="13"/>
        <w:rPr>
          <w:rFonts w:ascii="宋体" w:hAnsi="宋体" w:cs="宋体" w:eastAsia="宋体" w:hint="default"/>
          <w:sz w:val="25"/>
          <w:szCs w:val="25"/>
        </w:rPr>
      </w:pPr>
    </w:p>
    <w:p>
      <w:pPr>
        <w:pStyle w:val="BodyText"/>
        <w:spacing w:line="338" w:lineRule="auto" w:before="44"/>
        <w:ind w:left="513" w:right="1117"/>
        <w:jc w:val="left"/>
      </w:pPr>
      <w:r>
        <w:rPr>
          <w:rFonts w:ascii="Times New Roman" w:hAnsi="Times New Roman" w:cs="Times New Roman" w:eastAsia="Times New Roman" w:hint="default"/>
        </w:rPr>
        <w:t>2</w:t>
      </w:r>
      <w:r>
        <w:rPr/>
        <w:t>、市场风险 </w:t>
      </w:r>
      <w:r>
        <w:rPr>
          <w:spacing w:val="-2"/>
        </w:rPr>
        <w:t>金融工具的市场风险，是指金融工具的公允价值或未来现金流量因市场价格变动而发生波动的风险，包括利率风险、外</w:t>
      </w:r>
    </w:p>
    <w:p>
      <w:pPr>
        <w:pStyle w:val="BodyText"/>
        <w:spacing w:line="240" w:lineRule="auto" w:before="4"/>
        <w:ind w:left="153" w:right="0"/>
        <w:jc w:val="left"/>
      </w:pPr>
      <w:r>
        <w:rPr/>
        <w:t>汇风险和其他价格风险。</w:t>
      </w:r>
    </w:p>
    <w:p>
      <w:pPr>
        <w:pStyle w:val="BodyText"/>
        <w:spacing w:line="338" w:lineRule="auto" w:before="117"/>
        <w:ind w:left="513" w:right="1117" w:hanging="143"/>
        <w:jc w:val="left"/>
      </w:pPr>
      <w:r>
        <w:rPr/>
        <w:t>（</w:t>
      </w:r>
      <w:r>
        <w:rPr>
          <w:rFonts w:ascii="Times New Roman" w:hAnsi="Times New Roman" w:cs="Times New Roman" w:eastAsia="Times New Roman" w:hint="default"/>
        </w:rPr>
        <w:t>1</w:t>
      </w:r>
      <w:r>
        <w:rPr/>
        <w:t>）利率风险 </w:t>
      </w:r>
      <w:r>
        <w:rPr>
          <w:spacing w:val="-2"/>
        </w:rPr>
        <w:t>利率风险，是指金融工具的公允价值或未来现金流量因市场利率变动而发生波动的风险。本公司的利率风险主要产生于</w:t>
      </w:r>
    </w:p>
    <w:p>
      <w:pPr>
        <w:pStyle w:val="BodyText"/>
        <w:spacing w:line="319" w:lineRule="auto" w:before="2"/>
        <w:ind w:left="153" w:right="1031"/>
        <w:jc w:val="left"/>
      </w:pPr>
      <w:r>
        <w:rPr/>
        <w:t>银行借款等。浮动利率的金融负债使本公司面临现金流量利率风险，固定利率的金融负债使本公司面临公允价值利率风险。 本公司根据当时的市场环境来决定固定利率及浮动利率合同的相对比例。</w:t>
      </w:r>
    </w:p>
    <w:p>
      <w:pPr>
        <w:pStyle w:val="BodyText"/>
        <w:spacing w:line="319" w:lineRule="auto" w:before="55"/>
        <w:ind w:left="153" w:right="0" w:firstLine="360"/>
        <w:jc w:val="left"/>
      </w:pPr>
      <w:r>
        <w:rPr>
          <w:spacing w:val="-2"/>
        </w:rPr>
        <w:t>本公司财务部门持续监控公司利率水平，会依据最新的市场状况及时做出调整，这些调整可能是进行利率互换的安排来</w:t>
      </w:r>
      <w:r>
        <w:rPr/>
        <w:t> 降低利率风险。</w:t>
      </w:r>
    </w:p>
    <w:p>
      <w:pPr>
        <w:pStyle w:val="BodyText"/>
        <w:spacing w:line="357" w:lineRule="auto" w:before="58"/>
        <w:ind w:left="513" w:right="0"/>
        <w:jc w:val="left"/>
      </w:pPr>
      <w:r>
        <w:rPr/>
        <w:t>本年度公司无利率互换安排。 </w:t>
      </w:r>
      <w:r>
        <w:rPr>
          <w:spacing w:val="-2"/>
        </w:rPr>
        <w:t>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日，在其他变量保持不变的情况下，如果以浮动利率计算的借款利率上升或下降</w:t>
      </w:r>
      <w:r>
        <w:rPr>
          <w:rFonts w:ascii="Times New Roman" w:hAnsi="Times New Roman" w:cs="Times New Roman" w:eastAsia="Times New Roman" w:hint="default"/>
          <w:spacing w:val="-2"/>
        </w:rPr>
        <w:t>50</w:t>
      </w:r>
      <w:r>
        <w:rPr>
          <w:spacing w:val="-2"/>
        </w:rPr>
        <w:t>个基点，则本公司的</w:t>
      </w:r>
    </w:p>
    <w:p>
      <w:pPr>
        <w:pStyle w:val="BodyText"/>
        <w:spacing w:line="216" w:lineRule="exact"/>
        <w:ind w:left="153" w:right="0"/>
        <w:jc w:val="left"/>
      </w:pPr>
      <w:r>
        <w:rPr/>
        <w:t>净利润将减少或增加</w:t>
      </w:r>
      <w:r>
        <w:rPr>
          <w:rFonts w:ascii="Times New Roman" w:hAnsi="Times New Roman" w:cs="Times New Roman" w:eastAsia="Times New Roman" w:hint="default"/>
        </w:rPr>
        <w:t>2,368.07</w:t>
      </w:r>
      <w:r>
        <w:rPr/>
        <w:t>万元（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2,181.92</w:t>
      </w:r>
      <w:r>
        <w:rPr/>
        <w:t>万元）。</w:t>
      </w:r>
    </w:p>
    <w:p>
      <w:pPr>
        <w:pStyle w:val="BodyText"/>
        <w:spacing w:line="338" w:lineRule="auto" w:before="102"/>
        <w:ind w:left="513" w:right="1117" w:hanging="143"/>
        <w:jc w:val="left"/>
      </w:pPr>
      <w:r>
        <w:rPr/>
        <w:t>（</w:t>
      </w:r>
      <w:r>
        <w:rPr>
          <w:rFonts w:ascii="Times New Roman" w:hAnsi="Times New Roman" w:cs="Times New Roman" w:eastAsia="Times New Roman" w:hint="default"/>
        </w:rPr>
        <w:t>2</w:t>
      </w:r>
      <w:r>
        <w:rPr/>
        <w:t>）外汇风险 </w:t>
      </w:r>
      <w:r>
        <w:rPr>
          <w:spacing w:val="-2"/>
        </w:rPr>
        <w:t>外汇风险，是指金融工具的公允价值或未来现金流量因外汇汇率变动而发生波动的风险。本公司尽可能将外币收入与外</w:t>
      </w:r>
    </w:p>
    <w:p>
      <w:pPr>
        <w:pStyle w:val="BodyText"/>
        <w:spacing w:line="319" w:lineRule="auto" w:before="2"/>
        <w:ind w:left="153" w:right="0"/>
        <w:jc w:val="left"/>
      </w:pPr>
      <w:r>
        <w:rPr>
          <w:spacing w:val="-2"/>
        </w:rPr>
        <w:t>币支出相匹配以降低外汇风险。此外，公司还可能签署远期外汇合约或货币互换合约以达到规避外汇风险的目的。于本期及</w:t>
      </w:r>
      <w:r>
        <w:rPr>
          <w:spacing w:val="-66"/>
        </w:rPr>
        <w:t> </w:t>
      </w:r>
      <w:r>
        <w:rPr>
          <w:spacing w:val="-66"/>
        </w:rPr>
      </w:r>
      <w:r>
        <w:rPr/>
        <w:t>上期，公司未签署任何远期外汇合约或货币互换合约。</w:t>
      </w:r>
    </w:p>
    <w:p>
      <w:pPr>
        <w:pStyle w:val="BodyText"/>
        <w:spacing w:line="319" w:lineRule="auto" w:before="55"/>
        <w:ind w:left="153" w:right="1117" w:firstLine="360"/>
        <w:jc w:val="left"/>
      </w:pPr>
      <w:r>
        <w:rPr>
          <w:spacing w:val="-2"/>
        </w:rPr>
        <w:t>本公司面临的外汇风险主要来源于以美元计价的金融资产和金融负债，外币金融资产和外币金融负债折算成人民币的金</w:t>
      </w:r>
      <w:r>
        <w:rPr/>
        <w:t> 额列示如下：</w:t>
      </w:r>
    </w:p>
    <w:p>
      <w:pPr>
        <w:spacing w:line="240" w:lineRule="auto" w:before="6"/>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660"/>
        <w:gridCol w:w="1312"/>
        <w:gridCol w:w="1163"/>
        <w:gridCol w:w="1418"/>
        <w:gridCol w:w="1318"/>
        <w:gridCol w:w="1136"/>
        <w:gridCol w:w="1417"/>
      </w:tblGrid>
      <w:tr>
        <w:trPr>
          <w:trHeight w:val="427" w:hRule="exact"/>
        </w:trPr>
        <w:tc>
          <w:tcPr>
            <w:tcW w:w="1660" w:type="dxa"/>
            <w:vMerge w:val="restart"/>
            <w:tcBorders>
              <w:top w:val="single" w:sz="6" w:space="0" w:color="000000"/>
              <w:left w:val="single" w:sz="6" w:space="0" w:color="000000"/>
              <w:right w:val="single" w:sz="6" w:space="0" w:color="000000"/>
            </w:tcBorders>
          </w:tcPr>
          <w:p>
            <w:pPr>
              <w:pStyle w:val="TableParagraph"/>
              <w:spacing w:line="240" w:lineRule="auto" w:before="62"/>
              <w:ind w:left="36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89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59" w:right="0"/>
              <w:jc w:val="center"/>
              <w:rPr>
                <w:rFonts w:ascii="宋体" w:hAnsi="宋体" w:cs="宋体" w:eastAsia="宋体" w:hint="default"/>
                <w:sz w:val="18"/>
                <w:szCs w:val="18"/>
              </w:rPr>
            </w:pPr>
            <w:r>
              <w:rPr>
                <w:rFonts w:ascii="宋体" w:hAnsi="宋体" w:cs="宋体" w:eastAsia="宋体" w:hint="default"/>
                <w:sz w:val="18"/>
                <w:szCs w:val="18"/>
              </w:rPr>
              <w:t>年末金额</w:t>
            </w:r>
          </w:p>
        </w:tc>
        <w:tc>
          <w:tcPr>
            <w:tcW w:w="387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57" w:right="0"/>
              <w:jc w:val="center"/>
              <w:rPr>
                <w:rFonts w:ascii="宋体" w:hAnsi="宋体" w:cs="宋体" w:eastAsia="宋体" w:hint="default"/>
                <w:sz w:val="18"/>
                <w:szCs w:val="18"/>
              </w:rPr>
            </w:pPr>
            <w:r>
              <w:rPr>
                <w:rFonts w:ascii="宋体" w:hAnsi="宋体" w:cs="宋体" w:eastAsia="宋体" w:hint="default"/>
                <w:sz w:val="18"/>
                <w:szCs w:val="18"/>
              </w:rPr>
              <w:t>年初金额</w:t>
            </w:r>
          </w:p>
        </w:tc>
      </w:tr>
      <w:tr>
        <w:trPr>
          <w:trHeight w:val="427" w:hRule="exact"/>
        </w:trPr>
        <w:tc>
          <w:tcPr>
            <w:tcW w:w="1660" w:type="dxa"/>
            <w:vMerge/>
            <w:tcBorders>
              <w:left w:val="single" w:sz="6" w:space="0" w:color="000000"/>
              <w:bottom w:val="single" w:sz="6" w:space="0" w:color="000000"/>
              <w:right w:val="single" w:sz="6" w:space="0" w:color="000000"/>
            </w:tcBorders>
          </w:tcPr>
          <w:p>
            <w:pP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其他外币</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50" w:right="0"/>
              <w:jc w:val="left"/>
              <w:rPr>
                <w:rFonts w:ascii="宋体" w:hAnsi="宋体" w:cs="宋体" w:eastAsia="宋体" w:hint="default"/>
                <w:sz w:val="18"/>
                <w:szCs w:val="18"/>
              </w:rPr>
            </w:pPr>
            <w:r>
              <w:rPr>
                <w:rFonts w:ascii="宋体" w:hAnsi="宋体" w:cs="宋体" w:eastAsia="宋体" w:hint="default"/>
                <w:sz w:val="18"/>
                <w:szCs w:val="18"/>
              </w:rPr>
              <w:t>折合人民币</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00" w:right="0"/>
              <w:jc w:val="left"/>
              <w:rPr>
                <w:rFonts w:ascii="宋体" w:hAnsi="宋体" w:cs="宋体" w:eastAsia="宋体" w:hint="default"/>
                <w:sz w:val="18"/>
                <w:szCs w:val="18"/>
              </w:rPr>
            </w:pPr>
            <w:r>
              <w:rPr>
                <w:rFonts w:ascii="宋体" w:hAnsi="宋体" w:cs="宋体" w:eastAsia="宋体" w:hint="default"/>
                <w:sz w:val="18"/>
                <w:szCs w:val="18"/>
              </w:rPr>
              <w:t>其他外币</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50" w:right="0"/>
              <w:jc w:val="left"/>
              <w:rPr>
                <w:rFonts w:ascii="宋体" w:hAnsi="宋体" w:cs="宋体" w:eastAsia="宋体" w:hint="default"/>
                <w:sz w:val="18"/>
                <w:szCs w:val="18"/>
              </w:rPr>
            </w:pPr>
            <w:r>
              <w:rPr>
                <w:rFonts w:ascii="宋体" w:hAnsi="宋体" w:cs="宋体" w:eastAsia="宋体" w:hint="default"/>
                <w:sz w:val="18"/>
                <w:szCs w:val="18"/>
              </w:rPr>
              <w:t>折合人民币</w:t>
            </w:r>
          </w:p>
        </w:tc>
      </w:tr>
      <w:tr>
        <w:trPr>
          <w:trHeight w:val="427" w:hRule="exact"/>
        </w:trPr>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72" w:right="0"/>
              <w:jc w:val="left"/>
              <w:rPr>
                <w:rFonts w:ascii="宋体" w:hAnsi="宋体" w:cs="宋体" w:eastAsia="宋体" w:hint="default"/>
                <w:sz w:val="18"/>
                <w:szCs w:val="18"/>
              </w:rPr>
            </w:pPr>
            <w:r>
              <w:rPr>
                <w:rFonts w:ascii="宋体" w:hAnsi="宋体" w:cs="宋体" w:eastAsia="宋体" w:hint="default"/>
                <w:sz w:val="18"/>
                <w:szCs w:val="18"/>
              </w:rPr>
              <w:t>外币金融资产</w:t>
            </w:r>
          </w:p>
        </w:tc>
        <w:tc>
          <w:tcPr>
            <w:tcW w:w="1312"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239,499.56</w:t>
            </w:r>
          </w:p>
        </w:tc>
        <w:tc>
          <w:tcPr>
            <w:tcW w:w="116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1,670,796.83</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242,425.72</w:t>
            </w:r>
          </w:p>
        </w:tc>
        <w:tc>
          <w:tcPr>
            <w:tcW w:w="113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1,663,816.20</w:t>
            </w:r>
          </w:p>
        </w:tc>
      </w:tr>
      <w:tr>
        <w:trPr>
          <w:trHeight w:val="426" w:hRule="exact"/>
        </w:trPr>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72" w:right="0"/>
              <w:jc w:val="left"/>
              <w:rPr>
                <w:rFonts w:ascii="宋体" w:hAnsi="宋体" w:cs="宋体" w:eastAsia="宋体" w:hint="default"/>
                <w:sz w:val="18"/>
                <w:szCs w:val="18"/>
              </w:rPr>
            </w:pPr>
            <w:r>
              <w:rPr>
                <w:rFonts w:ascii="宋体" w:hAnsi="宋体" w:cs="宋体" w:eastAsia="宋体" w:hint="default"/>
                <w:sz w:val="18"/>
                <w:szCs w:val="18"/>
              </w:rPr>
              <w:t>货币资金</w:t>
            </w:r>
            <w:r>
              <w:rPr>
                <w:rFonts w:ascii="Times New Roman" w:hAnsi="Times New Roman" w:cs="Times New Roman" w:eastAsia="Times New Roman" w:hint="default"/>
                <w:sz w:val="18"/>
                <w:szCs w:val="18"/>
              </w:rPr>
              <w:t>-</w:t>
            </w:r>
            <w:r>
              <w:rPr>
                <w:rFonts w:ascii="宋体" w:hAnsi="宋体" w:cs="宋体" w:eastAsia="宋体" w:hint="default"/>
                <w:sz w:val="18"/>
                <w:szCs w:val="18"/>
              </w:rPr>
              <w:t>欧元</w:t>
            </w:r>
          </w:p>
        </w:tc>
        <w:tc>
          <w:tcPr>
            <w:tcW w:w="1312"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151.41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1,183.34</w:t>
            </w:r>
          </w:p>
        </w:tc>
        <w:tc>
          <w:tcPr>
            <w:tcW w:w="131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151.08</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1,185.57</w:t>
            </w:r>
          </w:p>
        </w:tc>
      </w:tr>
      <w:tr>
        <w:trPr>
          <w:trHeight w:val="427" w:hRule="exact"/>
        </w:trPr>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279,719.70</w:t>
            </w:r>
          </w:p>
        </w:tc>
        <w:tc>
          <w:tcPr>
            <w:tcW w:w="116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1,951,380.57</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3,794,707.22</w:t>
            </w:r>
          </w:p>
        </w:tc>
        <w:tc>
          <w:tcPr>
            <w:tcW w:w="113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pacing w:val="-1"/>
                <w:sz w:val="18"/>
              </w:rPr>
              <w:t>26,043,834.59</w:t>
            </w:r>
          </w:p>
        </w:tc>
      </w:tr>
      <w:tr>
        <w:trPr>
          <w:trHeight w:val="427" w:hRule="exact"/>
        </w:trPr>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7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519,219.26</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151.41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3,623,360.74</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4,037,132.94</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151.08</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27,708,836.36</w:t>
            </w:r>
          </w:p>
        </w:tc>
      </w:tr>
      <w:tr>
        <w:trPr>
          <w:trHeight w:val="427" w:hRule="exact"/>
        </w:trPr>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72" w:right="0"/>
              <w:jc w:val="left"/>
              <w:rPr>
                <w:rFonts w:ascii="宋体" w:hAnsi="宋体" w:cs="宋体" w:eastAsia="宋体" w:hint="default"/>
                <w:sz w:val="18"/>
                <w:szCs w:val="18"/>
              </w:rPr>
            </w:pPr>
            <w:r>
              <w:rPr>
                <w:rFonts w:ascii="宋体" w:hAnsi="宋体" w:cs="宋体" w:eastAsia="宋体" w:hint="default"/>
                <w:sz w:val="18"/>
                <w:szCs w:val="18"/>
              </w:rPr>
              <w:t>外币金融负债</w:t>
            </w:r>
          </w:p>
        </w:tc>
        <w:tc>
          <w:tcPr>
            <w:tcW w:w="1312"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12,701.10</w:t>
            </w:r>
          </w:p>
        </w:tc>
        <w:tc>
          <w:tcPr>
            <w:tcW w:w="116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
              <w:jc w:val="right"/>
              <w:rPr>
                <w:rFonts w:ascii="Times New Roman" w:hAnsi="Times New Roman" w:cs="Times New Roman" w:eastAsia="Times New Roman" w:hint="default"/>
                <w:sz w:val="18"/>
                <w:szCs w:val="18"/>
              </w:rPr>
            </w:pPr>
            <w:r>
              <w:rPr>
                <w:rFonts w:ascii="Times New Roman"/>
                <w:sz w:val="18"/>
              </w:rPr>
              <w:t>88,605.41</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22,048.31</w:t>
            </w:r>
          </w:p>
        </w:tc>
        <w:tc>
          <w:tcPr>
            <w:tcW w:w="113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151,321.96</w:t>
            </w:r>
          </w:p>
        </w:tc>
      </w:tr>
      <w:tr>
        <w:trPr>
          <w:trHeight w:val="427" w:hRule="exact"/>
        </w:trPr>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72" w:right="0"/>
              <w:jc w:val="left"/>
              <w:rPr>
                <w:rFonts w:ascii="宋体" w:hAnsi="宋体" w:cs="宋体" w:eastAsia="宋体" w:hint="default"/>
                <w:sz w:val="18"/>
                <w:szCs w:val="18"/>
              </w:rPr>
            </w:pP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欧元</w:t>
            </w:r>
          </w:p>
        </w:tc>
        <w:tc>
          <w:tcPr>
            <w:tcW w:w="1312"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
        </w:tc>
        <w:tc>
          <w:tcPr>
            <w:tcW w:w="131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r>
      <w:tr>
        <w:trPr>
          <w:trHeight w:val="426" w:hRule="exact"/>
        </w:trPr>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19,600,000.00</w:t>
            </w:r>
          </w:p>
        </w:tc>
        <w:tc>
          <w:tcPr>
            <w:tcW w:w="116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136,733,520.00</w:t>
            </w:r>
          </w:p>
        </w:tc>
        <w:tc>
          <w:tcPr>
            <w:tcW w:w="1318" w:type="dxa"/>
            <w:tcBorders>
              <w:top w:val="single" w:sz="6" w:space="0" w:color="000000"/>
              <w:left w:val="single" w:sz="6" w:space="0" w:color="000000"/>
              <w:bottom w:val="single" w:sz="6" w:space="0" w:color="000000"/>
              <w:right w:val="single" w:sz="6" w:space="0" w:color="000000"/>
            </w:tcBorders>
          </w:tcPr>
          <w:p>
            <w:pPr/>
          </w:p>
        </w:tc>
        <w:tc>
          <w:tcPr>
            <w:tcW w:w="113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7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19,612,701.10</w:t>
            </w:r>
          </w:p>
        </w:tc>
        <w:tc>
          <w:tcPr>
            <w:tcW w:w="1163" w:type="dxa"/>
            <w:tcBorders>
              <w:top w:val="single" w:sz="6" w:space="0" w:color="000000"/>
              <w:left w:val="single" w:sz="6" w:space="0" w:color="000000"/>
              <w:bottom w:val="single" w:sz="6" w:space="0" w:color="000000"/>
              <w:right w:val="single" w:sz="6" w:space="0" w:color="000000"/>
            </w:tcBorders>
          </w:tcPr>
          <w:p>
            <w:pP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136,822,125.41</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22,048.31</w:t>
            </w:r>
          </w:p>
        </w:tc>
        <w:tc>
          <w:tcPr>
            <w:tcW w:w="1136"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151,321.96</w:t>
            </w:r>
          </w:p>
        </w:tc>
      </w:tr>
      <w:tr>
        <w:trPr>
          <w:trHeight w:val="428" w:hRule="exact"/>
        </w:trPr>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72"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13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-19,093,481.84</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151.41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-133,198,764.67</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pacing w:val="-1"/>
                <w:sz w:val="18"/>
              </w:rPr>
              <w:t>4,015,084.63</w:t>
            </w:r>
          </w:p>
        </w:tc>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151.08</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27,557,514.40</w:t>
            </w:r>
          </w:p>
        </w:tc>
      </w:tr>
    </w:tbl>
    <w:p>
      <w:pPr>
        <w:pStyle w:val="BodyText"/>
        <w:spacing w:line="300" w:lineRule="auto" w:before="51"/>
        <w:ind w:left="153" w:right="1196" w:firstLine="360"/>
        <w:jc w:val="left"/>
      </w:pP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日，在所有其他变量保持不变的情况下，如果人民币对外币升值或贬值</w:t>
      </w:r>
      <w:r>
        <w:rPr>
          <w:rFonts w:ascii="Times New Roman" w:hAnsi="Times New Roman" w:cs="Times New Roman" w:eastAsia="Times New Roman" w:hint="default"/>
        </w:rPr>
        <w:t>0.5%</w:t>
      </w:r>
      <w:r>
        <w:rPr/>
        <w:t>，则公司将减少或增加净 利润</w:t>
      </w:r>
      <w:r>
        <w:rPr>
          <w:rFonts w:ascii="Times New Roman" w:hAnsi="Times New Roman" w:cs="Times New Roman" w:eastAsia="Times New Roman" w:hint="default"/>
        </w:rPr>
        <w:t>66.60</w:t>
      </w:r>
      <w:r>
        <w:rPr/>
        <w:t>万元人民币（</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13.78</w:t>
      </w:r>
      <w:r>
        <w:rPr/>
        <w:t>万元人民币）。</w:t>
      </w:r>
    </w:p>
    <w:p>
      <w:pPr>
        <w:pStyle w:val="BodyText"/>
        <w:spacing w:line="338" w:lineRule="auto" w:before="52"/>
        <w:ind w:left="513" w:right="1117"/>
        <w:jc w:val="left"/>
      </w:pPr>
      <w:r>
        <w:rPr>
          <w:rFonts w:ascii="Times New Roman" w:hAnsi="Times New Roman" w:cs="Times New Roman" w:eastAsia="Times New Roman" w:hint="default"/>
        </w:rPr>
        <w:t>3</w:t>
      </w:r>
      <w:r>
        <w:rPr/>
        <w:t>、流动性风险 </w:t>
      </w:r>
      <w:r>
        <w:rPr>
          <w:spacing w:val="-2"/>
        </w:rPr>
        <w:t>流动风险，是指企业在履行以交付现金或其他金融资产的方式结算的义务时发生资金短缺的风险。本公司的政策是确保</w:t>
      </w:r>
    </w:p>
    <w:p>
      <w:pPr>
        <w:pStyle w:val="BodyText"/>
        <w:spacing w:line="302" w:lineRule="auto" w:before="2"/>
        <w:ind w:left="153" w:right="0"/>
        <w:jc w:val="left"/>
      </w:pPr>
      <w:r>
        <w:rPr>
          <w:spacing w:val="-2"/>
        </w:rPr>
        <w:t>拥有充足的现金以偿还到期债务。流动性风险由本公司的财务部门集中控制。财务部门通过监控现金余额以及对未来</w:t>
      </w:r>
      <w:r>
        <w:rPr>
          <w:rFonts w:ascii="Times New Roman" w:hAnsi="Times New Roman" w:cs="Times New Roman" w:eastAsia="Times New Roman" w:hint="default"/>
          <w:spacing w:val="-2"/>
        </w:rPr>
        <w:t>12</w:t>
      </w:r>
      <w:r>
        <w:rPr>
          <w:spacing w:val="-2"/>
        </w:rPr>
        <w:t>个月</w:t>
      </w:r>
      <w:r>
        <w:rPr>
          <w:spacing w:val="-62"/>
        </w:rPr>
        <w:t> </w:t>
      </w:r>
      <w:r>
        <w:rPr/>
        <w:t>现金流量的滚动预测，确保公司在所有合理预测的情况下拥有充足的资金偿还债务。</w:t>
      </w:r>
    </w:p>
    <w:p>
      <w:pPr>
        <w:spacing w:after="0" w:line="302" w:lineRule="auto"/>
        <w:jc w:val="left"/>
        <w:sectPr>
          <w:pgSz w:w="11910" w:h="16840"/>
          <w:pgMar w:header="747" w:footer="982" w:top="1060" w:bottom="118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43"/>
        <w:gridCol w:w="1971"/>
        <w:gridCol w:w="1914"/>
        <w:gridCol w:w="1913"/>
        <w:gridCol w:w="1765"/>
      </w:tblGrid>
      <w:tr>
        <w:trPr>
          <w:trHeight w:val="201" w:hRule="exact"/>
        </w:trPr>
        <w:tc>
          <w:tcPr>
            <w:tcW w:w="2143" w:type="dxa"/>
            <w:tcBorders>
              <w:top w:val="single" w:sz="4" w:space="0" w:color="000000"/>
              <w:left w:val="single" w:sz="4" w:space="0" w:color="000000"/>
              <w:bottom w:val="nil" w:sz="6" w:space="0" w:color="auto"/>
              <w:right w:val="single" w:sz="4" w:space="0" w:color="000000"/>
            </w:tcBorders>
            <w:shd w:val="clear" w:color="auto" w:fill="D3D3D3"/>
          </w:tcPr>
          <w:p>
            <w:pPr/>
          </w:p>
        </w:tc>
        <w:tc>
          <w:tcPr>
            <w:tcW w:w="7562" w:type="dxa"/>
            <w:gridSpan w:val="4"/>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201" w:hRule="exact"/>
        </w:trPr>
        <w:tc>
          <w:tcPr>
            <w:tcW w:w="214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62" w:type="dxa"/>
            <w:gridSpan w:val="4"/>
            <w:vMerge/>
            <w:tcBorders>
              <w:left w:val="single" w:sz="4" w:space="0" w:color="000000"/>
              <w:bottom w:val="single" w:sz="4" w:space="0" w:color="000000"/>
              <w:right w:val="single" w:sz="4" w:space="0" w:color="000000"/>
            </w:tcBorders>
            <w:shd w:val="clear" w:color="auto" w:fill="D3D3D3"/>
          </w:tcPr>
          <w:p>
            <w:pPr/>
          </w:p>
        </w:tc>
      </w:tr>
      <w:tr>
        <w:trPr>
          <w:trHeight w:val="191" w:hRule="exact"/>
        </w:trPr>
        <w:tc>
          <w:tcPr>
            <w:tcW w:w="2143" w:type="dxa"/>
            <w:vMerge/>
            <w:tcBorders>
              <w:left w:val="single" w:sz="4" w:space="0" w:color="000000"/>
              <w:bottom w:val="nil" w:sz="6" w:space="0" w:color="auto"/>
              <w:right w:val="single" w:sz="4" w:space="0" w:color="000000"/>
            </w:tcBorders>
            <w:shd w:val="clear" w:color="auto" w:fill="D3D3D3"/>
          </w:tcPr>
          <w:p>
            <w:pPr/>
          </w:p>
        </w:tc>
        <w:tc>
          <w:tcPr>
            <w:tcW w:w="197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94" w:right="0"/>
              <w:jc w:val="left"/>
              <w:rPr>
                <w:rFonts w:ascii="宋体" w:hAnsi="宋体" w:cs="宋体" w:eastAsia="宋体" w:hint="default"/>
                <w:sz w:val="18"/>
                <w:szCs w:val="18"/>
              </w:rPr>
            </w:pPr>
            <w:r>
              <w:rPr>
                <w:rFonts w:ascii="宋体" w:hAnsi="宋体" w:cs="宋体" w:eastAsia="宋体" w:hint="default"/>
                <w:sz w:val="18"/>
                <w:szCs w:val="18"/>
              </w:rPr>
              <w:t>第一层次公允价值计量</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2"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7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11" w:hRule="exact"/>
        </w:trPr>
        <w:tc>
          <w:tcPr>
            <w:tcW w:w="2143" w:type="dxa"/>
            <w:tcBorders>
              <w:top w:val="nil" w:sz="6" w:space="0" w:color="auto"/>
              <w:left w:val="single" w:sz="4" w:space="0" w:color="000000"/>
              <w:bottom w:val="single" w:sz="4" w:space="0" w:color="000000"/>
              <w:right w:val="single" w:sz="4" w:space="0" w:color="000000"/>
            </w:tcBorders>
            <w:shd w:val="clear" w:color="auto" w:fill="D3D3D3"/>
          </w:tcPr>
          <w:p>
            <w:pPr/>
          </w:p>
        </w:tc>
        <w:tc>
          <w:tcPr>
            <w:tcW w:w="1971"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76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一、持续的公允价值计量</w:t>
            </w:r>
          </w:p>
        </w:tc>
        <w:tc>
          <w:tcPr>
            <w:tcW w:w="19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04"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02" w:right="0"/>
              <w:jc w:val="left"/>
              <w:rPr>
                <w:rFonts w:ascii="Times New Roman" w:hAnsi="Times New Roman" w:cs="Times New Roman" w:eastAsia="Times New Roman" w:hint="default"/>
                <w:sz w:val="18"/>
                <w:szCs w:val="18"/>
              </w:rPr>
            </w:pPr>
            <w:r>
              <w:rPr>
                <w:rFonts w:ascii="Times New Roman"/>
                <w:sz w:val="18"/>
              </w:rPr>
              <w:t>--</w:t>
            </w:r>
          </w:p>
        </w:tc>
        <w:tc>
          <w:tcPr>
            <w:tcW w:w="1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（三）其他权益工具投资</w:t>
            </w:r>
          </w:p>
        </w:tc>
        <w:tc>
          <w:tcPr>
            <w:tcW w:w="1971" w:type="dxa"/>
            <w:tcBorders>
              <w:top w:val="single" w:sz="4" w:space="0" w:color="000000"/>
              <w:left w:val="single" w:sz="10"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6" w:right="0"/>
              <w:jc w:val="left"/>
              <w:rPr>
                <w:rFonts w:ascii="Times New Roman" w:hAnsi="Times New Roman" w:cs="Times New Roman" w:eastAsia="Times New Roman" w:hint="default"/>
                <w:sz w:val="18"/>
                <w:szCs w:val="18"/>
              </w:rPr>
            </w:pPr>
            <w:r>
              <w:rPr>
                <w:rFonts w:ascii="Times New Roman"/>
                <w:sz w:val="18"/>
              </w:rPr>
              <w:t>30,194,928.13</w:t>
            </w:r>
          </w:p>
        </w:tc>
        <w:tc>
          <w:tcPr>
            <w:tcW w:w="1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6" w:right="0"/>
              <w:jc w:val="left"/>
              <w:rPr>
                <w:rFonts w:ascii="Times New Roman" w:hAnsi="Times New Roman" w:cs="Times New Roman" w:eastAsia="Times New Roman" w:hint="default"/>
                <w:sz w:val="18"/>
                <w:szCs w:val="18"/>
              </w:rPr>
            </w:pPr>
            <w:r>
              <w:rPr>
                <w:rFonts w:ascii="Times New Roman"/>
                <w:sz w:val="18"/>
              </w:rPr>
              <w:t>30,194,928.13</w:t>
            </w:r>
          </w:p>
        </w:tc>
      </w:tr>
      <w:tr>
        <w:trPr>
          <w:trHeight w:val="403" w:hRule="exact"/>
        </w:trPr>
        <w:tc>
          <w:tcPr>
            <w:tcW w:w="2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5"/>
                <w:sz w:val="18"/>
                <w:szCs w:val="18"/>
              </w:rPr>
              <w:t>二、非持续的公允价值计量</w:t>
            </w:r>
          </w:p>
        </w:tc>
        <w:tc>
          <w:tcPr>
            <w:tcW w:w="19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8"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04" w:right="0"/>
              <w:jc w:val="left"/>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902" w:right="0"/>
              <w:jc w:val="left"/>
              <w:rPr>
                <w:rFonts w:ascii="Times New Roman" w:hAnsi="Times New Roman" w:cs="Times New Roman" w:eastAsia="Times New Roman" w:hint="default"/>
                <w:sz w:val="18"/>
                <w:szCs w:val="18"/>
              </w:rPr>
            </w:pPr>
            <w:r>
              <w:rPr>
                <w:rFonts w:ascii="Times New Roman"/>
                <w:sz w:val="18"/>
              </w:rPr>
              <w:t>--</w:t>
            </w:r>
          </w:p>
        </w:tc>
        <w:tc>
          <w:tcPr>
            <w:tcW w:w="1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28" w:firstLine="360"/>
        <w:jc w:val="both"/>
      </w:pPr>
      <w:r>
        <w:rPr>
          <w:rFonts w:ascii="Times New Roman" w:hAnsi="Times New Roman" w:cs="Times New Roman" w:eastAsia="Times New Roman" w:hint="default"/>
        </w:rPr>
        <w:t>1</w:t>
      </w:r>
      <w:r>
        <w:rPr/>
        <w:t>、因被投资企业河北国信投资控股集团股份有限公司、河北银行股份有限公司、北京未名雅集文化传播中心、北京北 </w:t>
      </w:r>
      <w:r>
        <w:rPr>
          <w:spacing w:val="-2"/>
        </w:rPr>
        <w:t>明兆业科技有限公司的经营环境和经营情况、财务状况未发生重大变化，所以公司按投资成本作为公允价值的合理估计进行</w:t>
      </w:r>
      <w:r>
        <w:rPr>
          <w:spacing w:val="-64"/>
        </w:rPr>
        <w:t> </w:t>
      </w:r>
      <w:r>
        <w:rPr>
          <w:spacing w:val="-64"/>
        </w:rPr>
      </w:r>
      <w:r>
        <w:rPr/>
        <w:t>计量。</w:t>
      </w:r>
    </w:p>
    <w:p>
      <w:pPr>
        <w:pStyle w:val="BodyText"/>
        <w:spacing w:line="300" w:lineRule="auto" w:before="24"/>
        <w:ind w:right="1128" w:firstLine="360"/>
        <w:jc w:val="both"/>
      </w:pPr>
      <w:r>
        <w:rPr>
          <w:rFonts w:ascii="Times New Roman" w:hAnsi="Times New Roman" w:cs="Times New Roman" w:eastAsia="Times New Roman" w:hint="default"/>
        </w:rPr>
        <w:t>2</w:t>
      </w:r>
      <w:r>
        <w:rPr/>
        <w:t>、因被投资企业紫光创新投资有限公司的经营环境和经营情况、财务状况与上年未发生重大变化，所以公司按年初账 面价值作为公允价值的合理估计进行计量。</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r>
        <w:rPr/>
        <w:t>十二、关联方及关联交易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石家庄常山纺织集 团有限责任公司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石家庄和平东路</w:t>
            </w:r>
          </w:p>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纺织集团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1,253,540,000.00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28.48%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5" w:right="0"/>
              <w:jc w:val="left"/>
              <w:rPr>
                <w:rFonts w:ascii="Times New Roman" w:hAnsi="Times New Roman" w:cs="Times New Roman" w:eastAsia="Times New Roman" w:hint="default"/>
                <w:sz w:val="18"/>
                <w:szCs w:val="18"/>
              </w:rPr>
            </w:pPr>
            <w:r>
              <w:rPr>
                <w:rFonts w:ascii="Times New Roman"/>
                <w:sz w:val="18"/>
              </w:rPr>
              <w:t>28.48%</w:t>
            </w:r>
          </w:p>
        </w:tc>
      </w:tr>
    </w:tbl>
    <w:p>
      <w:pPr>
        <w:pStyle w:val="BodyText"/>
        <w:spacing w:line="357" w:lineRule="auto" w:before="51"/>
        <w:ind w:left="153" w:right="6251"/>
        <w:jc w:val="left"/>
      </w:pPr>
      <w:r>
        <w:rPr/>
        <w:t>本企业的母公司情况的说明 本企业最终控制方是石家庄市国有资产监督管理委员会。</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本企业子公司的情况详见附注九、</w:t>
      </w:r>
      <w:r>
        <w:rPr>
          <w:rFonts w:ascii="Times New Roman" w:hAnsi="Times New Roman" w:cs="Times New Roman" w:eastAsia="Times New Roman" w:hint="default"/>
        </w:rPr>
        <w:t>1</w:t>
      </w:r>
      <w:r>
        <w:rPr/>
        <w:t>。</w:t>
      </w:r>
    </w:p>
    <w:p>
      <w:pPr>
        <w:spacing w:after="0" w:line="240" w:lineRule="auto"/>
        <w:jc w:val="left"/>
        <w:sectPr>
          <w:pgSz w:w="11910" w:h="16840"/>
          <w:pgMar w:header="747" w:footer="982" w:top="1060" w:bottom="118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153" w:right="2291"/>
        <w:jc w:val="left"/>
      </w:pPr>
      <w:r>
        <w:rPr/>
        <w:t>本企业重要的合营或联营企业详见附注九、</w:t>
      </w:r>
      <w:r>
        <w:rPr>
          <w:rFonts w:ascii="Times New Roman" w:hAnsi="Times New Roman" w:cs="Times New Roman" w:eastAsia="Times New Roman" w:hint="default"/>
        </w:rPr>
        <w:t>2</w:t>
      </w:r>
      <w:r>
        <w:rPr/>
        <w:t>。 本期与本公司发生关联方交易，或前期与本公司发生关联方交易形成余额的其他合营或联营企业情况如下：</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5"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石家庄常山明荣家纺有限公司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北京国智云鼎软件有限公司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石家庄常山纺织贸易有限责任公司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石家庄常山纺织集团第一实业有限公司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石家庄常山纺织集团第二实业有限公司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石家庄常山纺织集团第三实业有限公司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石家庄常山纺织集团第四实业有限公司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石家庄常山纺织集团第五实业有限公司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同一母公司</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广州移动科技有限公司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应华江之妻穆慧为第一大股东的企业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北京云启志新科技股份有限公司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副总经理咸勇之妻刘丽丹为原股东的企业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北京盛世繁花国际传媒广告有限公司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公司第二大股东北京北明伟业控股有限公司的合营企业</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肖荣智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应华江</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王惠君</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薛建昌</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董事、副总经理、总工程师</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徐卫波</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白彦春</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袁宗琦</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李质仙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李万军</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孟  梓</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邓中斌</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  哲</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高俊岐</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  辉</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何长青</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童庆明</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咸勇</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马晓峰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赵立新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池俊平</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曹金霞</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总会计师</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960"/>
        <w:gridCol w:w="1160"/>
        <w:gridCol w:w="1180"/>
        <w:gridCol w:w="900"/>
        <w:gridCol w:w="900"/>
        <w:gridCol w:w="1260"/>
      </w:tblGrid>
      <w:tr>
        <w:trPr>
          <w:trHeight w:val="714"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1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73" w:right="84" w:hanging="90"/>
              <w:jc w:val="left"/>
              <w:rPr>
                <w:rFonts w:ascii="宋体" w:hAnsi="宋体" w:cs="宋体" w:eastAsia="宋体" w:hint="default"/>
                <w:sz w:val="18"/>
                <w:szCs w:val="18"/>
              </w:rPr>
            </w:pPr>
            <w:r>
              <w:rPr>
                <w:rFonts w:ascii="宋体" w:hAnsi="宋体" w:cs="宋体" w:eastAsia="宋体" w:hint="default"/>
                <w:sz w:val="18"/>
                <w:szCs w:val="18"/>
              </w:rPr>
              <w:t>获批的交 易额度</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4" w:right="84"/>
              <w:jc w:val="left"/>
              <w:rPr>
                <w:rFonts w:ascii="宋体" w:hAnsi="宋体" w:cs="宋体" w:eastAsia="宋体" w:hint="default"/>
                <w:sz w:val="18"/>
                <w:szCs w:val="18"/>
              </w:rPr>
            </w:pPr>
            <w:r>
              <w:rPr>
                <w:rFonts w:ascii="宋体" w:hAnsi="宋体" w:cs="宋体" w:eastAsia="宋体" w:hint="default"/>
                <w:sz w:val="18"/>
                <w:szCs w:val="18"/>
              </w:rPr>
              <w:t>是否超过 交易额度</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棉花</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9,144,000.50</w:t>
            </w:r>
          </w:p>
        </w:tc>
        <w:tc>
          <w:tcPr>
            <w:tcW w:w="9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化纤</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28,695,222.84</w:t>
            </w:r>
          </w:p>
        </w:tc>
        <w:tc>
          <w:tcPr>
            <w:tcW w:w="900" w:type="dxa"/>
            <w:vMerge/>
            <w:tcBorders>
              <w:left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30,832,749.08</w:t>
            </w: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聚乙烯醇</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2,457,332.92</w:t>
            </w:r>
          </w:p>
        </w:tc>
        <w:tc>
          <w:tcPr>
            <w:tcW w:w="900" w:type="dxa"/>
            <w:vMerge/>
            <w:tcBorders>
              <w:left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269,401.71</w:t>
            </w: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棉纱</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3,960,369.98</w:t>
            </w:r>
          </w:p>
        </w:tc>
        <w:tc>
          <w:tcPr>
            <w:tcW w:w="900" w:type="dxa"/>
            <w:vMerge/>
            <w:tcBorders>
              <w:left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2,781,738.58</w:t>
            </w: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石家庄常山纺织集团第四实业有限公司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25,471.14</w:t>
            </w:r>
          </w:p>
        </w:tc>
        <w:tc>
          <w:tcPr>
            <w:tcW w:w="900" w:type="dxa"/>
            <w:vMerge/>
            <w:tcBorders>
              <w:left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114,573.10</w:t>
            </w: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棉纱</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1,738,930.59</w:t>
            </w:r>
          </w:p>
        </w:tc>
        <w:tc>
          <w:tcPr>
            <w:tcW w:w="900" w:type="dxa"/>
            <w:vMerge/>
            <w:tcBorders>
              <w:left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4,250,482.79</w:t>
            </w: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服装床品</w:t>
            </w:r>
          </w:p>
        </w:tc>
        <w:tc>
          <w:tcPr>
            <w:tcW w:w="1180" w:type="dxa"/>
            <w:tcBorders>
              <w:top w:val="single" w:sz="4" w:space="0" w:color="000000"/>
              <w:left w:val="single" w:sz="4" w:space="0" w:color="000000"/>
              <w:bottom w:val="single" w:sz="4" w:space="0" w:color="000000"/>
              <w:right w:val="single" w:sz="4" w:space="0" w:color="000000"/>
            </w:tcBorders>
          </w:tcPr>
          <w:p>
            <w:pPr/>
          </w:p>
        </w:tc>
        <w:tc>
          <w:tcPr>
            <w:tcW w:w="900" w:type="dxa"/>
            <w:vMerge/>
            <w:tcBorders>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9,751.92</w:t>
            </w: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石家庄常山明荣家纺有限公司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服装床品</w:t>
            </w:r>
          </w:p>
        </w:tc>
        <w:tc>
          <w:tcPr>
            <w:tcW w:w="11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12,962.55</w:t>
            </w: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石家庄赛孚纺织有限公司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棉纱</w:t>
            </w:r>
          </w:p>
        </w:tc>
        <w:tc>
          <w:tcPr>
            <w:tcW w:w="118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37,751.72</w:t>
            </w: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北京云启志新科技股份有限公司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硬件及服务</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9,154,185.16</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4,362,735.85</w:t>
            </w: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北京北明兆业科技有限公司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硬件及服务</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14,931,202.47</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23,044,367.47</w:t>
            </w: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北京国智云鼎科技有限公司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硬件及服务</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2,232,075.47</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8,771,097.92</w:t>
            </w: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北京盛世繁花国际际传媒广告有限公司</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物业服务</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2,382,251.76</w:t>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26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500"/>
        <w:gridCol w:w="1204"/>
        <w:gridCol w:w="1856"/>
        <w:gridCol w:w="1800"/>
      </w:tblGrid>
      <w:tr>
        <w:trPr>
          <w:trHeight w:val="402" w:hRule="exact"/>
        </w:trPr>
        <w:tc>
          <w:tcPr>
            <w:tcW w:w="4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棉花</w:t>
            </w:r>
          </w:p>
        </w:tc>
        <w:tc>
          <w:tcPr>
            <w:tcW w:w="1856"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11,216,452.67</w:t>
            </w:r>
          </w:p>
        </w:tc>
      </w:tr>
      <w:tr>
        <w:trPr>
          <w:trHeight w:val="403"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坯布</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8" w:right="0"/>
              <w:jc w:val="left"/>
              <w:rPr>
                <w:rFonts w:ascii="Times New Roman" w:hAnsi="Times New Roman" w:cs="Times New Roman" w:eastAsia="Times New Roman" w:hint="default"/>
                <w:sz w:val="18"/>
                <w:szCs w:val="18"/>
              </w:rPr>
            </w:pPr>
            <w:r>
              <w:rPr>
                <w:rFonts w:ascii="Times New Roman"/>
                <w:sz w:val="18"/>
              </w:rPr>
              <w:t>4,910,477.37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5,016,439.28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500"/>
        <w:gridCol w:w="1204"/>
        <w:gridCol w:w="1856"/>
        <w:gridCol w:w="1800"/>
      </w:tblGrid>
      <w:tr>
        <w:trPr>
          <w:trHeight w:val="40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涤纶</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20,813,721.53</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35,043,139.88</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棉花</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92,160,550.33</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棉纱</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71,034.48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4,956.90</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服装床品</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1,862.07</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坯布</w:t>
            </w:r>
          </w:p>
        </w:tc>
        <w:tc>
          <w:tcPr>
            <w:tcW w:w="1856"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6,837.60</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配件</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9,340.27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4,356.04</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服装床品</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26,309.74</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石家庄赛孚纺织有限公司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棉纱</w:t>
            </w:r>
          </w:p>
        </w:tc>
        <w:tc>
          <w:tcPr>
            <w:tcW w:w="1856"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600,503.60</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石家庄赛孚纺织有限公司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服装床品</w:t>
            </w:r>
          </w:p>
        </w:tc>
        <w:tc>
          <w:tcPr>
            <w:tcW w:w="1856"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676.92</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石家庄赛孚纺织有限公司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56"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916,297.49</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北京北明兆业科技有限公司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硬件及服务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796,659.45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821,714.07</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北京云启志新科技股份有限公司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硬件及服务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3,997,639.91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9,774,084.00</w:t>
            </w:r>
          </w:p>
        </w:tc>
      </w:tr>
      <w:tr>
        <w:trPr>
          <w:trHeight w:val="402" w:hRule="exact"/>
        </w:trPr>
        <w:tc>
          <w:tcPr>
            <w:tcW w:w="4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北京国智云鼎科技有限公司</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366,653.45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1,969,347.34</w:t>
            </w:r>
          </w:p>
        </w:tc>
      </w:tr>
    </w:tbl>
    <w:p>
      <w:pPr>
        <w:pStyle w:val="BodyText"/>
        <w:spacing w:line="357" w:lineRule="auto" w:before="51"/>
        <w:ind w:left="444" w:right="4520" w:hanging="291"/>
        <w:jc w:val="left"/>
      </w:pPr>
      <w:r>
        <w:rPr/>
        <w:t>购销商品、提供和接受劳务的关联交易说明 公司向关联方销售货物定价的原则：按照公平、公正的市场原则进行定价。</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）关联租赁情况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本公司作为承租方：</w:t>
      </w:r>
    </w:p>
    <w:p>
      <w:pPr>
        <w:pStyle w:val="BodyText"/>
        <w:spacing w:line="240" w:lineRule="auto" w:before="116"/>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40"/>
        <w:gridCol w:w="1440"/>
        <w:gridCol w:w="2392"/>
        <w:gridCol w:w="2393"/>
      </w:tblGrid>
      <w:tr>
        <w:trPr>
          <w:trHeight w:val="401" w:hRule="exact"/>
        </w:trPr>
        <w:tc>
          <w:tcPr>
            <w:tcW w:w="32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出租方名称</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3"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广州移动科技有限公司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2,265,886.13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1,967,738.47</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北京盛世繁花国际传媒广告有限公司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19,839,155.00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19,034,792.33</w:t>
            </w:r>
          </w:p>
        </w:tc>
      </w:tr>
    </w:tbl>
    <w:p>
      <w:pPr>
        <w:pStyle w:val="BodyText"/>
        <w:spacing w:line="240" w:lineRule="auto" w:before="51"/>
        <w:ind w:right="0"/>
        <w:jc w:val="left"/>
      </w:pPr>
      <w:r>
        <w:rPr/>
        <w:t>关联租赁情况说明</w:t>
      </w:r>
    </w:p>
    <w:p>
      <w:pPr>
        <w:pStyle w:val="BodyText"/>
        <w:spacing w:line="300" w:lineRule="auto" w:before="116"/>
        <w:ind w:left="153" w:right="1117" w:firstLine="290"/>
        <w:jc w:val="left"/>
      </w:pPr>
      <w:r>
        <w:rPr>
          <w:spacing w:val="-1"/>
        </w:rPr>
        <w:t>①本报告期，北明软件依据租赁合同承租关联方广州移动科技有限公司办公楼，承租期为自</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12</w:t>
      </w:r>
      <w:r>
        <w:rPr>
          <w:spacing w:val="-1"/>
        </w:rPr>
        <w:t>月</w:t>
      </w:r>
      <w:r>
        <w:rPr/>
        <w:t> </w:t>
      </w:r>
      <w:r>
        <w:rPr>
          <w:rFonts w:ascii="Times New Roman" w:hAnsi="Times New Roman" w:cs="Times New Roman" w:eastAsia="Times New Roman" w:hint="default"/>
        </w:rPr>
        <w:t>31</w:t>
      </w:r>
      <w:r>
        <w:rPr/>
        <w:t>日，租赁费</w:t>
      </w:r>
      <w:r>
        <w:rPr>
          <w:rFonts w:ascii="Times New Roman" w:hAnsi="Times New Roman" w:cs="Times New Roman" w:eastAsia="Times New Roman" w:hint="default"/>
        </w:rPr>
        <w:t>160,915.00</w:t>
      </w:r>
      <w:r>
        <w:rPr/>
        <w:t>元</w:t>
      </w:r>
      <w:r>
        <w:rPr>
          <w:rFonts w:ascii="Times New Roman" w:hAnsi="Times New Roman" w:cs="Times New Roman" w:eastAsia="Times New Roman" w:hint="default"/>
        </w:rPr>
        <w:t>/</w:t>
      </w:r>
      <w:r>
        <w:rPr/>
        <w:t>月，根据合同规定，自第二年起租金价格每年上涨</w:t>
      </w:r>
      <w:r>
        <w:rPr>
          <w:rFonts w:ascii="Times New Roman" w:hAnsi="Times New Roman" w:cs="Times New Roman" w:eastAsia="Times New Roman" w:hint="default"/>
        </w:rPr>
        <w:t>5%</w:t>
      </w:r>
      <w:r>
        <w:rPr/>
        <w:t>。本报告期，北明软件依据租赁合同承租 </w:t>
      </w:r>
      <w:r>
        <w:rPr>
          <w:spacing w:val="-1"/>
        </w:rPr>
        <w:t>关联方广州移动科技有限公司办公室，承租期为自</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16</w:t>
      </w:r>
      <w:r>
        <w:rPr>
          <w:spacing w:val="-1"/>
        </w:rPr>
        <w:t>日至</w:t>
      </w:r>
      <w:r>
        <w:rPr>
          <w:rFonts w:ascii="Times New Roman" w:hAnsi="Times New Roman" w:cs="Times New Roman" w:eastAsia="Times New Roman" w:hint="default"/>
          <w:spacing w:val="-1"/>
        </w:rPr>
        <w:t>2022</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17</w:t>
      </w:r>
      <w:r>
        <w:rPr>
          <w:spacing w:val="-1"/>
        </w:rPr>
        <w:t>日，租赁费</w:t>
      </w:r>
      <w:r>
        <w:rPr>
          <w:rFonts w:ascii="Times New Roman" w:hAnsi="Times New Roman" w:cs="Times New Roman" w:eastAsia="Times New Roman" w:hint="default"/>
          <w:spacing w:val="-1"/>
        </w:rPr>
        <w:t>22,824.75</w:t>
      </w:r>
      <w:r>
        <w:rPr>
          <w:spacing w:val="-1"/>
        </w:rPr>
        <w:t>元</w:t>
      </w:r>
      <w:r>
        <w:rPr>
          <w:rFonts w:ascii="Times New Roman" w:hAnsi="Times New Roman" w:cs="Times New Roman" w:eastAsia="Times New Roman" w:hint="default"/>
          <w:spacing w:val="-1"/>
        </w:rPr>
        <w:t>/</w:t>
      </w:r>
      <w:r>
        <w:rPr>
          <w:spacing w:val="-1"/>
        </w:rPr>
        <w:t>月</w:t>
      </w:r>
      <w:r>
        <w:rPr>
          <w:rFonts w:ascii="Times New Roman" w:hAnsi="Times New Roman" w:cs="Times New Roman" w:eastAsia="Times New Roman" w:hint="default"/>
          <w:spacing w:val="-1"/>
        </w:rPr>
        <w:t>(11</w:t>
      </w:r>
      <w:r>
        <w:rPr>
          <w:spacing w:val="-1"/>
        </w:rPr>
        <w:t>月按半个月</w:t>
      </w:r>
      <w:r>
        <w:rPr>
          <w:spacing w:val="-37"/>
        </w:rPr>
        <w:t> </w:t>
      </w:r>
      <w:r>
        <w:rPr>
          <w:spacing w:val="-37"/>
        </w:rPr>
      </w:r>
      <w:r>
        <w:rPr>
          <w:spacing w:val="-1"/>
        </w:rPr>
        <w:t>计算）</w:t>
      </w:r>
      <w:r>
        <w:rPr>
          <w:rFonts w:ascii="Times New Roman" w:hAnsi="Times New Roman" w:cs="Times New Roman" w:eastAsia="Times New Roman" w:hint="default"/>
          <w:spacing w:val="-1"/>
        </w:rPr>
        <w:t>,</w:t>
      </w:r>
      <w:r>
        <w:rPr>
          <w:spacing w:val="-1"/>
        </w:rPr>
        <w:t>根据合同规定，自第二年起租金价格每年上涨</w:t>
      </w:r>
      <w:r>
        <w:rPr>
          <w:rFonts w:ascii="Times New Roman" w:hAnsi="Times New Roman" w:cs="Times New Roman" w:eastAsia="Times New Roman" w:hint="default"/>
          <w:spacing w:val="-1"/>
        </w:rPr>
        <w:t>5%</w:t>
      </w:r>
      <w:r>
        <w:rPr>
          <w:spacing w:val="-1"/>
        </w:rPr>
        <w:t>。本报告期，北明软件依据租赁合同承租关联方广州移动科技有限</w:t>
      </w:r>
      <w:r>
        <w:rPr>
          <w:spacing w:val="-46"/>
        </w:rPr>
        <w:t> </w:t>
      </w:r>
      <w:r>
        <w:rPr>
          <w:spacing w:val="-46"/>
        </w:rPr>
      </w:r>
      <w:r>
        <w:rPr>
          <w:spacing w:val="-2"/>
        </w:rPr>
        <w:t>公司</w:t>
      </w:r>
      <w:r>
        <w:rPr>
          <w:rFonts w:ascii="Times New Roman" w:hAnsi="Times New Roman" w:cs="Times New Roman" w:eastAsia="Times New Roman" w:hint="default"/>
          <w:spacing w:val="-2"/>
        </w:rPr>
        <w:t>9</w:t>
      </w:r>
      <w:r>
        <w:rPr>
          <w:spacing w:val="-2"/>
        </w:rPr>
        <w:t>层办公室，承租期为自</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日，租赁费</w:t>
      </w:r>
      <w:r>
        <w:rPr>
          <w:rFonts w:ascii="Times New Roman" w:hAnsi="Times New Roman" w:cs="Times New Roman" w:eastAsia="Times New Roman" w:hint="default"/>
          <w:spacing w:val="-2"/>
        </w:rPr>
        <w:t>17,010.00</w:t>
      </w:r>
      <w:r>
        <w:rPr>
          <w:spacing w:val="-2"/>
        </w:rPr>
        <w:t>元</w:t>
      </w:r>
      <w:r>
        <w:rPr>
          <w:rFonts w:ascii="Times New Roman" w:hAnsi="Times New Roman" w:cs="Times New Roman" w:eastAsia="Times New Roman" w:hint="default"/>
          <w:spacing w:val="-2"/>
        </w:rPr>
        <w:t>/</w:t>
      </w:r>
      <w:r>
        <w:rPr>
          <w:spacing w:val="-2"/>
        </w:rPr>
        <w:t>月</w:t>
      </w:r>
      <w:r>
        <w:rPr>
          <w:rFonts w:ascii="Times New Roman" w:hAnsi="Times New Roman" w:cs="Times New Roman" w:eastAsia="Times New Roman" w:hint="default"/>
          <w:spacing w:val="-2"/>
        </w:rPr>
        <w:t>,</w:t>
      </w:r>
      <w:r>
        <w:rPr>
          <w:spacing w:val="-2"/>
        </w:rPr>
        <w:t>根据合同规定，自第二年起租金价格每</w:t>
      </w:r>
      <w:r>
        <w:rPr>
          <w:spacing w:val="-45"/>
        </w:rPr>
        <w:t> </w:t>
      </w:r>
      <w:r>
        <w:rPr>
          <w:spacing w:val="-45"/>
        </w:rPr>
      </w:r>
      <w:r>
        <w:rPr/>
        <w:t>年上涨</w:t>
      </w:r>
      <w:r>
        <w:rPr>
          <w:rFonts w:ascii="Times New Roman" w:hAnsi="Times New Roman" w:cs="Times New Roman" w:eastAsia="Times New Roman" w:hint="default"/>
        </w:rPr>
        <w:t>5%</w:t>
      </w:r>
      <w:r>
        <w:rPr/>
        <w:t>。</w:t>
      </w:r>
    </w:p>
    <w:p>
      <w:pPr>
        <w:pStyle w:val="BodyText"/>
        <w:spacing w:line="300" w:lineRule="auto" w:before="13"/>
        <w:ind w:left="153" w:right="0" w:firstLine="360"/>
        <w:jc w:val="left"/>
      </w:pPr>
      <w:r>
        <w:rPr/>
        <w:t>②本报告期，北明软件依据与承租关联方北京盛世繁花国际传媒广告有限公司签署的租赁协议，承租其办公楼，</w:t>
      </w:r>
      <w:r>
        <w:rPr>
          <w:rFonts w:ascii="Times New Roman" w:hAnsi="Times New Roman" w:cs="Times New Roman" w:eastAsia="Times New Roman" w:hint="default"/>
        </w:rPr>
        <w:t>2019 </w:t>
      </w:r>
      <w:r>
        <w:rPr/>
        <w:t>年租赁费为</w:t>
      </w:r>
      <w:r>
        <w:rPr>
          <w:rFonts w:ascii="Times New Roman" w:hAnsi="Times New Roman" w:cs="Times New Roman" w:eastAsia="Times New Roman" w:hint="default"/>
        </w:rPr>
        <w:t>18,632,611.00</w:t>
      </w:r>
      <w:r>
        <w:rPr/>
        <w:t>元。</w:t>
      </w:r>
    </w:p>
    <w:p>
      <w:pPr>
        <w:pStyle w:val="BodyText"/>
        <w:spacing w:line="300" w:lineRule="auto" w:before="13"/>
        <w:ind w:left="153" w:right="1124" w:firstLine="362"/>
        <w:jc w:val="left"/>
      </w:pPr>
      <w:r>
        <w:rPr>
          <w:spacing w:val="-5"/>
        </w:rPr>
        <w:t>③本报告期，北京爱意生活依据与承租关联方北京盛世繁花国际传媒广告有限公司签署的租赁协议，承租其办公楼，</w:t>
      </w:r>
      <w:r>
        <w:rPr>
          <w:rFonts w:ascii="Times New Roman" w:hAnsi="Times New Roman" w:cs="Times New Roman" w:eastAsia="Times New Roman" w:hint="default"/>
          <w:spacing w:val="-5"/>
        </w:rPr>
        <w:t>2019</w:t>
      </w:r>
      <w:r>
        <w:rPr>
          <w:rFonts w:ascii="Times New Roman" w:hAnsi="Times New Roman" w:cs="Times New Roman" w:eastAsia="Times New Roman" w:hint="default"/>
        </w:rPr>
        <w:t> </w:t>
      </w:r>
      <w:r>
        <w:rPr/>
        <w:t>年租赁费为</w:t>
      </w:r>
      <w:r>
        <w:rPr>
          <w:rFonts w:ascii="Times New Roman" w:hAnsi="Times New Roman" w:cs="Times New Roman" w:eastAsia="Times New Roman" w:hint="default"/>
        </w:rPr>
        <w:t>1,206,544.00</w:t>
      </w:r>
      <w:r>
        <w:rPr/>
        <w:t>尦丅</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本公司作为担保方</w:t>
      </w:r>
    </w:p>
    <w:p>
      <w:pPr>
        <w:pStyle w:val="BodyText"/>
        <w:spacing w:line="240" w:lineRule="auto" w:before="116"/>
        <w:ind w:left="0" w:right="1131"/>
        <w:jc w:val="right"/>
      </w:pPr>
      <w:r>
        <w:rPr/>
        <w:t>单位： 元</w:t>
      </w:r>
    </w:p>
    <w:p>
      <w:pPr>
        <w:spacing w:after="0" w:line="240" w:lineRule="auto"/>
        <w:jc w:val="right"/>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60"/>
        <w:gridCol w:w="1507"/>
        <w:gridCol w:w="1620"/>
        <w:gridCol w:w="1620"/>
        <w:gridCol w:w="1914"/>
      </w:tblGrid>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5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53,894,694.95</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21,105,972.21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28,740,000.00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23,880,000.00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9,760,000.00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20,300,000.00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27,850,000.00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21,850,000.00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60"/>
        <w:gridCol w:w="1507"/>
        <w:gridCol w:w="1620"/>
        <w:gridCol w:w="1620"/>
        <w:gridCol w:w="1914"/>
      </w:tblGrid>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13,870,000.00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35,450,000.00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64,550,000.00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38,980,000.00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12,220,000.00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27,666,909.63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10,633,318.58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16,606,195.99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8,634,271.92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9,491,502.78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926,707.20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14,533,132.48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18,730,000.00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1,847,780.09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20,724,251.56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33,065,482.50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17,686,215.44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60"/>
        <w:gridCol w:w="1507"/>
        <w:gridCol w:w="1620"/>
        <w:gridCol w:w="1620"/>
        <w:gridCol w:w="1914"/>
      </w:tblGrid>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北明软件有限公司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144,446,641.16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北明天时能源科技（北京）有限公司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5,312,694.80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北明天时能源科技（北京）有限公司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北明天时能源科技（北京）有限公司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北明天时能源科技（北京）有限公司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本公司作为被担保方</w:t>
      </w:r>
    </w:p>
    <w:p>
      <w:pPr>
        <w:pStyle w:val="BodyText"/>
        <w:spacing w:line="240" w:lineRule="auto" w:before="117"/>
        <w:ind w:left="0" w:right="113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060"/>
        <w:gridCol w:w="1507"/>
        <w:gridCol w:w="1620"/>
        <w:gridCol w:w="1620"/>
        <w:gridCol w:w="1914"/>
      </w:tblGrid>
      <w:tr>
        <w:trPr>
          <w:trHeight w:val="402" w:hRule="exact"/>
        </w:trPr>
        <w:tc>
          <w:tcPr>
            <w:tcW w:w="30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5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8" w:right="0"/>
              <w:jc w:val="left"/>
              <w:rPr>
                <w:rFonts w:ascii="Times New Roman" w:hAnsi="Times New Roman" w:cs="Times New Roman" w:eastAsia="Times New Roman" w:hint="default"/>
                <w:sz w:val="18"/>
                <w:szCs w:val="18"/>
              </w:rPr>
            </w:pPr>
            <w:r>
              <w:rPr>
                <w:rFonts w:ascii="Times New Roman"/>
                <w:sz w:val="18"/>
              </w:rPr>
              <w:t>50,000,000.00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8" w:right="0"/>
              <w:jc w:val="left"/>
              <w:rPr>
                <w:rFonts w:ascii="Times New Roman" w:hAnsi="Times New Roman" w:cs="Times New Roman" w:eastAsia="Times New Roman" w:hint="default"/>
                <w:sz w:val="18"/>
                <w:szCs w:val="18"/>
              </w:rPr>
            </w:pPr>
            <w:r>
              <w:rPr>
                <w:rFonts w:ascii="Times New Roman"/>
                <w:sz w:val="18"/>
              </w:rPr>
              <w:t>80,000,000.00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8" w:right="0"/>
              <w:jc w:val="left"/>
              <w:rPr>
                <w:rFonts w:ascii="Times New Roman" w:hAnsi="Times New Roman" w:cs="Times New Roman" w:eastAsia="Times New Roman" w:hint="default"/>
                <w:sz w:val="18"/>
                <w:szCs w:val="18"/>
              </w:rPr>
            </w:pPr>
            <w:r>
              <w:rPr>
                <w:rFonts w:ascii="Times New Roman"/>
                <w:sz w:val="18"/>
              </w:rPr>
              <w:t>70,000,000.00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9" w:right="0"/>
              <w:jc w:val="left"/>
              <w:rPr>
                <w:rFonts w:ascii="Times New Roman" w:hAnsi="Times New Roman" w:cs="Times New Roman" w:eastAsia="Times New Roman" w:hint="default"/>
                <w:sz w:val="18"/>
                <w:szCs w:val="18"/>
              </w:rPr>
            </w:pPr>
            <w:r>
              <w:rPr>
                <w:rFonts w:ascii="Times New Roman"/>
                <w:sz w:val="18"/>
              </w:rPr>
              <w:t>100,000,000.00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8" w:right="0"/>
              <w:jc w:val="left"/>
              <w:rPr>
                <w:rFonts w:ascii="Times New Roman" w:hAnsi="Times New Roman" w:cs="Times New Roman" w:eastAsia="Times New Roman" w:hint="default"/>
                <w:sz w:val="18"/>
                <w:szCs w:val="18"/>
              </w:rPr>
            </w:pPr>
            <w:r>
              <w:rPr>
                <w:rFonts w:ascii="Times New Roman"/>
                <w:sz w:val="18"/>
              </w:rPr>
              <w:t>80,000,000.00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8" w:right="0"/>
              <w:jc w:val="left"/>
              <w:rPr>
                <w:rFonts w:ascii="Times New Roman" w:hAnsi="Times New Roman" w:cs="Times New Roman" w:eastAsia="Times New Roman" w:hint="default"/>
                <w:sz w:val="18"/>
                <w:szCs w:val="18"/>
              </w:rPr>
            </w:pPr>
            <w:r>
              <w:rPr>
                <w:rFonts w:ascii="Times New Roman"/>
                <w:sz w:val="18"/>
              </w:rPr>
              <w:t>80,000,000.00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8" w:right="0"/>
              <w:jc w:val="left"/>
              <w:rPr>
                <w:rFonts w:ascii="Times New Roman" w:hAnsi="Times New Roman" w:cs="Times New Roman" w:eastAsia="Times New Roman" w:hint="default"/>
                <w:sz w:val="18"/>
                <w:szCs w:val="18"/>
              </w:rPr>
            </w:pPr>
            <w:r>
              <w:rPr>
                <w:rFonts w:ascii="Times New Roman"/>
                <w:sz w:val="18"/>
              </w:rPr>
              <w:t>50,000,000.00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8" w:right="0"/>
              <w:jc w:val="left"/>
              <w:rPr>
                <w:rFonts w:ascii="Times New Roman" w:hAnsi="Times New Roman" w:cs="Times New Roman" w:eastAsia="Times New Roman" w:hint="default"/>
                <w:sz w:val="18"/>
                <w:szCs w:val="18"/>
              </w:rPr>
            </w:pPr>
            <w:r>
              <w:rPr>
                <w:rFonts w:ascii="Times New Roman"/>
                <w:sz w:val="18"/>
              </w:rPr>
              <w:t>65,000,000.00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8" w:right="0"/>
              <w:jc w:val="left"/>
              <w:rPr>
                <w:rFonts w:ascii="Times New Roman" w:hAnsi="Times New Roman" w:cs="Times New Roman" w:eastAsia="Times New Roman" w:hint="default"/>
                <w:sz w:val="18"/>
                <w:szCs w:val="18"/>
              </w:rPr>
            </w:pPr>
            <w:r>
              <w:rPr>
                <w:rFonts w:ascii="Times New Roman"/>
                <w:sz w:val="18"/>
              </w:rPr>
              <w:t>55,000,000.00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8" w:right="0"/>
              <w:jc w:val="left"/>
              <w:rPr>
                <w:rFonts w:ascii="Times New Roman" w:hAnsi="Times New Roman" w:cs="Times New Roman" w:eastAsia="Times New Roman" w:hint="default"/>
                <w:sz w:val="18"/>
                <w:szCs w:val="18"/>
              </w:rPr>
            </w:pPr>
            <w:r>
              <w:rPr>
                <w:rFonts w:ascii="Times New Roman"/>
                <w:sz w:val="18"/>
              </w:rPr>
              <w:t>45,000,000.00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8" w:right="0"/>
              <w:jc w:val="left"/>
              <w:rPr>
                <w:rFonts w:ascii="Times New Roman" w:hAnsi="Times New Roman" w:cs="Times New Roman" w:eastAsia="Times New Roman" w:hint="default"/>
                <w:sz w:val="18"/>
                <w:szCs w:val="18"/>
              </w:rPr>
            </w:pPr>
            <w:r>
              <w:rPr>
                <w:rFonts w:ascii="Times New Roman"/>
                <w:sz w:val="18"/>
              </w:rPr>
              <w:t>60,000,000.00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8" w:right="0"/>
              <w:jc w:val="left"/>
              <w:rPr>
                <w:rFonts w:ascii="Times New Roman" w:hAnsi="Times New Roman" w:cs="Times New Roman" w:eastAsia="Times New Roman" w:hint="default"/>
                <w:sz w:val="18"/>
                <w:szCs w:val="18"/>
              </w:rPr>
            </w:pPr>
            <w:r>
              <w:rPr>
                <w:rFonts w:ascii="Times New Roman"/>
                <w:sz w:val="18"/>
              </w:rPr>
              <w:t>80,000,000.00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9" w:right="0"/>
              <w:jc w:val="left"/>
              <w:rPr>
                <w:rFonts w:ascii="Times New Roman" w:hAnsi="Times New Roman" w:cs="Times New Roman" w:eastAsia="Times New Roman" w:hint="default"/>
                <w:sz w:val="18"/>
                <w:szCs w:val="18"/>
              </w:rPr>
            </w:pPr>
            <w:r>
              <w:rPr>
                <w:rFonts w:ascii="Times New Roman"/>
                <w:sz w:val="18"/>
              </w:rPr>
              <w:t>120,000,000.00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8" w:right="0"/>
              <w:jc w:val="left"/>
              <w:rPr>
                <w:rFonts w:ascii="Times New Roman" w:hAnsi="Times New Roman" w:cs="Times New Roman" w:eastAsia="Times New Roman" w:hint="default"/>
                <w:sz w:val="18"/>
                <w:szCs w:val="18"/>
              </w:rPr>
            </w:pPr>
            <w:r>
              <w:rPr>
                <w:rFonts w:ascii="Times New Roman"/>
                <w:sz w:val="18"/>
              </w:rPr>
              <w:t>16,000,000.00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8" w:right="0"/>
              <w:jc w:val="left"/>
              <w:rPr>
                <w:rFonts w:ascii="Times New Roman" w:hAnsi="Times New Roman" w:cs="Times New Roman" w:eastAsia="Times New Roman" w:hint="default"/>
                <w:sz w:val="18"/>
                <w:szCs w:val="18"/>
              </w:rPr>
            </w:pPr>
            <w:r>
              <w:rPr>
                <w:rFonts w:ascii="Times New Roman"/>
                <w:sz w:val="18"/>
              </w:rPr>
              <w:t>64,000,000.00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8" w:right="0"/>
              <w:jc w:val="left"/>
              <w:rPr>
                <w:rFonts w:ascii="Times New Roman" w:hAnsi="Times New Roman" w:cs="Times New Roman" w:eastAsia="Times New Roman" w:hint="default"/>
                <w:sz w:val="18"/>
                <w:szCs w:val="18"/>
              </w:rPr>
            </w:pPr>
            <w:r>
              <w:rPr>
                <w:rFonts w:ascii="Times New Roman"/>
                <w:sz w:val="18"/>
              </w:rPr>
              <w:t>20,000,000.00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8" w:right="0"/>
              <w:jc w:val="left"/>
              <w:rPr>
                <w:rFonts w:ascii="Times New Roman" w:hAnsi="Times New Roman" w:cs="Times New Roman" w:eastAsia="Times New Roman" w:hint="default"/>
                <w:sz w:val="18"/>
                <w:szCs w:val="18"/>
              </w:rPr>
            </w:pPr>
            <w:r>
              <w:rPr>
                <w:rFonts w:ascii="Times New Roman"/>
                <w:sz w:val="18"/>
              </w:rPr>
              <w:t>10,000,000.00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8" w:right="0"/>
              <w:jc w:val="left"/>
              <w:rPr>
                <w:rFonts w:ascii="Times New Roman" w:hAnsi="Times New Roman" w:cs="Times New Roman" w:eastAsia="Times New Roman" w:hint="default"/>
                <w:sz w:val="18"/>
                <w:szCs w:val="18"/>
              </w:rPr>
            </w:pPr>
            <w:r>
              <w:rPr>
                <w:rFonts w:ascii="Times New Roman"/>
                <w:sz w:val="18"/>
              </w:rPr>
              <w:t>30,000,000.00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8" w:right="0"/>
              <w:jc w:val="left"/>
              <w:rPr>
                <w:rFonts w:ascii="Times New Roman" w:hAnsi="Times New Roman" w:cs="Times New Roman" w:eastAsia="Times New Roman" w:hint="default"/>
                <w:sz w:val="18"/>
                <w:szCs w:val="18"/>
              </w:rPr>
            </w:pPr>
            <w:r>
              <w:rPr>
                <w:rFonts w:ascii="Times New Roman"/>
                <w:sz w:val="18"/>
              </w:rPr>
              <w:t>70,000,000.00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8" w:right="0"/>
              <w:jc w:val="left"/>
              <w:rPr>
                <w:rFonts w:ascii="Times New Roman" w:hAnsi="Times New Roman" w:cs="Times New Roman" w:eastAsia="Times New Roman" w:hint="default"/>
                <w:sz w:val="18"/>
                <w:szCs w:val="18"/>
              </w:rPr>
            </w:pPr>
            <w:r>
              <w:rPr>
                <w:rFonts w:ascii="Times New Roman"/>
                <w:sz w:val="18"/>
              </w:rPr>
              <w:t>50,000,000.00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9" w:right="0"/>
              <w:jc w:val="left"/>
              <w:rPr>
                <w:rFonts w:ascii="Times New Roman" w:hAnsi="Times New Roman" w:cs="Times New Roman" w:eastAsia="Times New Roman" w:hint="default"/>
                <w:sz w:val="18"/>
                <w:szCs w:val="18"/>
              </w:rPr>
            </w:pPr>
            <w:r>
              <w:rPr>
                <w:rFonts w:ascii="Times New Roman"/>
                <w:sz w:val="18"/>
              </w:rPr>
              <w:t>150,000,000.00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9" w:right="0"/>
              <w:jc w:val="left"/>
              <w:rPr>
                <w:rFonts w:ascii="Times New Roman" w:hAnsi="Times New Roman" w:cs="Times New Roman" w:eastAsia="Times New Roman" w:hint="default"/>
                <w:sz w:val="18"/>
                <w:szCs w:val="18"/>
              </w:rPr>
            </w:pPr>
            <w:r>
              <w:rPr>
                <w:rFonts w:ascii="Times New Roman"/>
                <w:sz w:val="18"/>
              </w:rPr>
              <w:t>150,000,000.00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8" w:right="0"/>
              <w:jc w:val="left"/>
              <w:rPr>
                <w:rFonts w:ascii="Times New Roman" w:hAnsi="Times New Roman" w:cs="Times New Roman" w:eastAsia="Times New Roman" w:hint="default"/>
                <w:sz w:val="18"/>
                <w:szCs w:val="18"/>
              </w:rPr>
            </w:pPr>
            <w:r>
              <w:rPr>
                <w:rFonts w:ascii="Times New Roman"/>
                <w:sz w:val="18"/>
              </w:rPr>
              <w:t>75,000,000.00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9" w:right="0"/>
              <w:jc w:val="left"/>
              <w:rPr>
                <w:rFonts w:ascii="Times New Roman" w:hAnsi="Times New Roman" w:cs="Times New Roman" w:eastAsia="Times New Roman" w:hint="default"/>
                <w:sz w:val="18"/>
                <w:szCs w:val="18"/>
              </w:rPr>
            </w:pPr>
            <w:r>
              <w:rPr>
                <w:rFonts w:ascii="Times New Roman"/>
                <w:sz w:val="18"/>
              </w:rPr>
              <w:t>200,000,000.00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9" w:right="0"/>
              <w:jc w:val="left"/>
              <w:rPr>
                <w:rFonts w:ascii="Times New Roman" w:hAnsi="Times New Roman" w:cs="Times New Roman" w:eastAsia="Times New Roman" w:hint="default"/>
                <w:sz w:val="18"/>
                <w:szCs w:val="18"/>
              </w:rPr>
            </w:pPr>
            <w:r>
              <w:rPr>
                <w:rFonts w:ascii="Times New Roman"/>
                <w:sz w:val="18"/>
              </w:rPr>
              <w:t>385,000,000.00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8" w:right="0"/>
              <w:jc w:val="left"/>
              <w:rPr>
                <w:rFonts w:ascii="Times New Roman" w:hAnsi="Times New Roman" w:cs="Times New Roman" w:eastAsia="Times New Roman" w:hint="default"/>
                <w:sz w:val="18"/>
                <w:szCs w:val="18"/>
              </w:rPr>
            </w:pPr>
            <w:r>
              <w:rPr>
                <w:rFonts w:ascii="Times New Roman"/>
                <w:sz w:val="18"/>
              </w:rPr>
              <w:t>83,714,400.00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060"/>
        <w:gridCol w:w="1507"/>
        <w:gridCol w:w="1620"/>
        <w:gridCol w:w="1620"/>
        <w:gridCol w:w="1914"/>
      </w:tblGrid>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18,138,120.00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34,881,000.00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5,575,689.51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石家庄常山纺织集团有限责任公司</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102,053,613.70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关联担保情况说明</w:t>
      </w:r>
    </w:p>
    <w:p>
      <w:pPr>
        <w:pStyle w:val="BodyText"/>
        <w:spacing w:line="302" w:lineRule="auto" w:before="116"/>
        <w:ind w:left="153" w:right="1166" w:firstLine="360"/>
        <w:jc w:val="left"/>
      </w:pPr>
      <w:r>
        <w:rPr/>
        <w:t>①本公司期末保证短期借款</w:t>
      </w:r>
      <w:r>
        <w:rPr>
          <w:rFonts w:ascii="Times New Roman" w:hAnsi="Times New Roman" w:cs="Times New Roman" w:eastAsia="Times New Roman" w:hint="default"/>
        </w:rPr>
        <w:t>1,495,000,000.00</w:t>
      </w:r>
      <w:r>
        <w:rPr/>
        <w:t>元、长期借款</w:t>
      </w:r>
      <w:r>
        <w:rPr>
          <w:rFonts w:ascii="Times New Roman" w:hAnsi="Times New Roman" w:cs="Times New Roman" w:eastAsia="Times New Roman" w:hint="default"/>
        </w:rPr>
        <w:t>796,733,520.00</w:t>
      </w:r>
      <w:r>
        <w:rPr/>
        <w:t>元由石家庄常山纺织集团有限责任公司提供保 证担保。</w:t>
      </w:r>
    </w:p>
    <w:p>
      <w:pPr>
        <w:pStyle w:val="BodyText"/>
        <w:spacing w:line="240" w:lineRule="auto" w:before="69"/>
        <w:ind w:left="513" w:right="0"/>
        <w:jc w:val="left"/>
      </w:pPr>
      <w:r>
        <w:rPr/>
        <w:t>其他担保情况</w:t>
      </w:r>
    </w:p>
    <w:p>
      <w:pPr>
        <w:pStyle w:val="BodyText"/>
        <w:spacing w:line="240" w:lineRule="auto" w:before="116"/>
        <w:ind w:left="513" w:right="0"/>
        <w:jc w:val="left"/>
      </w:pPr>
      <w:r>
        <w:rPr/>
        <w:t>②石家庄常山纺织集团有限责任公司为本公司提供</w:t>
      </w:r>
      <w:r>
        <w:rPr>
          <w:rFonts w:ascii="Times New Roman" w:hAnsi="Times New Roman" w:cs="Times New Roman" w:eastAsia="Times New Roman" w:hint="default"/>
        </w:rPr>
        <w:t>235,5</w:t>
      </w:r>
      <w:r>
        <w:rPr>
          <w:rFonts w:ascii="Times New Roman" w:hAnsi="Times New Roman" w:cs="Times New Roman" w:eastAsia="Times New Roman" w:hint="default"/>
          <w:spacing w:val="-2"/>
        </w:rPr>
        <w:t>7</w:t>
      </w:r>
      <w:r>
        <w:rPr>
          <w:rFonts w:ascii="Times New Roman" w:hAnsi="Times New Roman" w:cs="Times New Roman" w:eastAsia="Times New Roman" w:hint="default"/>
        </w:rPr>
        <w:t>5,689.51</w:t>
      </w:r>
      <w:r>
        <w:rPr/>
        <w:t>元的</w:t>
      </w:r>
      <w:r>
        <w:rPr>
          <w:spacing w:val="-2"/>
        </w:rPr>
        <w:t>信</w:t>
      </w:r>
      <w:r>
        <w:rPr/>
        <w:t>用证保证担保</w:t>
      </w:r>
      <w:r>
        <w:rPr>
          <w:spacing w:val="-82"/>
        </w:rPr>
        <w:t>、</w:t>
      </w:r>
      <w:r>
        <w:rPr>
          <w:rFonts w:ascii="Times New Roman" w:hAnsi="Times New Roman" w:cs="Times New Roman" w:eastAsia="Times New Roman" w:hint="default"/>
        </w:rPr>
        <w:t>9,000,00</w:t>
      </w:r>
      <w:r>
        <w:rPr>
          <w:rFonts w:ascii="Times New Roman" w:hAnsi="Times New Roman" w:cs="Times New Roman" w:eastAsia="Times New Roman" w:hint="default"/>
          <w:spacing w:val="-2"/>
        </w:rPr>
        <w:t>0</w:t>
      </w:r>
      <w:r>
        <w:rPr>
          <w:rFonts w:ascii="Times New Roman" w:hAnsi="Times New Roman" w:cs="Times New Roman" w:eastAsia="Times New Roman" w:hint="default"/>
        </w:rPr>
        <w:t>.00</w:t>
      </w:r>
      <w:r>
        <w:rPr>
          <w:spacing w:val="-2"/>
        </w:rPr>
        <w:t>元</w:t>
      </w:r>
      <w:r>
        <w:rPr/>
        <w:t>的银行保函担保，</w:t>
      </w:r>
    </w:p>
    <w:p>
      <w:pPr>
        <w:pStyle w:val="BodyText"/>
        <w:spacing w:line="240" w:lineRule="auto" w:before="64"/>
        <w:ind w:left="153" w:right="0"/>
        <w:jc w:val="left"/>
      </w:pPr>
      <w:r>
        <w:rPr>
          <w:rFonts w:ascii="Times New Roman" w:hAnsi="Times New Roman" w:cs="Times New Roman" w:eastAsia="Times New Roman" w:hint="default"/>
        </w:rPr>
        <w:t>252,053,613.70</w:t>
      </w:r>
      <w:r>
        <w:rPr/>
        <w:t>元设备融资租赁保证担保。</w:t>
      </w:r>
    </w:p>
    <w:p>
      <w:pPr>
        <w:pStyle w:val="BodyText"/>
        <w:spacing w:line="357" w:lineRule="auto" w:before="102"/>
        <w:ind w:left="513" w:right="1121"/>
        <w:jc w:val="left"/>
      </w:pPr>
      <w:r>
        <w:rPr/>
        <w:t>③为子公司担保 本公司为子公司石家庄常山恒新纺织有限公司流动资金借款</w:t>
      </w:r>
      <w:r>
        <w:rPr>
          <w:rFonts w:ascii="Times New Roman" w:hAnsi="Times New Roman" w:cs="Times New Roman" w:eastAsia="Times New Roman" w:hint="default"/>
        </w:rPr>
        <w:t>186,000,000.00</w:t>
      </w:r>
      <w:r>
        <w:rPr/>
        <w:t>元、信用证</w:t>
      </w:r>
      <w:r>
        <w:rPr>
          <w:rFonts w:ascii="Times New Roman" w:hAnsi="Times New Roman" w:cs="Times New Roman" w:eastAsia="Times New Roman" w:hint="default"/>
        </w:rPr>
        <w:t>127,000,000.00</w:t>
      </w:r>
      <w:r>
        <w:rPr/>
        <w:t>元和设备融资租赁</w:t>
      </w:r>
    </w:p>
    <w:p>
      <w:pPr>
        <w:pStyle w:val="BodyText"/>
        <w:spacing w:line="216" w:lineRule="exact"/>
        <w:ind w:left="153" w:right="0"/>
        <w:jc w:val="left"/>
      </w:pPr>
      <w:r>
        <w:rPr>
          <w:rFonts w:ascii="Times New Roman" w:hAnsi="Times New Roman" w:cs="Times New Roman" w:eastAsia="Times New Roman" w:hint="default"/>
        </w:rPr>
        <w:t>75,000,667.16</w:t>
      </w:r>
      <w:r>
        <w:rPr/>
        <w:t>元提供保证担保。</w:t>
      </w:r>
    </w:p>
    <w:p>
      <w:pPr>
        <w:pStyle w:val="BodyText"/>
        <w:spacing w:line="240" w:lineRule="auto" w:before="102"/>
        <w:ind w:left="513" w:right="0"/>
        <w:jc w:val="left"/>
      </w:pPr>
      <w:r>
        <w:rPr/>
        <w:t>本公司为子公司石家庄常山恒荣进出口贸易有限公司流动资金借款</w:t>
      </w:r>
      <w:r>
        <w:rPr>
          <w:rFonts w:ascii="Times New Roman" w:hAnsi="Times New Roman" w:cs="Times New Roman" w:eastAsia="Times New Roman" w:hint="default"/>
        </w:rPr>
        <w:t>10,</w:t>
      </w:r>
      <w:r>
        <w:rPr>
          <w:rFonts w:ascii="Times New Roman" w:hAnsi="Times New Roman" w:cs="Times New Roman" w:eastAsia="Times New Roman" w:hint="default"/>
          <w:spacing w:val="-2"/>
        </w:rPr>
        <w:t>0</w:t>
      </w:r>
      <w:r>
        <w:rPr>
          <w:rFonts w:ascii="Times New Roman" w:hAnsi="Times New Roman" w:cs="Times New Roman" w:eastAsia="Times New Roman" w:hint="default"/>
        </w:rPr>
        <w:t>00,000.00</w:t>
      </w:r>
      <w:r>
        <w:rPr/>
        <w:t>元</w:t>
      </w:r>
      <w:r>
        <w:rPr>
          <w:spacing w:val="-82"/>
        </w:rPr>
        <w:t>，</w:t>
      </w:r>
      <w:r>
        <w:rPr>
          <w:spacing w:val="-2"/>
        </w:rPr>
        <w:t>信</w:t>
      </w:r>
      <w:r>
        <w:rPr/>
        <w:t>用证</w:t>
      </w:r>
      <w:r>
        <w:rPr>
          <w:rFonts w:ascii="Times New Roman" w:hAnsi="Times New Roman" w:cs="Times New Roman" w:eastAsia="Times New Roman" w:hint="default"/>
        </w:rPr>
        <w:t>198,740,0</w:t>
      </w:r>
      <w:r>
        <w:rPr>
          <w:rFonts w:ascii="Times New Roman" w:hAnsi="Times New Roman" w:cs="Times New Roman" w:eastAsia="Times New Roman" w:hint="default"/>
          <w:spacing w:val="-2"/>
        </w:rPr>
        <w:t>0</w:t>
      </w:r>
      <w:r>
        <w:rPr>
          <w:rFonts w:ascii="Times New Roman" w:hAnsi="Times New Roman" w:cs="Times New Roman" w:eastAsia="Times New Roman" w:hint="default"/>
        </w:rPr>
        <w:t>0.00</w:t>
      </w:r>
      <w:r>
        <w:rPr/>
        <w:t>元提供保</w:t>
      </w:r>
      <w:r>
        <w:rPr>
          <w:spacing w:val="-2"/>
        </w:rPr>
        <w:t>证</w:t>
      </w:r>
      <w:r>
        <w:rPr/>
        <w:t>担</w:t>
      </w:r>
    </w:p>
    <w:p>
      <w:pPr>
        <w:pStyle w:val="BodyText"/>
        <w:spacing w:line="240" w:lineRule="auto" w:before="64"/>
        <w:ind w:left="153" w:right="0"/>
        <w:jc w:val="left"/>
      </w:pPr>
      <w:r>
        <w:rPr/>
        <w:t>保。</w:t>
      </w:r>
    </w:p>
    <w:p>
      <w:pPr>
        <w:pStyle w:val="BodyText"/>
        <w:spacing w:line="302" w:lineRule="auto" w:before="115"/>
        <w:ind w:left="153" w:right="0" w:firstLine="360"/>
        <w:jc w:val="left"/>
      </w:pPr>
      <w:r>
        <w:rPr>
          <w:spacing w:val="-3"/>
        </w:rPr>
        <w:t>本公司为子公司北明软件有限公司流动资金借款</w:t>
      </w:r>
      <w:r>
        <w:rPr>
          <w:rFonts w:ascii="Times New Roman" w:hAnsi="Times New Roman" w:cs="Times New Roman" w:eastAsia="Times New Roman" w:hint="default"/>
          <w:spacing w:val="-3"/>
        </w:rPr>
        <w:t>1,348,832,038.58</w:t>
      </w:r>
      <w:r>
        <w:rPr>
          <w:spacing w:val="-3"/>
        </w:rPr>
        <w:t>元、银行承兑汇票</w:t>
      </w:r>
      <w:r>
        <w:rPr>
          <w:rFonts w:ascii="Times New Roman" w:hAnsi="Times New Roman" w:cs="Times New Roman" w:eastAsia="Times New Roman" w:hint="default"/>
          <w:spacing w:val="-3"/>
        </w:rPr>
        <w:t>144,446,641.16</w:t>
      </w:r>
      <w:r>
        <w:rPr>
          <w:spacing w:val="-3"/>
        </w:rPr>
        <w:t>元、信用证</w:t>
      </w:r>
      <w:r>
        <w:rPr>
          <w:rFonts w:ascii="Times New Roman" w:hAnsi="Times New Roman" w:cs="Times New Roman" w:eastAsia="Times New Roman" w:hint="default"/>
          <w:spacing w:val="-3"/>
        </w:rPr>
        <w:t>1,847,780.09</w:t>
      </w:r>
      <w:r>
        <w:rPr>
          <w:rFonts w:ascii="Times New Roman" w:hAnsi="Times New Roman" w:cs="Times New Roman" w:eastAsia="Times New Roman" w:hint="default"/>
        </w:rPr>
        <w:t> </w:t>
      </w:r>
      <w:r>
        <w:rPr/>
        <w:t>元、银行保函</w:t>
      </w:r>
      <w:r>
        <w:rPr>
          <w:rFonts w:ascii="Times New Roman" w:hAnsi="Times New Roman" w:cs="Times New Roman" w:eastAsia="Times New Roman" w:hint="default"/>
        </w:rPr>
        <w:t>71,475,949.50</w:t>
      </w:r>
      <w:r>
        <w:rPr/>
        <w:t>元提供保证担保。</w:t>
      </w:r>
    </w:p>
    <w:p>
      <w:pPr>
        <w:pStyle w:val="BodyText"/>
        <w:spacing w:line="348" w:lineRule="auto" w:before="50"/>
        <w:ind w:left="513" w:right="1117"/>
        <w:jc w:val="left"/>
      </w:pPr>
      <w:r>
        <w:rPr/>
        <w:t>北明软件有限公司为其子公司北明天时能源科技（北京）有限公司流动资金借款</w:t>
      </w:r>
      <w:r>
        <w:rPr>
          <w:rFonts w:ascii="Times New Roman" w:hAnsi="Times New Roman" w:cs="Times New Roman" w:eastAsia="Times New Roman" w:hint="default"/>
        </w:rPr>
        <w:t>34,812,694.80</w:t>
      </w:r>
      <w:r>
        <w:rPr/>
        <w:t>元提供保证担保。 押担保情况 </w:t>
      </w:r>
      <w:r>
        <w:rPr>
          <w:spacing w:val="-2"/>
        </w:rPr>
        <w:t>抵押借款</w:t>
      </w:r>
      <w:r>
        <w:rPr>
          <w:rFonts w:ascii="Times New Roman" w:hAnsi="Times New Roman" w:cs="Times New Roman" w:eastAsia="Times New Roman" w:hint="default"/>
          <w:spacing w:val="-2"/>
        </w:rPr>
        <w:t>19,600,000.00</w:t>
      </w:r>
      <w:r>
        <w:rPr>
          <w:spacing w:val="-2"/>
        </w:rPr>
        <w:t>美元，期末折合人民币</w:t>
      </w:r>
      <w:r>
        <w:rPr>
          <w:rFonts w:ascii="Times New Roman" w:hAnsi="Times New Roman" w:cs="Times New Roman" w:eastAsia="Times New Roman" w:hint="default"/>
          <w:spacing w:val="-2"/>
        </w:rPr>
        <w:t>136,733,520.00</w:t>
      </w:r>
      <w:r>
        <w:rPr>
          <w:spacing w:val="-2"/>
        </w:rPr>
        <w:t>元，为本公司与大华银行广州分行、大华银行香港分行签订</w:t>
      </w:r>
    </w:p>
    <w:p>
      <w:pPr>
        <w:pStyle w:val="BodyText"/>
        <w:spacing w:line="210" w:lineRule="exact"/>
        <w:ind w:left="153" w:right="0"/>
        <w:jc w:val="left"/>
      </w:pPr>
      <w:r>
        <w:rPr/>
        <w:t>房地产抵押合同，以公司房屋建筑物为抵押物向大华银行香港分行申请的项目贷款。</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）关键管理人员报酬</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8,998,100.00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8,952,176.60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80"/>
        <w:gridCol w:w="3780"/>
        <w:gridCol w:w="1260"/>
        <w:gridCol w:w="1080"/>
        <w:gridCol w:w="1260"/>
        <w:gridCol w:w="1080"/>
      </w:tblGrid>
      <w:tr>
        <w:trPr>
          <w:trHeight w:val="402" w:hRule="exact"/>
        </w:trPr>
        <w:tc>
          <w:tcPr>
            <w:tcW w:w="10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7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4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4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080" w:type="dxa"/>
            <w:vMerge/>
            <w:tcBorders>
              <w:left w:val="single" w:sz="4" w:space="0" w:color="000000"/>
              <w:bottom w:val="single" w:sz="4" w:space="0" w:color="000000"/>
              <w:right w:val="single" w:sz="4" w:space="0" w:color="000000"/>
            </w:tcBorders>
            <w:shd w:val="clear" w:color="auto" w:fill="D3D3D3"/>
          </w:tcPr>
          <w:p>
            <w:pPr/>
          </w:p>
        </w:tc>
        <w:tc>
          <w:tcPr>
            <w:tcW w:w="3780" w:type="dxa"/>
            <w:vMerge/>
            <w:tcBorders>
              <w:left w:val="single" w:sz="4" w:space="0" w:color="000000"/>
              <w:bottom w:val="single" w:sz="4" w:space="0" w:color="000000"/>
              <w:right w:val="single" w:sz="4" w:space="0" w:color="000000"/>
            </w:tcBorders>
            <w:shd w:val="clear" w:color="auto" w:fill="D3D3D3"/>
          </w:tcPr>
          <w:p>
            <w:pP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500,000.00</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北京北明兆业科技有限公司</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198,372.15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1,983.72</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北京云启志新科技股份有限公司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628,740.00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6,287.40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3,864,380.00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38,643.80</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北京国智云鼎科技有限公司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2,600.00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311,847.34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15,592.37</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石家庄赛孚纺织有限公司</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5,343,890.83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230,075.04</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5,053.00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202.12</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259,182.56</w:t>
            </w: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259,182.56</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4,303,788.39</w:t>
            </w: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2,462,300.63</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石家庄常山明荣家纺有限公司</w:t>
            </w: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1,581,957.15</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北京盛世繁花国际传媒广告有限公司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5,415,423.10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4,840,962.70</w:t>
            </w: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北京国智云鼎科技有限公司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114.50</w:t>
            </w:r>
          </w:p>
        </w:tc>
        <w:tc>
          <w:tcPr>
            <w:tcW w:w="108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北京盛世繁花国际传媒广告有限公司</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4,983,919.88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1,416,991.91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4,983,919.88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479,245.98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80"/>
        <w:gridCol w:w="3780"/>
        <w:gridCol w:w="2340"/>
        <w:gridCol w:w="2340"/>
      </w:tblGrid>
      <w:tr>
        <w:trPr>
          <w:trHeight w:val="402" w:hRule="exact"/>
        </w:trPr>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4,901,978.40</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4,337,497.60</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石家庄常山纺织集团第四实业有限公司</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132,974.00</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58,843.56</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480,460.55</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北京云启志新科技股份有限公司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4,021,731.62</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2,570,283.02</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北京北明兆业科技有限公司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3,013,684.46</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5,021,810.59</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北京国智云鼎科技有限公司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2,414,339.67</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6,538,453.32</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石家庄常山明荣家纺有限公司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36,055.18</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25,787.03</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1,139,305.81</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2,132,090.08</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北京云启志新科技股份有限公司</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1,396,587.00</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石家庄常山明荣家纺有限公司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78,767.05</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78,767.05</w:t>
            </w:r>
          </w:p>
        </w:tc>
      </w:tr>
      <w:tr>
        <w:trPr>
          <w:trHeight w:val="402"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北京北明兆业科技有限公司</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1,627.85</w:t>
            </w:r>
          </w:p>
        </w:tc>
        <w:tc>
          <w:tcPr>
            <w:tcW w:w="234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北京北明兆业科技有限公司</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488,000.00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十三、承诺及或有事项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资产负债表日存在的重要承诺</w:t>
      </w:r>
    </w:p>
    <w:p>
      <w:pPr>
        <w:pStyle w:val="BodyText"/>
        <w:spacing w:line="300" w:lineRule="auto" w:before="115"/>
        <w:ind w:left="153" w:right="1128" w:firstLine="360"/>
        <w:jc w:val="both"/>
      </w:pPr>
      <w:r>
        <w:rPr>
          <w:rFonts w:ascii="Times New Roman" w:hAnsi="Times New Roman" w:cs="Times New Roman" w:eastAsia="Times New Roman" w:hint="default"/>
          <w:spacing w:val="-2"/>
        </w:rPr>
        <w:t>1</w:t>
      </w:r>
      <w:r>
        <w:rPr>
          <w:spacing w:val="-2"/>
        </w:rPr>
        <w:t>、经公司于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30</w:t>
      </w:r>
      <w:r>
        <w:rPr>
          <w:spacing w:val="-2"/>
        </w:rPr>
        <w:t>日召开的董事会六届十次会议审议通过，公司之全资子公司北明软件有限公司为了自身业务发</w:t>
      </w:r>
      <w:r>
        <w:rPr/>
        <w:t> 展需要，以自有资金收购北京金实盈信科技有限公司股权，截至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日，上述交易完成北京金实盈信科技有限公司</w:t>
      </w:r>
      <w:r>
        <w:rPr>
          <w:spacing w:val="-83"/>
        </w:rPr>
        <w:t> </w:t>
      </w:r>
      <w:r>
        <w:rPr>
          <w:spacing w:val="-83"/>
        </w:rPr>
      </w:r>
      <w:r>
        <w:rPr/>
        <w:t>成为北明软件的全资子公司。</w:t>
      </w:r>
    </w:p>
    <w:p>
      <w:pPr>
        <w:pStyle w:val="BodyText"/>
        <w:spacing w:line="302" w:lineRule="auto" w:before="72"/>
        <w:ind w:right="1129" w:firstLine="380"/>
        <w:jc w:val="both"/>
      </w:pPr>
      <w:r>
        <w:rPr>
          <w:rFonts w:ascii="Times New Roman" w:hAnsi="Times New Roman" w:cs="Times New Roman" w:eastAsia="Times New Roman" w:hint="default"/>
          <w:spacing w:val="-1"/>
        </w:rPr>
        <w:t>2</w:t>
      </w:r>
      <w:r>
        <w:rPr>
          <w:spacing w:val="-1"/>
        </w:rPr>
        <w:t>、根据北明软件与交易对手方签署的《股权转让协议》，北京金实盈信科技有限公司承诺业绩承诺期间累计扣除非经</w:t>
      </w:r>
      <w:r>
        <w:rPr/>
        <w:t> 常损益的净利润完成</w:t>
      </w:r>
      <w:r>
        <w:rPr>
          <w:rFonts w:ascii="Times New Roman" w:hAnsi="Times New Roman" w:cs="Times New Roman" w:eastAsia="Times New Roman" w:hint="default"/>
        </w:rPr>
        <w:t>8,050.00</w:t>
      </w:r>
      <w:r>
        <w:rPr/>
        <w:t>万元，累计实际扣非后净利润为</w:t>
      </w:r>
      <w:r>
        <w:rPr>
          <w:rFonts w:ascii="Times New Roman" w:hAnsi="Times New Roman" w:cs="Times New Roman" w:eastAsia="Times New Roman" w:hint="default"/>
        </w:rPr>
        <w:t>7,170.97</w:t>
      </w:r>
      <w:r>
        <w:rPr/>
        <w:t>万元，业绩承诺完成</w:t>
      </w:r>
      <w:r>
        <w:rPr>
          <w:rFonts w:ascii="Times New Roman" w:hAnsi="Times New Roman" w:cs="Times New Roman" w:eastAsia="Times New Roman" w:hint="default"/>
        </w:rPr>
        <w:t>88.91%</w:t>
      </w:r>
      <w:r>
        <w:rPr/>
        <w:t>。</w:t>
      </w:r>
    </w:p>
    <w:p>
      <w:pPr>
        <w:spacing w:line="240" w:lineRule="auto" w:before="13"/>
        <w:rPr>
          <w:rFonts w:ascii="宋体" w:hAnsi="宋体" w:cs="宋体" w:eastAsia="宋体" w:hint="default"/>
          <w:sz w:val="19"/>
          <w:szCs w:val="19"/>
        </w:rPr>
      </w:pPr>
    </w:p>
    <w:p>
      <w:pPr>
        <w:pStyle w:val="Heading2"/>
        <w:spacing w:line="240" w:lineRule="auto"/>
        <w:ind w:right="0"/>
        <w:jc w:val="left"/>
        <w:rPr>
          <w:b w:val="0"/>
          <w:bCs w:val="0"/>
        </w:rPr>
      </w:pPr>
      <w:r>
        <w:rPr/>
        <w:t>十四、资产负债表日后事项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31"/>
          <w:szCs w:val="31"/>
        </w:rPr>
      </w:pPr>
    </w:p>
    <w:p>
      <w:pPr>
        <w:pStyle w:val="BodyText"/>
        <w:spacing w:line="240" w:lineRule="auto"/>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972"/>
        <w:gridCol w:w="4584"/>
      </w:tblGrid>
      <w:tr>
        <w:trPr>
          <w:trHeight w:val="402" w:hRule="exact"/>
        </w:trPr>
        <w:tc>
          <w:tcPr>
            <w:tcW w:w="49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49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3"/>
        <w:spacing w:line="240" w:lineRule="auto" w:before="35"/>
        <w:ind w:right="0"/>
        <w:jc w:val="both"/>
        <w:rPr>
          <w:b w:val="0"/>
          <w:bCs w:val="0"/>
        </w:rPr>
      </w:pPr>
      <w:r>
        <w:rPr>
          <w:rFonts w:ascii="Times New Roman" w:hAnsi="Times New Roman" w:cs="Times New Roman" w:eastAsia="Times New Roman" w:hint="default"/>
        </w:rPr>
        <w:t>2</w:t>
      </w:r>
      <w:r>
        <w:rPr/>
        <w:t>、其他资产负债表日后事项说明</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14" w:right="1117"/>
        <w:jc w:val="left"/>
      </w:pPr>
      <w:r>
        <w:rPr>
          <w:rFonts w:ascii="Times New Roman" w:hAnsi="Times New Roman" w:cs="Times New Roman" w:eastAsia="Times New Roman" w:hint="default"/>
        </w:rPr>
        <w:t>1</w:t>
      </w:r>
      <w:r>
        <w:rPr/>
        <w:t>、利润分配 </w:t>
      </w:r>
      <w:r>
        <w:rPr>
          <w:spacing w:val="-2"/>
        </w:rPr>
        <w:t>根据公司七届十一次董事会会议决议，</w:t>
      </w:r>
      <w:r>
        <w:rPr>
          <w:rFonts w:ascii="Times New Roman" w:hAnsi="Times New Roman" w:cs="Times New Roman" w:eastAsia="Times New Roman" w:hint="default"/>
          <w:spacing w:val="-2"/>
        </w:rPr>
        <w:t>2019</w:t>
      </w:r>
      <w:r>
        <w:rPr>
          <w:spacing w:val="-2"/>
        </w:rPr>
        <w:t>年度公司利润分配预案为：不派发现金红利，不送红股，不以公积金转增股</w:t>
      </w:r>
    </w:p>
    <w:p>
      <w:pPr>
        <w:pStyle w:val="BodyText"/>
        <w:spacing w:line="218" w:lineRule="exact"/>
        <w:ind w:left="153" w:right="0"/>
        <w:jc w:val="both"/>
      </w:pPr>
      <w:r>
        <w:rPr/>
        <w:t>本，剩余未分配利润转结至下一年度。</w:t>
      </w:r>
    </w:p>
    <w:p>
      <w:pPr>
        <w:pStyle w:val="BodyText"/>
        <w:spacing w:line="338" w:lineRule="auto" w:before="117"/>
        <w:ind w:left="514" w:right="0"/>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28"/>
        </w:rPr>
        <w:t> </w:t>
      </w:r>
      <w:r>
        <w:rPr/>
        <w:t>年度不进行利润分配的原因： </w:t>
      </w:r>
      <w:r>
        <w:rPr>
          <w:spacing w:val="-2"/>
        </w:rPr>
        <w:t>公司正处于发展阶段，</w:t>
      </w:r>
      <w:r>
        <w:rPr>
          <w:rFonts w:ascii="Times New Roman" w:hAnsi="Times New Roman" w:cs="Times New Roman" w:eastAsia="Times New Roman" w:hint="default"/>
          <w:spacing w:val="-2"/>
        </w:rPr>
        <w:t>2020</w:t>
      </w:r>
      <w:r>
        <w:rPr>
          <w:spacing w:val="-2"/>
        </w:rPr>
        <w:t>年将面临较大的资金支出压力，且受新型冠状病毒疫情影响，国内外经济环境波动剧烈，为</w:t>
      </w:r>
    </w:p>
    <w:p>
      <w:pPr>
        <w:pStyle w:val="BodyText"/>
        <w:spacing w:line="217" w:lineRule="exact"/>
        <w:ind w:right="0"/>
        <w:jc w:val="both"/>
      </w:pPr>
      <w:r>
        <w:rPr/>
        <w:t>保持公司生产经营需要，加快转型升级的步伐，实现公司的经营战略目标，公司需要留存充足收益用于流动资金周转及未来</w:t>
      </w:r>
    </w:p>
    <w:p>
      <w:pPr>
        <w:pStyle w:val="BodyText"/>
        <w:spacing w:line="240" w:lineRule="auto" w:before="77"/>
        <w:ind w:right="0"/>
        <w:jc w:val="both"/>
      </w:pPr>
      <w:r>
        <w:rPr/>
        <w:t>的发展。</w:t>
      </w:r>
    </w:p>
    <w:p>
      <w:pPr>
        <w:pStyle w:val="BodyText"/>
        <w:spacing w:line="338" w:lineRule="auto" w:before="116"/>
        <w:ind w:left="514" w:right="0"/>
        <w:jc w:val="left"/>
      </w:pPr>
      <w:r>
        <w:rPr>
          <w:rFonts w:ascii="Times New Roman" w:hAnsi="Times New Roman" w:cs="Times New Roman" w:eastAsia="Times New Roman" w:hint="default"/>
        </w:rPr>
        <w:t>2</w:t>
      </w:r>
      <w:r>
        <w:rPr/>
        <w:t>、土地及房屋收购补偿 </w:t>
      </w:r>
      <w:r>
        <w:rPr>
          <w:spacing w:val="-2"/>
        </w:rPr>
        <w:t>公司董事会七届九次会议审议通过了《关于全资子公司常山赵纺土地及房屋收购补偿的议案》，同意由赵县土地储备中</w:t>
      </w:r>
    </w:p>
    <w:p>
      <w:pPr>
        <w:pStyle w:val="BodyText"/>
        <w:spacing w:line="300" w:lineRule="auto" w:before="2"/>
        <w:ind w:left="153" w:right="1131"/>
        <w:jc w:val="both"/>
      </w:pPr>
      <w:r>
        <w:rPr/>
        <w:t>心收购全资子公司常山赵纺位于石家庄赵县石塔路</w:t>
      </w:r>
      <w:r>
        <w:rPr>
          <w:rFonts w:ascii="Times New Roman" w:hAnsi="Times New Roman" w:cs="Times New Roman" w:eastAsia="Times New Roman" w:hint="default"/>
        </w:rPr>
        <w:t>132</w:t>
      </w:r>
      <w:r>
        <w:rPr/>
        <w:t>号之实测面积为</w:t>
      </w:r>
      <w:r>
        <w:rPr>
          <w:rFonts w:ascii="Times New Roman" w:hAnsi="Times New Roman" w:cs="Times New Roman" w:eastAsia="Times New Roman" w:hint="default"/>
        </w:rPr>
        <w:t>70,237.03</w:t>
      </w:r>
      <w:r>
        <w:rPr/>
        <w:t>平方米的土地及房屋所有权，收购补偿价格 </w:t>
      </w:r>
      <w:r>
        <w:rPr>
          <w:spacing w:val="-2"/>
        </w:rPr>
        <w:t>为</w:t>
      </w:r>
      <w:r>
        <w:rPr>
          <w:rFonts w:ascii="Times New Roman" w:hAnsi="Times New Roman" w:cs="Times New Roman" w:eastAsia="Times New Roman" w:hint="default"/>
          <w:spacing w:val="-2"/>
        </w:rPr>
        <w:t>6,000.00</w:t>
      </w:r>
      <w:r>
        <w:rPr>
          <w:spacing w:val="-2"/>
        </w:rPr>
        <w:t>万元。</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27</w:t>
      </w:r>
      <w:r>
        <w:rPr>
          <w:spacing w:val="-2"/>
        </w:rPr>
        <w:t>日常山赵纺与赵县土地储备中心签订《房地产收购合同》，</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w:t>
      </w:r>
      <w:r>
        <w:rPr>
          <w:spacing w:val="-2"/>
        </w:rPr>
        <w:t>日，常山赵纺收到赵</w:t>
      </w:r>
      <w:r>
        <w:rPr>
          <w:spacing w:val="-44"/>
        </w:rPr>
        <w:t> </w:t>
      </w:r>
      <w:r>
        <w:rPr>
          <w:spacing w:val="-44"/>
        </w:rPr>
      </w:r>
      <w:r>
        <w:rPr/>
        <w:t>县土地储备中心支付的补偿金</w:t>
      </w:r>
      <w:r>
        <w:rPr>
          <w:rFonts w:ascii="Times New Roman" w:hAnsi="Times New Roman" w:cs="Times New Roman" w:eastAsia="Times New Roman" w:hint="default"/>
        </w:rPr>
        <w:t>1,000.00</w:t>
      </w:r>
      <w:r>
        <w:rPr/>
        <w:t>万元。常山赵纺在</w:t>
      </w:r>
      <w:r>
        <w:rPr>
          <w:rFonts w:ascii="Times New Roman" w:hAnsi="Times New Roman" w:cs="Times New Roman" w:eastAsia="Times New Roman" w:hint="default"/>
        </w:rPr>
        <w:t>2019</w:t>
      </w:r>
      <w:r>
        <w:rPr/>
        <w:t>年底前与赵县土地储备中心完成交易标的移交手续，将应收赵 县土地储备中心的</w:t>
      </w:r>
      <w:r>
        <w:rPr>
          <w:rFonts w:ascii="Times New Roman" w:hAnsi="Times New Roman" w:cs="Times New Roman" w:eastAsia="Times New Roman" w:hint="default"/>
        </w:rPr>
        <w:t>5,000.00</w:t>
      </w:r>
      <w:r>
        <w:rPr/>
        <w:t>万元土地及房屋收购补偿款计入其他应收款。公司按照常山赵纺与赵县土地储备中心签订的《房 地产收购合同》，将应取得的补偿款与该土地及房屋账面价值的差额确认</w:t>
      </w:r>
      <w:r>
        <w:rPr>
          <w:rFonts w:ascii="Times New Roman" w:hAnsi="Times New Roman" w:cs="Times New Roman" w:eastAsia="Times New Roman" w:hint="default"/>
        </w:rPr>
        <w:t>2019</w:t>
      </w:r>
      <w:r>
        <w:rPr/>
        <w:t>年资产处置收益</w:t>
      </w:r>
      <w:r>
        <w:rPr>
          <w:rFonts w:ascii="Times New Roman" w:hAnsi="Times New Roman" w:cs="Times New Roman" w:eastAsia="Times New Roman" w:hint="default"/>
        </w:rPr>
        <w:t>5,115.54</w:t>
      </w:r>
      <w:r>
        <w:rPr/>
        <w:t>万元。</w:t>
      </w:r>
    </w:p>
    <w:p>
      <w:pPr>
        <w:pStyle w:val="BodyText"/>
        <w:spacing w:line="240" w:lineRule="auto" w:before="52"/>
        <w:ind w:left="514" w:right="0"/>
        <w:jc w:val="left"/>
      </w:pP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5</w:t>
      </w:r>
      <w:r>
        <w:rPr/>
        <w:t>日，公司收到赵县土地储备中心支付的补偿金</w:t>
      </w:r>
      <w:r>
        <w:rPr>
          <w:rFonts w:ascii="Times New Roman" w:hAnsi="Times New Roman" w:cs="Times New Roman" w:eastAsia="Times New Roman" w:hint="default"/>
        </w:rPr>
        <w:t>5,000.00</w:t>
      </w:r>
      <w:r>
        <w:rPr/>
        <w:t>万元。</w:t>
      </w:r>
    </w:p>
    <w:p>
      <w:pPr>
        <w:pStyle w:val="BodyText"/>
        <w:spacing w:line="338" w:lineRule="auto" w:before="102"/>
        <w:ind w:left="514" w:right="1210"/>
        <w:jc w:val="left"/>
      </w:pPr>
      <w:r>
        <w:rPr>
          <w:rFonts w:ascii="Times New Roman" w:hAnsi="Times New Roman" w:cs="Times New Roman" w:eastAsia="Times New Roman" w:hint="default"/>
        </w:rPr>
        <w:t>3</w:t>
      </w:r>
      <w:r>
        <w:rPr/>
        <w:t>、股权质押 公司第二大大股东北明控股分别于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w:t>
      </w:r>
      <w:r>
        <w:rPr/>
        <w:t>日、</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22</w:t>
      </w:r>
      <w:r>
        <w:rPr/>
        <w:t>日将其持有的部分股权</w:t>
      </w:r>
      <w:r>
        <w:rPr>
          <w:rFonts w:ascii="Times New Roman" w:hAnsi="Times New Roman" w:cs="Times New Roman" w:eastAsia="Times New Roman" w:hint="default"/>
        </w:rPr>
        <w:t>9,100,000</w:t>
      </w:r>
      <w:r>
        <w:rPr/>
        <w:t>股、</w:t>
      </w:r>
    </w:p>
    <w:p>
      <w:pPr>
        <w:pStyle w:val="BodyText"/>
        <w:spacing w:line="230" w:lineRule="exact"/>
        <w:ind w:left="153" w:right="0"/>
        <w:jc w:val="both"/>
      </w:pPr>
      <w:r>
        <w:rPr>
          <w:rFonts w:ascii="Times New Roman" w:hAnsi="Times New Roman" w:cs="Times New Roman" w:eastAsia="Times New Roman" w:hint="default"/>
        </w:rPr>
        <w:t>5,200,000</w:t>
      </w:r>
      <w:r>
        <w:rPr/>
        <w:t>股、</w:t>
      </w:r>
      <w:r>
        <w:rPr>
          <w:rFonts w:ascii="Times New Roman" w:hAnsi="Times New Roman" w:cs="Times New Roman" w:eastAsia="Times New Roman" w:hint="default"/>
        </w:rPr>
        <w:t>9,300,000</w:t>
      </w:r>
      <w:r>
        <w:rPr/>
        <w:t>股解除质押。截止</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日，北明控股持有公司股份</w:t>
      </w:r>
      <w:r>
        <w:rPr>
          <w:rFonts w:ascii="Times New Roman" w:hAnsi="Times New Roman" w:cs="Times New Roman" w:eastAsia="Times New Roman" w:hint="default"/>
        </w:rPr>
        <w:t>215,321,187</w:t>
      </w:r>
      <w:r>
        <w:rPr/>
        <w:t>股，占公司股份总数的</w:t>
      </w:r>
      <w:r>
        <w:rPr>
          <w:rFonts w:ascii="Times New Roman" w:hAnsi="Times New Roman" w:cs="Times New Roman" w:eastAsia="Times New Roman" w:hint="default"/>
        </w:rPr>
        <w:t>13.34%</w:t>
      </w:r>
      <w:r>
        <w:rPr/>
        <w:t>。</w:t>
      </w:r>
    </w:p>
    <w:p>
      <w:pPr>
        <w:pStyle w:val="BodyText"/>
        <w:spacing w:line="240" w:lineRule="auto" w:before="63"/>
        <w:ind w:left="153" w:right="0"/>
        <w:jc w:val="both"/>
      </w:pPr>
      <w:r>
        <w:rPr/>
        <w:t>本次股份解除质押后，北明控股所持有公司股份累计质押</w:t>
      </w:r>
      <w:r>
        <w:rPr>
          <w:rFonts w:ascii="Times New Roman" w:hAnsi="Times New Roman" w:cs="Times New Roman" w:eastAsia="Times New Roman" w:hint="default"/>
        </w:rPr>
        <w:t>81,670,000</w:t>
      </w:r>
      <w:r>
        <w:rPr/>
        <w:t>股，占其所持公司股份总数的</w:t>
      </w:r>
      <w:r>
        <w:rPr>
          <w:rFonts w:ascii="Times New Roman" w:hAnsi="Times New Roman" w:cs="Times New Roman" w:eastAsia="Times New Roman" w:hint="default"/>
        </w:rPr>
        <w:t>37.93%</w:t>
      </w:r>
      <w:r>
        <w:rPr/>
        <w:t>，占公司总股本的</w:t>
      </w:r>
    </w:p>
    <w:p>
      <w:pPr>
        <w:pStyle w:val="BodyText"/>
        <w:spacing w:line="240" w:lineRule="auto" w:before="63"/>
        <w:ind w:right="0"/>
        <w:jc w:val="both"/>
      </w:pPr>
      <w:r>
        <w:rPr>
          <w:rFonts w:ascii="Times New Roman" w:hAnsi="Times New Roman" w:cs="Times New Roman" w:eastAsia="Times New Roman" w:hint="default"/>
        </w:rPr>
        <w:t>5.11%</w:t>
      </w:r>
      <w:r>
        <w:rPr/>
        <w:t>。</w:t>
      </w:r>
    </w:p>
    <w:p>
      <w:pPr>
        <w:spacing w:after="0" w:line="240" w:lineRule="auto"/>
        <w:jc w:val="both"/>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153" w:right="0" w:firstLine="290"/>
        <w:jc w:val="left"/>
      </w:pPr>
      <w:r>
        <w:rPr/>
        <w:t>公司第一大大股东常山集团于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9</w:t>
      </w:r>
      <w:r>
        <w:rPr/>
        <w:t>日将其持有的部分股权</w:t>
      </w:r>
      <w:r>
        <w:rPr>
          <w:rFonts w:ascii="Times New Roman" w:hAnsi="Times New Roman" w:cs="Times New Roman" w:eastAsia="Times New Roman" w:hint="default"/>
        </w:rPr>
        <w:t>65,000,000</w:t>
      </w:r>
      <w:r>
        <w:rPr/>
        <w:t>股质押给中国银行证券股份有限公司。截止 </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24</w:t>
      </w:r>
      <w:r>
        <w:rPr>
          <w:spacing w:val="-1"/>
        </w:rPr>
        <w:t>日，常山集团持有公司股份</w:t>
      </w:r>
      <w:r>
        <w:rPr>
          <w:rFonts w:ascii="Times New Roman" w:hAnsi="Times New Roman" w:cs="Times New Roman" w:eastAsia="Times New Roman" w:hint="default"/>
          <w:spacing w:val="-1"/>
        </w:rPr>
        <w:t>455,296,184</w:t>
      </w:r>
      <w:r>
        <w:rPr>
          <w:spacing w:val="-1"/>
        </w:rPr>
        <w:t>股，占公司股份总数的</w:t>
      </w:r>
      <w:r>
        <w:rPr>
          <w:rFonts w:ascii="Times New Roman" w:hAnsi="Times New Roman" w:cs="Times New Roman" w:eastAsia="Times New Roman" w:hint="default"/>
          <w:spacing w:val="-1"/>
        </w:rPr>
        <w:t>28.48%</w:t>
      </w:r>
      <w:r>
        <w:rPr>
          <w:spacing w:val="-1"/>
        </w:rPr>
        <w:t>。本次股份质押后，常山集团所持有公司</w:t>
      </w:r>
      <w:r>
        <w:rPr>
          <w:spacing w:val="-36"/>
        </w:rPr>
        <w:t> </w:t>
      </w:r>
      <w:r>
        <w:rPr>
          <w:spacing w:val="-36"/>
        </w:rPr>
      </w:r>
      <w:r>
        <w:rPr/>
        <w:t>股份累计质押</w:t>
      </w:r>
      <w:r>
        <w:rPr>
          <w:rFonts w:ascii="Times New Roman" w:hAnsi="Times New Roman" w:cs="Times New Roman" w:eastAsia="Times New Roman" w:hint="default"/>
        </w:rPr>
        <w:t>168,000,000</w:t>
      </w:r>
      <w:r>
        <w:rPr/>
        <w:t>股，占其所持公司股份总数的</w:t>
      </w:r>
      <w:r>
        <w:rPr>
          <w:rFonts w:ascii="Times New Roman" w:hAnsi="Times New Roman" w:cs="Times New Roman" w:eastAsia="Times New Roman" w:hint="default"/>
        </w:rPr>
        <w:t>36.90%</w:t>
      </w:r>
      <w:r>
        <w:rPr/>
        <w:t>，占公司总股本的</w:t>
      </w:r>
      <w:r>
        <w:rPr>
          <w:rFonts w:ascii="Times New Roman" w:hAnsi="Times New Roman" w:cs="Times New Roman" w:eastAsia="Times New Roman" w:hint="default"/>
        </w:rPr>
        <w:t>10.51%</w:t>
      </w:r>
      <w:r>
        <w:rPr/>
        <w:t>。</w:t>
      </w:r>
    </w:p>
    <w:p>
      <w:pPr>
        <w:pStyle w:val="BodyText"/>
        <w:spacing w:line="338" w:lineRule="auto" w:before="52"/>
        <w:ind w:left="513" w:right="0"/>
        <w:jc w:val="left"/>
      </w:pPr>
      <w:r>
        <w:rPr>
          <w:rFonts w:ascii="Times New Roman" w:hAnsi="Times New Roman" w:cs="Times New Roman" w:eastAsia="Times New Roman" w:hint="default"/>
        </w:rPr>
        <w:t>4</w:t>
      </w:r>
      <w:r>
        <w:rPr/>
        <w:t>、减持股份计划 </w:t>
      </w:r>
      <w:r>
        <w:rPr>
          <w:spacing w:val="-2"/>
        </w:rPr>
        <w:t>公司第二大股东北明控股、公司副董事长李锋先生和公司董事、总经理应华江先生拟在</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15</w:t>
      </w:r>
      <w:r>
        <w:rPr>
          <w:spacing w:val="-2"/>
        </w:rPr>
        <w:t>日减持计划披露之</w:t>
      </w:r>
    </w:p>
    <w:p>
      <w:pPr>
        <w:pStyle w:val="BodyText"/>
        <w:spacing w:line="230" w:lineRule="exact"/>
        <w:ind w:left="153" w:right="0"/>
        <w:jc w:val="both"/>
      </w:pPr>
      <w:r>
        <w:rPr/>
        <w:t>日起</w:t>
      </w:r>
      <w:r>
        <w:rPr>
          <w:rFonts w:ascii="Times New Roman" w:hAnsi="Times New Roman" w:cs="Times New Roman" w:eastAsia="Times New Roman" w:hint="default"/>
        </w:rPr>
        <w:t>15</w:t>
      </w:r>
      <w:r>
        <w:rPr/>
        <w:t>个交易日后的</w:t>
      </w:r>
      <w:r>
        <w:rPr>
          <w:rFonts w:ascii="Times New Roman" w:hAnsi="Times New Roman" w:cs="Times New Roman" w:eastAsia="Times New Roman" w:hint="default"/>
        </w:rPr>
        <w:t>6</w:t>
      </w:r>
      <w:r>
        <w:rPr/>
        <w:t>个月内以集中竞价方式分别减持本公司股份不超过</w:t>
      </w:r>
      <w:r>
        <w:rPr>
          <w:rFonts w:ascii="Times New Roman" w:hAnsi="Times New Roman" w:cs="Times New Roman" w:eastAsia="Times New Roman" w:hint="default"/>
        </w:rPr>
        <w:t>26,706,500</w:t>
      </w:r>
      <w:r>
        <w:rPr>
          <w:spacing w:val="-2"/>
        </w:rPr>
        <w:t>股</w:t>
      </w:r>
      <w:r>
        <w:rPr>
          <w:spacing w:val="-87"/>
        </w:rPr>
        <w:t>、</w:t>
      </w:r>
      <w:r>
        <w:rPr>
          <w:rFonts w:ascii="Times New Roman" w:hAnsi="Times New Roman" w:cs="Times New Roman" w:eastAsia="Times New Roman" w:hint="default"/>
        </w:rPr>
        <w:t>2,000,000</w:t>
      </w:r>
      <w:r>
        <w:rPr/>
        <w:t>股</w:t>
      </w:r>
      <w:r>
        <w:rPr>
          <w:spacing w:val="-2"/>
        </w:rPr>
        <w:t>和</w:t>
      </w:r>
      <w:r>
        <w:rPr>
          <w:rFonts w:ascii="Times New Roman" w:hAnsi="Times New Roman" w:cs="Times New Roman" w:eastAsia="Times New Roman" w:hint="default"/>
        </w:rPr>
        <w:t>4,350,900</w:t>
      </w:r>
      <w:r>
        <w:rPr/>
        <w:t>股</w:t>
      </w:r>
      <w:r>
        <w:rPr>
          <w:spacing w:val="-87"/>
        </w:rPr>
        <w:t>，</w:t>
      </w:r>
      <w:r>
        <w:rPr>
          <w:spacing w:val="-2"/>
        </w:rPr>
        <w:t>北</w:t>
      </w:r>
      <w:r>
        <w:rPr/>
        <w:t>明控股、</w:t>
      </w:r>
    </w:p>
    <w:p>
      <w:pPr>
        <w:pStyle w:val="BodyText"/>
        <w:spacing w:line="300" w:lineRule="auto" w:before="63"/>
        <w:ind w:left="153" w:right="1138"/>
        <w:jc w:val="both"/>
      </w:pPr>
      <w:r>
        <w:rPr/>
        <w:t>李锋先生、应华江先生为一致行动人，减持股份应合并计算，本次拟减持股份合计不超过</w:t>
      </w:r>
      <w:r>
        <w:rPr>
          <w:rFonts w:ascii="Times New Roman" w:hAnsi="Times New Roman" w:cs="Times New Roman" w:eastAsia="Times New Roman" w:hint="default"/>
        </w:rPr>
        <w:t>33,057,400</w:t>
      </w:r>
      <w:r>
        <w:rPr/>
        <w:t>股，减持股份总数不超 过公司总股本。</w:t>
      </w:r>
    </w:p>
    <w:p>
      <w:pPr>
        <w:pStyle w:val="BodyText"/>
        <w:spacing w:line="300" w:lineRule="auto" w:before="31"/>
        <w:ind w:left="153" w:right="1130" w:firstLine="290"/>
        <w:jc w:val="both"/>
      </w:pPr>
      <w:r>
        <w:rPr>
          <w:spacing w:val="-2"/>
        </w:rPr>
        <w:t>截至</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9</w:t>
      </w:r>
      <w:r>
        <w:rPr>
          <w:spacing w:val="-2"/>
        </w:rPr>
        <w:t>日，北明控股、李锋先生和应华江先生合计减持股份数量已达到其合计减持计划数量的一半</w:t>
      </w:r>
      <w:r>
        <w:rPr>
          <w:rFonts w:ascii="Times New Roman" w:hAnsi="Times New Roman" w:cs="Times New Roman" w:eastAsia="Times New Roman" w:hint="default"/>
          <w:spacing w:val="-2"/>
        </w:rPr>
        <w:t>2%</w:t>
      </w:r>
      <w:r>
        <w:rPr>
          <w:spacing w:val="-2"/>
        </w:rPr>
        <w:t>。减持期</w:t>
      </w:r>
      <w:r>
        <w:rPr/>
        <w:t> </w:t>
      </w:r>
      <w:r>
        <w:rPr>
          <w:spacing w:val="-2"/>
        </w:rPr>
        <w:t>内，北明控股、李锋先生和应华江先生分别减持股份数量为</w:t>
      </w:r>
      <w:r>
        <w:rPr>
          <w:rFonts w:ascii="Times New Roman" w:hAnsi="Times New Roman" w:cs="Times New Roman" w:eastAsia="Times New Roman" w:hint="default"/>
          <w:spacing w:val="-2"/>
        </w:rPr>
        <w:t>10630000</w:t>
      </w:r>
      <w:r>
        <w:rPr>
          <w:spacing w:val="-2"/>
        </w:rPr>
        <w:t>股、</w:t>
      </w:r>
      <w:r>
        <w:rPr>
          <w:rFonts w:ascii="Times New Roman" w:hAnsi="Times New Roman" w:cs="Times New Roman" w:eastAsia="Times New Roman" w:hint="default"/>
          <w:spacing w:val="-2"/>
        </w:rPr>
        <w:t>2000000</w:t>
      </w:r>
      <w:r>
        <w:rPr>
          <w:spacing w:val="-2"/>
        </w:rPr>
        <w:t>股、</w:t>
      </w:r>
      <w:r>
        <w:rPr>
          <w:rFonts w:ascii="Times New Roman" w:hAnsi="Times New Roman" w:cs="Times New Roman" w:eastAsia="Times New Roman" w:hint="default"/>
          <w:spacing w:val="-2"/>
        </w:rPr>
        <w:t>4350900</w:t>
      </w:r>
      <w:r>
        <w:rPr>
          <w:spacing w:val="-2"/>
        </w:rPr>
        <w:t>股，占公司总股本的比例分别</w:t>
      </w:r>
      <w:r>
        <w:rPr>
          <w:spacing w:val="-43"/>
        </w:rPr>
        <w:t> </w:t>
      </w:r>
      <w:r>
        <w:rPr>
          <w:spacing w:val="-43"/>
        </w:rPr>
      </w:r>
      <w:r>
        <w:rPr/>
        <w:t>为</w:t>
      </w:r>
      <w:r>
        <w:rPr>
          <w:rFonts w:ascii="Times New Roman" w:hAnsi="Times New Roman" w:cs="Times New Roman" w:eastAsia="Times New Roman" w:hint="default"/>
        </w:rPr>
        <w:t>0.66%</w:t>
      </w:r>
      <w:r>
        <w:rPr/>
        <w:t>、</w:t>
      </w:r>
      <w:r>
        <w:rPr>
          <w:rFonts w:ascii="Times New Roman" w:hAnsi="Times New Roman" w:cs="Times New Roman" w:eastAsia="Times New Roman" w:hint="default"/>
        </w:rPr>
        <w:t>0.13%</w:t>
      </w:r>
      <w:r>
        <w:rPr/>
        <w:t>、</w:t>
      </w:r>
      <w:r>
        <w:rPr>
          <w:rFonts w:ascii="Times New Roman" w:hAnsi="Times New Roman" w:cs="Times New Roman" w:eastAsia="Times New Roman" w:hint="default"/>
        </w:rPr>
        <w:t>0.27%</w:t>
      </w:r>
      <w:r>
        <w:rPr/>
        <w:t>。</w:t>
      </w:r>
    </w:p>
    <w:p>
      <w:pPr>
        <w:pStyle w:val="BodyText"/>
        <w:spacing w:line="302" w:lineRule="auto" w:before="13"/>
        <w:ind w:left="153" w:right="1131"/>
        <w:jc w:val="both"/>
      </w:pPr>
      <w:r>
        <w:rPr>
          <w:spacing w:val="-2"/>
        </w:rPr>
        <w:t>本次减持后，北明控股、李锋先生和应华江先生分别持股</w:t>
      </w:r>
      <w:r>
        <w:rPr>
          <w:rFonts w:ascii="Times New Roman" w:hAnsi="Times New Roman" w:cs="Times New Roman" w:eastAsia="Times New Roman" w:hint="default"/>
          <w:spacing w:val="-2"/>
        </w:rPr>
        <w:t>21,432,1187</w:t>
      </w:r>
      <w:r>
        <w:rPr>
          <w:spacing w:val="-2"/>
        </w:rPr>
        <w:t>股、</w:t>
      </w:r>
      <w:r>
        <w:rPr>
          <w:rFonts w:ascii="Times New Roman" w:hAnsi="Times New Roman" w:cs="Times New Roman" w:eastAsia="Times New Roman" w:hint="default"/>
          <w:spacing w:val="-2"/>
        </w:rPr>
        <w:t>15,922,053</w:t>
      </w:r>
      <w:r>
        <w:rPr>
          <w:spacing w:val="-2"/>
        </w:rPr>
        <w:t>股、</w:t>
      </w:r>
      <w:r>
        <w:rPr>
          <w:rFonts w:ascii="Times New Roman" w:hAnsi="Times New Roman" w:cs="Times New Roman" w:eastAsia="Times New Roman" w:hint="default"/>
          <w:spacing w:val="-2"/>
        </w:rPr>
        <w:t>15,004,096</w:t>
      </w:r>
      <w:r>
        <w:rPr>
          <w:spacing w:val="-2"/>
        </w:rPr>
        <w:t>股，占公司总股本的比例</w:t>
      </w:r>
      <w:r>
        <w:rPr>
          <w:spacing w:val="-38"/>
        </w:rPr>
        <w:t> </w:t>
      </w:r>
      <w:r>
        <w:rPr>
          <w:spacing w:val="-38"/>
        </w:rPr>
      </w:r>
      <w:r>
        <w:rPr/>
        <w:t>分别为</w:t>
      </w:r>
      <w:r>
        <w:rPr>
          <w:rFonts w:ascii="Times New Roman" w:hAnsi="Times New Roman" w:cs="Times New Roman" w:eastAsia="Times New Roman" w:hint="default"/>
        </w:rPr>
        <w:t>13.41%</w:t>
      </w: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0.94%</w:t>
      </w:r>
      <w:r>
        <w:rPr/>
        <w:t>。</w:t>
      </w:r>
    </w:p>
    <w:p>
      <w:pPr>
        <w:pStyle w:val="BodyText"/>
        <w:spacing w:line="338" w:lineRule="auto" w:before="50"/>
        <w:ind w:left="513" w:right="1141"/>
        <w:jc w:val="left"/>
        <w:rPr>
          <w:rFonts w:ascii="Times New Roman" w:hAnsi="Times New Roman" w:cs="Times New Roman" w:eastAsia="Times New Roman" w:hint="default"/>
        </w:rPr>
      </w:pPr>
      <w:r>
        <w:rPr>
          <w:rFonts w:ascii="Times New Roman" w:hAnsi="Times New Roman" w:cs="Times New Roman" w:eastAsia="Times New Roman" w:hint="default"/>
        </w:rPr>
        <w:t>5</w:t>
      </w:r>
      <w:r>
        <w:rPr/>
        <w:t>、解除融资融券业务 北明控股与平安证券股份有限公司（以下简称</w:t>
      </w:r>
      <w:r>
        <w:rPr>
          <w:rFonts w:ascii="Times New Roman" w:hAnsi="Times New Roman" w:cs="Times New Roman" w:eastAsia="Times New Roman" w:hint="default"/>
        </w:rPr>
        <w:t>“</w:t>
      </w:r>
      <w:r>
        <w:rPr/>
        <w:t>平安证券</w:t>
      </w:r>
      <w:r>
        <w:rPr>
          <w:rFonts w:ascii="Times New Roman" w:hAnsi="Times New Roman" w:cs="Times New Roman" w:eastAsia="Times New Roman" w:hint="default"/>
        </w:rPr>
        <w:t>”</w:t>
      </w:r>
      <w:r>
        <w:rPr/>
        <w:t>）开展融资融券业务，</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9</w:t>
      </w:r>
      <w:r>
        <w:rPr/>
        <w:t>日，将其持有的</w:t>
      </w:r>
      <w:r>
        <w:rPr>
          <w:rFonts w:ascii="Times New Roman" w:hAnsi="Times New Roman" w:cs="Times New Roman" w:eastAsia="Times New Roman" w:hint="default"/>
        </w:rPr>
        <w:t>20,000,000</w:t>
      </w:r>
    </w:p>
    <w:p>
      <w:pPr>
        <w:pStyle w:val="BodyText"/>
        <w:spacing w:line="217" w:lineRule="exact"/>
        <w:ind w:right="0"/>
        <w:jc w:val="both"/>
      </w:pPr>
      <w:r>
        <w:rPr/>
        <w:t>股公司无限售流通股转入北明控股在平安证券开立的融资融券信用账户中，该部分股份的所有权未发生转移。</w:t>
      </w:r>
    </w:p>
    <w:p>
      <w:pPr>
        <w:pStyle w:val="BodyText"/>
        <w:spacing w:line="302" w:lineRule="auto" w:before="76"/>
        <w:ind w:left="153" w:right="1191" w:firstLine="290"/>
        <w:jc w:val="left"/>
      </w:pP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日，北明控股已将其持有的公司无限售流通股</w:t>
      </w:r>
      <w:r>
        <w:rPr>
          <w:rFonts w:ascii="Times New Roman" w:hAnsi="Times New Roman" w:cs="Times New Roman" w:eastAsia="Times New Roman" w:hint="default"/>
        </w:rPr>
        <w:t>20,000,000</w:t>
      </w:r>
      <w:r>
        <w:rPr/>
        <w:t>股从平安证券的融资融券信用账户转回到普通证券 账户，解除了融资融券业务。截止公告日，北明控股持有公司股份</w:t>
      </w:r>
      <w:r>
        <w:rPr>
          <w:rFonts w:ascii="Times New Roman" w:hAnsi="Times New Roman" w:cs="Times New Roman" w:eastAsia="Times New Roman" w:hint="default"/>
        </w:rPr>
        <w:t>208,001,187</w:t>
      </w:r>
      <w:r>
        <w:rPr/>
        <w:t>股，占公司总股本的</w:t>
      </w:r>
      <w:r>
        <w:rPr>
          <w:rFonts w:ascii="Times New Roman" w:hAnsi="Times New Roman" w:cs="Times New Roman" w:eastAsia="Times New Roman" w:hint="default"/>
        </w:rPr>
        <w:t>13.01%</w:t>
      </w:r>
      <w:r>
        <w:rPr/>
        <w:t>。</w:t>
      </w:r>
    </w:p>
    <w:p>
      <w:pPr>
        <w:pStyle w:val="BodyText"/>
        <w:spacing w:line="338" w:lineRule="auto" w:before="52"/>
        <w:ind w:left="514" w:right="1120"/>
        <w:jc w:val="left"/>
      </w:pPr>
      <w:r>
        <w:rPr>
          <w:rFonts w:ascii="Times New Roman" w:hAnsi="Times New Roman" w:cs="Times New Roman" w:eastAsia="Times New Roman" w:hint="default"/>
        </w:rPr>
        <w:t>6</w:t>
      </w:r>
      <w:r>
        <w:rPr/>
        <w:t>、其他影响 突发的新型冠状病毒感染的肺炎疫情对公司</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季度业绩造成了较大影响。纺织板块产业链上下游单位复工时间普</w:t>
      </w:r>
    </w:p>
    <w:p>
      <w:pPr>
        <w:pStyle w:val="BodyText"/>
        <w:spacing w:line="230" w:lineRule="exact"/>
        <w:ind w:right="0"/>
        <w:jc w:val="both"/>
      </w:pPr>
      <w:r>
        <w:rPr/>
        <w:t>遍延迟，物流受阻、人员流动受限，纺织行业内销市场低迷，而海外疫情的迅速蔓延，产品出口也受到严重影响。公司</w:t>
      </w:r>
      <w:r>
        <w:rPr>
          <w:rFonts w:ascii="Times New Roman" w:hAnsi="Times New Roman" w:cs="Times New Roman" w:eastAsia="Times New Roman" w:hint="default"/>
        </w:rPr>
        <w:t>1</w:t>
      </w:r>
      <w:r>
        <w:rPr/>
        <w:t>季</w:t>
      </w:r>
    </w:p>
    <w:p>
      <w:pPr>
        <w:pStyle w:val="BodyText"/>
        <w:spacing w:line="312" w:lineRule="auto" w:before="63"/>
        <w:ind w:right="1131"/>
        <w:jc w:val="both"/>
      </w:pPr>
      <w:r>
        <w:rPr>
          <w:spacing w:val="-2"/>
        </w:rPr>
        <w:t>度开工时间比上年同期减少较多，产、销量大幅下降，营业收入下滑，同时员工薪酬、折旧摊销、利息等费用继续支出，导</w:t>
      </w:r>
      <w:r>
        <w:rPr>
          <w:spacing w:val="-65"/>
        </w:rPr>
        <w:t> </w:t>
      </w:r>
      <w:r>
        <w:rPr>
          <w:spacing w:val="-65"/>
        </w:rPr>
      </w:r>
      <w:r>
        <w:rPr/>
        <w:t>致业绩出现亏损。因肺炎疫情，公司纺织板块发生停工损失</w:t>
      </w:r>
      <w:r>
        <w:rPr>
          <w:rFonts w:ascii="Times New Roman" w:hAnsi="Times New Roman" w:cs="Times New Roman" w:eastAsia="Times New Roman" w:hint="default"/>
        </w:rPr>
        <w:t>2,602.69</w:t>
      </w:r>
      <w:r>
        <w:rPr/>
        <w:t>万元，该项非经常性损益对公司一季度经营业绩造成负 </w:t>
      </w:r>
      <w:r>
        <w:rPr>
          <w:spacing w:val="-2"/>
        </w:rPr>
        <w:t>面影响；软件板块客户单位延期复工复产，采购节奏放缓，公司原有商机订单推后、在手订单实施及验收迟滞，加之研发投</w:t>
      </w:r>
      <w:r>
        <w:rPr>
          <w:spacing w:val="-66"/>
        </w:rPr>
        <w:t> </w:t>
      </w:r>
      <w:r>
        <w:rPr>
          <w:spacing w:val="-66"/>
        </w:rPr>
      </w:r>
      <w:r>
        <w:rPr/>
        <w:t>入持续加大，研发费用比上年同期显著增加，使收入、利润同比降低。</w:t>
      </w:r>
    </w:p>
    <w:p>
      <w:pPr>
        <w:pStyle w:val="BodyText"/>
        <w:spacing w:line="319" w:lineRule="auto" w:before="61"/>
        <w:ind w:right="0" w:firstLine="360"/>
        <w:jc w:val="left"/>
      </w:pPr>
      <w:r>
        <w:rPr>
          <w:spacing w:val="-2"/>
        </w:rPr>
        <w:t>目前公司已全面复工，后续将在做好疫情防控的前提下，积极采取多种措施保障经营活动的有序开展，尽力减小疫情对</w:t>
      </w:r>
      <w:r>
        <w:rPr/>
        <w:t> 公司生产经营的影响。</w:t>
      </w:r>
    </w:p>
    <w:p>
      <w:pPr>
        <w:pStyle w:val="BodyText"/>
        <w:spacing w:line="240" w:lineRule="auto" w:before="56"/>
        <w:ind w:right="0"/>
        <w:jc w:val="both"/>
      </w:pPr>
      <w:r>
        <w:rPr/>
        <w:t>截止</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日，除上述事项外，本公司不存在其他应披露的资产负债表日后事项。</w:t>
      </w:r>
    </w:p>
    <w:p>
      <w:pPr>
        <w:spacing w:line="240" w:lineRule="auto" w:before="2"/>
        <w:rPr>
          <w:rFonts w:ascii="宋体" w:hAnsi="宋体" w:cs="宋体" w:eastAsia="宋体" w:hint="default"/>
          <w:sz w:val="24"/>
          <w:szCs w:val="24"/>
        </w:rPr>
      </w:pPr>
    </w:p>
    <w:p>
      <w:pPr>
        <w:pStyle w:val="Heading2"/>
        <w:spacing w:line="240" w:lineRule="auto"/>
        <w:ind w:right="0"/>
        <w:jc w:val="both"/>
        <w:rPr>
          <w:b w:val="0"/>
          <w:bCs w:val="0"/>
        </w:rPr>
      </w:pPr>
      <w:r>
        <w:rPr/>
        <w:t>十五、其他重要事项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、终止经营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80"/>
        <w:gridCol w:w="1152"/>
        <w:gridCol w:w="1080"/>
        <w:gridCol w:w="1080"/>
        <w:gridCol w:w="1080"/>
        <w:gridCol w:w="1080"/>
        <w:gridCol w:w="1260"/>
      </w:tblGrid>
      <w:tr>
        <w:trPr>
          <w:trHeight w:val="1026" w:hRule="exact"/>
        </w:trPr>
        <w:tc>
          <w:tcPr>
            <w:tcW w:w="2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90"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53" w:right="0"/>
              <w:jc w:val="left"/>
              <w:rPr>
                <w:rFonts w:ascii="宋体" w:hAnsi="宋体" w:cs="宋体" w:eastAsia="宋体" w:hint="default"/>
                <w:sz w:val="18"/>
                <w:szCs w:val="18"/>
              </w:rPr>
            </w:pPr>
            <w:r>
              <w:rPr>
                <w:rFonts w:ascii="宋体" w:hAnsi="宋体" w:cs="宋体" w:eastAsia="宋体" w:hint="default"/>
                <w:sz w:val="18"/>
                <w:szCs w:val="18"/>
              </w:rPr>
              <w:t>费用</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7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8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4" w:right="84"/>
              <w:jc w:val="center"/>
              <w:rPr>
                <w:rFonts w:ascii="宋体" w:hAnsi="宋体" w:cs="宋体" w:eastAsia="宋体" w:hint="default"/>
                <w:sz w:val="18"/>
                <w:szCs w:val="18"/>
              </w:rPr>
            </w:pPr>
            <w:r>
              <w:rPr>
                <w:rFonts w:ascii="宋体" w:hAnsi="宋体" w:cs="宋体" w:eastAsia="宋体" w:hint="default"/>
                <w:sz w:val="18"/>
                <w:szCs w:val="18"/>
              </w:rPr>
              <w:t>归属于母公司 所有者的终止 经营利润</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北明云山（武汉）软件开发有限公司</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7" w:right="0"/>
              <w:jc w:val="left"/>
              <w:rPr>
                <w:rFonts w:ascii="Times New Roman" w:hAnsi="Times New Roman" w:cs="Times New Roman" w:eastAsia="Times New Roman" w:hint="default"/>
                <w:sz w:val="18"/>
                <w:szCs w:val="18"/>
              </w:rPr>
            </w:pPr>
            <w:r>
              <w:rPr>
                <w:rFonts w:ascii="Times New Roman"/>
                <w:sz w:val="18"/>
              </w:rPr>
              <w:t>36,824.99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1,152,266.77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-1,115,441.78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1,101.30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-1,116,543.08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-1,116,543.08</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北京北明云易信息科技有限公司</w:t>
            </w:r>
          </w:p>
        </w:tc>
        <w:tc>
          <w:tcPr>
            <w:tcW w:w="1152"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234.55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-234.55</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-234.55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-152.46</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7" w:right="0"/>
              <w:jc w:val="left"/>
              <w:rPr>
                <w:rFonts w:ascii="Times New Roman" w:hAnsi="Times New Roman" w:cs="Times New Roman" w:eastAsia="Times New Roman" w:hint="default"/>
                <w:sz w:val="18"/>
                <w:szCs w:val="18"/>
              </w:rPr>
            </w:pPr>
            <w:r>
              <w:rPr>
                <w:rFonts w:ascii="Times New Roman"/>
                <w:sz w:val="18"/>
              </w:rPr>
              <w:t>36,824.99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1,152,501.32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-1,115,676.33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1,101.30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-1,116,777.63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-1,116,695.54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、分部信息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3" w:right="1128" w:firstLine="360"/>
        <w:jc w:val="both"/>
      </w:pPr>
      <w:r>
        <w:rPr/>
        <w:t>根据本公司的内部组织结构、管理要求及内部报告制度，本公司的经营业务划分为</w:t>
      </w:r>
      <w:r>
        <w:rPr>
          <w:rFonts w:ascii="Times New Roman" w:hAnsi="Times New Roman" w:cs="Times New Roman" w:eastAsia="Times New Roman" w:hint="default"/>
        </w:rPr>
        <w:t>8</w:t>
      </w:r>
      <w:r>
        <w:rPr/>
        <w:t>个经营分部，本公司的管理层定期 评价这些分部的经营成果，以决定向其分配资源及评价其业绩。在经营分部的基础上本公司确定了</w:t>
      </w:r>
      <w:r>
        <w:rPr>
          <w:rFonts w:ascii="Times New Roman" w:hAnsi="Times New Roman" w:cs="Times New Roman" w:eastAsia="Times New Roman" w:hint="default"/>
        </w:rPr>
        <w:t>2</w:t>
      </w:r>
      <w:r>
        <w:rPr/>
        <w:t>个报告分部，分别为纺</w:t>
      </w:r>
      <w:r>
        <w:rPr>
          <w:spacing w:val="-84"/>
        </w:rPr>
        <w:t> </w:t>
      </w:r>
      <w:r>
        <w:rPr>
          <w:spacing w:val="-84"/>
        </w:rPr>
      </w:r>
      <w:r>
        <w:rPr>
          <w:spacing w:val="-2"/>
        </w:rPr>
        <w:t>织分部、软件和信息技术服务业分部。这些报告分部是以收入为基础确定的。本公司各个报告分部提供的主要产品及劳务分</w:t>
      </w:r>
      <w:r>
        <w:rPr>
          <w:spacing w:val="-66"/>
        </w:rPr>
        <w:t> </w:t>
      </w:r>
      <w:r>
        <w:rPr>
          <w:spacing w:val="-66"/>
        </w:rPr>
      </w:r>
      <w:r>
        <w:rPr>
          <w:spacing w:val="-2"/>
        </w:rPr>
        <w:t>别为：纺织分部主要为棉纱、坯布、棉花、服装；软件和信息技术服务业分部主要为系统集成及行业解决方案、代理产品增</w:t>
      </w:r>
      <w:r>
        <w:rPr>
          <w:spacing w:val="-67"/>
        </w:rPr>
        <w:t> </w:t>
      </w:r>
      <w:r>
        <w:rPr>
          <w:spacing w:val="-67"/>
        </w:rPr>
      </w:r>
      <w:r>
        <w:rPr/>
        <w:t>值销售、定制软件及服务。</w:t>
      </w:r>
    </w:p>
    <w:p>
      <w:pPr>
        <w:pStyle w:val="BodyText"/>
        <w:spacing w:line="316" w:lineRule="auto" w:before="24"/>
        <w:ind w:left="153" w:right="1131" w:firstLine="300"/>
        <w:jc w:val="both"/>
      </w:pPr>
      <w:r>
        <w:rPr>
          <w:spacing w:val="-1"/>
        </w:rPr>
        <w:t>分部报告信息根据各分部向管理层报告时采用的会计政策及计量标准披露，这些计量基础与编制财务报表时的会计与计</w:t>
      </w:r>
      <w:r>
        <w:rPr/>
        <w:t> </w:t>
      </w:r>
      <w:r>
        <w:rPr>
          <w:spacing w:val="-2"/>
        </w:rPr>
        <w:t>量基础保持一致。财务报表按照本附注五、27所述的会计政策按权责发生制确认收入；分部报告信息仅包括各分部的营业收</w:t>
      </w:r>
      <w:r>
        <w:rPr>
          <w:spacing w:val="-64"/>
        </w:rPr>
        <w:t> </w:t>
      </w:r>
      <w:r>
        <w:rPr>
          <w:spacing w:val="-64"/>
        </w:rPr>
      </w:r>
      <w:r>
        <w:rPr/>
        <w:t>入及营业成本，未包括营业税金及附加、营业费用及其他费用及支出的分摊。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1"/>
        <w:gridCol w:w="1926"/>
        <w:gridCol w:w="1914"/>
        <w:gridCol w:w="1914"/>
        <w:gridCol w:w="1914"/>
      </w:tblGrid>
      <w:tr>
        <w:trPr>
          <w:trHeight w:val="161" w:hRule="exact"/>
        </w:trPr>
        <w:tc>
          <w:tcPr>
            <w:tcW w:w="189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26"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771" w:right="50" w:hanging="720"/>
              <w:jc w:val="left"/>
              <w:rPr>
                <w:rFonts w:ascii="宋体" w:hAnsi="宋体" w:cs="宋体" w:eastAsia="宋体" w:hint="default"/>
                <w:sz w:val="18"/>
                <w:szCs w:val="18"/>
              </w:rPr>
            </w:pPr>
            <w:r>
              <w:rPr>
                <w:rFonts w:ascii="宋体" w:hAnsi="宋体" w:cs="宋体" w:eastAsia="宋体" w:hint="default"/>
                <w:sz w:val="18"/>
                <w:szCs w:val="18"/>
              </w:rPr>
              <w:t>软件和信息技术服务业 分部</w:t>
            </w:r>
          </w:p>
        </w:tc>
        <w:tc>
          <w:tcPr>
            <w:tcW w:w="1914"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189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603" w:right="0"/>
              <w:jc w:val="left"/>
              <w:rPr>
                <w:rFonts w:ascii="宋体" w:hAnsi="宋体" w:cs="宋体" w:eastAsia="宋体" w:hint="default"/>
                <w:sz w:val="18"/>
                <w:szCs w:val="18"/>
              </w:rPr>
            </w:pPr>
            <w:r>
              <w:rPr>
                <w:rFonts w:ascii="宋体" w:hAnsi="宋体" w:cs="宋体" w:eastAsia="宋体" w:hint="default"/>
                <w:sz w:val="18"/>
                <w:szCs w:val="18"/>
              </w:rPr>
              <w:t>纺织分部</w:t>
            </w:r>
          </w:p>
        </w:tc>
        <w:tc>
          <w:tcPr>
            <w:tcW w:w="1914" w:type="dxa"/>
            <w:vMerge/>
            <w:tcBorders>
              <w:left w:val="single" w:sz="4" w:space="0" w:color="000000"/>
              <w:right w:val="single" w:sz="4" w:space="0" w:color="000000"/>
            </w:tcBorders>
            <w:shd w:val="clear" w:color="auto" w:fill="D3D3D3"/>
          </w:tcPr>
          <w:p>
            <w:pPr/>
          </w:p>
        </w:tc>
        <w:tc>
          <w:tcPr>
            <w:tcW w:w="191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61" w:hRule="exact"/>
        </w:trPr>
        <w:tc>
          <w:tcPr>
            <w:tcW w:w="189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26"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625" w:right="0"/>
              <w:jc w:val="left"/>
              <w:rPr>
                <w:rFonts w:ascii="Times New Roman" w:hAnsi="Times New Roman" w:cs="Times New Roman" w:eastAsia="Times New Roman" w:hint="default"/>
                <w:sz w:val="18"/>
                <w:szCs w:val="18"/>
              </w:rPr>
            </w:pPr>
            <w:r>
              <w:rPr>
                <w:rFonts w:ascii="Times New Roman"/>
                <w:sz w:val="18"/>
              </w:rPr>
              <w:t>4,631,482,793.61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4,750,130,062.77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22,128,008.20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9,359,484,848.18</w:t>
            </w:r>
          </w:p>
        </w:tc>
      </w:tr>
      <w:tr>
        <w:trPr>
          <w:trHeight w:val="402" w:hRule="exact"/>
        </w:trPr>
        <w:tc>
          <w:tcPr>
            <w:tcW w:w="1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9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625" w:right="0"/>
              <w:jc w:val="left"/>
              <w:rPr>
                <w:rFonts w:ascii="Times New Roman" w:hAnsi="Times New Roman" w:cs="Times New Roman" w:eastAsia="Times New Roman" w:hint="default"/>
                <w:sz w:val="18"/>
                <w:szCs w:val="18"/>
              </w:rPr>
            </w:pPr>
            <w:r>
              <w:rPr>
                <w:rFonts w:ascii="Times New Roman"/>
                <w:sz w:val="18"/>
              </w:rPr>
              <w:t>4,603,094,857.20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3,995,237,659.39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22,128,008.20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8,576,204,608.39</w:t>
            </w:r>
          </w:p>
        </w:tc>
      </w:tr>
      <w:tr>
        <w:trPr>
          <w:trHeight w:val="402" w:hRule="exact"/>
        </w:trPr>
        <w:tc>
          <w:tcPr>
            <w:tcW w:w="1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9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625" w:right="0"/>
              <w:jc w:val="left"/>
              <w:rPr>
                <w:rFonts w:ascii="Times New Roman" w:hAnsi="Times New Roman" w:cs="Times New Roman" w:eastAsia="Times New Roman" w:hint="default"/>
                <w:sz w:val="18"/>
                <w:szCs w:val="18"/>
              </w:rPr>
            </w:pPr>
            <w:r>
              <w:rPr>
                <w:rFonts w:ascii="Times New Roman"/>
                <w:sz w:val="18"/>
              </w:rPr>
              <w:t>9,413,666,990.63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5,890,684,241.42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1,147,935,353.96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14,156,415,878.09</w:t>
            </w:r>
          </w:p>
        </w:tc>
      </w:tr>
      <w:tr>
        <w:trPr>
          <w:trHeight w:val="402" w:hRule="exact"/>
        </w:trPr>
        <w:tc>
          <w:tcPr>
            <w:tcW w:w="18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92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left="625" w:right="0"/>
              <w:jc w:val="left"/>
              <w:rPr>
                <w:rFonts w:ascii="Times New Roman" w:hAnsi="Times New Roman" w:cs="Times New Roman" w:eastAsia="Times New Roman" w:hint="default"/>
                <w:sz w:val="18"/>
                <w:szCs w:val="18"/>
              </w:rPr>
            </w:pPr>
            <w:r>
              <w:rPr>
                <w:rFonts w:ascii="Times New Roman"/>
                <w:sz w:val="18"/>
              </w:rPr>
              <w:t>4,223,667,693.58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4,077,338,519.53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65,149,678.96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8,235,856,534.15</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日，除上述事项外，本公司不存在应披露的其他重要事项。</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t>十六、母公司财务报表主要项目注释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74"/>
        <w:gridCol w:w="740"/>
        <w:gridCol w:w="790"/>
        <w:gridCol w:w="787"/>
        <w:gridCol w:w="798"/>
        <w:gridCol w:w="798"/>
        <w:gridCol w:w="790"/>
        <w:gridCol w:w="920"/>
      </w:tblGrid>
      <w:tr>
        <w:trPr>
          <w:trHeight w:val="401" w:hRule="exact"/>
        </w:trPr>
        <w:tc>
          <w:tcPr>
            <w:tcW w:w="1635" w:type="dxa"/>
            <w:vMerge w:val="restart"/>
            <w:tcBorders>
              <w:top w:val="single" w:sz="4" w:space="0" w:color="000000"/>
              <w:left w:val="single" w:sz="4" w:space="0" w:color="000000"/>
              <w:right w:val="single" w:sz="4" w:space="0" w:color="000000"/>
            </w:tcBorders>
            <w:shd w:val="clear" w:color="auto" w:fill="D3D3D3"/>
          </w:tcPr>
          <w:p>
            <w:pPr/>
          </w:p>
        </w:tc>
        <w:tc>
          <w:tcPr>
            <w:tcW w:w="3828"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57" w:hRule="exact"/>
        </w:trPr>
        <w:tc>
          <w:tcPr>
            <w:tcW w:w="1635" w:type="dxa"/>
            <w:vMerge/>
            <w:tcBorders>
              <w:left w:val="single" w:sz="4" w:space="0" w:color="000000"/>
              <w:bottom w:val="nil" w:sz="6" w:space="0" w:color="auto"/>
              <w:right w:val="single" w:sz="4" w:space="0" w:color="000000"/>
            </w:tcBorders>
            <w:shd w:val="clear" w:color="auto" w:fill="D3D3D3"/>
          </w:tcPr>
          <w:p>
            <w:pPr/>
          </w:p>
        </w:tc>
        <w:tc>
          <w:tcPr>
            <w:tcW w:w="152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
        </w:tc>
        <w:tc>
          <w:tcPr>
            <w:tcW w:w="158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42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20" w:type="dxa"/>
            <w:vMerge w:val="restart"/>
            <w:tcBorders>
              <w:top w:val="single" w:sz="4" w:space="0" w:color="000000"/>
              <w:left w:val="single" w:sz="4" w:space="0" w:color="000000"/>
              <w:right w:val="single" w:sz="4" w:space="0" w:color="000000"/>
            </w:tcBorders>
            <w:shd w:val="clear" w:color="auto" w:fill="D3D3D3"/>
          </w:tcPr>
          <w:p>
            <w:pPr/>
          </w:p>
        </w:tc>
      </w:tr>
      <w:tr>
        <w:trPr>
          <w:trHeight w:val="247" w:hRule="exact"/>
        </w:trPr>
        <w:tc>
          <w:tcPr>
            <w:tcW w:w="163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3D3D3"/>
          </w:tcPr>
          <w:p>
            <w:pPr/>
          </w:p>
        </w:tc>
        <w:tc>
          <w:tcPr>
            <w:tcW w:w="1514" w:type="dxa"/>
            <w:gridSpan w:val="2"/>
            <w:vMerge/>
            <w:tcBorders>
              <w:left w:val="single" w:sz="4" w:space="0" w:color="000000"/>
              <w:bottom w:val="single" w:sz="4" w:space="0" w:color="000000"/>
              <w:right w:val="single" w:sz="4" w:space="0" w:color="000000"/>
            </w:tcBorders>
            <w:shd w:val="clear" w:color="auto" w:fill="D3D3D3"/>
          </w:tcPr>
          <w:p>
            <w:pPr/>
          </w:p>
        </w:tc>
        <w:tc>
          <w:tcPr>
            <w:tcW w:w="790" w:type="dxa"/>
            <w:vMerge/>
            <w:tcBorders>
              <w:left w:val="single" w:sz="4" w:space="0" w:color="000000"/>
              <w:bottom w:val="nil" w:sz="6" w:space="0" w:color="auto"/>
              <w:right w:val="single" w:sz="4" w:space="0" w:color="000000"/>
            </w:tcBorders>
            <w:shd w:val="clear" w:color="auto" w:fill="D3D3D3"/>
          </w:tcPr>
          <w:p>
            <w:pPr/>
          </w:p>
        </w:tc>
        <w:tc>
          <w:tcPr>
            <w:tcW w:w="1585" w:type="dxa"/>
            <w:gridSpan w:val="2"/>
            <w:vMerge/>
            <w:tcBorders>
              <w:left w:val="single" w:sz="4" w:space="0" w:color="000000"/>
              <w:bottom w:val="single" w:sz="4" w:space="0" w:color="000000"/>
              <w:right w:val="single" w:sz="4" w:space="0" w:color="000000"/>
            </w:tcBorders>
            <w:shd w:val="clear" w:color="auto" w:fill="D3D3D3"/>
          </w:tcPr>
          <w:p>
            <w:pPr/>
          </w:p>
        </w:tc>
        <w:tc>
          <w:tcPr>
            <w:tcW w:w="1588" w:type="dxa"/>
            <w:gridSpan w:val="2"/>
            <w:vMerge/>
            <w:tcBorders>
              <w:left w:val="single" w:sz="4" w:space="0" w:color="000000"/>
              <w:bottom w:val="single" w:sz="4" w:space="0" w:color="000000"/>
              <w:right w:val="single" w:sz="4" w:space="0" w:color="000000"/>
            </w:tcBorders>
            <w:shd w:val="clear" w:color="auto" w:fill="D3D3D3"/>
          </w:tcPr>
          <w:p>
            <w:pPr/>
          </w:p>
        </w:tc>
        <w:tc>
          <w:tcPr>
            <w:tcW w:w="920" w:type="dxa"/>
            <w:vMerge/>
            <w:tcBorders>
              <w:left w:val="single" w:sz="4" w:space="0" w:color="000000"/>
              <w:bottom w:val="nil" w:sz="6" w:space="0" w:color="auto"/>
              <w:right w:val="single" w:sz="4" w:space="0" w:color="000000"/>
            </w:tcBorders>
            <w:shd w:val="clear" w:color="auto" w:fill="D3D3D3"/>
          </w:tcPr>
          <w:p>
            <w:pPr/>
          </w:p>
        </w:tc>
      </w:tr>
      <w:tr>
        <w:trPr>
          <w:trHeight w:val="157" w:hRule="exact"/>
        </w:trPr>
        <w:tc>
          <w:tcPr>
            <w:tcW w:w="1635" w:type="dxa"/>
            <w:vMerge/>
            <w:tcBorders>
              <w:left w:val="single" w:sz="4" w:space="0" w:color="000000"/>
              <w:bottom w:val="single" w:sz="7" w:space="0" w:color="FFFFFF"/>
              <w:right w:val="single" w:sz="4" w:space="0" w:color="000000"/>
            </w:tcBorders>
            <w:shd w:val="clear" w:color="auto" w:fill="D3D3D3"/>
          </w:tcPr>
          <w:p>
            <w:pPr/>
          </w:p>
        </w:tc>
        <w:tc>
          <w:tcPr>
            <w:tcW w:w="763" w:type="dxa"/>
            <w:tcBorders>
              <w:top w:val="single" w:sz="4" w:space="0" w:color="000000"/>
              <w:left w:val="single" w:sz="4" w:space="0" w:color="000000"/>
              <w:bottom w:val="single" w:sz="7"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7" w:space="0" w:color="FFFFFF"/>
              <w:right w:val="single" w:sz="4" w:space="0" w:color="000000"/>
            </w:tcBorders>
            <w:shd w:val="clear" w:color="auto" w:fill="D3D3D3"/>
          </w:tcPr>
          <w:p>
            <w:pPr/>
          </w:p>
        </w:tc>
        <w:tc>
          <w:tcPr>
            <w:tcW w:w="774" w:type="dxa"/>
            <w:tcBorders>
              <w:top w:val="single" w:sz="4" w:space="0" w:color="000000"/>
              <w:left w:val="single" w:sz="4" w:space="0" w:color="000000"/>
              <w:bottom w:val="single" w:sz="7" w:space="0" w:color="FFFFFF"/>
              <w:right w:val="single" w:sz="4" w:space="0" w:color="000000"/>
            </w:tcBorders>
            <w:shd w:val="clear" w:color="auto" w:fill="D3D3D3"/>
          </w:tcPr>
          <w:p>
            <w:pPr/>
          </w:p>
        </w:tc>
        <w:tc>
          <w:tcPr>
            <w:tcW w:w="74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74" w:right="9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4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87"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0" w:type="dxa"/>
            <w:tcBorders>
              <w:top w:val="single" w:sz="4" w:space="0" w:color="000000"/>
              <w:left w:val="single" w:sz="4" w:space="0" w:color="000000"/>
              <w:bottom w:val="nil" w:sz="6" w:space="0" w:color="auto"/>
              <w:right w:val="single" w:sz="4" w:space="0" w:color="000000"/>
            </w:tcBorders>
            <w:shd w:val="clear" w:color="auto" w:fill="D3D3D3"/>
          </w:tcPr>
          <w:p>
            <w:pPr/>
          </w:p>
        </w:tc>
        <w:tc>
          <w:tcPr>
            <w:tcW w:w="92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88" w:hRule="exact"/>
        </w:trPr>
        <w:tc>
          <w:tcPr>
            <w:tcW w:w="1635" w:type="dxa"/>
            <w:vMerge w:val="restart"/>
            <w:tcBorders>
              <w:top w:val="single" w:sz="7" w:space="0" w:color="FFFFFF"/>
              <w:left w:val="single" w:sz="4" w:space="0" w:color="000000"/>
              <w:right w:val="single" w:sz="4" w:space="0" w:color="000000"/>
            </w:tcBorders>
            <w:shd w:val="clear" w:color="auto" w:fill="D3D3D3"/>
          </w:tcPr>
          <w:p>
            <w:pPr/>
          </w:p>
        </w:tc>
        <w:tc>
          <w:tcPr>
            <w:tcW w:w="763" w:type="dxa"/>
            <w:vMerge w:val="restart"/>
            <w:tcBorders>
              <w:top w:val="single" w:sz="7" w:space="0" w:color="FFFFFF"/>
              <w:left w:val="single" w:sz="4" w:space="0" w:color="000000"/>
              <w:right w:val="single" w:sz="4" w:space="0" w:color="000000"/>
            </w:tcBorders>
            <w:shd w:val="clear" w:color="auto" w:fill="D3D3D3"/>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7" w:space="0" w:color="FFFFFF"/>
              <w:left w:val="single" w:sz="4" w:space="0" w:color="000000"/>
              <w:right w:val="single" w:sz="4" w:space="0" w:color="000000"/>
            </w:tcBorders>
            <w:shd w:val="clear" w:color="auto" w:fill="D3D3D3"/>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74" w:type="dxa"/>
            <w:vMerge w:val="restart"/>
            <w:tcBorders>
              <w:top w:val="single" w:sz="7" w:space="0" w:color="FFFFFF"/>
              <w:left w:val="single" w:sz="4" w:space="0" w:color="000000"/>
              <w:right w:val="single" w:sz="4" w:space="0" w:color="000000"/>
            </w:tcBorders>
            <w:shd w:val="clear" w:color="auto" w:fill="D3D3D3"/>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40" w:type="dxa"/>
            <w:vMerge/>
            <w:tcBorders>
              <w:left w:val="single" w:sz="4" w:space="0" w:color="000000"/>
              <w:right w:val="single" w:sz="4" w:space="0" w:color="000000"/>
            </w:tcBorders>
            <w:shd w:val="clear" w:color="auto" w:fill="D3D3D3"/>
          </w:tcPr>
          <w:p>
            <w:pPr/>
          </w:p>
        </w:tc>
        <w:tc>
          <w:tcPr>
            <w:tcW w:w="790" w:type="dxa"/>
            <w:vMerge/>
            <w:tcBorders>
              <w:left w:val="single" w:sz="4" w:space="0" w:color="000000"/>
              <w:bottom w:val="nil" w:sz="6" w:space="0" w:color="auto"/>
              <w:right w:val="single" w:sz="4" w:space="0" w:color="000000"/>
            </w:tcBorders>
            <w:shd w:val="clear" w:color="auto" w:fill="D3D3D3"/>
          </w:tcPr>
          <w:p>
            <w:pPr/>
          </w:p>
        </w:tc>
        <w:tc>
          <w:tcPr>
            <w:tcW w:w="78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21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21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3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20"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1635" w:type="dxa"/>
            <w:vMerge/>
            <w:tcBorders>
              <w:left w:val="single" w:sz="4" w:space="0" w:color="000000"/>
              <w:right w:val="single" w:sz="4" w:space="0" w:color="000000"/>
            </w:tcBorders>
            <w:shd w:val="clear" w:color="auto" w:fill="D3D3D3"/>
          </w:tcPr>
          <w:p>
            <w:pPr/>
          </w:p>
        </w:tc>
        <w:tc>
          <w:tcPr>
            <w:tcW w:w="763"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74" w:type="dxa"/>
            <w:vMerge/>
            <w:tcBorders>
              <w:left w:val="single" w:sz="4" w:space="0" w:color="000000"/>
              <w:bottom w:val="nil" w:sz="6" w:space="0" w:color="auto"/>
              <w:right w:val="single" w:sz="4" w:space="0" w:color="000000"/>
            </w:tcBorders>
            <w:shd w:val="clear" w:color="auto" w:fill="D3D3D3"/>
          </w:tcPr>
          <w:p>
            <w:pPr/>
          </w:p>
        </w:tc>
        <w:tc>
          <w:tcPr>
            <w:tcW w:w="740" w:type="dxa"/>
            <w:vMerge/>
            <w:tcBorders>
              <w:left w:val="single" w:sz="4" w:space="0" w:color="000000"/>
              <w:right w:val="single" w:sz="4" w:space="0" w:color="000000"/>
            </w:tcBorders>
            <w:shd w:val="clear" w:color="auto" w:fill="D3D3D3"/>
          </w:tcPr>
          <w:p>
            <w:pPr/>
          </w:p>
        </w:tc>
        <w:tc>
          <w:tcPr>
            <w:tcW w:w="790" w:type="dxa"/>
            <w:vMerge w:val="restart"/>
            <w:tcBorders>
              <w:top w:val="nil" w:sz="6" w:space="0" w:color="auto"/>
              <w:left w:val="single" w:sz="4" w:space="0" w:color="000000"/>
              <w:right w:val="single" w:sz="4" w:space="0" w:color="000000"/>
            </w:tcBorders>
            <w:shd w:val="clear" w:color="auto" w:fill="D3D3D3"/>
          </w:tcPr>
          <w:p>
            <w:pPr/>
          </w:p>
        </w:tc>
        <w:tc>
          <w:tcPr>
            <w:tcW w:w="787" w:type="dxa"/>
            <w:vMerge/>
            <w:tcBorders>
              <w:left w:val="single" w:sz="4" w:space="0" w:color="000000"/>
              <w:bottom w:val="nil" w:sz="6" w:space="0" w:color="auto"/>
              <w:right w:val="single" w:sz="4" w:space="0" w:color="000000"/>
            </w:tcBorders>
            <w:shd w:val="clear" w:color="auto" w:fill="D3D3D3"/>
          </w:tcPr>
          <w:p>
            <w:pPr/>
          </w:p>
        </w:tc>
        <w:tc>
          <w:tcPr>
            <w:tcW w:w="798" w:type="dxa"/>
            <w:vMerge/>
            <w:tcBorders>
              <w:left w:val="single" w:sz="4" w:space="0" w:color="000000"/>
              <w:bottom w:val="nil" w:sz="6" w:space="0" w:color="auto"/>
              <w:right w:val="single" w:sz="4" w:space="0" w:color="000000"/>
            </w:tcBorders>
            <w:shd w:val="clear" w:color="auto" w:fill="D3D3D3"/>
          </w:tcPr>
          <w:p>
            <w:pPr/>
          </w:p>
        </w:tc>
        <w:tc>
          <w:tcPr>
            <w:tcW w:w="798" w:type="dxa"/>
            <w:vMerge/>
            <w:tcBorders>
              <w:left w:val="single" w:sz="4" w:space="0" w:color="000000"/>
              <w:bottom w:val="nil" w:sz="6" w:space="0" w:color="auto"/>
              <w:right w:val="single" w:sz="4" w:space="0" w:color="000000"/>
            </w:tcBorders>
            <w:shd w:val="clear" w:color="auto" w:fill="D3D3D3"/>
          </w:tcPr>
          <w:p>
            <w:pPr/>
          </w:p>
        </w:tc>
        <w:tc>
          <w:tcPr>
            <w:tcW w:w="790" w:type="dxa"/>
            <w:vMerge/>
            <w:tcBorders>
              <w:left w:val="single" w:sz="4" w:space="0" w:color="000000"/>
              <w:bottom w:val="nil" w:sz="6" w:space="0" w:color="auto"/>
              <w:right w:val="single" w:sz="4" w:space="0" w:color="000000"/>
            </w:tcBorders>
            <w:shd w:val="clear" w:color="auto" w:fill="D3D3D3"/>
          </w:tcPr>
          <w:p>
            <w:pPr/>
          </w:p>
        </w:tc>
        <w:tc>
          <w:tcPr>
            <w:tcW w:w="920" w:type="dxa"/>
            <w:vMerge w:val="restart"/>
            <w:tcBorders>
              <w:top w:val="nil" w:sz="6" w:space="0" w:color="auto"/>
              <w:left w:val="single" w:sz="4" w:space="0" w:color="000000"/>
              <w:right w:val="single" w:sz="4" w:space="0" w:color="000000"/>
            </w:tcBorders>
            <w:shd w:val="clear" w:color="auto" w:fill="D3D3D3"/>
          </w:tcPr>
          <w:p>
            <w:pPr/>
          </w:p>
        </w:tc>
      </w:tr>
      <w:tr>
        <w:trPr>
          <w:trHeight w:val="162" w:hRule="exact"/>
        </w:trPr>
        <w:tc>
          <w:tcPr>
            <w:tcW w:w="1635"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74" w:type="dxa"/>
            <w:tcBorders>
              <w:top w:val="nil" w:sz="6" w:space="0" w:color="auto"/>
              <w:left w:val="single" w:sz="4" w:space="0" w:color="000000"/>
              <w:bottom w:val="single" w:sz="4" w:space="0" w:color="000000"/>
              <w:right w:val="single" w:sz="4" w:space="0" w:color="000000"/>
            </w:tcBorders>
            <w:shd w:val="clear" w:color="auto" w:fill="D3D3D3"/>
          </w:tcPr>
          <w:p>
            <w:pPr/>
          </w:p>
        </w:tc>
        <w:tc>
          <w:tcPr>
            <w:tcW w:w="740" w:type="dxa"/>
            <w:vMerge/>
            <w:tcBorders>
              <w:left w:val="single" w:sz="4" w:space="0" w:color="000000"/>
              <w:bottom w:val="single" w:sz="4" w:space="0" w:color="000000"/>
              <w:right w:val="single" w:sz="4" w:space="0" w:color="000000"/>
            </w:tcBorders>
            <w:shd w:val="clear" w:color="auto" w:fill="D3D3D3"/>
          </w:tcPr>
          <w:p>
            <w:pPr/>
          </w:p>
        </w:tc>
        <w:tc>
          <w:tcPr>
            <w:tcW w:w="790" w:type="dxa"/>
            <w:vMerge/>
            <w:tcBorders>
              <w:left w:val="single" w:sz="4" w:space="0" w:color="000000"/>
              <w:bottom w:val="single" w:sz="4" w:space="0" w:color="000000"/>
              <w:right w:val="single" w:sz="4" w:space="0" w:color="000000"/>
            </w:tcBorders>
            <w:shd w:val="clear" w:color="auto" w:fill="D3D3D3"/>
          </w:tcPr>
          <w:p>
            <w:pPr/>
          </w:p>
        </w:tc>
        <w:tc>
          <w:tcPr>
            <w:tcW w:w="787"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0" w:type="dxa"/>
            <w:tcBorders>
              <w:top w:val="nil" w:sz="6" w:space="0" w:color="auto"/>
              <w:left w:val="single" w:sz="4" w:space="0" w:color="000000"/>
              <w:bottom w:val="single" w:sz="4" w:space="0" w:color="000000"/>
              <w:right w:val="single" w:sz="4" w:space="0" w:color="000000"/>
            </w:tcBorders>
            <w:shd w:val="clear" w:color="auto" w:fill="D3D3D3"/>
          </w:tcPr>
          <w:p>
            <w:pPr/>
          </w:p>
        </w:tc>
        <w:tc>
          <w:tcPr>
            <w:tcW w:w="92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按单项计提坏账准</w:t>
            </w:r>
          </w:p>
        </w:tc>
        <w:tc>
          <w:tcPr>
            <w:tcW w:w="76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1"/>
              <w:ind w:left="88" w:right="0"/>
              <w:jc w:val="left"/>
              <w:rPr>
                <w:rFonts w:ascii="Times New Roman" w:hAnsi="Times New Roman" w:cs="Times New Roman" w:eastAsia="Times New Roman" w:hint="default"/>
                <w:sz w:val="18"/>
                <w:szCs w:val="18"/>
              </w:rPr>
            </w:pPr>
            <w:r>
              <w:rPr>
                <w:rFonts w:ascii="Times New Roman"/>
                <w:sz w:val="18"/>
              </w:rPr>
              <w:t>23,920,1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4" w:right="0"/>
              <w:jc w:val="left"/>
              <w:rPr>
                <w:rFonts w:ascii="Times New Roman" w:hAnsi="Times New Roman" w:cs="Times New Roman" w:eastAsia="Times New Roman" w:hint="default"/>
                <w:sz w:val="18"/>
                <w:szCs w:val="18"/>
              </w:rPr>
            </w:pPr>
            <w:r>
              <w:rPr>
                <w:rFonts w:ascii="Times New Roman"/>
                <w:sz w:val="18"/>
              </w:rPr>
              <w:t>6.30%</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9" w:right="0"/>
              <w:jc w:val="left"/>
              <w:rPr>
                <w:rFonts w:ascii="Times New Roman" w:hAnsi="Times New Roman" w:cs="Times New Roman" w:eastAsia="Times New Roman" w:hint="default"/>
                <w:sz w:val="18"/>
                <w:szCs w:val="18"/>
              </w:rPr>
            </w:pPr>
            <w:r>
              <w:rPr>
                <w:rFonts w:ascii="Times New Roman"/>
                <w:sz w:val="18"/>
              </w:rPr>
              <w:t>23,920,1</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4" w:right="0"/>
              <w:jc w:val="left"/>
              <w:rPr>
                <w:rFonts w:ascii="Times New Roman" w:hAnsi="Times New Roman" w:cs="Times New Roman" w:eastAsia="Times New Roman" w:hint="default"/>
                <w:sz w:val="18"/>
                <w:szCs w:val="18"/>
              </w:rPr>
            </w:pPr>
            <w:r>
              <w:rPr>
                <w:rFonts w:ascii="Times New Roman"/>
                <w:sz w:val="18"/>
              </w:rPr>
              <w:t>14,263,20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5.73%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14,263,20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1" w:right="0"/>
              <w:jc w:val="left"/>
              <w:rPr>
                <w:rFonts w:ascii="Times New Roman" w:hAnsi="Times New Roman" w:cs="Times New Roman" w:eastAsia="Times New Roman" w:hint="default"/>
                <w:sz w:val="18"/>
                <w:szCs w:val="18"/>
              </w:rPr>
            </w:pPr>
            <w:r>
              <w:rPr>
                <w:rFonts w:ascii="Times New Roman"/>
                <w:sz w:val="18"/>
              </w:rPr>
              <w:t>100.00%</w:t>
            </w:r>
          </w:p>
        </w:tc>
        <w:tc>
          <w:tcPr>
            <w:tcW w:w="9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51"/>
        <w:gridCol w:w="762"/>
        <w:gridCol w:w="763"/>
        <w:gridCol w:w="790"/>
        <w:gridCol w:w="775"/>
        <w:gridCol w:w="797"/>
        <w:gridCol w:w="798"/>
        <w:gridCol w:w="790"/>
        <w:gridCol w:w="932"/>
      </w:tblGrid>
      <w:tr>
        <w:trPr>
          <w:trHeight w:val="362" w:hRule="exact"/>
        </w:trPr>
        <w:tc>
          <w:tcPr>
            <w:tcW w:w="16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备的应收账款</w:t>
            </w:r>
          </w:p>
        </w:tc>
        <w:tc>
          <w:tcPr>
            <w:tcW w:w="7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323" w:right="0"/>
              <w:jc w:val="left"/>
              <w:rPr>
                <w:rFonts w:ascii="Times New Roman" w:hAnsi="Times New Roman" w:cs="Times New Roman" w:eastAsia="Times New Roman" w:hint="default"/>
                <w:sz w:val="18"/>
                <w:szCs w:val="18"/>
              </w:rPr>
            </w:pPr>
            <w:r>
              <w:rPr>
                <w:rFonts w:ascii="Times New Roman"/>
                <w:sz w:val="18"/>
              </w:rPr>
              <w:t>99.57</w:t>
            </w:r>
          </w:p>
        </w:tc>
        <w:tc>
          <w:tcPr>
            <w:tcW w:w="751"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5" w:right="0"/>
              <w:jc w:val="left"/>
              <w:rPr>
                <w:rFonts w:ascii="Times New Roman" w:hAnsi="Times New Roman" w:cs="Times New Roman" w:eastAsia="Times New Roman" w:hint="default"/>
                <w:sz w:val="18"/>
                <w:szCs w:val="18"/>
              </w:rPr>
            </w:pPr>
            <w:r>
              <w:rPr>
                <w:rFonts w:ascii="Times New Roman"/>
                <w:sz w:val="18"/>
              </w:rPr>
              <w:t>99.57</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8" w:right="0"/>
              <w:jc w:val="left"/>
              <w:rPr>
                <w:rFonts w:ascii="Times New Roman" w:hAnsi="Times New Roman" w:cs="Times New Roman" w:eastAsia="Times New Roman" w:hint="default"/>
                <w:sz w:val="18"/>
                <w:szCs w:val="18"/>
              </w:rPr>
            </w:pPr>
            <w:r>
              <w:rPr>
                <w:rFonts w:ascii="Times New Roman"/>
                <w:sz w:val="18"/>
              </w:rPr>
              <w:t>7.17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0" w:right="0"/>
              <w:jc w:val="left"/>
              <w:rPr>
                <w:rFonts w:ascii="Times New Roman" w:hAnsi="Times New Roman" w:cs="Times New Roman" w:eastAsia="Times New Roman" w:hint="default"/>
                <w:sz w:val="18"/>
                <w:szCs w:val="18"/>
              </w:rPr>
            </w:pPr>
            <w:r>
              <w:rPr>
                <w:rFonts w:ascii="Times New Roman"/>
                <w:sz w:val="18"/>
              </w:rPr>
              <w:t>7.17</w:t>
            </w:r>
          </w:p>
        </w:tc>
        <w:tc>
          <w:tcPr>
            <w:tcW w:w="79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5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714" w:hRule="exact"/>
        </w:trPr>
        <w:tc>
          <w:tcPr>
            <w:tcW w:w="16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4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7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355,481,</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095.12</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4" w:right="0"/>
              <w:jc w:val="left"/>
              <w:rPr>
                <w:rFonts w:ascii="Times New Roman" w:hAnsi="Times New Roman" w:cs="Times New Roman" w:eastAsia="Times New Roman" w:hint="default"/>
                <w:sz w:val="18"/>
                <w:szCs w:val="18"/>
              </w:rPr>
            </w:pPr>
            <w:r>
              <w:rPr>
                <w:rFonts w:ascii="Times New Roman"/>
                <w:sz w:val="18"/>
              </w:rPr>
              <w:t>93.70%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1,502,52</w:t>
            </w:r>
          </w:p>
          <w:p>
            <w:pPr>
              <w:pStyle w:val="TableParagraph"/>
              <w:spacing w:line="240" w:lineRule="auto" w:before="105"/>
              <w:ind w:left="425" w:right="0"/>
              <w:jc w:val="left"/>
              <w:rPr>
                <w:rFonts w:ascii="Times New Roman" w:hAnsi="Times New Roman" w:cs="Times New Roman" w:eastAsia="Times New Roman" w:hint="default"/>
                <w:sz w:val="18"/>
                <w:szCs w:val="18"/>
              </w:rPr>
            </w:pPr>
            <w:r>
              <w:rPr>
                <w:rFonts w:ascii="Times New Roman"/>
                <w:sz w:val="18"/>
              </w:rPr>
              <w:t>0.06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0.42%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353,978,5</w:t>
            </w:r>
          </w:p>
          <w:p>
            <w:pPr>
              <w:pStyle w:val="TableParagraph"/>
              <w:spacing w:line="240" w:lineRule="auto" w:before="105"/>
              <w:ind w:left="363" w:right="0"/>
              <w:jc w:val="left"/>
              <w:rPr>
                <w:rFonts w:ascii="Times New Roman" w:hAnsi="Times New Roman" w:cs="Times New Roman" w:eastAsia="Times New Roman" w:hint="default"/>
                <w:sz w:val="18"/>
                <w:szCs w:val="18"/>
              </w:rPr>
            </w:pPr>
            <w:r>
              <w:rPr>
                <w:rFonts w:ascii="Times New Roman"/>
                <w:sz w:val="18"/>
              </w:rPr>
              <w:t>75.06</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234,461,2</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93.79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94.27%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8,354,781</w:t>
            </w:r>
          </w:p>
          <w:p>
            <w:pPr>
              <w:pStyle w:val="TableParagraph"/>
              <w:spacing w:line="240" w:lineRule="auto" w:before="105"/>
              <w:ind w:right="10"/>
              <w:jc w:val="right"/>
              <w:rPr>
                <w:rFonts w:ascii="Times New Roman" w:hAnsi="Times New Roman" w:cs="Times New Roman" w:eastAsia="Times New Roman" w:hint="default"/>
                <w:sz w:val="18"/>
                <w:szCs w:val="18"/>
              </w:rPr>
            </w:pPr>
            <w:r>
              <w:rPr>
                <w:rFonts w:ascii="Times New Roman"/>
                <w:sz w:val="18"/>
              </w:rPr>
              <w:t>.54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3" w:right="0"/>
              <w:jc w:val="left"/>
              <w:rPr>
                <w:rFonts w:ascii="Times New Roman" w:hAnsi="Times New Roman" w:cs="Times New Roman" w:eastAsia="Times New Roman" w:hint="default"/>
                <w:sz w:val="18"/>
                <w:szCs w:val="18"/>
              </w:rPr>
            </w:pPr>
            <w:r>
              <w:rPr>
                <w:rFonts w:ascii="Times New Roman"/>
                <w:sz w:val="18"/>
              </w:rPr>
              <w:t>3.56%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226,106,51</w:t>
            </w:r>
          </w:p>
          <w:p>
            <w:pPr>
              <w:pStyle w:val="TableParagraph"/>
              <w:spacing w:line="240" w:lineRule="auto" w:before="105"/>
              <w:ind w:left="594" w:right="0"/>
              <w:jc w:val="left"/>
              <w:rPr>
                <w:rFonts w:ascii="Times New Roman" w:hAnsi="Times New Roman" w:cs="Times New Roman" w:eastAsia="Times New Roman" w:hint="default"/>
                <w:sz w:val="18"/>
                <w:szCs w:val="18"/>
              </w:rPr>
            </w:pPr>
            <w:r>
              <w:rPr>
                <w:rFonts w:ascii="Times New Roman"/>
                <w:sz w:val="18"/>
              </w:rPr>
              <w:t>2.25</w:t>
            </w:r>
          </w:p>
        </w:tc>
      </w:tr>
      <w:tr>
        <w:trPr>
          <w:trHeight w:val="402" w:hRule="exact"/>
        </w:trPr>
        <w:tc>
          <w:tcPr>
            <w:tcW w:w="16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5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3D3D3"/>
          </w:tcPr>
          <w:p>
            <w:pPr/>
          </w:p>
        </w:tc>
        <w:tc>
          <w:tcPr>
            <w:tcW w:w="774" w:type="dxa"/>
            <w:vMerge w:val="restart"/>
            <w:tcBorders>
              <w:top w:val="single" w:sz="4" w:space="0" w:color="000000"/>
              <w:left w:val="single" w:sz="10" w:space="0" w:color="D3D3D3"/>
              <w:right w:val="single" w:sz="4" w:space="0" w:color="000000"/>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379,401,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294.69</w:t>
            </w:r>
          </w:p>
        </w:tc>
        <w:tc>
          <w:tcPr>
            <w:tcW w:w="75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25,422,7</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19.63</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6.70%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353,978,5</w:t>
            </w:r>
          </w:p>
          <w:p>
            <w:pPr>
              <w:pStyle w:val="TableParagraph"/>
              <w:spacing w:line="240" w:lineRule="auto" w:before="105"/>
              <w:ind w:left="363" w:right="0"/>
              <w:jc w:val="left"/>
              <w:rPr>
                <w:rFonts w:ascii="Times New Roman" w:hAnsi="Times New Roman" w:cs="Times New Roman" w:eastAsia="Times New Roman" w:hint="default"/>
                <w:sz w:val="18"/>
                <w:szCs w:val="18"/>
              </w:rPr>
            </w:pPr>
            <w:r>
              <w:rPr>
                <w:rFonts w:ascii="Times New Roman"/>
                <w:sz w:val="18"/>
              </w:rPr>
              <w:t>75.06</w:t>
            </w:r>
          </w:p>
        </w:tc>
        <w:tc>
          <w:tcPr>
            <w:tcW w:w="775" w:type="dxa"/>
            <w:vMerge w:val="restart"/>
            <w:tcBorders>
              <w:top w:val="single" w:sz="4" w:space="0" w:color="000000"/>
              <w:left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248,724,5</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00.96</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100.00%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22,617,98</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8.71</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3" w:right="0"/>
              <w:jc w:val="left"/>
              <w:rPr>
                <w:rFonts w:ascii="Times New Roman" w:hAnsi="Times New Roman" w:cs="Times New Roman" w:eastAsia="Times New Roman" w:hint="default"/>
                <w:sz w:val="18"/>
                <w:szCs w:val="18"/>
              </w:rPr>
            </w:pPr>
            <w:r>
              <w:rPr>
                <w:rFonts w:ascii="Times New Roman"/>
                <w:sz w:val="18"/>
              </w:rPr>
              <w:t>9.09%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226,106,51</w:t>
            </w:r>
          </w:p>
          <w:p>
            <w:pPr>
              <w:pStyle w:val="TableParagraph"/>
              <w:spacing w:line="240" w:lineRule="auto" w:before="105"/>
              <w:ind w:left="594" w:right="0"/>
              <w:jc w:val="left"/>
              <w:rPr>
                <w:rFonts w:ascii="Times New Roman" w:hAnsi="Times New Roman" w:cs="Times New Roman" w:eastAsia="Times New Roman" w:hint="default"/>
                <w:sz w:val="18"/>
                <w:szCs w:val="18"/>
              </w:rPr>
            </w:pPr>
            <w:r>
              <w:rPr>
                <w:rFonts w:ascii="Times New Roman"/>
                <w:sz w:val="18"/>
              </w:rPr>
              <w:t>2.25</w:t>
            </w:r>
          </w:p>
        </w:tc>
      </w:tr>
      <w:tr>
        <w:trPr>
          <w:trHeight w:val="392" w:hRule="exact"/>
        </w:trPr>
        <w:tc>
          <w:tcPr>
            <w:tcW w:w="161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10" w:space="0" w:color="D3D3D3"/>
              <w:right w:val="single" w:sz="4" w:space="0" w:color="000000"/>
            </w:tcBorders>
          </w:tcPr>
          <w:p>
            <w:pPr/>
          </w:p>
        </w:tc>
        <w:tc>
          <w:tcPr>
            <w:tcW w:w="751"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77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12" w:type="dxa"/>
            <w:tcBorders>
              <w:top w:val="nil" w:sz="6" w:space="0" w:color="auto"/>
              <w:left w:val="single" w:sz="4" w:space="0" w:color="000000"/>
              <w:bottom w:val="single" w:sz="4" w:space="0" w:color="000000"/>
              <w:right w:val="single" w:sz="4" w:space="0" w:color="000000"/>
            </w:tcBorders>
            <w:shd w:val="clear" w:color="auto" w:fill="D3D3D3"/>
          </w:tcPr>
          <w:p>
            <w:pPr/>
          </w:p>
        </w:tc>
        <w:tc>
          <w:tcPr>
            <w:tcW w:w="774" w:type="dxa"/>
            <w:vMerge/>
            <w:tcBorders>
              <w:left w:val="single" w:sz="10" w:space="0" w:color="D3D3D3"/>
              <w:bottom w:val="single" w:sz="4" w:space="0" w:color="000000"/>
              <w:right w:val="single" w:sz="4" w:space="0" w:color="000000"/>
            </w:tcBorders>
          </w:tcPr>
          <w:p>
            <w:pPr/>
          </w:p>
        </w:tc>
        <w:tc>
          <w:tcPr>
            <w:tcW w:w="751"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77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rPr>
          <w:rFonts w:ascii="Times New Roman" w:hAnsi="Times New Roman" w:cs="Times New Roman" w:eastAsia="Times New Roman" w:hint="default"/>
        </w:rPr>
      </w:pPr>
      <w:r>
        <w:rPr/>
        <w:t>按单项计提坏账准备：</w:t>
      </w:r>
      <w:r>
        <w:rPr>
          <w:rFonts w:ascii="Times New Roman" w:hAnsi="Times New Roman" w:cs="Times New Roman" w:eastAsia="Times New Roman" w:hint="default"/>
        </w:rPr>
        <w:t>23,920,199.57</w:t>
      </w:r>
    </w:p>
    <w:p>
      <w:pPr>
        <w:pStyle w:val="BodyText"/>
        <w:spacing w:line="240" w:lineRule="auto" w:before="103"/>
        <w:ind w:left="0" w:right="113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20"/>
        <w:gridCol w:w="1800"/>
        <w:gridCol w:w="1440"/>
        <w:gridCol w:w="1080"/>
        <w:gridCol w:w="1800"/>
      </w:tblGrid>
      <w:tr>
        <w:trPr>
          <w:trHeight w:val="402" w:hRule="exact"/>
        </w:trPr>
        <w:tc>
          <w:tcPr>
            <w:tcW w:w="342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612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420" w:type="dxa"/>
            <w:vMerge/>
            <w:tcBorders>
              <w:left w:val="single" w:sz="4" w:space="0" w:color="000000"/>
              <w:bottom w:val="single" w:sz="4" w:space="0" w:color="000000"/>
              <w:right w:val="single" w:sz="4" w:space="0" w:color="000000"/>
            </w:tcBorders>
            <w:shd w:val="clear" w:color="auto" w:fill="D3D3D3"/>
          </w:tcPr>
          <w:p>
            <w:pP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4"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3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天津市冀东制衣有限公司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1,565,246.02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1,565,246.02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石家庄京华纺织有限公司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1,323,903.65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1,323,903.65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石家庄市长安鑫龙纺织厂</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1,276,734.39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1,276,734.39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深圳市溢绵经贸有限公司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1,185,196.55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1,185,196.55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利达行有限公司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1,152,534.56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1,152,534.56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河北长江实业有限公司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1,044,723.16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1,044,723.16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广州越佳灯芯绒布整理有限公司</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1,005,989.16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1,005,989.16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其他单位</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15,365,872.08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15,365,872.08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预计无法收回</w:t>
            </w:r>
          </w:p>
        </w:tc>
      </w:tr>
      <w:tr>
        <w:trPr>
          <w:trHeight w:val="402" w:hRule="exact"/>
        </w:trPr>
        <w:tc>
          <w:tcPr>
            <w:tcW w:w="34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23,920,199.57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23,920,199.57</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rPr>
          <w:rFonts w:ascii="Times New Roman" w:hAnsi="Times New Roman" w:cs="Times New Roman" w:eastAsia="Times New Roman" w:hint="default"/>
        </w:rPr>
      </w:pPr>
      <w:r>
        <w:rPr/>
        <w:t>按组合计提坏账准备：</w:t>
      </w:r>
      <w:r>
        <w:rPr>
          <w:rFonts w:ascii="Times New Roman" w:hAnsi="Times New Roman" w:cs="Times New Roman" w:eastAsia="Times New Roman" w:hint="default"/>
        </w:rPr>
        <w:t>1,502,520.06</w:t>
      </w:r>
    </w:p>
    <w:p>
      <w:pPr>
        <w:pStyle w:val="BodyText"/>
        <w:spacing w:line="240" w:lineRule="auto" w:before="103"/>
        <w:ind w:left="0" w:right="113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15,279,686.45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611,187.46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4,561,597.95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273,695.88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217,129.14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32,569.37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1,462,668.38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585,067.35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333,960,013.20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355,481,095.12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1,502,520.06</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153" w:right="1751"/>
        <w:jc w:val="left"/>
      </w:pPr>
      <w:r>
        <w:rPr/>
        <w:t>确定该组合依据的说明： 如是按照预期信用损失一般模型计提应收账款坏账准备，请参照其他应收款的披露方式披露坏账准备的相关信息：</w:t>
      </w:r>
    </w:p>
    <w:p>
      <w:pPr>
        <w:pStyle w:val="BodyText"/>
        <w:spacing w:line="357" w:lineRule="auto" w:before="29"/>
        <w:ind w:left="153" w:right="9221"/>
        <w:jc w:val="left"/>
      </w:pPr>
      <w:r>
        <w:rPr/>
        <w:t>□ 适用 √ 不适用 按账龄披露</w:t>
      </w:r>
    </w:p>
    <w:p>
      <w:pPr>
        <w:spacing w:after="0" w:line="357" w:lineRule="auto"/>
        <w:jc w:val="left"/>
        <w:sectPr>
          <w:pgSz w:w="11910" w:h="16840"/>
          <w:pgMar w:header="747" w:footer="982" w:top="1060" w:bottom="118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1"/>
        <w:gridCol w:w="4795"/>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236,450,176.25</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14,885,866.08</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89,869,611.67</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38,195,640.69</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9,198,997.69</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7,160,365.61</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21,836,277.39</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379,401,294.69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本期计提坏账准备情况：</w:t>
      </w:r>
    </w:p>
    <w:p>
      <w:pPr>
        <w:pStyle w:val="BodyText"/>
        <w:spacing w:line="240" w:lineRule="auto" w:before="116"/>
        <w:ind w:left="0" w:right="113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0"/>
        <w:gridCol w:w="1367"/>
        <w:gridCol w:w="1367"/>
        <w:gridCol w:w="1226"/>
        <w:gridCol w:w="1080"/>
        <w:gridCol w:w="1367"/>
        <w:gridCol w:w="1513"/>
      </w:tblGrid>
      <w:tr>
        <w:trPr>
          <w:trHeight w:val="402" w:hRule="exact"/>
        </w:trPr>
        <w:tc>
          <w:tcPr>
            <w:tcW w:w="162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04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620"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2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4"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51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2"/>
              <w:jc w:val="center"/>
              <w:rPr>
                <w:rFonts w:ascii="宋体" w:hAnsi="宋体" w:cs="宋体" w:eastAsia="宋体" w:hint="default"/>
                <w:sz w:val="18"/>
                <w:szCs w:val="18"/>
              </w:rPr>
            </w:pPr>
            <w:r>
              <w:rPr>
                <w:rFonts w:ascii="宋体" w:hAnsi="宋体" w:cs="宋体" w:eastAsia="宋体" w:hint="default"/>
                <w:sz w:val="18"/>
                <w:szCs w:val="18"/>
              </w:rPr>
              <w:t>应收账款坏账准备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22,617,988.71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2,804,730.92</w:t>
            </w:r>
          </w:p>
        </w:tc>
        <w:tc>
          <w:tcPr>
            <w:tcW w:w="122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25,422,719.63</w:t>
            </w:r>
          </w:p>
        </w:tc>
      </w:tr>
      <w:tr>
        <w:trPr>
          <w:trHeight w:val="403" w:hRule="exact"/>
        </w:trPr>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22,617,988.71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2,804,730.92</w:t>
            </w:r>
          </w:p>
        </w:tc>
        <w:tc>
          <w:tcPr>
            <w:tcW w:w="122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25,422,719.63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960"/>
        <w:gridCol w:w="2160"/>
        <w:gridCol w:w="1620"/>
        <w:gridCol w:w="1800"/>
      </w:tblGrid>
      <w:tr>
        <w:trPr>
          <w:trHeight w:val="714"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1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1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73" w:right="84" w:hanging="90"/>
              <w:jc w:val="left"/>
              <w:rPr>
                <w:rFonts w:ascii="宋体" w:hAnsi="宋体" w:cs="宋体" w:eastAsia="宋体" w:hint="default"/>
                <w:sz w:val="18"/>
                <w:szCs w:val="18"/>
              </w:rPr>
            </w:pPr>
            <w:r>
              <w:rPr>
                <w:rFonts w:ascii="宋体" w:hAnsi="宋体" w:cs="宋体" w:eastAsia="宋体" w:hint="default"/>
                <w:sz w:val="18"/>
                <w:szCs w:val="18"/>
              </w:rPr>
              <w:t>占应收账款期末余 额合计数的比例</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209,246,783.00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55.15%</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105,950,351.01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27.93%</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石家庄常山赵州纺织有限公司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10,494,580.68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2.77%</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厦门盛万隆供应链管理有限公司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7,926,155.10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2.09%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5" w:right="0"/>
              <w:jc w:val="left"/>
              <w:rPr>
                <w:rFonts w:ascii="Times New Roman" w:hAnsi="Times New Roman" w:cs="Times New Roman" w:eastAsia="Times New Roman" w:hint="default"/>
                <w:sz w:val="18"/>
                <w:szCs w:val="18"/>
              </w:rPr>
            </w:pPr>
            <w:r>
              <w:rPr>
                <w:rFonts w:ascii="Times New Roman"/>
                <w:sz w:val="18"/>
              </w:rPr>
              <w:t>317,046.20</w:t>
            </w: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石家庄赛孚纺织有限公司</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5,130,500.00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1.35%</w:t>
            </w: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9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6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338,748,369.79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89.29%</w:t>
            </w:r>
          </w:p>
        </w:tc>
        <w:tc>
          <w:tcPr>
            <w:tcW w:w="1800"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842,996.72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842,996.72</w:t>
            </w:r>
          </w:p>
        </w:tc>
      </w:tr>
    </w:tbl>
    <w:p>
      <w:pPr>
        <w:spacing w:after="0" w:line="240" w:lineRule="auto"/>
        <w:jc w:val="right"/>
        <w:rPr>
          <w:rFonts w:ascii="Times New Roman" w:hAnsi="Times New Roman" w:cs="Times New Roman" w:eastAsia="Times New Roman" w:hint="default"/>
          <w:sz w:val="18"/>
          <w:szCs w:val="18"/>
        </w:rPr>
        <w:sectPr>
          <w:footerReference w:type="default" r:id="rId20"/>
          <w:pgSz w:w="11910" w:h="16840"/>
          <w:pgMar w:footer="982" w:header="747"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17,068,913.05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4,727,517.11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17,911,909.77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5,570,513.83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）应收股利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）应收股利分类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842,996.72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842,996.72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842,996.72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842,996.72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2,269,782.80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289,782.80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3,562,750.00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8,365,839.31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2,295,625.82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4,541,351.62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2,732,115.32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232,473.60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672,757.34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18,972,197.33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5,992,281.28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17"/>
        <w:gridCol w:w="1661"/>
        <w:gridCol w:w="2099"/>
        <w:gridCol w:w="2087"/>
        <w:gridCol w:w="1364"/>
      </w:tblGrid>
      <w:tr>
        <w:trPr>
          <w:trHeight w:val="402" w:hRule="exact"/>
        </w:trPr>
        <w:tc>
          <w:tcPr>
            <w:tcW w:w="2317" w:type="dxa"/>
            <w:tcBorders>
              <w:top w:val="single" w:sz="4" w:space="0" w:color="000000"/>
              <w:left w:val="single" w:sz="4" w:space="0" w:color="000000"/>
              <w:bottom w:val="nil" w:sz="6" w:space="0" w:color="auto"/>
              <w:right w:val="single" w:sz="4" w:space="0" w:color="000000"/>
            </w:tcBorders>
            <w:shd w:val="clear" w:color="auto" w:fill="D3D3D3"/>
          </w:tcPr>
          <w:p>
            <w:pPr/>
          </w:p>
        </w:tc>
        <w:tc>
          <w:tcPr>
            <w:tcW w:w="16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4"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0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5"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36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47" w:hRule="exact"/>
        </w:trPr>
        <w:tc>
          <w:tcPr>
            <w:tcW w:w="231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661" w:type="dxa"/>
            <w:vMerge w:val="restart"/>
            <w:tcBorders>
              <w:top w:val="single" w:sz="4" w:space="0" w:color="000000"/>
              <w:left w:val="single" w:sz="4" w:space="0" w:color="000000"/>
              <w:right w:val="single" w:sz="4" w:space="0" w:color="000000"/>
            </w:tcBorders>
            <w:shd w:val="clear" w:color="auto" w:fill="D3D3D3"/>
          </w:tcPr>
          <w:p>
            <w:pPr>
              <w:pStyle w:val="TableParagraph"/>
              <w:spacing w:line="302" w:lineRule="auto" w:before="51"/>
              <w:ind w:left="561" w:right="53" w:hanging="49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 用损失</w:t>
            </w:r>
          </w:p>
        </w:tc>
        <w:tc>
          <w:tcPr>
            <w:tcW w:w="20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7"/>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08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7"/>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36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67" w:hRule="exact"/>
        </w:trPr>
        <w:tc>
          <w:tcPr>
            <w:tcW w:w="2317" w:type="dxa"/>
            <w:tcBorders>
              <w:top w:val="nil" w:sz="6" w:space="0" w:color="auto"/>
              <w:left w:val="single" w:sz="4" w:space="0" w:color="000000"/>
              <w:bottom w:val="single" w:sz="4" w:space="0" w:color="000000"/>
              <w:right w:val="single" w:sz="4" w:space="0" w:color="000000"/>
            </w:tcBorders>
            <w:shd w:val="clear" w:color="auto" w:fill="D3D3D3"/>
          </w:tcPr>
          <w:p>
            <w:pPr/>
          </w:p>
        </w:tc>
        <w:tc>
          <w:tcPr>
            <w:tcW w:w="1661" w:type="dxa"/>
            <w:vMerge/>
            <w:tcBorders>
              <w:left w:val="single" w:sz="4" w:space="0" w:color="000000"/>
              <w:bottom w:val="single" w:sz="4" w:space="0" w:color="000000"/>
              <w:right w:val="single" w:sz="4" w:space="0" w:color="000000"/>
            </w:tcBorders>
            <w:shd w:val="clear" w:color="auto" w:fill="D3D3D3"/>
          </w:tcPr>
          <w:p>
            <w:pPr/>
          </w:p>
        </w:tc>
        <w:tc>
          <w:tcPr>
            <w:tcW w:w="2099" w:type="dxa"/>
            <w:vMerge/>
            <w:tcBorders>
              <w:left w:val="single" w:sz="4" w:space="0" w:color="000000"/>
              <w:bottom w:val="single" w:sz="4" w:space="0" w:color="000000"/>
              <w:right w:val="single" w:sz="4" w:space="0" w:color="000000"/>
            </w:tcBorders>
            <w:shd w:val="clear" w:color="auto" w:fill="D3D3D3"/>
          </w:tcPr>
          <w:p>
            <w:pPr/>
          </w:p>
        </w:tc>
        <w:tc>
          <w:tcPr>
            <w:tcW w:w="2087" w:type="dxa"/>
            <w:vMerge/>
            <w:tcBorders>
              <w:left w:val="single" w:sz="4" w:space="0" w:color="000000"/>
              <w:bottom w:val="single" w:sz="4" w:space="0" w:color="000000"/>
              <w:right w:val="single" w:sz="4" w:space="0" w:color="000000"/>
            </w:tcBorders>
            <w:shd w:val="clear" w:color="auto" w:fill="D3D3D3"/>
          </w:tcPr>
          <w:p>
            <w:pPr/>
          </w:p>
        </w:tc>
        <w:tc>
          <w:tcPr>
            <w:tcW w:w="136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3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6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217,592.65</w:t>
            </w:r>
          </w:p>
        </w:tc>
        <w:tc>
          <w:tcPr>
            <w:tcW w:w="2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1,047,171.52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1,264,764.17</w:t>
            </w:r>
          </w:p>
        </w:tc>
      </w:tr>
      <w:tr>
        <w:trPr>
          <w:trHeight w:val="402" w:hRule="exact"/>
        </w:trPr>
        <w:tc>
          <w:tcPr>
            <w:tcW w:w="23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日余额在本期</w:t>
            </w:r>
          </w:p>
        </w:tc>
        <w:tc>
          <w:tcPr>
            <w:tcW w:w="16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23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638,520.11</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8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638,520.11</w:t>
            </w:r>
          </w:p>
        </w:tc>
      </w:tr>
      <w:tr>
        <w:trPr>
          <w:trHeight w:val="403" w:hRule="exact"/>
        </w:trPr>
        <w:tc>
          <w:tcPr>
            <w:tcW w:w="23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6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856,112.76</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1,047,171.52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1,903,284.28</w:t>
            </w:r>
          </w:p>
        </w:tc>
      </w:tr>
    </w:tbl>
    <w:p>
      <w:pPr>
        <w:pStyle w:val="BodyText"/>
        <w:spacing w:line="240" w:lineRule="auto" w:before="51"/>
        <w:ind w:right="0"/>
        <w:jc w:val="left"/>
      </w:pPr>
      <w:r>
        <w:rPr/>
        <w:t>损失准备本期变动金额重大的账面余额变动情况</w:t>
      </w:r>
    </w:p>
    <w:p>
      <w:pPr>
        <w:pStyle w:val="BodyText"/>
        <w:spacing w:line="360" w:lineRule="auto" w:before="116"/>
        <w:ind w:left="153" w:right="9221"/>
        <w:jc w:val="left"/>
      </w:pPr>
      <w:r>
        <w:rPr/>
        <w:t>□ 适用 √ 不适用 按账龄披露</w:t>
      </w:r>
    </w:p>
    <w:p>
      <w:pPr>
        <w:spacing w:after="0" w:line="360" w:lineRule="auto"/>
        <w:jc w:val="left"/>
        <w:sectPr>
          <w:footerReference w:type="default" r:id="rId21"/>
          <w:pgSz w:w="11910" w:h="16840"/>
          <w:pgMar w:footer="982" w:header="747" w:top="1060" w:bottom="1180" w:left="980" w:right="0"/>
          <w:pgNumType w:start="201"/>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1"/>
        <w:gridCol w:w="4795"/>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9,346,508.55</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3,675,755.97</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3,678,606.22</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2,271,326.59</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436,922.96</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714,603.11</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1,119,800.52</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5"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18,972,197.33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本期计提坏账准备情况：</w:t>
      </w:r>
    </w:p>
    <w:p>
      <w:pPr>
        <w:pStyle w:val="BodyText"/>
        <w:spacing w:line="240" w:lineRule="auto" w:before="116"/>
        <w:ind w:left="0" w:right="113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80"/>
        <w:gridCol w:w="1440"/>
        <w:gridCol w:w="1332"/>
        <w:gridCol w:w="1042"/>
        <w:gridCol w:w="1090"/>
        <w:gridCol w:w="1070"/>
        <w:gridCol w:w="1576"/>
      </w:tblGrid>
      <w:tr>
        <w:trPr>
          <w:trHeight w:val="402" w:hRule="exact"/>
        </w:trPr>
        <w:tc>
          <w:tcPr>
            <w:tcW w:w="19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44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5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53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42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80" w:type="dxa"/>
            <w:vMerge/>
            <w:tcBorders>
              <w:left w:val="single" w:sz="4" w:space="0" w:color="000000"/>
              <w:bottom w:val="single" w:sz="4" w:space="0" w:color="000000"/>
              <w:right w:val="single" w:sz="4" w:space="0" w:color="000000"/>
            </w:tcBorders>
            <w:shd w:val="clear" w:color="auto" w:fill="D3D3D3"/>
          </w:tcPr>
          <w:p>
            <w:pPr/>
          </w:p>
        </w:tc>
        <w:tc>
          <w:tcPr>
            <w:tcW w:w="1440" w:type="dxa"/>
            <w:vMerge/>
            <w:tcBorders>
              <w:left w:val="single" w:sz="4" w:space="0" w:color="000000"/>
              <w:bottom w:val="single" w:sz="4" w:space="0" w:color="000000"/>
              <w:right w:val="single" w:sz="4" w:space="0" w:color="000000"/>
            </w:tcBorders>
            <w:shd w:val="clear" w:color="auto" w:fill="D3D3D3"/>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0"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0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9"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7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其他应收款坏账准备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1,264,764.17</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4" w:right="0"/>
              <w:jc w:val="left"/>
              <w:rPr>
                <w:rFonts w:ascii="Times New Roman" w:hAnsi="Times New Roman" w:cs="Times New Roman" w:eastAsia="Times New Roman" w:hint="default"/>
                <w:sz w:val="18"/>
                <w:szCs w:val="18"/>
              </w:rPr>
            </w:pPr>
            <w:r>
              <w:rPr>
                <w:rFonts w:ascii="Times New Roman"/>
                <w:sz w:val="18"/>
              </w:rPr>
              <w:t>638,520.11</w:t>
            </w:r>
          </w:p>
        </w:tc>
        <w:tc>
          <w:tcPr>
            <w:tcW w:w="104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1,903,284.28</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1,264,764.17</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4" w:right="0"/>
              <w:jc w:val="left"/>
              <w:rPr>
                <w:rFonts w:ascii="Times New Roman" w:hAnsi="Times New Roman" w:cs="Times New Roman" w:eastAsia="Times New Roman" w:hint="default"/>
                <w:sz w:val="18"/>
                <w:szCs w:val="18"/>
              </w:rPr>
            </w:pPr>
            <w:r>
              <w:rPr>
                <w:rFonts w:ascii="Times New Roman"/>
                <w:sz w:val="18"/>
              </w:rPr>
              <w:t>638,520.11</w:t>
            </w:r>
          </w:p>
        </w:tc>
        <w:tc>
          <w:tcPr>
            <w:tcW w:w="1042"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1,903,284.28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240"/>
        <w:gridCol w:w="1440"/>
        <w:gridCol w:w="1265"/>
        <w:gridCol w:w="900"/>
        <w:gridCol w:w="1615"/>
        <w:gridCol w:w="1150"/>
      </w:tblGrid>
      <w:tr>
        <w:trPr>
          <w:trHeight w:val="714" w:hRule="exact"/>
        </w:trPr>
        <w:tc>
          <w:tcPr>
            <w:tcW w:w="32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2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2"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1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88" w:right="29" w:hanging="360"/>
              <w:jc w:val="left"/>
              <w:rPr>
                <w:rFonts w:ascii="宋体" w:hAnsi="宋体" w:cs="宋体" w:eastAsia="宋体" w:hint="default"/>
                <w:sz w:val="18"/>
                <w:szCs w:val="18"/>
              </w:rPr>
            </w:pPr>
            <w:r>
              <w:rPr>
                <w:rFonts w:ascii="宋体" w:hAnsi="宋体" w:cs="宋体" w:eastAsia="宋体" w:hint="default"/>
                <w:sz w:val="18"/>
                <w:szCs w:val="18"/>
              </w:rPr>
              <w:t>坏账准备期末 余额</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石家庄市税务局</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4,541,351.62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23.94%</w:t>
            </w:r>
          </w:p>
        </w:tc>
        <w:tc>
          <w:tcPr>
            <w:tcW w:w="11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北京爱意</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3,040,750.00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16.03%</w:t>
            </w:r>
          </w:p>
        </w:tc>
        <w:tc>
          <w:tcPr>
            <w:tcW w:w="11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招银金融租赁有限公司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融资租赁保证金</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10.54%</w:t>
            </w:r>
          </w:p>
        </w:tc>
        <w:tc>
          <w:tcPr>
            <w:tcW w:w="11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前海新华康金融控股（深圳）有限公司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517,500.00</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北京全景大成企业管理有限公司</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10.54%</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120,000.00</w:t>
            </w:r>
          </w:p>
        </w:tc>
      </w:tr>
      <w:tr>
        <w:trPr>
          <w:trHeight w:val="402" w:hRule="exact"/>
        </w:trPr>
        <w:tc>
          <w:tcPr>
            <w:tcW w:w="32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15,032,101.62</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79.23%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637,500.00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80"/>
        <w:gridCol w:w="1368"/>
        <w:gridCol w:w="1224"/>
        <w:gridCol w:w="1367"/>
        <w:gridCol w:w="1367"/>
        <w:gridCol w:w="866"/>
        <w:gridCol w:w="1367"/>
      </w:tblGrid>
      <w:tr>
        <w:trPr>
          <w:trHeight w:val="402" w:hRule="exact"/>
        </w:trPr>
        <w:tc>
          <w:tcPr>
            <w:tcW w:w="19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5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0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80"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68"/>
        <w:gridCol w:w="1380"/>
        <w:gridCol w:w="1224"/>
        <w:gridCol w:w="1367"/>
        <w:gridCol w:w="1367"/>
        <w:gridCol w:w="866"/>
        <w:gridCol w:w="1367"/>
      </w:tblGrid>
      <w:tr>
        <w:trPr>
          <w:trHeight w:val="402" w:hRule="exact"/>
        </w:trPr>
        <w:tc>
          <w:tcPr>
            <w:tcW w:w="1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8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3,228,941,000.37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3,218,441,000.37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3,220,959,573.19</w:t>
            </w:r>
          </w:p>
        </w:tc>
        <w:tc>
          <w:tcPr>
            <w:tcW w:w="8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3,220,959,573.19</w:t>
            </w:r>
          </w:p>
        </w:tc>
      </w:tr>
      <w:tr>
        <w:trPr>
          <w:trHeight w:val="402" w:hRule="exact"/>
        </w:trPr>
        <w:tc>
          <w:tcPr>
            <w:tcW w:w="1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对联营、合营企业投资</w:t>
            </w:r>
          </w:p>
        </w:tc>
        <w:tc>
          <w:tcPr>
            <w:tcW w:w="1380" w:type="dxa"/>
            <w:tcBorders>
              <w:top w:val="single" w:sz="4" w:space="0" w:color="000000"/>
              <w:left w:val="single" w:sz="10" w:space="0" w:color="D3D3D3"/>
              <w:bottom w:val="single" w:sz="4" w:space="0" w:color="000000"/>
              <w:right w:val="single" w:sz="4" w:space="0" w:color="000000"/>
            </w:tcBorders>
          </w:tcPr>
          <w:p>
            <w:pPr/>
          </w:p>
        </w:tc>
        <w:tc>
          <w:tcPr>
            <w:tcW w:w="1224"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13,947,977.63</w:t>
            </w:r>
          </w:p>
        </w:tc>
        <w:tc>
          <w:tcPr>
            <w:tcW w:w="8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13,947,977.63</w:t>
            </w:r>
          </w:p>
        </w:tc>
      </w:tr>
      <w:tr>
        <w:trPr>
          <w:trHeight w:val="402" w:hRule="exact"/>
        </w:trPr>
        <w:tc>
          <w:tcPr>
            <w:tcW w:w="1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3,228,941,000.37</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3,218,441,000.37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3,234,907,550.82</w:t>
            </w:r>
          </w:p>
        </w:tc>
        <w:tc>
          <w:tcPr>
            <w:tcW w:w="86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3,234,907,550.82</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60"/>
        <w:gridCol w:w="1433"/>
        <w:gridCol w:w="1087"/>
        <w:gridCol w:w="1166"/>
        <w:gridCol w:w="1165"/>
        <w:gridCol w:w="908"/>
        <w:gridCol w:w="1440"/>
        <w:gridCol w:w="1213"/>
      </w:tblGrid>
      <w:tr>
        <w:trPr>
          <w:trHeight w:val="402" w:hRule="exact"/>
        </w:trPr>
        <w:tc>
          <w:tcPr>
            <w:tcW w:w="12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33" w:type="dxa"/>
            <w:vMerge w:val="restart"/>
            <w:tcBorders>
              <w:top w:val="single" w:sz="4" w:space="0" w:color="000000"/>
              <w:left w:val="single" w:sz="4" w:space="0" w:color="000000"/>
              <w:right w:val="single" w:sz="4" w:space="0" w:color="000000"/>
            </w:tcBorders>
            <w:shd w:val="clear" w:color="auto" w:fill="D3D3D3"/>
          </w:tcPr>
          <w:p>
            <w:pPr>
              <w:pStyle w:val="TableParagraph"/>
              <w:spacing w:line="300" w:lineRule="auto" w:before="91"/>
              <w:ind w:left="591" w:right="49" w:hanging="54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432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440" w:type="dxa"/>
            <w:vMerge w:val="restart"/>
            <w:tcBorders>
              <w:top w:val="single" w:sz="4" w:space="0" w:color="000000"/>
              <w:left w:val="single" w:sz="4" w:space="0" w:color="000000"/>
              <w:right w:val="single" w:sz="4" w:space="0" w:color="000000"/>
            </w:tcBorders>
            <w:shd w:val="clear" w:color="auto" w:fill="D3D3D3"/>
          </w:tcPr>
          <w:p>
            <w:pPr>
              <w:pStyle w:val="TableParagraph"/>
              <w:spacing w:line="300" w:lineRule="auto" w:before="91"/>
              <w:ind w:left="594" w:right="54" w:hanging="54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121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1"/>
              <w:ind w:left="421" w:right="60"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2" w:hRule="exact"/>
        </w:trPr>
        <w:tc>
          <w:tcPr>
            <w:tcW w:w="1260" w:type="dxa"/>
            <w:vMerge/>
            <w:tcBorders>
              <w:left w:val="single" w:sz="4" w:space="0" w:color="000000"/>
              <w:bottom w:val="single" w:sz="4" w:space="0" w:color="000000"/>
              <w:right w:val="single" w:sz="4" w:space="0" w:color="000000"/>
            </w:tcBorders>
            <w:shd w:val="clear" w:color="auto" w:fill="D3D3D3"/>
          </w:tcPr>
          <w:p>
            <w:pPr/>
          </w:p>
        </w:tc>
        <w:tc>
          <w:tcPr>
            <w:tcW w:w="1433" w:type="dxa"/>
            <w:vMerge/>
            <w:tcBorders>
              <w:left w:val="single" w:sz="4" w:space="0" w:color="000000"/>
              <w:bottom w:val="single" w:sz="4" w:space="0" w:color="000000"/>
              <w:right w:val="single" w:sz="4" w:space="0" w:color="000000"/>
            </w:tcBorders>
            <w:shd w:val="clear" w:color="auto" w:fill="D3D3D3"/>
          </w:tcPr>
          <w:p>
            <w:pPr/>
          </w:p>
        </w:tc>
        <w:tc>
          <w:tcPr>
            <w:tcW w:w="10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8"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计提减值准备</w:t>
            </w:r>
          </w:p>
        </w:tc>
        <w:tc>
          <w:tcPr>
            <w:tcW w:w="9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40" w:type="dxa"/>
            <w:vMerge/>
            <w:tcBorders>
              <w:left w:val="single" w:sz="4" w:space="0" w:color="000000"/>
              <w:bottom w:val="single" w:sz="4" w:space="0" w:color="000000"/>
              <w:right w:val="single" w:sz="4" w:space="0" w:color="000000"/>
            </w:tcBorders>
            <w:shd w:val="clear" w:color="auto" w:fill="D3D3D3"/>
          </w:tcPr>
          <w:p>
            <w:pPr/>
          </w:p>
        </w:tc>
        <w:tc>
          <w:tcPr>
            <w:tcW w:w="1213"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石家庄常山恒 新纺织有限公 司</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315,961,474.39</w:t>
            </w:r>
          </w:p>
        </w:tc>
        <w:tc>
          <w:tcPr>
            <w:tcW w:w="108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315,961,474.39</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上海常纺恒友 国际贸易有限 公司</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108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9,000,000.00</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石家庄常山赵 州纺织有限公 司</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10,500,000.00</w:t>
            </w:r>
          </w:p>
        </w:tc>
        <w:tc>
          <w:tcPr>
            <w:tcW w:w="108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10,500,000.00</w:t>
            </w:r>
          </w:p>
        </w:tc>
        <w:tc>
          <w:tcPr>
            <w:tcW w:w="90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10,500,000.00</w:t>
            </w:r>
          </w:p>
        </w:tc>
      </w:tr>
      <w:tr>
        <w:trPr>
          <w:trHeight w:val="1026"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石家庄常山恒 荣进出口贸易 有限公司</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08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上海冀源国际 贸易有限公司</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1,380,000.00</w:t>
            </w:r>
          </w:p>
        </w:tc>
        <w:tc>
          <w:tcPr>
            <w:tcW w:w="108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1,380,000.00</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库尔勒常山恒 丰商贸有限责 任公司</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08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北明软件有限 公司</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2,698,699,898.80</w:t>
            </w:r>
          </w:p>
        </w:tc>
        <w:tc>
          <w:tcPr>
            <w:tcW w:w="108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2,698,699,898.80</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北京爱意生活 电子商务有限 公司</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16,000,000.00</w:t>
            </w:r>
          </w:p>
        </w:tc>
        <w:tc>
          <w:tcPr>
            <w:tcW w:w="108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16,000,000.00</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石家庄爱意科 技有限公司</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08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300,000.00</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新疆常山恒宏 纺织科技有限 公司</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24,000,000.00</w:t>
            </w:r>
          </w:p>
        </w:tc>
        <w:tc>
          <w:tcPr>
            <w:tcW w:w="108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24,000,000.00</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舞钢智慧城市 科技发展有限 公司</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45,018,200.00</w:t>
            </w:r>
          </w:p>
        </w:tc>
        <w:tc>
          <w:tcPr>
            <w:tcW w:w="108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45,018,200.00</w:t>
            </w:r>
          </w:p>
        </w:tc>
        <w:tc>
          <w:tcPr>
            <w:tcW w:w="12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60"/>
        <w:gridCol w:w="1433"/>
        <w:gridCol w:w="1087"/>
        <w:gridCol w:w="1166"/>
        <w:gridCol w:w="1165"/>
        <w:gridCol w:w="908"/>
        <w:gridCol w:w="1440"/>
        <w:gridCol w:w="1213"/>
      </w:tblGrid>
      <w:tr>
        <w:trPr>
          <w:trHeight w:val="1026"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河北常山恒云 数据科技有限 公司</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8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100,000.00</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石家庄赛孚纺 织有限公司</w:t>
            </w:r>
          </w:p>
        </w:tc>
        <w:tc>
          <w:tcPr>
            <w:tcW w:w="1433"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7,690,924.07</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7,690,924.07</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河北北明鼎云 信息技术有限 公司</w:t>
            </w:r>
          </w:p>
        </w:tc>
        <w:tc>
          <w:tcPr>
            <w:tcW w:w="1433" w:type="dxa"/>
            <w:tcBorders>
              <w:top w:val="single" w:sz="4" w:space="0" w:color="000000"/>
              <w:left w:val="single" w:sz="4" w:space="0" w:color="000000"/>
              <w:bottom w:val="single" w:sz="4" w:space="0" w:color="000000"/>
              <w:right w:val="single" w:sz="4" w:space="0" w:color="000000"/>
            </w:tcBorders>
          </w:tcPr>
          <w:p>
            <w:pP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290,503.11</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c>
          <w:tcPr>
            <w:tcW w:w="90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290,503.11</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3,220,959,573.19</w:t>
            </w:r>
          </w:p>
        </w:tc>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7,981,427.18</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left"/>
              <w:rPr>
                <w:rFonts w:ascii="Times New Roman" w:hAnsi="Times New Roman" w:cs="Times New Roman" w:eastAsia="Times New Roman" w:hint="default"/>
                <w:sz w:val="18"/>
                <w:szCs w:val="18"/>
              </w:rPr>
            </w:pPr>
            <w:r>
              <w:rPr>
                <w:rFonts w:ascii="Times New Roman"/>
                <w:sz w:val="18"/>
              </w:rPr>
              <w:t>10,500,000.00</w:t>
            </w:r>
          </w:p>
        </w:tc>
        <w:tc>
          <w:tcPr>
            <w:tcW w:w="908"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3,218,441,000.37</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10,500,000.00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1"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309" w:lineRule="auto"/>
              <w:ind w:left="34"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8"/>
                <w:szCs w:val="18"/>
              </w:rPr>
            </w:pPr>
          </w:p>
          <w:p>
            <w:pPr>
              <w:pStyle w:val="TableParagraph"/>
              <w:spacing w:line="309" w:lineRule="auto"/>
              <w:ind w:left="33" w:right="32"/>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石家庄赛 孚纺织有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13,947,97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7.63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-7,140,25</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3.56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-6,807,72</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4.07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13,947,97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7.63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-7,140,25</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3.56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-6,807,72</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4.07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13,947,97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7.63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-7,140,25</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3.56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-6,807,72</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4.07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153" w:right="1117" w:firstLine="290"/>
        <w:jc w:val="left"/>
      </w:pPr>
      <w:r>
        <w:rPr>
          <w:spacing w:val="-1"/>
        </w:rPr>
        <w:t>本期公司收购北京英特莱技术公司持有的赛孚纺织</w:t>
      </w:r>
      <w:r>
        <w:rPr>
          <w:rFonts w:ascii="Times New Roman" w:hAnsi="Times New Roman" w:cs="Times New Roman" w:eastAsia="Times New Roman" w:hint="default"/>
          <w:spacing w:val="-1"/>
        </w:rPr>
        <w:t>51.67%</w:t>
      </w:r>
      <w:r>
        <w:rPr>
          <w:spacing w:val="-1"/>
        </w:rPr>
        <w:t>股权后，赛孚纺织成为公司全资子公司，公司对其改按成本法</w:t>
      </w:r>
      <w:r>
        <w:rPr/>
        <w:t> 核算。</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2"/>
        <w:gridCol w:w="1837"/>
        <w:gridCol w:w="1901"/>
        <w:gridCol w:w="1925"/>
        <w:gridCol w:w="1901"/>
      </w:tblGrid>
      <w:tr>
        <w:trPr>
          <w:trHeight w:val="200" w:hRule="exact"/>
        </w:trPr>
        <w:tc>
          <w:tcPr>
            <w:tcW w:w="1982" w:type="dxa"/>
            <w:tcBorders>
              <w:top w:val="single" w:sz="4" w:space="0" w:color="000000"/>
              <w:left w:val="single" w:sz="4" w:space="0" w:color="000000"/>
              <w:bottom w:val="nil" w:sz="6" w:space="0" w:color="auto"/>
              <w:right w:val="single" w:sz="4" w:space="0" w:color="000000"/>
            </w:tcBorders>
            <w:shd w:val="clear" w:color="auto" w:fill="D3D3D3"/>
          </w:tcPr>
          <w:p>
            <w:pPr/>
          </w:p>
        </w:tc>
        <w:tc>
          <w:tcPr>
            <w:tcW w:w="373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02" w:hRule="exact"/>
        </w:trPr>
        <w:tc>
          <w:tcPr>
            <w:tcW w:w="198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39" w:type="dxa"/>
            <w:gridSpan w:val="2"/>
            <w:vMerge/>
            <w:tcBorders>
              <w:left w:val="single" w:sz="4" w:space="0" w:color="000000"/>
              <w:bottom w:val="single" w:sz="4" w:space="0" w:color="000000"/>
              <w:right w:val="single" w:sz="4" w:space="0" w:color="000000"/>
            </w:tcBorders>
            <w:shd w:val="clear" w:color="auto" w:fill="D3D3D3"/>
          </w:tcPr>
          <w:p>
            <w:pPr/>
          </w:p>
        </w:tc>
        <w:tc>
          <w:tcPr>
            <w:tcW w:w="3826" w:type="dxa"/>
            <w:gridSpan w:val="2"/>
            <w:vMerge/>
            <w:tcBorders>
              <w:left w:val="single" w:sz="4" w:space="0" w:color="000000"/>
              <w:bottom w:val="single" w:sz="4" w:space="0" w:color="000000"/>
              <w:right w:val="single" w:sz="4" w:space="0" w:color="000000"/>
            </w:tcBorders>
            <w:shd w:val="clear" w:color="auto" w:fill="D3D3D3"/>
          </w:tcPr>
          <w:p>
            <w:pPr/>
          </w:p>
        </w:tc>
      </w:tr>
      <w:tr>
        <w:trPr>
          <w:trHeight w:val="190" w:hRule="exact"/>
        </w:trPr>
        <w:tc>
          <w:tcPr>
            <w:tcW w:w="1982" w:type="dxa"/>
            <w:vMerge/>
            <w:tcBorders>
              <w:left w:val="single" w:sz="4" w:space="0" w:color="000000"/>
              <w:bottom w:val="nil" w:sz="6" w:space="0" w:color="auto"/>
              <w:right w:val="single" w:sz="4" w:space="0" w:color="000000"/>
            </w:tcBorders>
            <w:shd w:val="clear" w:color="auto" w:fill="D3D3D3"/>
          </w:tcPr>
          <w:p>
            <w:pPr/>
          </w:p>
        </w:tc>
        <w:tc>
          <w:tcPr>
            <w:tcW w:w="183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0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2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0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12" w:hRule="exact"/>
        </w:trPr>
        <w:tc>
          <w:tcPr>
            <w:tcW w:w="1982" w:type="dxa"/>
            <w:tcBorders>
              <w:top w:val="nil" w:sz="6" w:space="0" w:color="auto"/>
              <w:left w:val="single" w:sz="4" w:space="0" w:color="000000"/>
              <w:bottom w:val="single" w:sz="4" w:space="0" w:color="000000"/>
              <w:right w:val="single" w:sz="4" w:space="0" w:color="000000"/>
            </w:tcBorders>
            <w:shd w:val="clear" w:color="auto" w:fill="D3D3D3"/>
          </w:tcPr>
          <w:p>
            <w:pPr/>
          </w:p>
        </w:tc>
        <w:tc>
          <w:tcPr>
            <w:tcW w:w="1837" w:type="dxa"/>
            <w:vMerge/>
            <w:tcBorders>
              <w:left w:val="single" w:sz="4" w:space="0" w:color="000000"/>
              <w:bottom w:val="single" w:sz="4" w:space="0" w:color="000000"/>
              <w:right w:val="single" w:sz="4" w:space="0" w:color="000000"/>
            </w:tcBorders>
            <w:shd w:val="clear" w:color="auto" w:fill="D3D3D3"/>
          </w:tcPr>
          <w:p>
            <w:pPr/>
          </w:p>
        </w:tc>
        <w:tc>
          <w:tcPr>
            <w:tcW w:w="1901" w:type="dxa"/>
            <w:vMerge/>
            <w:tcBorders>
              <w:left w:val="single" w:sz="4" w:space="0" w:color="000000"/>
              <w:bottom w:val="single" w:sz="4" w:space="0" w:color="000000"/>
              <w:right w:val="single" w:sz="4" w:space="0" w:color="000000"/>
            </w:tcBorders>
            <w:shd w:val="clear" w:color="auto" w:fill="D3D3D3"/>
          </w:tcPr>
          <w:p>
            <w:pPr/>
          </w:p>
        </w:tc>
        <w:tc>
          <w:tcPr>
            <w:tcW w:w="1925" w:type="dxa"/>
            <w:vMerge/>
            <w:tcBorders>
              <w:left w:val="single" w:sz="4" w:space="0" w:color="000000"/>
              <w:bottom w:val="single" w:sz="4" w:space="0" w:color="000000"/>
              <w:right w:val="single" w:sz="4" w:space="0" w:color="000000"/>
            </w:tcBorders>
            <w:shd w:val="clear" w:color="auto" w:fill="D3D3D3"/>
          </w:tcPr>
          <w:p>
            <w:pPr/>
          </w:p>
        </w:tc>
        <w:tc>
          <w:tcPr>
            <w:tcW w:w="1901"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532" w:right="0"/>
              <w:jc w:val="left"/>
              <w:rPr>
                <w:rFonts w:ascii="Times New Roman" w:hAnsi="Times New Roman" w:cs="Times New Roman" w:eastAsia="Times New Roman" w:hint="default"/>
                <w:sz w:val="18"/>
                <w:szCs w:val="18"/>
              </w:rPr>
            </w:pPr>
            <w:r>
              <w:rPr>
                <w:rFonts w:ascii="Times New Roman"/>
                <w:sz w:val="18"/>
              </w:rPr>
              <w:t>4,293,959,763.60</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21" w:right="0"/>
              <w:jc w:val="left"/>
              <w:rPr>
                <w:rFonts w:ascii="Times New Roman" w:hAnsi="Times New Roman" w:cs="Times New Roman" w:eastAsia="Times New Roman" w:hint="default"/>
                <w:sz w:val="18"/>
                <w:szCs w:val="18"/>
              </w:rPr>
            </w:pPr>
            <w:r>
              <w:rPr>
                <w:rFonts w:ascii="Times New Roman"/>
                <w:sz w:val="18"/>
              </w:rPr>
              <w:t>4,333,950,533.93</w:t>
            </w: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39" w:right="0"/>
              <w:jc w:val="left"/>
              <w:rPr>
                <w:rFonts w:ascii="Times New Roman" w:hAnsi="Times New Roman" w:cs="Times New Roman" w:eastAsia="Times New Roman" w:hint="default"/>
                <w:sz w:val="18"/>
                <w:szCs w:val="18"/>
              </w:rPr>
            </w:pPr>
            <w:r>
              <w:rPr>
                <w:rFonts w:ascii="Times New Roman"/>
                <w:sz w:val="18"/>
              </w:rPr>
              <w:t>4,116,696,832.77</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20" w:right="0"/>
              <w:jc w:val="left"/>
              <w:rPr>
                <w:rFonts w:ascii="Times New Roman" w:hAnsi="Times New Roman" w:cs="Times New Roman" w:eastAsia="Times New Roman" w:hint="default"/>
                <w:sz w:val="18"/>
                <w:szCs w:val="18"/>
              </w:rPr>
            </w:pPr>
            <w:r>
              <w:rPr>
                <w:rFonts w:ascii="Times New Roman"/>
                <w:sz w:val="18"/>
              </w:rPr>
              <w:t>4,139,766,085.24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63,365,181.67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45,241,553.33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84,485,335.33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42,924,900.73</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4,357,324,945.27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4,379,192,087.26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4,201,182,168.10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4,182,690,985.97</w:t>
            </w:r>
          </w:p>
        </w:tc>
      </w:tr>
    </w:tbl>
    <w:p>
      <w:pPr>
        <w:pStyle w:val="BodyText"/>
        <w:spacing w:line="240" w:lineRule="auto" w:before="51"/>
        <w:ind w:right="0"/>
        <w:jc w:val="left"/>
      </w:pPr>
      <w:r>
        <w:rPr/>
        <w:t>是否已执行新收入准则</w:t>
      </w:r>
    </w:p>
    <w:p>
      <w:pPr>
        <w:pStyle w:val="BodyText"/>
        <w:spacing w:line="240" w:lineRule="auto" w:before="117"/>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8"/>
        <w:rPr>
          <w:rFonts w:ascii="宋体" w:hAnsi="宋体" w:cs="宋体" w:eastAsia="宋体" w:hint="default"/>
          <w:b/>
          <w:bCs/>
          <w:sz w:val="18"/>
          <w:szCs w:val="18"/>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1"/>
        <w:gridCol w:w="3071"/>
        <w:gridCol w:w="3186"/>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190,000,000.00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-7,140,253.56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-653,173.99</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10" w:space="0" w:color="D3D3D3"/>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2,035,068.80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其他权益工具投资收益</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4,070,137.60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186,929,884.04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131,381,894.81</w:t>
            </w:r>
          </w:p>
        </w:tc>
      </w:tr>
    </w:tbl>
    <w:p>
      <w:pPr>
        <w:spacing w:line="240" w:lineRule="auto" w:before="5"/>
        <w:rPr>
          <w:rFonts w:ascii="宋体" w:hAnsi="宋体" w:cs="宋体" w:eastAsia="宋体" w:hint="default"/>
          <w:sz w:val="13"/>
          <w:szCs w:val="13"/>
        </w:rPr>
      </w:pPr>
    </w:p>
    <w:p>
      <w:pPr>
        <w:pStyle w:val="Heading2"/>
        <w:spacing w:line="240" w:lineRule="auto" w:before="26"/>
        <w:ind w:right="0"/>
        <w:jc w:val="left"/>
        <w:rPr>
          <w:b w:val="0"/>
          <w:bCs w:val="0"/>
        </w:rPr>
      </w:pPr>
      <w:r>
        <w:rPr/>
        <w:t>十七、补充资料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1"/>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837"/>
        <w:gridCol w:w="1272"/>
        <w:gridCol w:w="3420"/>
      </w:tblGrid>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4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43,878,478.93</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其中：赵纺土地收储收益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51,155,350.25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714"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8"/>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计入当期损益的政府补助（与企业业务密切相关，按照国家统</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一标准定额或定量享受的政府补助除外）</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301,764,596.71</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其中：政府搬迁补助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282,493,853.48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-3,249,781.37</w:t>
            </w:r>
          </w:p>
        </w:tc>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职工安置补偿金</w:t>
            </w: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单独进行减值测试的应收款项、合同资产减值准备转回</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1,175,149.17</w:t>
            </w:r>
          </w:p>
        </w:tc>
        <w:tc>
          <w:tcPr>
            <w:tcW w:w="342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4837" w:type="dxa"/>
            <w:tcBorders>
              <w:top w:val="single" w:sz="4" w:space="0" w:color="000000"/>
              <w:left w:val="single" w:sz="4" w:space="0" w:color="000000"/>
              <w:bottom w:val="nil" w:sz="6" w:space="0" w:color="auto"/>
              <w:right w:val="single" w:sz="4" w:space="0" w:color="000000"/>
            </w:tcBorders>
            <w:shd w:val="clear" w:color="auto" w:fill="D3D3D3"/>
          </w:tcPr>
          <w:p>
            <w:pPr/>
          </w:p>
        </w:tc>
        <w:tc>
          <w:tcPr>
            <w:tcW w:w="1272"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5" w:right="0"/>
              <w:jc w:val="left"/>
              <w:rPr>
                <w:rFonts w:ascii="Times New Roman" w:hAnsi="Times New Roman" w:cs="Times New Roman" w:eastAsia="Times New Roman" w:hint="default"/>
                <w:sz w:val="18"/>
                <w:szCs w:val="18"/>
              </w:rPr>
            </w:pPr>
            <w:r>
              <w:rPr>
                <w:rFonts w:ascii="Times New Roman"/>
                <w:sz w:val="18"/>
              </w:rPr>
              <w:t>32,909,747.12</w:t>
            </w:r>
          </w:p>
        </w:tc>
        <w:tc>
          <w:tcPr>
            <w:tcW w:w="3420"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3"/>
                <w:sz w:val="18"/>
                <w:szCs w:val="18"/>
              </w:rPr>
              <w:t>其中：无需支付金实盈信原股东的股权转让</w:t>
            </w:r>
            <w:r>
              <w:rPr>
                <w:rFonts w:ascii="宋体" w:hAnsi="宋体" w:cs="宋体" w:eastAsia="宋体" w:hint="default"/>
                <w:sz w:val="18"/>
                <w:szCs w:val="18"/>
              </w:rPr>
              <w:t> 款</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35,918,100.00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392" w:hRule="exact"/>
        </w:trPr>
        <w:tc>
          <w:tcPr>
            <w:tcW w:w="48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272" w:type="dxa"/>
            <w:vMerge/>
            <w:tcBorders>
              <w:left w:val="single" w:sz="10" w:space="0" w:color="D3D3D3"/>
              <w:right w:val="single" w:sz="4" w:space="0" w:color="000000"/>
            </w:tcBorders>
          </w:tcPr>
          <w:p>
            <w:pPr/>
          </w:p>
        </w:tc>
        <w:tc>
          <w:tcPr>
            <w:tcW w:w="3420" w:type="dxa"/>
            <w:vMerge/>
            <w:tcBorders>
              <w:left w:val="single" w:sz="4" w:space="0" w:color="000000"/>
              <w:right w:val="single" w:sz="4" w:space="0" w:color="000000"/>
            </w:tcBorders>
          </w:tcPr>
          <w:p>
            <w:pPr/>
          </w:p>
        </w:tc>
      </w:tr>
      <w:tr>
        <w:trPr>
          <w:trHeight w:val="161" w:hRule="exact"/>
        </w:trPr>
        <w:tc>
          <w:tcPr>
            <w:tcW w:w="4837" w:type="dxa"/>
            <w:tcBorders>
              <w:top w:val="nil" w:sz="6" w:space="0" w:color="auto"/>
              <w:left w:val="single" w:sz="4" w:space="0" w:color="000000"/>
              <w:bottom w:val="single" w:sz="4" w:space="0" w:color="000000"/>
              <w:right w:val="single" w:sz="4" w:space="0" w:color="000000"/>
            </w:tcBorders>
            <w:shd w:val="clear" w:color="auto" w:fill="D3D3D3"/>
          </w:tcPr>
          <w:p>
            <w:pPr/>
          </w:p>
        </w:tc>
        <w:tc>
          <w:tcPr>
            <w:tcW w:w="1272" w:type="dxa"/>
            <w:vMerge/>
            <w:tcBorders>
              <w:left w:val="single" w:sz="10" w:space="0" w:color="D3D3D3"/>
              <w:bottom w:val="single" w:sz="4" w:space="0" w:color="000000"/>
              <w:right w:val="single" w:sz="4" w:space="0" w:color="000000"/>
            </w:tcBorders>
          </w:tcPr>
          <w:p>
            <w:pPr/>
          </w:p>
        </w:tc>
        <w:tc>
          <w:tcPr>
            <w:tcW w:w="3420" w:type="dxa"/>
            <w:vMerge/>
            <w:tcBorders>
              <w:left w:val="single" w:sz="4" w:space="0" w:color="000000"/>
              <w:bottom w:val="single" w:sz="4" w:space="0" w:color="000000"/>
              <w:right w:val="single" w:sz="4" w:space="0" w:color="000000"/>
            </w:tcBorders>
          </w:tcPr>
          <w:p>
            <w:pP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2,781,181.18</w:t>
            </w:r>
          </w:p>
        </w:tc>
        <w:tc>
          <w:tcPr>
            <w:tcW w:w="342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27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36,692.19</w:t>
            </w:r>
          </w:p>
        </w:tc>
        <w:tc>
          <w:tcPr>
            <w:tcW w:w="342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2" w:type="dxa"/>
            <w:tcBorders>
              <w:top w:val="single" w:sz="4" w:space="0" w:color="000000"/>
              <w:left w:val="single" w:sz="10" w:space="0" w:color="D3D3D3"/>
              <w:bottom w:val="single" w:sz="4" w:space="0" w:color="000000"/>
              <w:right w:val="single" w:sz="9" w:space="0" w:color="D3D3D3"/>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373,660,317.19</w:t>
            </w:r>
          </w:p>
        </w:tc>
        <w:tc>
          <w:tcPr>
            <w:tcW w:w="34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2" w:lineRule="auto" w:before="61"/>
        <w:ind w:right="111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0"/>
        <w:gridCol w:w="3080"/>
        <w:gridCol w:w="1913"/>
        <w:gridCol w:w="1913"/>
      </w:tblGrid>
      <w:tr>
        <w:trPr>
          <w:trHeight w:val="200" w:hRule="exact"/>
        </w:trPr>
        <w:tc>
          <w:tcPr>
            <w:tcW w:w="2650" w:type="dxa"/>
            <w:tcBorders>
              <w:top w:val="single" w:sz="4" w:space="0" w:color="000000"/>
              <w:left w:val="single" w:sz="4" w:space="0" w:color="000000"/>
              <w:bottom w:val="nil" w:sz="6" w:space="0" w:color="auto"/>
              <w:right w:val="single" w:sz="4" w:space="0" w:color="000000"/>
            </w:tcBorders>
            <w:shd w:val="clear" w:color="auto" w:fill="D3D3D3"/>
          </w:tcPr>
          <w:p>
            <w:pPr/>
          </w:p>
        </w:tc>
        <w:tc>
          <w:tcPr>
            <w:tcW w:w="3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38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202" w:hRule="exact"/>
        </w:trPr>
        <w:tc>
          <w:tcPr>
            <w:tcW w:w="265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3D3D3"/>
          </w:tcPr>
          <w:p>
            <w:pPr/>
          </w:p>
        </w:tc>
      </w:tr>
      <w:tr>
        <w:trPr>
          <w:trHeight w:val="190" w:hRule="exact"/>
        </w:trPr>
        <w:tc>
          <w:tcPr>
            <w:tcW w:w="2650" w:type="dxa"/>
            <w:vMerge/>
            <w:tcBorders>
              <w:left w:val="single" w:sz="4" w:space="0" w:color="000000"/>
              <w:bottom w:val="nil" w:sz="6" w:space="0" w:color="auto"/>
              <w:right w:val="single" w:sz="4" w:space="0" w:color="000000"/>
            </w:tcBorders>
            <w:shd w:val="clear" w:color="auto" w:fill="D3D3D3"/>
          </w:tcPr>
          <w:p>
            <w:pPr/>
          </w:p>
        </w:tc>
        <w:tc>
          <w:tcPr>
            <w:tcW w:w="3080" w:type="dxa"/>
            <w:vMerge/>
            <w:tcBorders>
              <w:left w:val="single" w:sz="4" w:space="0" w:color="000000"/>
              <w:bottom w:val="nil" w:sz="6" w:space="0" w:color="auto"/>
              <w:right w:val="single" w:sz="4" w:space="0" w:color="000000"/>
            </w:tcBorders>
            <w:shd w:val="clear" w:color="auto" w:fill="D3D3D3"/>
          </w:tcPr>
          <w:p>
            <w:pP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12" w:hRule="exact"/>
        </w:trPr>
        <w:tc>
          <w:tcPr>
            <w:tcW w:w="2650" w:type="dxa"/>
            <w:tcBorders>
              <w:top w:val="nil" w:sz="6" w:space="0" w:color="auto"/>
              <w:left w:val="single" w:sz="4" w:space="0" w:color="000000"/>
              <w:bottom w:val="single" w:sz="4" w:space="0" w:color="000000"/>
              <w:right w:val="single" w:sz="4" w:space="0" w:color="000000"/>
            </w:tcBorders>
            <w:shd w:val="clear" w:color="auto" w:fill="D3D3D3"/>
          </w:tcPr>
          <w:p>
            <w:pPr/>
          </w:p>
        </w:tc>
        <w:tc>
          <w:tcPr>
            <w:tcW w:w="3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r>
      <w:tr>
        <w:trPr>
          <w:trHeight w:val="714"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-0.17</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59" w:lineRule="auto"/>
        <w:ind w:right="0"/>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371" w:right="0"/>
        <w:jc w:val="left"/>
      </w:pPr>
      <w:r>
        <w:rPr/>
        <w:t>公司主要会计报表项目的异常情况及原因的说明：</w:t>
      </w:r>
    </w:p>
    <w:p>
      <w:pPr>
        <w:pStyle w:val="BodyText"/>
        <w:spacing w:line="302" w:lineRule="auto" w:before="115"/>
        <w:ind w:right="1105" w:firstLine="360"/>
        <w:jc w:val="left"/>
      </w:pPr>
      <w:r>
        <w:rPr>
          <w:rFonts w:ascii="Times New Roman" w:hAnsi="Times New Roman" w:cs="Times New Roman" w:eastAsia="Times New Roman" w:hint="default"/>
        </w:rPr>
        <w:t>1</w:t>
      </w:r>
      <w:r>
        <w:rPr/>
        <w:t>、应收票据较年初增加</w:t>
      </w:r>
      <w:r>
        <w:rPr>
          <w:rFonts w:ascii="Times New Roman" w:hAnsi="Times New Roman" w:cs="Times New Roman" w:eastAsia="Times New Roman" w:hint="default"/>
        </w:rPr>
        <w:t>31.98%</w:t>
      </w:r>
      <w:r>
        <w:rPr/>
        <w:t>，主要系前期收到的承兑汇票在上年末承兑或背书转让，使得年初应收票据金额减少， 以及本期继续使用商业承兑汇票的结算方式，因此增长幅度较大。</w:t>
      </w:r>
    </w:p>
    <w:p>
      <w:pPr>
        <w:pStyle w:val="BodyText"/>
        <w:spacing w:line="240" w:lineRule="auto" w:before="70"/>
        <w:ind w:left="514" w:right="0"/>
        <w:jc w:val="left"/>
      </w:pPr>
      <w:r>
        <w:rPr>
          <w:rFonts w:ascii="Times New Roman" w:hAnsi="Times New Roman" w:cs="Times New Roman" w:eastAsia="Times New Roman" w:hint="default"/>
        </w:rPr>
        <w:t>2</w:t>
      </w:r>
      <w:r>
        <w:rPr/>
        <w:t>、可供出售金融资产较年初减少</w:t>
      </w:r>
      <w:r>
        <w:rPr>
          <w:rFonts w:ascii="Times New Roman" w:hAnsi="Times New Roman" w:cs="Times New Roman" w:eastAsia="Times New Roman" w:hint="default"/>
        </w:rPr>
        <w:t>100%</w:t>
      </w:r>
      <w:r>
        <w:rPr/>
        <w:t>，主要系本期公司执行新金融工具准则，列报科目调整所致。</w:t>
      </w:r>
    </w:p>
    <w:p>
      <w:pPr>
        <w:pStyle w:val="BodyText"/>
        <w:spacing w:line="240" w:lineRule="auto" w:before="102"/>
        <w:ind w:left="513" w:right="0"/>
        <w:jc w:val="left"/>
      </w:pPr>
      <w:r>
        <w:rPr>
          <w:rFonts w:ascii="Times New Roman" w:hAnsi="Times New Roman" w:cs="Times New Roman" w:eastAsia="Times New Roman" w:hint="default"/>
        </w:rPr>
        <w:t>3</w:t>
      </w:r>
      <w:r>
        <w:rPr/>
        <w:t>、长期应收款较年初增加</w:t>
      </w:r>
      <w:r>
        <w:rPr>
          <w:rFonts w:ascii="Times New Roman" w:hAnsi="Times New Roman" w:cs="Times New Roman" w:eastAsia="Times New Roman" w:hint="default"/>
        </w:rPr>
        <w:t>353.34%</w:t>
      </w:r>
      <w:r>
        <w:rPr/>
        <w:t>，主要系本期公司舞钢智慧城市项目建设投入增加所致。</w:t>
      </w:r>
    </w:p>
    <w:p>
      <w:pPr>
        <w:pStyle w:val="BodyText"/>
        <w:spacing w:line="302" w:lineRule="auto" w:before="101"/>
        <w:ind w:right="0" w:firstLine="373"/>
        <w:jc w:val="left"/>
      </w:pPr>
      <w:r>
        <w:rPr>
          <w:rFonts w:ascii="Times New Roman" w:hAnsi="Times New Roman" w:cs="Times New Roman" w:eastAsia="Times New Roman" w:hint="default"/>
          <w:spacing w:val="-1"/>
        </w:rPr>
        <w:t>4</w:t>
      </w:r>
      <w:r>
        <w:rPr>
          <w:spacing w:val="-1"/>
        </w:rPr>
        <w:t>、长期股权投资较年初减少</w:t>
      </w:r>
      <w:r>
        <w:rPr>
          <w:rFonts w:ascii="Times New Roman" w:hAnsi="Times New Roman" w:cs="Times New Roman" w:eastAsia="Times New Roman" w:hint="default"/>
          <w:spacing w:val="-1"/>
        </w:rPr>
        <w:t>46.45%</w:t>
      </w:r>
      <w:r>
        <w:rPr>
          <w:spacing w:val="-1"/>
        </w:rPr>
        <w:t>，主要系本期公司收购北京英特莱技术公司持有的赛孚纺织股权，赛孚纺织由联营</w:t>
      </w:r>
      <w:r>
        <w:rPr/>
        <w:t> 企业成为公司全资子公司，公司对其由权益法改为成本法核算所致。</w:t>
      </w:r>
    </w:p>
    <w:p>
      <w:pPr>
        <w:pStyle w:val="BodyText"/>
        <w:spacing w:line="240" w:lineRule="auto" w:before="70"/>
        <w:ind w:left="514" w:right="0"/>
        <w:jc w:val="left"/>
      </w:pPr>
      <w:r>
        <w:rPr>
          <w:rFonts w:ascii="Times New Roman" w:hAnsi="Times New Roman" w:cs="Times New Roman" w:eastAsia="Times New Roman" w:hint="default"/>
        </w:rPr>
        <w:t>5</w:t>
      </w:r>
      <w:r>
        <w:rPr/>
        <w:t>、在建工程较年初减少</w:t>
      </w:r>
      <w:r>
        <w:rPr>
          <w:rFonts w:ascii="Times New Roman" w:hAnsi="Times New Roman" w:cs="Times New Roman" w:eastAsia="Times New Roman" w:hint="default"/>
        </w:rPr>
        <w:t>35.36%</w:t>
      </w:r>
      <w:r>
        <w:rPr/>
        <w:t>，主要系本期云数据中心一期工程部分完工转入固定资产所致。</w:t>
      </w:r>
    </w:p>
    <w:p>
      <w:pPr>
        <w:pStyle w:val="BodyText"/>
        <w:spacing w:line="302" w:lineRule="auto" w:before="101"/>
        <w:ind w:right="0" w:firstLine="360"/>
        <w:jc w:val="left"/>
      </w:pPr>
      <w:r>
        <w:rPr>
          <w:rFonts w:ascii="Times New Roman" w:hAnsi="Times New Roman" w:cs="Times New Roman" w:eastAsia="Times New Roman" w:hint="default"/>
          <w:spacing w:val="-1"/>
        </w:rPr>
        <w:t>6</w:t>
      </w:r>
      <w:r>
        <w:rPr>
          <w:spacing w:val="-1"/>
        </w:rPr>
        <w:t>、开发支出较年初增加</w:t>
      </w:r>
      <w:r>
        <w:rPr>
          <w:rFonts w:ascii="Times New Roman" w:hAnsi="Times New Roman" w:cs="Times New Roman" w:eastAsia="Times New Roman" w:hint="default"/>
          <w:spacing w:val="-1"/>
        </w:rPr>
        <w:t>34.20%</w:t>
      </w:r>
      <w:r>
        <w:rPr>
          <w:spacing w:val="-1"/>
        </w:rPr>
        <w:t>，主要系本期软件板块加大研发投入，研发项目较多，且法律风险智能评估系统、诉讼</w:t>
      </w:r>
      <w:r>
        <w:rPr/>
        <w:t> 保全平台项目等项目研发投入金额较大所致。</w:t>
      </w:r>
    </w:p>
    <w:p>
      <w:pPr>
        <w:pStyle w:val="BodyText"/>
        <w:spacing w:line="240" w:lineRule="auto" w:before="69"/>
        <w:ind w:left="514" w:right="0"/>
        <w:jc w:val="left"/>
      </w:pPr>
      <w:r>
        <w:rPr>
          <w:rFonts w:ascii="Times New Roman" w:hAnsi="Times New Roman" w:cs="Times New Roman" w:eastAsia="Times New Roman" w:hint="default"/>
        </w:rPr>
        <w:t>7</w:t>
      </w:r>
      <w:r>
        <w:rPr/>
        <w:t>、其他非流动资产较年初增加</w:t>
      </w:r>
      <w:r>
        <w:rPr>
          <w:rFonts w:ascii="Times New Roman" w:hAnsi="Times New Roman" w:cs="Times New Roman" w:eastAsia="Times New Roman" w:hint="default"/>
        </w:rPr>
        <w:t>14,164</w:t>
      </w:r>
      <w:r>
        <w:rPr/>
        <w:t>万元，主要系本期公司将在预付账款中核算的土地款重分类至本科目所致。</w:t>
      </w:r>
    </w:p>
    <w:p>
      <w:pPr>
        <w:pStyle w:val="BodyText"/>
        <w:spacing w:line="240" w:lineRule="auto" w:before="103"/>
        <w:ind w:left="514" w:right="0"/>
        <w:jc w:val="left"/>
      </w:pPr>
      <w:r>
        <w:rPr>
          <w:rFonts w:ascii="Times New Roman" w:hAnsi="Times New Roman" w:cs="Times New Roman" w:eastAsia="Times New Roman" w:hint="default"/>
        </w:rPr>
        <w:t>8</w:t>
      </w:r>
      <w:r>
        <w:rPr/>
        <w:t>、应付职工薪酬较年初增加</w:t>
      </w:r>
      <w:r>
        <w:rPr>
          <w:rFonts w:ascii="Times New Roman" w:hAnsi="Times New Roman" w:cs="Times New Roman" w:eastAsia="Times New Roman" w:hint="default"/>
        </w:rPr>
        <w:t>36.35%</w:t>
      </w:r>
      <w:r>
        <w:rPr/>
        <w:t>，主要系报告期计提工资及社保金未付所致。</w:t>
      </w:r>
    </w:p>
    <w:p>
      <w:pPr>
        <w:pStyle w:val="BodyText"/>
        <w:spacing w:line="302" w:lineRule="auto" w:before="101"/>
        <w:ind w:right="0" w:firstLine="360"/>
        <w:jc w:val="left"/>
      </w:pPr>
      <w:r>
        <w:rPr>
          <w:rFonts w:ascii="Times New Roman" w:hAnsi="Times New Roman" w:cs="Times New Roman" w:eastAsia="Times New Roman" w:hint="default"/>
          <w:spacing w:val="-1"/>
        </w:rPr>
        <w:t>9</w:t>
      </w:r>
      <w:r>
        <w:rPr>
          <w:spacing w:val="-1"/>
        </w:rPr>
        <w:t>、其他应付款较年初减少</w:t>
      </w:r>
      <w:r>
        <w:rPr>
          <w:rFonts w:ascii="Times New Roman" w:hAnsi="Times New Roman" w:cs="Times New Roman" w:eastAsia="Times New Roman" w:hint="default"/>
          <w:spacing w:val="-1"/>
        </w:rPr>
        <w:t>42.53%</w:t>
      </w:r>
      <w:r>
        <w:rPr>
          <w:spacing w:val="-1"/>
        </w:rPr>
        <w:t>，主要系本期子公司北明软件支付股权收购款，以及将不必支付金实盈信原股东的股</w:t>
      </w:r>
      <w:r>
        <w:rPr/>
        <w:t> 权对价款转入营业外收入所致。</w:t>
      </w:r>
    </w:p>
    <w:p>
      <w:pPr>
        <w:pStyle w:val="BodyText"/>
        <w:spacing w:line="302" w:lineRule="auto" w:before="68"/>
        <w:ind w:right="0" w:firstLine="360"/>
        <w:jc w:val="left"/>
      </w:pPr>
      <w:r>
        <w:rPr>
          <w:rFonts w:ascii="Times New Roman" w:hAnsi="Times New Roman" w:cs="Times New Roman" w:eastAsia="Times New Roman" w:hint="default"/>
          <w:spacing w:val="-1"/>
        </w:rPr>
        <w:t>10</w:t>
      </w:r>
      <w:r>
        <w:rPr>
          <w:spacing w:val="-1"/>
        </w:rPr>
        <w:t>、一年内到期的非流动负债较年初增加</w:t>
      </w:r>
      <w:r>
        <w:rPr>
          <w:rFonts w:ascii="Times New Roman" w:hAnsi="Times New Roman" w:cs="Times New Roman" w:eastAsia="Times New Roman" w:hint="default"/>
          <w:spacing w:val="-1"/>
        </w:rPr>
        <w:t>531.06%</w:t>
      </w:r>
      <w:r>
        <w:rPr>
          <w:spacing w:val="-1"/>
        </w:rPr>
        <w:t>，主要系本期将一年内到期的长期借款及融资租赁款转入一年内到期</w:t>
      </w:r>
      <w:r>
        <w:rPr/>
        <w:t> 的非流动负债所致。</w:t>
      </w:r>
    </w:p>
    <w:p>
      <w:pPr>
        <w:pStyle w:val="BodyText"/>
        <w:spacing w:line="240" w:lineRule="auto" w:before="70"/>
        <w:ind w:left="514" w:right="0"/>
        <w:jc w:val="left"/>
      </w:pPr>
      <w:r>
        <w:rPr>
          <w:rFonts w:ascii="Times New Roman" w:hAnsi="Times New Roman" w:cs="Times New Roman" w:eastAsia="Times New Roman" w:hint="default"/>
        </w:rPr>
        <w:t>11</w:t>
      </w:r>
      <w:r>
        <w:rPr/>
        <w:t>、长期借款较年初减少</w:t>
      </w:r>
      <w:r>
        <w:rPr>
          <w:rFonts w:ascii="Times New Roman" w:hAnsi="Times New Roman" w:cs="Times New Roman" w:eastAsia="Times New Roman" w:hint="default"/>
        </w:rPr>
        <w:t>55.60%</w:t>
      </w:r>
      <w:r>
        <w:rPr/>
        <w:t>，主要系本期将一年内到期的长期借款转入一年内到期的非流动负债所致。</w:t>
      </w:r>
    </w:p>
    <w:p>
      <w:pPr>
        <w:pStyle w:val="BodyText"/>
        <w:spacing w:line="240" w:lineRule="auto" w:before="102"/>
        <w:ind w:left="514" w:right="0"/>
        <w:jc w:val="left"/>
      </w:pPr>
      <w:r>
        <w:rPr>
          <w:rFonts w:ascii="Times New Roman" w:hAnsi="Times New Roman" w:cs="Times New Roman" w:eastAsia="Times New Roman" w:hint="default"/>
        </w:rPr>
        <w:t>12</w:t>
      </w:r>
      <w:r>
        <w:rPr/>
        <w:t>、长期应付款较年初增加</w:t>
      </w:r>
      <w:r>
        <w:rPr>
          <w:rFonts w:ascii="Times New Roman" w:hAnsi="Times New Roman" w:cs="Times New Roman" w:eastAsia="Times New Roman" w:hint="default"/>
        </w:rPr>
        <w:t>96.23%</w:t>
      </w:r>
      <w:r>
        <w:rPr/>
        <w:t>，主要系本期公司收到融资租赁款影响所致。</w:t>
      </w:r>
    </w:p>
    <w:p>
      <w:pPr>
        <w:pStyle w:val="BodyText"/>
        <w:spacing w:line="240" w:lineRule="auto" w:before="102"/>
        <w:ind w:left="514" w:right="0"/>
        <w:jc w:val="left"/>
      </w:pPr>
      <w:r>
        <w:rPr>
          <w:rFonts w:ascii="Times New Roman" w:hAnsi="Times New Roman" w:cs="Times New Roman" w:eastAsia="Times New Roman" w:hint="default"/>
        </w:rPr>
        <w:t>13</w:t>
      </w:r>
      <w:r>
        <w:rPr/>
        <w:t>、递延收益较年初增加</w:t>
      </w:r>
      <w:r>
        <w:rPr>
          <w:rFonts w:ascii="Times New Roman" w:hAnsi="Times New Roman" w:cs="Times New Roman" w:eastAsia="Times New Roman" w:hint="default"/>
        </w:rPr>
        <w:t>30.50%</w:t>
      </w:r>
      <w:r>
        <w:rPr/>
        <w:t>，主要系本期公司收到的政府搬迁补助增加所致。</w:t>
      </w:r>
    </w:p>
    <w:p>
      <w:pPr>
        <w:spacing w:after="0" w:line="240" w:lineRule="auto"/>
        <w:jc w:val="left"/>
        <w:sectPr>
          <w:pgSz w:w="11910" w:h="16840"/>
          <w:pgMar w:header="747" w:footer="982" w:top="1060" w:bottom="118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513" w:right="0"/>
        <w:jc w:val="left"/>
      </w:pPr>
      <w:r>
        <w:rPr>
          <w:rFonts w:ascii="Times New Roman" w:hAnsi="Times New Roman" w:cs="Times New Roman" w:eastAsia="Times New Roman" w:hint="default"/>
        </w:rPr>
        <w:t>14</w:t>
      </w:r>
      <w:r>
        <w:rPr/>
        <w:t>、库存股较年初减少</w:t>
      </w:r>
      <w:r>
        <w:rPr>
          <w:rFonts w:ascii="Times New Roman" w:hAnsi="Times New Roman" w:cs="Times New Roman" w:eastAsia="Times New Roman" w:hint="default"/>
        </w:rPr>
        <w:t>100%</w:t>
      </w:r>
      <w:r>
        <w:rPr/>
        <w:t>，主要系本期公司注销以集中竞价交易方式回购公司股份所致。</w:t>
      </w:r>
    </w:p>
    <w:p>
      <w:pPr>
        <w:pStyle w:val="BodyText"/>
        <w:spacing w:line="240" w:lineRule="auto" w:before="102"/>
        <w:ind w:left="513" w:right="0"/>
        <w:jc w:val="left"/>
      </w:pPr>
      <w:r>
        <w:rPr>
          <w:rFonts w:ascii="Times New Roman" w:hAnsi="Times New Roman" w:cs="Times New Roman" w:eastAsia="Times New Roman" w:hint="default"/>
        </w:rPr>
        <w:t>15</w:t>
      </w:r>
      <w:r>
        <w:rPr/>
        <w:t>、研发费用较年初增加</w:t>
      </w:r>
      <w:r>
        <w:rPr>
          <w:rFonts w:ascii="Times New Roman" w:hAnsi="Times New Roman" w:cs="Times New Roman" w:eastAsia="Times New Roman" w:hint="default"/>
        </w:rPr>
        <w:t>161.83%</w:t>
      </w:r>
      <w:r>
        <w:rPr/>
        <w:t>，主要系本报告期公司软件板块研发项目数量及投入增加所致。</w:t>
      </w:r>
    </w:p>
    <w:p>
      <w:pPr>
        <w:pStyle w:val="BodyText"/>
        <w:spacing w:line="302" w:lineRule="auto" w:before="102"/>
        <w:ind w:left="153" w:right="0" w:firstLine="360"/>
        <w:jc w:val="left"/>
      </w:pPr>
      <w:r>
        <w:rPr>
          <w:rFonts w:ascii="Times New Roman" w:hAnsi="Times New Roman" w:cs="Times New Roman" w:eastAsia="Times New Roman" w:hint="default"/>
          <w:spacing w:val="-1"/>
        </w:rPr>
        <w:t>16</w:t>
      </w:r>
      <w:r>
        <w:rPr>
          <w:spacing w:val="-1"/>
        </w:rPr>
        <w:t>、投资收益较年初减少</w:t>
      </w:r>
      <w:r>
        <w:rPr>
          <w:rFonts w:ascii="Times New Roman" w:hAnsi="Times New Roman" w:cs="Times New Roman" w:eastAsia="Times New Roman" w:hint="default"/>
          <w:spacing w:val="-1"/>
        </w:rPr>
        <w:t>140.85%</w:t>
      </w:r>
      <w:r>
        <w:rPr>
          <w:spacing w:val="-1"/>
        </w:rPr>
        <w:t>，主要系本期公司赛孚纺织由原来的联营企业合并成为公司全资子公司，公司对其改</w:t>
      </w:r>
      <w:r>
        <w:rPr/>
        <w:t> 按成本法进行核算，确认的投资损失所致。</w:t>
      </w:r>
    </w:p>
    <w:p>
      <w:pPr>
        <w:pStyle w:val="BodyText"/>
        <w:spacing w:line="302" w:lineRule="auto" w:before="68"/>
        <w:ind w:left="153" w:right="0" w:firstLine="360"/>
        <w:jc w:val="left"/>
      </w:pPr>
      <w:r>
        <w:rPr>
          <w:rFonts w:ascii="Times New Roman" w:hAnsi="Times New Roman" w:cs="Times New Roman" w:eastAsia="Times New Roman" w:hint="default"/>
          <w:spacing w:val="-1"/>
        </w:rPr>
        <w:t>17</w:t>
      </w:r>
      <w:r>
        <w:rPr>
          <w:spacing w:val="-1"/>
        </w:rPr>
        <w:t>、信用减值损失</w:t>
      </w:r>
      <w:r>
        <w:rPr>
          <w:rFonts w:ascii="Times New Roman" w:hAnsi="Times New Roman" w:cs="Times New Roman" w:eastAsia="Times New Roman" w:hint="default"/>
          <w:spacing w:val="-1"/>
        </w:rPr>
        <w:t>-6,748</w:t>
      </w:r>
      <w:r>
        <w:rPr>
          <w:spacing w:val="-1"/>
        </w:rPr>
        <w:t>万元，主要系本期公司执行《关于修订印发</w:t>
      </w:r>
      <w:r>
        <w:rPr>
          <w:rFonts w:ascii="Times New Roman" w:hAnsi="Times New Roman" w:cs="Times New Roman" w:eastAsia="Times New Roman" w:hint="default"/>
          <w:spacing w:val="-1"/>
        </w:rPr>
        <w:t>2019</w:t>
      </w:r>
      <w:r>
        <w:rPr>
          <w:spacing w:val="-1"/>
        </w:rPr>
        <w:t>年度一般企业财务报表格式的通知》，将计提</w:t>
      </w:r>
      <w:r>
        <w:rPr/>
        <w:t> 的坏账损失从资产减值损失科目调整至本科目所致。</w:t>
      </w:r>
    </w:p>
    <w:p>
      <w:pPr>
        <w:pStyle w:val="BodyText"/>
        <w:spacing w:line="302" w:lineRule="auto" w:before="68"/>
        <w:ind w:left="153" w:right="0" w:firstLine="360"/>
        <w:jc w:val="left"/>
      </w:pPr>
      <w:r>
        <w:rPr>
          <w:rFonts w:ascii="Times New Roman" w:hAnsi="Times New Roman" w:cs="Times New Roman" w:eastAsia="Times New Roman" w:hint="default"/>
        </w:rPr>
        <w:t>18</w:t>
      </w:r>
      <w:r>
        <w:rPr/>
        <w:t>、资产减值损失较去年同期减少</w:t>
      </w:r>
      <w:r>
        <w:rPr>
          <w:rFonts w:ascii="Times New Roman" w:hAnsi="Times New Roman" w:cs="Times New Roman" w:eastAsia="Times New Roman" w:hint="default"/>
        </w:rPr>
        <w:t>56.55%</w:t>
      </w:r>
      <w:r>
        <w:rPr/>
        <w:t>，主要系本期公司执行《关于修订印发</w:t>
      </w:r>
      <w:r>
        <w:rPr>
          <w:rFonts w:ascii="Times New Roman" w:hAnsi="Times New Roman" w:cs="Times New Roman" w:eastAsia="Times New Roman" w:hint="default"/>
        </w:rPr>
        <w:t>2019</w:t>
      </w:r>
      <w:r>
        <w:rPr/>
        <w:t>年度一般企业财务报表格式的通 知》，将计提的坏账损失从资产减值损失科目调整至信用减值损失科目所致。</w:t>
      </w:r>
    </w:p>
    <w:p>
      <w:pPr>
        <w:pStyle w:val="BodyText"/>
        <w:spacing w:line="302" w:lineRule="auto" w:before="69"/>
        <w:ind w:left="153" w:right="0" w:firstLine="360"/>
        <w:jc w:val="left"/>
      </w:pPr>
      <w:r>
        <w:rPr>
          <w:rFonts w:ascii="Times New Roman" w:hAnsi="Times New Roman" w:cs="Times New Roman" w:eastAsia="Times New Roman" w:hint="default"/>
          <w:spacing w:val="-4"/>
        </w:rPr>
        <w:t>19</w:t>
      </w:r>
      <w:r>
        <w:rPr>
          <w:spacing w:val="-4"/>
        </w:rPr>
        <w:t>、资产处置收益较去年同期增加</w:t>
      </w:r>
      <w:r>
        <w:rPr>
          <w:rFonts w:ascii="Times New Roman" w:hAnsi="Times New Roman" w:cs="Times New Roman" w:eastAsia="Times New Roman" w:hint="default"/>
          <w:spacing w:val="-4"/>
        </w:rPr>
        <w:t>1285.63%</w:t>
      </w:r>
      <w:r>
        <w:rPr>
          <w:spacing w:val="-4"/>
        </w:rPr>
        <w:t>，主要系公司按照常山赵纺与赵县土地储备中心签订的《房地产收购合同》，</w:t>
      </w:r>
      <w:r>
        <w:rPr/>
        <w:t> 将取得的补偿款与该土地及房屋账面价值的差额确认为资产处置收益所致。</w:t>
      </w:r>
    </w:p>
    <w:p>
      <w:pPr>
        <w:pStyle w:val="BodyText"/>
        <w:spacing w:line="302" w:lineRule="auto" w:before="68"/>
        <w:ind w:left="153" w:right="0" w:firstLine="360"/>
        <w:jc w:val="left"/>
      </w:pPr>
      <w:r>
        <w:rPr>
          <w:rFonts w:ascii="Times New Roman" w:hAnsi="Times New Roman" w:cs="Times New Roman" w:eastAsia="Times New Roman" w:hint="default"/>
        </w:rPr>
        <w:t>20</w:t>
      </w:r>
      <w:r>
        <w:rPr/>
        <w:t>、营业利润较去年同期减少</w:t>
      </w:r>
      <w:r>
        <w:rPr>
          <w:rFonts w:ascii="Times New Roman" w:hAnsi="Times New Roman" w:cs="Times New Roman" w:eastAsia="Times New Roman" w:hint="default"/>
        </w:rPr>
        <w:t>53.97%</w:t>
      </w:r>
      <w:r>
        <w:rPr/>
        <w:t>，主要系公司软件板块研发费用较同期显著增加；纺织板块受持续升级的中美贸 易摩擦影响盈利能力下降，以及计提存货跌价准备多于同期所致。</w:t>
      </w:r>
    </w:p>
    <w:p>
      <w:pPr>
        <w:pStyle w:val="BodyText"/>
        <w:spacing w:line="240" w:lineRule="auto" w:before="69"/>
        <w:ind w:left="513" w:right="0"/>
        <w:jc w:val="left"/>
      </w:pPr>
      <w:r>
        <w:rPr>
          <w:rFonts w:ascii="Times New Roman" w:hAnsi="Times New Roman" w:cs="Times New Roman" w:eastAsia="Times New Roman" w:hint="default"/>
        </w:rPr>
        <w:t>21</w:t>
      </w:r>
      <w:r>
        <w:rPr/>
        <w:t>、营业外收入较去年同期减少</w:t>
      </w:r>
      <w:r>
        <w:rPr>
          <w:rFonts w:ascii="Times New Roman" w:hAnsi="Times New Roman" w:cs="Times New Roman" w:eastAsia="Times New Roman" w:hint="default"/>
        </w:rPr>
        <w:t>35.81%</w:t>
      </w:r>
      <w:r>
        <w:rPr/>
        <w:t>，主要系公司子公司北明软件无需支付的股权转让款较同期减少所致。</w:t>
      </w:r>
    </w:p>
    <w:p>
      <w:pPr>
        <w:pStyle w:val="BodyText"/>
        <w:spacing w:line="302" w:lineRule="auto" w:before="102"/>
        <w:ind w:right="0" w:firstLine="360"/>
        <w:jc w:val="left"/>
      </w:pPr>
      <w:r>
        <w:rPr>
          <w:rFonts w:ascii="Times New Roman" w:hAnsi="Times New Roman" w:cs="Times New Roman" w:eastAsia="Times New Roman" w:hint="default"/>
          <w:spacing w:val="-1"/>
        </w:rPr>
        <w:t>22</w:t>
      </w:r>
      <w:r>
        <w:rPr>
          <w:spacing w:val="-1"/>
        </w:rPr>
        <w:t>、营业外支出较去年同期增加</w:t>
      </w:r>
      <w:r>
        <w:rPr>
          <w:rFonts w:ascii="Times New Roman" w:hAnsi="Times New Roman" w:cs="Times New Roman" w:eastAsia="Times New Roman" w:hint="default"/>
          <w:spacing w:val="-1"/>
        </w:rPr>
        <w:t>296.63%</w:t>
      </w:r>
      <w:r>
        <w:rPr>
          <w:spacing w:val="-1"/>
        </w:rPr>
        <w:t>，主要系本期将代替赔偿义务人垫付的棉五火灾赔偿款计入营业外支出、确认</w:t>
      </w:r>
      <w:r>
        <w:rPr/>
        <w:t> 新疆恒宏项目在建工程损失等所致。</w:t>
      </w:r>
    </w:p>
    <w:p>
      <w:pPr>
        <w:pStyle w:val="BodyText"/>
        <w:spacing w:line="240" w:lineRule="auto" w:before="69"/>
        <w:ind w:left="514" w:right="0"/>
        <w:jc w:val="left"/>
      </w:pPr>
      <w:r>
        <w:rPr>
          <w:rFonts w:ascii="Times New Roman" w:hAnsi="Times New Roman" w:cs="Times New Roman" w:eastAsia="Times New Roman" w:hint="default"/>
        </w:rPr>
        <w:t>23</w:t>
      </w:r>
      <w:r>
        <w:rPr/>
        <w:t>、利润总额较去年同期减少</w:t>
      </w:r>
      <w:r>
        <w:rPr>
          <w:rFonts w:ascii="Times New Roman" w:hAnsi="Times New Roman" w:cs="Times New Roman" w:eastAsia="Times New Roman" w:hint="default"/>
        </w:rPr>
        <w:t>55.01%</w:t>
      </w:r>
      <w:r>
        <w:rPr/>
        <w:t>，主要系本期公司营业利润、营业外收入同比减少，营业外支出同比增加所致。</w:t>
      </w:r>
    </w:p>
    <w:p>
      <w:pPr>
        <w:pStyle w:val="BodyText"/>
        <w:spacing w:line="240" w:lineRule="auto" w:before="102"/>
        <w:ind w:left="514" w:right="0"/>
        <w:jc w:val="left"/>
      </w:pPr>
      <w:r>
        <w:rPr>
          <w:rFonts w:ascii="Times New Roman" w:hAnsi="Times New Roman" w:cs="Times New Roman" w:eastAsia="Times New Roman" w:hint="default"/>
        </w:rPr>
        <w:t>24</w:t>
      </w:r>
      <w:r>
        <w:rPr/>
        <w:t>、所得税费用较去年同期减少</w:t>
      </w:r>
      <w:r>
        <w:rPr>
          <w:rFonts w:ascii="Times New Roman" w:hAnsi="Times New Roman" w:cs="Times New Roman" w:eastAsia="Times New Roman" w:hint="default"/>
        </w:rPr>
        <w:t>68.96%</w:t>
      </w:r>
      <w:r>
        <w:rPr/>
        <w:t>，主要系本期公司递延所得税同比减少所致。</w:t>
      </w:r>
    </w:p>
    <w:p>
      <w:pPr>
        <w:pStyle w:val="BodyText"/>
        <w:spacing w:line="240" w:lineRule="auto" w:before="103"/>
        <w:ind w:left="514" w:right="0"/>
        <w:jc w:val="left"/>
      </w:pPr>
      <w:r>
        <w:rPr>
          <w:rFonts w:ascii="Times New Roman" w:hAnsi="Times New Roman" w:cs="Times New Roman" w:eastAsia="Times New Roman" w:hint="default"/>
        </w:rPr>
        <w:t>25</w:t>
      </w:r>
      <w:r>
        <w:rPr/>
        <w:t>、净利润较去年同期减少</w:t>
      </w:r>
      <w:r>
        <w:rPr>
          <w:rFonts w:ascii="Times New Roman" w:hAnsi="Times New Roman" w:cs="Times New Roman" w:eastAsia="Times New Roman" w:hint="default"/>
        </w:rPr>
        <w:t>47.95%</w:t>
      </w:r>
      <w:r>
        <w:rPr/>
        <w:t>，主要系本期公司利润总额同比减少所致。</w:t>
      </w:r>
    </w:p>
    <w:p>
      <w:pPr>
        <w:pStyle w:val="BodyText"/>
        <w:spacing w:line="302" w:lineRule="auto" w:before="101"/>
        <w:ind w:right="0" w:firstLine="360"/>
        <w:jc w:val="left"/>
      </w:pPr>
      <w:r>
        <w:rPr>
          <w:rFonts w:ascii="Times New Roman" w:hAnsi="Times New Roman" w:cs="Times New Roman" w:eastAsia="Times New Roman" w:hint="default"/>
        </w:rPr>
        <w:t>26</w:t>
      </w:r>
      <w:r>
        <w:rPr/>
        <w:t>、经营活动产生的现金流量净额同比减少</w:t>
      </w:r>
      <w:r>
        <w:rPr>
          <w:rFonts w:ascii="Times New Roman" w:hAnsi="Times New Roman" w:cs="Times New Roman" w:eastAsia="Times New Roman" w:hint="default"/>
        </w:rPr>
        <w:t>65.35%</w:t>
      </w:r>
      <w:r>
        <w:rPr/>
        <w:t>，主要系本期营业收入及销售回款减少影响销售商品、提供劳务收 到的现金减少所致。</w:t>
      </w:r>
    </w:p>
    <w:p>
      <w:pPr>
        <w:pStyle w:val="BodyText"/>
        <w:spacing w:line="240" w:lineRule="auto" w:before="69"/>
        <w:ind w:left="514" w:right="0"/>
        <w:jc w:val="left"/>
      </w:pPr>
      <w:r>
        <w:rPr>
          <w:rFonts w:ascii="Times New Roman" w:hAnsi="Times New Roman" w:cs="Times New Roman" w:eastAsia="Times New Roman" w:hint="default"/>
        </w:rPr>
        <w:t>27</w:t>
      </w:r>
      <w:r>
        <w:rPr/>
        <w:t>、筹资活动产生的现金流量净额同比减少</w:t>
      </w:r>
      <w:r>
        <w:rPr>
          <w:rFonts w:ascii="Times New Roman" w:hAnsi="Times New Roman" w:cs="Times New Roman" w:eastAsia="Times New Roman" w:hint="default"/>
        </w:rPr>
        <w:t>188.37%</w:t>
      </w:r>
      <w:r>
        <w:rPr/>
        <w:t>，主要系本期支付股份回购款</w:t>
      </w:r>
      <w:r>
        <w:rPr>
          <w:rFonts w:ascii="Times New Roman" w:hAnsi="Times New Roman" w:cs="Times New Roman" w:eastAsia="Times New Roman" w:hint="default"/>
        </w:rPr>
        <w:t>2.73</w:t>
      </w:r>
      <w:r>
        <w:rPr/>
        <w:t>亿元所致。</w:t>
      </w:r>
    </w:p>
    <w:p>
      <w:pPr>
        <w:pStyle w:val="BodyText"/>
        <w:spacing w:line="302" w:lineRule="auto" w:before="102"/>
        <w:ind w:right="0" w:firstLine="360"/>
        <w:jc w:val="left"/>
      </w:pPr>
      <w:r>
        <w:rPr>
          <w:rFonts w:ascii="Times New Roman" w:hAnsi="Times New Roman" w:cs="Times New Roman" w:eastAsia="Times New Roman" w:hint="default"/>
          <w:spacing w:val="-1"/>
        </w:rPr>
        <w:t>28</w:t>
      </w:r>
      <w:r>
        <w:rPr>
          <w:spacing w:val="-1"/>
        </w:rPr>
        <w:t>、现金及现金等价物净增加额同比减少</w:t>
      </w:r>
      <w:r>
        <w:rPr>
          <w:rFonts w:ascii="Times New Roman" w:hAnsi="Times New Roman" w:cs="Times New Roman" w:eastAsia="Times New Roman" w:hint="default"/>
          <w:spacing w:val="-1"/>
        </w:rPr>
        <w:t>143.32%</w:t>
      </w:r>
      <w:r>
        <w:rPr>
          <w:spacing w:val="-1"/>
        </w:rPr>
        <w:t>，主要系经营活动产生的现金流量净额、筹资活动产生的现金流量净</w:t>
      </w:r>
      <w:r>
        <w:rPr/>
        <w:t> 额同比减少所致。</w:t>
      </w:r>
    </w:p>
    <w:p>
      <w:pPr>
        <w:spacing w:after="0" w:line="302"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6" w:right="0"/>
        <w:jc w:val="left"/>
        <w:rPr>
          <w:b w:val="0"/>
          <w:bCs w:val="0"/>
        </w:rPr>
      </w:pPr>
      <w:bookmarkStart w:name="_TOC_250000" w:id="13"/>
      <w:r>
        <w:rPr/>
        <w:t>第十三节</w:t>
      </w:r>
      <w:r>
        <w:rPr>
          <w:spacing w:val="-9"/>
        </w:rPr>
        <w:t> </w:t>
      </w:r>
      <w:r>
        <w:rPr/>
        <w:t>备查文件目录</w:t>
      </w:r>
      <w:bookmarkEnd w:id="13"/>
      <w:r>
        <w:rPr>
          <w:b w:val="0"/>
          <w:bCs w:val="0"/>
        </w:rPr>
      </w:r>
    </w:p>
    <w:p>
      <w:pPr>
        <w:spacing w:line="240" w:lineRule="auto" w:before="6"/>
        <w:rPr>
          <w:rFonts w:ascii="宋体" w:hAnsi="宋体" w:cs="宋体" w:eastAsia="宋体" w:hint="default"/>
          <w:b/>
          <w:bCs/>
          <w:sz w:val="42"/>
          <w:szCs w:val="42"/>
        </w:rPr>
      </w:pPr>
    </w:p>
    <w:p>
      <w:pPr>
        <w:pStyle w:val="BodyText"/>
        <w:spacing w:line="316" w:lineRule="auto"/>
        <w:ind w:left="153" w:right="3551"/>
        <w:jc w:val="left"/>
      </w:pPr>
      <w:r>
        <w:rPr/>
        <w:t>一、载有公司法定代表人签字和公司盖章的本次年报摘要及全文。 二、载有公司法定代表人、主管会计工作负责人、会计机构负责人签名并盖章的财务报表。 三、载有会计师事务所盖章、注册会计师签名并盖章的审计报告原件。 四、报告期内在中国证监会指定报纸上公开披露过的所有文件的正本及公告的原稿。</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2"/>
          <w:szCs w:val="22"/>
        </w:rPr>
      </w:pPr>
    </w:p>
    <w:p>
      <w:pPr>
        <w:pStyle w:val="BodyText"/>
        <w:spacing w:line="240" w:lineRule="auto"/>
        <w:ind w:left="4744" w:right="0"/>
        <w:jc w:val="left"/>
      </w:pPr>
      <w:r>
        <w:rPr/>
        <w:t>石家庄常山北明科技股份有限公司董事会</w:t>
      </w:r>
    </w:p>
    <w:p>
      <w:pPr>
        <w:pStyle w:val="BodyText"/>
        <w:spacing w:line="240" w:lineRule="auto" w:before="116"/>
        <w:ind w:left="4610" w:right="3077"/>
        <w:jc w:val="center"/>
      </w:pP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w:t>
      </w:r>
    </w:p>
    <w:sectPr>
      <w:pgSz w:w="11910" w:h="16840"/>
      <w:pgMar w:header="747" w:footer="982" w:top="1060" w:bottom="118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363024" type="#_x0000_t75" stroked="false">
          <v:imagedata r:id="rId1" o:title=""/>
        </v:shape>
      </w:pict>
    </w:r>
    <w:r>
      <w:rPr/>
      <w:pict>
        <v:shape style="position:absolute;margin-left:533.119873pt;margin-top:795.457642pt;width:6.5pt;height:11pt;mso-position-horizontal-relative:page;mso-position-vertical-relative:page;z-index:-136300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362976" type="#_x0000_t75" stroked="false">
          <v:imagedata r:id="rId1" o:title=""/>
        </v:shape>
      </w:pict>
    </w:r>
    <w:r>
      <w:rPr/>
      <w:pict>
        <v:shape style="position:absolute;margin-left:527.619873pt;margin-top:781.897522pt;width:13pt;height:11pt;mso-position-horizontal-relative:page;mso-position-vertical-relative:page;z-index:-13629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362928" type="#_x0000_t75" stroked="false">
          <v:imagedata r:id="rId1" o:title=""/>
        </v:shape>
      </w:pict>
    </w:r>
    <w:r>
      <w:rPr/>
      <w:pict>
        <v:shape style="position:absolute;margin-left:524.119873pt;margin-top:781.897522pt;width:15.5pt;height:11pt;mso-position-horizontal-relative:page;mso-position-vertical-relative:page;z-index:-136290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362880" type="#_x0000_t75" stroked="false">
          <v:imagedata r:id="rId1" o:title=""/>
        </v:shape>
      </w:pict>
    </w:r>
    <w:r>
      <w:rPr/>
      <w:pict>
        <v:shape style="position:absolute;margin-left:523.119873pt;margin-top:781.897522pt;width:17.5pt;height:11pt;mso-position-horizontal-relative:page;mso-position-vertical-relative:page;z-index:-13628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362832" type="#_x0000_t75" stroked="false">
          <v:imagedata r:id="rId1" o:title=""/>
        </v:shape>
      </w:pict>
    </w:r>
    <w:r>
      <w:rPr/>
      <w:pict>
        <v:shape style="position:absolute;margin-left:524.119873pt;margin-top:781.897522pt;width:15.5pt;height:11pt;mso-position-horizontal-relative:page;mso-position-vertical-relative:page;z-index:-136280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362784" type="#_x0000_t75" stroked="false">
          <v:imagedata r:id="rId1" o:title=""/>
        </v:shape>
      </w:pict>
    </w:r>
    <w:r>
      <w:rPr/>
      <w:pict>
        <v:shape style="position:absolute;margin-left:523.119873pt;margin-top:781.897522pt;width:17.5pt;height:11pt;mso-position-horizontal-relative:page;mso-position-vertical-relative:page;z-index:-13627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17.119995pt;margin-top:36.325325pt;width:222.5pt;height:11.5pt;mso-position-horizontal-relative:page;mso-position-vertical-relative:page;z-index:-1363048" type="#_x0000_t202" filled="false" stroked="false">
          <v:textbox inset="0,0,0,0">
            <w:txbxContent>
              <w:p>
                <w:pPr>
                  <w:pStyle w:val="BodyText"/>
                  <w:spacing w:line="214" w:lineRule="exact"/>
                  <w:ind w:left="20" w:right="0"/>
                  <w:jc w:val="left"/>
                </w:pPr>
                <w:r>
                  <w:rPr/>
                  <w:t>石家庄常山北明科技股份有限公司</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28"/>
      <w:ind w:left="154"/>
    </w:pPr>
    <w:rPr>
      <w:rFonts w:ascii="宋体" w:hAnsi="宋体" w:eastAsia="宋体"/>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cninfo.com.cn/" TargetMode="External"/><Relationship Id="rId10" Type="http://schemas.openxmlformats.org/officeDocument/2006/relationships/hyperlink" Target="http://www.csbmkj.com/" TargetMode="External"/><Relationship Id="rId11" Type="http://schemas.openxmlformats.org/officeDocument/2006/relationships/hyperlink" Target="mailto:chshgf@heinfo.net" TargetMode="External"/><Relationship Id="rId12" Type="http://schemas.openxmlformats.org/officeDocument/2006/relationships/hyperlink" Target="mailto:chijunp52@sohu.com" TargetMode="External"/><Relationship Id="rId13" Type="http://schemas.openxmlformats.org/officeDocument/2006/relationships/hyperlink" Target="mailto:ally0629@sohu.com" TargetMode="External"/><Relationship Id="rId14" Type="http://schemas.openxmlformats.org/officeDocument/2006/relationships/hyperlink" Target="mailto:0629@sohu.com" TargetMode="External"/><Relationship Id="rId15" Type="http://schemas.openxmlformats.org/officeDocument/2006/relationships/hyperlink" Target="http://w/" TargetMode="External"/><Relationship Id="rId16" Type="http://schemas.openxmlformats.org/officeDocument/2006/relationships/image" Target="media/image3.jpeg"/><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image" Target="media/image4.png"/><Relationship Id="rId20" Type="http://schemas.openxmlformats.org/officeDocument/2006/relationships/footer" Target="footer5.xml"/><Relationship Id="rId21"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&lt;4D6963726F736F667420576F7264202D2032303139C4EAC4EAB6C8B1A8B8E6C8ABCEC42E646F63&gt;</dc:title>
  <dcterms:created xsi:type="dcterms:W3CDTF">2020-05-19T06:59:25Z</dcterms:created>
  <dcterms:modified xsi:type="dcterms:W3CDTF">2020-05-19T06:59:25Z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2020-04-24T00:00:00Z</vt:filetime>
  </property>
  <property fmtid="{D5CDD505-2E9C-101B-9397-08002B2CF9AE}" pid="3" name="Creator">
    <vt:lpwstr>PScript5.dll Version 5.2.2</vt:lpwstr>
  </property>
  <property fmtid="{D5CDD505-2E9C-101B-9397-08002B2CF9AE}" pid="4" name="LastSaved">
    <vt:filetime>2020-05-18T00:00:00Z</vt:filetime>
  </property>
</Properties>
</file>