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石家庄常山北明科技股份有限公司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widowControl w:val="0"/>
        <w:jc w:val="center"/>
        <w:rPr>
          <w:sz w:val="2"/>
          <w:szCs w:val="2"/>
        </w:rPr>
      </w:pPr>
      <w:r>
        <w:drawing>
          <wp:inline>
            <wp:extent cx="1420495" cy="14084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20495" cy="1408430"/>
                    </a:xfrm>
                    <a:prstGeom prst="rect"/>
                  </pic:spPr>
                </pic:pic>
              </a:graphicData>
            </a:graphic>
          </wp:inline>
        </w:drawing>
      </w:r>
    </w:p>
    <w:p>
      <w:pPr>
        <w:widowControl w:val="0"/>
        <w:spacing w:after="2179" w:line="1" w:lineRule="exact"/>
      </w:pP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130" w:right="1097" w:bottom="3130"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公司负责人肖荣智、主管会计工作负责人曹金霞及会计机构负责人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曹金霞声明：保证本年度报告中财务报告的真实、准确、完整。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公司已在本报告中详细描述可能存在的相关风险，敬请查阅第三节管理层 讨论与分析中公司未来发展的展望中</w:t>
      </w:r>
      <w:r>
        <w:rPr>
          <w:rFonts w:ascii="Times New Roman" w:eastAsia="Times New Roman" w:hAnsi="Times New Roman" w:cs="Times New Roman"/>
          <w:color w:val="000000"/>
          <w:spacing w:val="0"/>
          <w:w w:val="100"/>
          <w:position w:val="0"/>
        </w:rPr>
        <w:t>2022</w:t>
      </w:r>
      <w:r>
        <w:rPr>
          <w:color w:val="000000"/>
          <w:spacing w:val="0"/>
          <w:w w:val="100"/>
          <w:position w:val="0"/>
        </w:rPr>
        <w:t>年的经营计划及面对的风险部分的内 容。《中国证券报》、《证券时报》、上海证券报和巨潮资讯网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)为本公司</w:t>
      </w:r>
      <w:r>
        <w:rPr>
          <w:rFonts w:ascii="Times New Roman" w:eastAsia="Times New Roman" w:hAnsi="Times New Roman" w:cs="Times New Roman"/>
          <w:color w:val="000000"/>
          <w:spacing w:val="0"/>
          <w:w w:val="100"/>
          <w:position w:val="0"/>
        </w:rPr>
        <w:t>2022</w:t>
      </w:r>
      <w:r>
        <w:rPr>
          <w:color w:val="000000"/>
          <w:spacing w:val="0"/>
          <w:w w:val="100"/>
          <w:position w:val="0"/>
        </w:rPr>
        <w:t>年度选定的信息披露媒体，本公司</w:t>
      </w:r>
      <w:r>
        <w:rPr>
          <w:color w:val="000000"/>
          <w:spacing w:val="0"/>
          <w:w w:val="100"/>
          <w:position w:val="0"/>
        </w:rPr>
        <w:t xml:space="preserve"> 所有信息均以在上述选定媒体刊登的信息为准，敬请投资者注意投资风险。</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1097" w:bottom="1974"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0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5"/>
        <w:keepNext w:val="0"/>
        <w:keepLines w:val="0"/>
        <w:widowControl w:val="0"/>
        <w:shd w:val="clear" w:color="auto" w:fill="auto"/>
        <w:tabs>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7"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271"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42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04"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63</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22"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65</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55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74</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18"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80</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21"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81</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24"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82</w:t>
        </w:r>
      </w:hyperlink>
      <w:r>
        <w:fldChar w:fldCharType="end"/>
      </w:r>
    </w:p>
    <w:p>
      <w:pPr>
        <w:pStyle w:val="Style10"/>
        <w:keepNext/>
        <w:keepLines/>
        <w:widowControl w:val="0"/>
        <w:shd w:val="clear" w:color="auto" w:fill="auto"/>
        <w:bidi w:val="0"/>
        <w:spacing w:before="620" w:after="86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2" w:name="bookmark12"/>
      <w:r>
        <w:rPr>
          <w:color w:val="000000"/>
          <w:spacing w:val="0"/>
          <w:w w:val="100"/>
          <w:position w:val="0"/>
        </w:rPr>
        <w:t>（</w:t>
      </w:r>
      <w:bookmarkEnd w:id="12"/>
      <w:r>
        <w:rPr>
          <w:color w:val="000000"/>
          <w:spacing w:val="0"/>
          <w:w w:val="100"/>
          <w:position w:val="0"/>
        </w:rPr>
        <w:t>一）</w:t>
        <w:tab/>
        <w:t>载有公司法定代表人、主管会计工作负责人、会计机构负责人签名并盖章的财务报表。</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三）</w:t>
        <w:tab/>
        <w:t>载有公司法定代表人签字和公司盖章的本次年报摘要及全文。</w:t>
      </w:r>
    </w:p>
    <w:p>
      <w:pPr>
        <w:pStyle w:val="Style18"/>
        <w:keepNext w:val="0"/>
        <w:keepLines w:val="0"/>
        <w:widowControl w:val="0"/>
        <w:shd w:val="clear" w:color="auto" w:fill="auto"/>
        <w:tabs>
          <w:tab w:pos="531" w:val="left"/>
        </w:tabs>
        <w:bidi w:val="0"/>
        <w:spacing w:before="0" w:after="140" w:line="240" w:lineRule="auto"/>
        <w:ind w:left="0" w:right="0" w:firstLine="0"/>
        <w:jc w:val="left"/>
      </w:pPr>
      <w:bookmarkStart w:id="15" w:name="bookmark15"/>
      <w:r>
        <w:rPr>
          <w:color w:val="000000"/>
          <w:spacing w:val="0"/>
          <w:w w:val="100"/>
          <w:position w:val="0"/>
        </w:rPr>
        <w:t>（</w:t>
      </w:r>
      <w:bookmarkEnd w:id="15"/>
      <w:r>
        <w:rPr>
          <w:color w:val="000000"/>
          <w:spacing w:val="0"/>
          <w:w w:val="100"/>
          <w:position w:val="0"/>
        </w:rPr>
        <w:t>四）</w:t>
        <w:tab/>
        <w:t>报告期内在中国证监会指定报纸上公开披露过的所有文件的正本及公告的原稿。</w:t>
      </w:r>
      <w:r>
        <w:br w:type="page"/>
      </w:r>
    </w:p>
    <w:p>
      <w:pPr>
        <w:pStyle w:val="Style10"/>
        <w:keepNext/>
        <w:keepLines/>
        <w:widowControl w:val="0"/>
        <w:shd w:val="clear" w:color="auto" w:fill="auto"/>
        <w:bidi w:val="0"/>
        <w:spacing w:before="0" w:after="82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28"/>
        <w:gridCol w:w="619"/>
        <w:gridCol w:w="542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公司、本公司或常山北明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石家庄常山北明科技股份有限公司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《石家庄常山北明科技股份有限公司章程》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索科维尔（北京）软件系统有限公司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天时能源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北明天时能源科技（北京）有限公司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北明成功软件（山东）有限公司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明润科技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北明明润（北京）科技有限公司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金实盈信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北京金实盈信科技有限公司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北明数科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北明数科信息技术有限公司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北明正实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北京北明正实科技有限公司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国智云鼎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北京国智云鼎科技有限公司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全面智能（厦门）科技有限公司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枫调理顺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北京枫调理顺科技发展有限公司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北京北明伟业控股有限公司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指无法在一定时间内用常规软件工具对其内容进行抓取、管理和处 理的数据集合。大数据技术，是指从各种各样类型的数据中，快速 获得有价值信息的能力。</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rPr>
              <w:t>IT</w:t>
            </w:r>
            <w:r>
              <w:rPr>
                <w:color w:val="000000"/>
                <w:spacing w:val="0"/>
                <w:w w:val="100"/>
                <w:position w:val="0"/>
              </w:rPr>
              <w:t>相关的能力以服务的方式提供给用户，允许用户在不了解提 供服务的技术、没有相关知识以及设备操作能力的情况下，通过网 络获取需要的服务。</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通过信息传感设备，按约定的协议，把相关物品与互联网相连接， 进行信息交换和通信，以实现对物品的智能化识别、定位、跟踪、 监控和管理的一种网络。</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3"/>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p>
    <w:tbl>
      <w:tblPr>
        <w:tblOverlap w:val="never"/>
        <w:jc w:val="center"/>
        <w:tblLayout w:type="fixed"/>
      </w:tblPr>
      <w:tblGrid>
        <w:gridCol w:w="2285"/>
        <w:gridCol w:w="7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04" w:val="left"/>
                <w:tab w:pos="5040" w:val="left"/>
              </w:tabs>
              <w:bidi w:val="0"/>
              <w:spacing w:before="0" w:after="0" w:line="240" w:lineRule="auto"/>
              <w:ind w:left="0" w:right="0" w:firstLine="0"/>
              <w:jc w:val="left"/>
            </w:pPr>
            <w:r>
              <w:rPr>
                <w:color w:val="000000"/>
                <w:spacing w:val="0"/>
                <w:w w:val="100"/>
                <w:position w:val="0"/>
              </w:rPr>
              <w:t>常山北明</w:t>
              <w:tab/>
              <w:t>股票代码</w:t>
              <w:tab/>
            </w:r>
            <w:r>
              <w:rPr>
                <w:rFonts w:ascii="Times New Roman" w:eastAsia="Times New Roman" w:hAnsi="Times New Roman" w:cs="Times New Roman"/>
                <w:color w:val="000000"/>
                <w:spacing w:val="0"/>
                <w:w w:val="100"/>
                <w:position w:val="0"/>
              </w:rPr>
              <w:t>000158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常山北明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Shijiazhuang ChangShan BeiMing Technology Co.</w:t>
            </w:r>
            <w:r>
              <w:rPr>
                <w:color w:val="000000"/>
                <w:spacing w:val="0"/>
                <w:w w:val="100"/>
                <w:position w:val="0"/>
              </w:rPr>
              <w:t>，</w:t>
            </w:r>
            <w:r>
              <w:rPr>
                <w:rFonts w:ascii="Times New Roman" w:eastAsia="Times New Roman" w:hAnsi="Times New Roman" w:cs="Times New Roman"/>
                <w:color w:val="000000"/>
                <w:spacing w:val="0"/>
                <w:w w:val="100"/>
                <w:position w:val="0"/>
              </w:rPr>
              <w:t>Ltd</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CSBM</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月公司注册地址由河北省石家庄市和平东路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号变更为河北省石家庄市和平东 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"http://www.csbmkj" </w:instrText>
            </w:r>
            <w:r>
              <w:fldChar w:fldCharType="separate"/>
            </w:r>
            <w:r>
              <w:rPr>
                <w:rFonts w:ascii="Times New Roman" w:eastAsia="Times New Roman" w:hAnsi="Times New Roman" w:cs="Times New Roman"/>
                <w:color w:val="000000"/>
                <w:spacing w:val="0"/>
                <w:w w:val="100"/>
                <w:position w:val="0"/>
              </w:rPr>
              <w:t>www.csbmkj</w:t>
            </w:r>
            <w:r>
              <w:fldChar w:fldCharType="end"/>
            </w:r>
            <w:r>
              <w:rPr>
                <w:rFonts w:ascii="Times New Roman" w:eastAsia="Times New Roman" w:hAnsi="Times New Roman" w:cs="Times New Roman"/>
                <w:color w:val="000000"/>
                <w:spacing w:val="0"/>
                <w:w w:val="100"/>
                <w:position w:val="0"/>
              </w:rPr>
              <w:t>. com</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chshgf@heinfo .net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0311-86673929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"mailto:ally0629@sohu.com" </w:instrText>
            </w:r>
            <w:r>
              <w:fldChar w:fldCharType="separate"/>
            </w:r>
            <w:r>
              <w:rPr>
                <w:rFonts w:ascii="Times New Roman" w:eastAsia="Times New Roman" w:hAnsi="Times New Roman" w:cs="Times New Roman"/>
                <w:color w:val="000000"/>
                <w:spacing w:val="0"/>
                <w:w w:val="100"/>
                <w:position w:val="0"/>
              </w:rPr>
              <w:t>ally0629@sohu.com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994"/>
        <w:gridCol w:w="558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、注册变更情况</w:t>
      </w:r>
      <w:bookmarkEnd w:id="34"/>
      <w:bookmarkEnd w:id="35"/>
      <w:bookmarkEnd w:id="37"/>
    </w:p>
    <w:tbl>
      <w:tblPr>
        <w:tblOverlap w:val="never"/>
        <w:jc w:val="center"/>
        <w:tblLayout w:type="fixed"/>
      </w:tblPr>
      <w:tblGrid>
        <w:gridCol w:w="3192"/>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统一社会信用代码为：</w:t>
            </w:r>
            <w:r>
              <w:rPr>
                <w:rFonts w:ascii="Times New Roman" w:eastAsia="Times New Roman" w:hAnsi="Times New Roman" w:cs="Times New Roman"/>
                <w:color w:val="000000"/>
                <w:spacing w:val="0"/>
                <w:w w:val="100"/>
                <w:position w:val="0"/>
              </w:rPr>
              <w:t>91130100700715920E</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年度公司完成了重大资产重组，收购北明软件有限公司，公司主营业务由 单一的纺织业务新增软件和信息技术服务业。</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、其他有关资料</w:t>
      </w:r>
      <w:bookmarkEnd w:id="38"/>
      <w:bookmarkEnd w:id="39"/>
      <w:bookmarkEnd w:id="4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w:t>
            </w:r>
            <w:r>
              <w:rPr>
                <w:color w:val="000000"/>
                <w:spacing w:val="0"/>
                <w:w w:val="100"/>
                <w:position w:val="0"/>
              </w:rPr>
              <w:t>号万通新世界写字楼</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24</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秦卫国、苏阳</w:t>
            </w:r>
          </w:p>
        </w:tc>
      </w:tr>
    </w:tbl>
    <w:p>
      <w:pPr>
        <w:pStyle w:val="Style18"/>
        <w:keepNext w:val="0"/>
        <w:keepLines w:val="0"/>
        <w:widowControl w:val="0"/>
        <w:shd w:val="clear" w:color="auto" w:fill="auto"/>
        <w:bidi w:val="0"/>
        <w:spacing w:before="0" w:after="0" w:line="348" w:lineRule="exact"/>
        <w:ind w:left="0" w:right="0" w:firstLine="0"/>
        <w:jc w:val="both"/>
      </w:pPr>
      <w:r>
        <w:rPr>
          <w:color w:val="000000"/>
          <w:spacing w:val="0"/>
          <w:w w:val="100"/>
          <w:position w:val="0"/>
        </w:rPr>
        <w:t>公司聘请的报告期内履行持续督导职责的保荐机构 口适用”不适用</w:t>
      </w:r>
    </w:p>
    <w:p>
      <w:pPr>
        <w:pStyle w:val="Style18"/>
        <w:keepNext w:val="0"/>
        <w:keepLines w:val="0"/>
        <w:widowControl w:val="0"/>
        <w:shd w:val="clear" w:color="auto" w:fill="auto"/>
        <w:bidi w:val="0"/>
        <w:spacing w:before="0" w:after="340" w:line="348" w:lineRule="exact"/>
        <w:ind w:left="0" w:right="0" w:firstLine="0"/>
        <w:jc w:val="both"/>
      </w:pPr>
      <w:r>
        <w:rPr>
          <w:color w:val="000000"/>
          <w:spacing w:val="0"/>
          <w:w w:val="100"/>
          <w:position w:val="0"/>
        </w:rPr>
        <w:t>公司聘请的报告期内履行持续督导职责的财务顾问 口适用”不适用</w:t>
      </w:r>
    </w:p>
    <w:p>
      <w:pPr>
        <w:pStyle w:val="Style23"/>
        <w:keepNext/>
        <w:keepLines/>
        <w:widowControl w:val="0"/>
        <w:shd w:val="clear" w:color="auto" w:fill="auto"/>
        <w:bidi w:val="0"/>
        <w:spacing w:before="0" w:after="22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、主要会计数据和财务指标</w:t>
      </w:r>
      <w:bookmarkEnd w:id="42"/>
      <w:bookmarkEnd w:id="43"/>
      <w:bookmarkEnd w:id="45"/>
    </w:p>
    <w:p>
      <w:pPr>
        <w:pStyle w:val="Style18"/>
        <w:keepNext w:val="0"/>
        <w:keepLines w:val="0"/>
        <w:widowControl w:val="0"/>
        <w:shd w:val="clear" w:color="auto" w:fill="auto"/>
        <w:bidi w:val="0"/>
        <w:spacing w:before="0" w:after="80" w:line="350" w:lineRule="exact"/>
        <w:ind w:left="0" w:right="0" w:firstLine="0"/>
        <w:jc w:val="both"/>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3"/>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10,881,605,977.99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9,446,620,387.05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131,004,083.67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101,306,491.87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101,100,814.74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-92,330,090.30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-143,539,683.71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-272,559,502.45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458,701,844.13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1,006,977,493.71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300,619,463.58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16,597,837,209.63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14,895,395,761.91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14,156,415,878.09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6,153,903,346.57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6,015,987,716.81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5,912,543,312.51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定性</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tbl>
      <w:tblPr>
        <w:tblOverlap w:val="never"/>
        <w:jc w:val="center"/>
        <w:tblLayout w:type="fixed"/>
      </w:tblPr>
      <w:tblGrid>
        <w:gridCol w:w="2395"/>
        <w:gridCol w:w="2088"/>
        <w:gridCol w:w="2026"/>
        <w:gridCol w:w="31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10,881,605,977.99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63,662,462.67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46,349,842.86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销售材料、租赁房产等实现的正常经 营之外的其他业务收入</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10,817,943,515.32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9,837,445,748.34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3"/>
        <w:keepNext/>
        <w:keepLines/>
        <w:widowControl w:val="0"/>
        <w:shd w:val="clear" w:color="auto" w:fill="auto"/>
        <w:tabs>
          <w:tab w:pos="522" w:val="left"/>
        </w:tabs>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27"/>
        <w:keepNext/>
        <w:keepLines/>
        <w:widowControl w:val="0"/>
        <w:shd w:val="clear" w:color="auto" w:fill="auto"/>
        <w:tabs>
          <w:tab w:pos="410" w:val="left"/>
        </w:tabs>
        <w:bidi w:val="0"/>
        <w:spacing w:before="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分季度主要财务指标</w:t>
      </w:r>
      <w:bookmarkEnd w:id="58"/>
      <w:bookmarkEnd w:id="59"/>
      <w:bookmarkEnd w:id="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1,425,030,174.37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2,663,608,557.37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2,053,326,347.04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4,739,640,899.21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-88,854,636.27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33,407,399.21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21,915,567.41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164,535,753.32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-134,529,558.79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-24,456,726.99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-45,829,988.18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112,486,183.66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-713,895,476.88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339,662,069.83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-125,126,096.77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958,061,347.95</w:t>
            </w: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3"/>
        <w:keepNext/>
        <w:keepLines/>
        <w:widowControl w:val="0"/>
        <w:shd w:val="clear" w:color="auto" w:fill="auto"/>
        <w:bidi w:val="0"/>
        <w:spacing w:before="0" w:after="3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九</w:t>
      </w:r>
      <w:bookmarkEnd w:id="64"/>
      <w:r>
        <w:rPr>
          <w:color w:val="000000"/>
          <w:spacing w:val="0"/>
          <w:w w:val="100"/>
          <w:position w:val="0"/>
          <w:sz w:val="24"/>
          <w:szCs w:val="24"/>
        </w:rPr>
        <w:t>、非经常性损益项目及金额</w:t>
      </w:r>
      <w:bookmarkEnd w:id="62"/>
      <w:bookmarkEnd w:id="63"/>
      <w:bookmarkEnd w:id="65"/>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-2,228,319.70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3,267,358.28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43,878,478.93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241,912,238.05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301,806,282.59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301,764,596.71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其中：政府搬迁补 助 </w:t>
            </w:r>
            <w:r>
              <w:rPr>
                <w:rFonts w:ascii="Times New Roman" w:eastAsia="Times New Roman" w:hAnsi="Times New Roman" w:cs="Times New Roman"/>
                <w:color w:val="000000"/>
                <w:spacing w:val="0"/>
                <w:w w:val="100"/>
                <w:position w:val="0"/>
              </w:rPr>
              <w:t xml:space="preserve">216,935,152.90 </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企业重组费用，如安置职工的支出、整</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合费用等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-6,384,780.00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-3,992,954.21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-3,249,781.37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1,389,485.98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-5,315,473.52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其中：利率掉期、 货币掉期形成的公 允价值变动收益 </w:t>
            </w:r>
            <w:r>
              <w:rPr>
                <w:rFonts w:ascii="Times New Roman" w:eastAsia="Times New Roman" w:hAnsi="Times New Roman" w:cs="Times New Roman"/>
                <w:color w:val="000000"/>
                <w:spacing w:val="0"/>
                <w:w w:val="100"/>
                <w:position w:val="0"/>
              </w:rPr>
              <w:t xml:space="preserve">1,389,485.98 </w:t>
            </w:r>
            <w:r>
              <w:rPr>
                <w:color w:val="000000"/>
                <w:spacing w:val="0"/>
                <w:w w:val="100"/>
                <w:position w:val="0"/>
              </w:rPr>
              <w:t>元</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3,442,463.80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1,175,149.17</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-10,380,986.60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-47,589,914.90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32,909,747.12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其中：停工损失</w:t>
            </w:r>
          </w:p>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30,372,835.13 </w:t>
            </w:r>
            <w:r>
              <w:rPr>
                <w:color w:val="000000"/>
                <w:spacing w:val="0"/>
                <w:w w:val="100"/>
                <w:position w:val="0"/>
              </w:rPr>
              <w:t>元、 代替赔偿义务人向 商户垫付的棉五火 灾损失赔偿款</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3,582,450.30 </w:t>
            </w:r>
            <w:r>
              <w:rPr>
                <w:color w:val="000000"/>
                <w:spacing w:val="0"/>
                <w:w w:val="100"/>
                <w:position w:val="0"/>
              </w:rPr>
              <w:t xml:space="preserve">元、确 认应收中铁一局集 团第四工程有限公 司的棉五火灾款 </w:t>
            </w:r>
            <w:r>
              <w:rPr>
                <w:rFonts w:ascii="Times New Roman" w:eastAsia="Times New Roman" w:hAnsi="Times New Roman" w:cs="Times New Roman"/>
                <w:color w:val="000000"/>
                <w:spacing w:val="0"/>
                <w:w w:val="100"/>
                <w:position w:val="0"/>
              </w:rPr>
              <w:t xml:space="preserve">16,825,794.91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3,961,926.66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2,040,981.79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2,781,181.18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454,000.90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88,140.87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223,334,173.97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244,846,175.58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373,660,317.19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0" w:after="54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3"/>
        <w:keepNext/>
        <w:keepLines/>
        <w:widowControl w:val="0"/>
        <w:shd w:val="clear" w:color="auto" w:fill="auto"/>
        <w:bidi w:val="0"/>
        <w:spacing w:before="0" w:after="26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、报告期内公司所处的行业情况</w:t>
      </w:r>
      <w:bookmarkEnd w:id="69"/>
      <w:bookmarkEnd w:id="70"/>
      <w:bookmarkEnd w:id="72"/>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2021年中国经济逐渐复苏，疫情影响逐渐减小。我国软件和信息技术服务业运行态势良好，软件业务收入保持较快增长， 盈利能力稳步提升。随着技术的不断迭代和各行业间的深度融合，软件价值从“以产品为中心”演进为“以产品+服务为中 心”，软件价值链得以延伸，软件产品形态呈现出网络化、平台化和服务化的趋势。以软件为核心的云计算、大数据、人工 智能、工业互联网、智能制造等领域的新技术、新产品、新应用不断涌现，并进一步引领软件根技术发展，促进传统产品转 型升级，进而推动数字经济快速、可持续发展。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报告期内，尽管面临着新冠疫情冲击、原料价格波动、货运价格高涨、部分地区限电限产等因素影响，纺织行业依旧表 现出强大的发展韧性与活力，实现了 “十四五”良好开局。2021年，规模以上纺织企业实现营业收入</w:t>
      </w:r>
      <w:r>
        <w:rPr>
          <w:color w:val="000000"/>
          <w:spacing w:val="0"/>
          <w:w w:val="100"/>
          <w:position w:val="0"/>
        </w:rPr>
        <w:t>51,749.4</w:t>
      </w:r>
      <w:r>
        <w:rPr>
          <w:color w:val="000000"/>
          <w:spacing w:val="0"/>
          <w:w w:val="100"/>
          <w:position w:val="0"/>
        </w:rPr>
        <w:t>亿元，同比增 长12.3%；实现利润总额</w:t>
      </w:r>
      <w:r>
        <w:rPr>
          <w:color w:val="000000"/>
          <w:spacing w:val="0"/>
          <w:w w:val="100"/>
          <w:position w:val="0"/>
        </w:rPr>
        <w:t>2,676.8</w:t>
      </w:r>
      <w:r>
        <w:rPr>
          <w:color w:val="000000"/>
          <w:spacing w:val="0"/>
          <w:w w:val="100"/>
          <w:position w:val="0"/>
        </w:rPr>
        <w:t>亿元，同比增长25.4%；营业收入利润率为5.2%，达到2018年以来最高水平。但2021年国内 纺织产业链市场一直呈现“上热下凉”格局，尤其是下半年以来，棉花、棉纱价格涨幅明显大于坯布环节，棉花价格更是创 出了近十年来的高位，下游纺织品价格传导不畅，导致下游企业利润被压缩。</w:t>
      </w:r>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报告期内，面对复杂多变的市场形势，公司上下积极应对，凝心聚力，拼搏竞进，营业收入、净利润等主要经济指标同 比都实现较高增长，实现了 “十四五”的良好开局。软件主业围绕云计算、大数据、人工智能、工业互联网、区块链等技术 领域持续创新，实现对自有解决方案的升级换代，在新型智慧城市建设、司法科技、企业数字化转型、金融科技、数字新基 建工程等方面取得了新的突破，进一步夯实大企业数字化转型、政府数字化转型、节能降费以及金融业务发展，全年签约合 同额达到了80亿元，同比增加了16%。纺织主业以调整品种结构为契机，积极开拓市场，开发新客户，加大研发投入，推进 作业成本管理，超额完成了全年的经营目标。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报告期内，公司重点做了以下工作：</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第一，软件主业开拓创新取得新突破。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软件主业以数字产业化培育新动能，以产业数字化孕育新动力。在智慧城市、司法科技、科技金融、企业数字化转型等 多个领域，不断加大研发投入力度，着力将新一代信息技术与行业领域深度融合，形成了一系列技术领先的产品和解决方案。 在北京、广东、河北等二十多个省市建立了相关领域的标杆项目，确立了作为城市数据资产赋能者和城市智慧化践行者的市 场领先地位。北明软件成功获得信息系统建设和服务能力评估</w:t>
      </w:r>
      <w:r>
        <w:rPr>
          <w:color w:val="000000"/>
          <w:spacing w:val="0"/>
          <w:w w:val="100"/>
          <w:position w:val="0"/>
        </w:rPr>
        <w:t>CS4</w:t>
      </w:r>
      <w:r>
        <w:rPr>
          <w:color w:val="000000"/>
          <w:spacing w:val="0"/>
          <w:w w:val="100"/>
          <w:position w:val="0"/>
        </w:rPr>
        <w:t>级、软件服务商交付能力评估一级资质。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报告期内，北明软件加大了新型智慧城市领域的研发力度，利用大数据、人工智能、区块链等技术与政务、城管、司法、 交通等行业领域相结合，研发完成了城市运营中心、政务服务一网通办等解决方案。通过技术与业务的融合创新，有力地推 动了智慧城市、智慧社会、数字经济的建设。</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重点推进的舞钢、望城、廊坊开发区智慧城市都取得了重大进展。舞钢智慧城市完成了云平台、智慧政务、一网统管、 公共信用、智慧旅游、信息门户、人工智能平台、标准规范等子项目，全面推进了城市的数字化、科学化、智能化进程。与 华为联合体中标的全国首个采用全鲲鹏架构的智慧城市一长沙望城新型智慧城市项目完成了鲲鹏云底座、大数据平台、智 慧城市运营中心、智慧政务、智慧交通、智慧园区、无证城市等一批应用场景，全面提高了城市治理体系与治理能力的现代 化水平。与华为联合中标的廊坊开发区智慧城市运营中心二期项目，通过便民</w:t>
      </w:r>
      <w:r>
        <w:rPr>
          <w:color w:val="000000"/>
          <w:spacing w:val="0"/>
          <w:w w:val="100"/>
          <w:position w:val="0"/>
        </w:rPr>
        <w:t>APP、</w:t>
      </w:r>
      <w:r>
        <w:rPr>
          <w:color w:val="000000"/>
          <w:spacing w:val="0"/>
          <w:w w:val="100"/>
          <w:position w:val="0"/>
        </w:rPr>
        <w:t>智慧党建、智慧消防、社会治理网格化、 卫星遥感影像等智慧应用系统，共同打造具有河北特色、全国先进的智慧城市标杆。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公司协助开发推进的国家医保云（北京市）医疗保障信息平台完成切换上线，实现医院端结算“新旧双结，以旧为准”， 国家（北京市）医疗保障信息平台已累积完成上千万参保人的线上系统切换。药采业务子系统和公共服务平台的注册单位也 在持续增加。全新科技化监管方式有效解决了各地医保经办过程的合规性、政策落地效率性、医保目录准确性等问题。</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公司持续赋能社会治理数字化转型，积极支撑各地市域社会治理现代化试点工作推进，在矛盾纠纷化解领域不断探索， </w:t>
      </w:r>
      <w:r>
        <w:rPr>
          <w:color w:val="000000"/>
          <w:spacing w:val="0"/>
          <w:w w:val="100"/>
          <w:position w:val="0"/>
        </w:rPr>
        <w:t>积极创新，主打产品“在线矛盾纠纷多元化解平台”已演进为“解纷码”平台，实现了一案一码，一网通办，线下线上联动， 全程可追溯，有效推动纠纷治理重心下移、力量下沉，推动诉源治理从数字化到智能化再到智慧化的转变。“解纷码”平台 获得了客户的高度认可，成为支撑市域社会治理现代化试点工作开展的核心信息化平台之一，全国市域社会治理试点城市已 达416个。“解纷码”平台荣获浙江数字化改革重点应用金奖。截止2021年底，平台注册用户数253余万人，调解成功案件总 数110万件，调解成功率达64.66%。</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针对金融行业多业务平台、多产品、多渠道的特点，打造了能够统一平台处理的云管平台，实现了对华为虚拟化资源池、 </w:t>
      </w:r>
      <w:r>
        <w:rPr>
          <w:color w:val="000000"/>
          <w:spacing w:val="0"/>
          <w:w w:val="100"/>
          <w:position w:val="0"/>
        </w:rPr>
        <w:t>VMWare</w:t>
      </w:r>
      <w:r>
        <w:rPr>
          <w:color w:val="000000"/>
          <w:spacing w:val="0"/>
          <w:w w:val="100"/>
          <w:position w:val="0"/>
        </w:rPr>
        <w:t>虚拟化资源池、裸金属服务器、分布式存储、</w:t>
      </w:r>
      <w:r>
        <w:rPr>
          <w:color w:val="000000"/>
          <w:spacing w:val="0"/>
          <w:w w:val="100"/>
          <w:position w:val="0"/>
        </w:rPr>
        <w:t>SDN</w:t>
      </w:r>
      <w:r>
        <w:rPr>
          <w:color w:val="000000"/>
          <w:spacing w:val="0"/>
          <w:w w:val="100"/>
          <w:position w:val="0"/>
        </w:rPr>
        <w:t>网络</w:t>
      </w:r>
      <w:r>
        <w:rPr>
          <w:color w:val="000000"/>
          <w:spacing w:val="0"/>
          <w:w w:val="100"/>
          <w:position w:val="0"/>
        </w:rPr>
        <w:t>、F5</w:t>
      </w:r>
      <w:r>
        <w:rPr>
          <w:color w:val="000000"/>
          <w:spacing w:val="0"/>
          <w:w w:val="100"/>
          <w:position w:val="0"/>
        </w:rPr>
        <w:t>应用交付系统等混合云资源的统一纳管，实现了多数据中 心、多资源池的统一调度管理；基于自身云管平台的服务编排能力，提供数据库、中间件、大数据等基础软件的自动安装部 署服务能力，实现了应用的快速部署和发布；基于云管平台的裸金属服务器物理机管理能力，实现了对各类异构物理资源， 包括鲲鹏等国产服务器的统一管理，实现了自主可控资源的统一适配管理能力。通过北明软件的定制化开发，云管平台完成 了与用户管理系统和流程审批系统的平滑对接，完全实现了各类云资源的业务人员自服务模式发放，保证了云平台与业务快 速灵活部署需求的融合。</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北明软件子公司北明数科依托腾讯的强大平台和赋能，在多个解决方案形成了融合和互相依托，呈现了良好的共同拓展 势头。通过工业互联网平台为企业在生产经营活动中的“研、产、供、销、服”各个环节提供服务，目前已在佛山、重庆、 辽宁沈抚等地落地工业互联网基地，服务范围覆盖粤港澳、西南、东北等地区多个产业集群，深度赋能工业企业，优化整合 产业链和供应链，推动制造业转型升级，助力实体经济发展。</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常山云数据中心一期不断加大招商力度和业务拓展力度。终端用户和客户体量都实现了大幅增长。业务模式由机柜托管 的基础业务，拓展至定制级托管服务、带宽代理租用业务和客户代维业务。现有机柜全部完成销售签约，但受疫情等因素的 影响，加上业务推广到与客户入驻需要时间，所以上架率尚未达到预期规划，部分机架还未启用。</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第二，纺织主业提质增效取得新成效。</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围绕优化品种结构，提高产品附加值，不断加大新产品开发力度。谋划启动打样中心项目，完成了防臭天丝等功能性产 品打样研发，开发了蛋白纤维等色纺纱新品种；加大差别化色纺项目和高档针织纱色纺项目开发力度，成功开发了细绒棉、 长绒棉</w:t>
      </w:r>
      <w:r>
        <w:rPr>
          <w:color w:val="000000"/>
          <w:spacing w:val="0"/>
          <w:w w:val="100"/>
          <w:position w:val="0"/>
        </w:rPr>
        <w:t>、CVC</w:t>
      </w:r>
      <w:r>
        <w:rPr>
          <w:color w:val="000000"/>
          <w:spacing w:val="0"/>
          <w:w w:val="100"/>
          <w:position w:val="0"/>
        </w:rPr>
        <w:t>等针织纱系列，完成了从原有单纯的纯棉产品向功能化差别化纤维色纺产品、高档针织产品、绿色低碳产品的 转变，形成了高支针织纱、高支家纺面料、高支服装面料、功能性面料等多个品种系列。</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围绕对接优质客户，提高盈利水平，不断加大市场开拓力度。积极拓展订单化客户，着力加强与上海水星等品牌客户的 合作，与三枪等终端品牌客户和际华3543等国内知名针织服装企业建立了深度合作关系，产品涵盖了运动衣、内衣、童装、 毛巾等领域。通过了全球回收标准</w:t>
      </w:r>
      <w:r>
        <w:rPr>
          <w:color w:val="000000"/>
          <w:spacing w:val="0"/>
          <w:w w:val="100"/>
          <w:position w:val="0"/>
        </w:rPr>
        <w:t>GRS</w:t>
      </w:r>
      <w:r>
        <w:rPr>
          <w:color w:val="000000"/>
          <w:spacing w:val="0"/>
          <w:w w:val="100"/>
          <w:position w:val="0"/>
        </w:rPr>
        <w:t>认证、有机棉</w:t>
      </w:r>
      <w:r>
        <w:rPr>
          <w:color w:val="000000"/>
          <w:spacing w:val="0"/>
          <w:w w:val="100"/>
          <w:position w:val="0"/>
        </w:rPr>
        <w:t>GOTS</w:t>
      </w:r>
      <w:r>
        <w:rPr>
          <w:color w:val="000000"/>
          <w:spacing w:val="0"/>
          <w:w w:val="100"/>
          <w:position w:val="0"/>
        </w:rPr>
        <w:t>认证等多项认证。</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对标行动取得显著成效。到国内同行业标杆企业对标学习，找差距、寻短板、抓落实，提升公司生产经营管理水平。通 过优化浆纱和布机工艺，织造效率提高到85%以上，围绕“用工、用电、包装料”三项主要指标开展对标攻关，均取得了良 好效果。</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第三，项目建设扎实推进取得新进展。</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我们谋划实施了常山云数据中心二期项目和纺织品分拣中心项目，这些项目也是正定数字经济产业园常山北明起步区的 先行入驻项目。</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目前，常山云数据中心项目二期已完成勘察、设计、施工、监理等单位的全部工程招标比选工作，办理了项目建设相关 手续，取得土地不动产证、建设工程规划许可证等相关证照。完成了勘察、设计工作，2022年2月施工单位进场施工建设。 现已完成地表清理和施工围挡搭建，正在进行地基处理工程。计划于2023年12月建成投产。</w:t>
      </w:r>
    </w:p>
    <w:p>
      <w:pPr>
        <w:pStyle w:val="Style18"/>
        <w:keepNext w:val="0"/>
        <w:keepLines w:val="0"/>
        <w:widowControl w:val="0"/>
        <w:shd w:val="clear" w:color="auto" w:fill="auto"/>
        <w:bidi w:val="0"/>
        <w:spacing w:before="0" w:after="0" w:line="305" w:lineRule="exact"/>
        <w:ind w:left="0" w:right="0"/>
        <w:jc w:val="left"/>
      </w:pPr>
      <w:r>
        <w:rPr>
          <w:color w:val="000000"/>
          <w:spacing w:val="0"/>
          <w:w w:val="100"/>
          <w:position w:val="0"/>
        </w:rPr>
        <w:t>纺织品分拣中心项目作为冷链物流项目的配套项目，已完成项目前期相关手续，取得了相关证照。2021年10月开工建设， 目前已经完成基础施工、钢结构主体工程的吊装，正在进行钢结构屋面的封顶、墙面安装、室内装修、外网工程的施工，计 划于2022年7月建成投产。</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第四，与中国供销总社的合作开启新篇章。</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公司与中国供销冷链物流股份有限公司、石家庄市第二棉麻有限公司共同签署了《中国供销常山北明冷链物流项目投资 合作协议》，中国供销冷链物流有限公司与本公司（以下简称“双方”）在优化双方资源配置的基础上，利用本公司可以用作 物流项目的资产，合作建设石家庄冷链物流产业园。</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目前双方共建的智能冷链物流项目已办理完成项目前期相关手续，取得相关证照，完成了施工和监理单位等招标，签订 </w:t>
      </w:r>
      <w:r>
        <w:rPr>
          <w:color w:val="000000"/>
          <w:spacing w:val="0"/>
          <w:w w:val="100"/>
          <w:position w:val="0"/>
        </w:rPr>
        <w:t>了施工、监理合同，于2022年2月开工建设，已完成回填土施工，正在进行地基处理工作，计划于2022年年底建成投产。</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同时公司也开始处置低效设备，为助力冷链物流项目降本增效腾挪新空间。随着双方合作的不断深入，将会充分发挥公 司资源价值，促进公司产业调整和转型升级。</w:t>
      </w:r>
    </w:p>
    <w:p>
      <w:pPr>
        <w:pStyle w:val="Style23"/>
        <w:keepNext/>
        <w:keepLines/>
        <w:widowControl w:val="0"/>
        <w:shd w:val="clear" w:color="auto" w:fill="auto"/>
        <w:tabs>
          <w:tab w:pos="485" w:val="left"/>
        </w:tabs>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w:t>
        <w:tab/>
        <w:t>报告期内公司从事的主要业务</w:t>
      </w:r>
      <w:bookmarkEnd w:id="73"/>
      <w:bookmarkEnd w:id="74"/>
      <w:bookmarkEnd w:id="7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软件和信息技术服务业务包括软件开发、软件服务；智能化安装工程服务，技术进出口；通信设备零售，计算机应用电 子设备制造；环保技术开发服务，环保技术咨询、交流服务，环保技术转让服务；通信系统设备制造；信息系统集成服务等 等。公司全资子公司北明软件是一家新一代</w:t>
      </w:r>
      <w:r>
        <w:rPr>
          <w:color w:val="000000"/>
          <w:spacing w:val="0"/>
          <w:w w:val="100"/>
          <w:position w:val="0"/>
        </w:rPr>
        <w:t>IT</w:t>
      </w:r>
      <w:r>
        <w:rPr>
          <w:color w:val="000000"/>
          <w:spacing w:val="0"/>
          <w:w w:val="100"/>
          <w:position w:val="0"/>
        </w:rPr>
        <w:t>技术和解决方案的综合服务商，作为中国城市数据资产赋能者和城市智慧化、 数字化转型践行者，在新型智慧城市建设领域、面向司法为民的在线社会矛盾纠纷多元化解领域、运用大数据和人工智能技 术以及区块链技术服务于创新型社会治理、各领域的智慧化管理建设等多个领域都具有鲜明的特点，公司致力于运用新一代 科技手段助力各个领域的数字化转型，打造覆盖全社会、万物互联、万物智联的信息服务体系。</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纺织业务包括纯棉纱、布和涤棉纱、布的生产销售；自产产品和技术的进出口业务；棉花批发、零售。纺织主业主要生 产环节分为纺纱和织造两部分，主导产品有环保型纱线、功能型面料以及高档品牌服装、家纺和产业用纺织品等，处于整个 产业链的前端。主要采用订单式生产为主的生产模式，即根据客户订单或者通过销售预测分析制定生产计划并安排生产，同 时在产品销售淡季进行一定比例的库存生产。公司根据生产需要自行采购原辅料，原材料成本约占营业成本的70%，其中以 棉花占比最高。公司适时选择棉花的采购时机、采购渠道和采购方式，通过对市场的判断控制采购节奏，合理安排库存结构 和库存数量，保持原棉的稳定供应，降低采购成本；销售模式主要为直接销售，运用市场定位理念，进一步“市场细分”， 找准目标市场。公司始终重视产品的推广和营销，通过参加国内外行业展会等形式，进行推广宣传；通过拜访推介等方式推 介公司产品，挖掘新客户资源；对现有客户定期拜访，不断增强与客户的粘合度，促进销售，加大定单类产品接单力度，从 多维度分担市场形势变化对公司造成的风险，提升利润空间。同时利用公司从事纺织主业多年积累的资源和建立的渠道开展 棉花贸易，赚取差价。</w:t>
      </w:r>
    </w:p>
    <w:p>
      <w:pPr>
        <w:pStyle w:val="Style23"/>
        <w:keepNext/>
        <w:keepLines/>
        <w:widowControl w:val="0"/>
        <w:shd w:val="clear" w:color="auto" w:fill="auto"/>
        <w:tabs>
          <w:tab w:pos="485" w:val="left"/>
        </w:tabs>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w:t>
        <w:tab/>
        <w:t>核心竞争力分析</w:t>
      </w:r>
      <w:bookmarkEnd w:id="77"/>
      <w:bookmarkEnd w:id="78"/>
      <w:bookmarkEnd w:id="80"/>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（一）软件业务的优势</w:t>
      </w:r>
    </w:p>
    <w:p>
      <w:pPr>
        <w:pStyle w:val="Style18"/>
        <w:keepNext w:val="0"/>
        <w:keepLines w:val="0"/>
        <w:widowControl w:val="0"/>
        <w:shd w:val="clear" w:color="auto" w:fill="auto"/>
        <w:bidi w:val="0"/>
        <w:spacing w:before="0" w:after="0" w:line="312" w:lineRule="exact"/>
        <w:ind w:left="0" w:right="0" w:firstLine="440"/>
        <w:jc w:val="both"/>
      </w:pPr>
      <w:bookmarkStart w:id="81" w:name="bookmark81"/>
      <w:r>
        <w:rPr>
          <w:color w:val="000000"/>
          <w:spacing w:val="0"/>
          <w:w w:val="100"/>
          <w:position w:val="0"/>
        </w:rPr>
        <w:t>1</w:t>
      </w:r>
      <w:bookmarkEnd w:id="81"/>
      <w:r>
        <w:rPr>
          <w:color w:val="000000"/>
          <w:spacing w:val="0"/>
          <w:w w:val="100"/>
          <w:position w:val="0"/>
        </w:rPr>
        <w:t>、行业巨头深度合作</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软件业务与华为技术有限公司在智慧城市、央国企数字化转型、金融信创、国产化自主可控、能源、交通、教育等多 行业多业态进行联合方案打造与拓展。在华为对外发布的全行业生态合作场景中，北明软件基于华为数字平台，利用华为云 "边云协同”的技术架构，通过"城市+中心”的方式变革空间管理运行模式，实现技术替人、技术助人、提供有温度的服务的 理念，打造了62项应用场景方案，通过北明软件解决方案带动华为产品与解决方案销售的规模排名第一。北明软件是华为的 核心战略合作伙伴，是华为钻石级经销商、华为云战略级经销商、领先级鲲鹏展翅解决方案伙伴、领先级解决方案伙伴、领 先级咨询与规划能力伙伴，在数通</w:t>
      </w:r>
      <w:r>
        <w:rPr>
          <w:color w:val="000000"/>
          <w:spacing w:val="0"/>
          <w:w w:val="100"/>
          <w:position w:val="0"/>
        </w:rPr>
        <w:t>、IT</w:t>
      </w:r>
      <w:r>
        <w:rPr>
          <w:color w:val="000000"/>
          <w:spacing w:val="0"/>
          <w:w w:val="100"/>
          <w:position w:val="0"/>
        </w:rPr>
        <w:t>等多种产品具备五钻的交付能力，在华为云、昇腾、鲲鹏等创新领域均有深入合作。</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公司的内在价值也深化了与腾讯的战略合作。腾讯作为公司的第三大股东，与公司形成了紧密的产品融合和解决方案融 合，三级子公司北明数科携手腾讯建设的工业互联网平台为企业提供涵盖研、产、供、销、服等多个环节的200多种产品和 上百项服务，重点包括智能化生产、网络化协同、个性化定制、服务化延伸、数字化管理；同时提供线上教育培训、中小微 企业金融服务、产业分析服务、工业电商服务、数字化营销、开发者生态等综合服务，助力企业“上云、用数、赋智”。</w:t>
      </w:r>
    </w:p>
    <w:p>
      <w:pPr>
        <w:pStyle w:val="Style18"/>
        <w:keepNext w:val="0"/>
        <w:keepLines w:val="0"/>
        <w:widowControl w:val="0"/>
        <w:shd w:val="clear" w:color="auto" w:fill="auto"/>
        <w:bidi w:val="0"/>
        <w:spacing w:before="0" w:after="0" w:line="312" w:lineRule="exact"/>
        <w:ind w:left="0" w:right="0"/>
        <w:jc w:val="both"/>
      </w:pPr>
      <w:bookmarkStart w:id="82" w:name="bookmark82"/>
      <w:r>
        <w:rPr>
          <w:color w:val="000000"/>
          <w:spacing w:val="0"/>
          <w:w w:val="100"/>
          <w:position w:val="0"/>
        </w:rPr>
        <w:t>2</w:t>
      </w:r>
      <w:bookmarkEnd w:id="82"/>
      <w:r>
        <w:rPr>
          <w:color w:val="000000"/>
          <w:spacing w:val="0"/>
          <w:w w:val="100"/>
          <w:position w:val="0"/>
        </w:rPr>
        <w:t>、行业经验和技术优势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作为新型智慧城市的专家，公司积极推动人工智能、物联网、区块链等新一代信息技术与业务的深度融合，城市运营中 心、互联网+监管、应急指挥系统、智能客服机器人等解决方案，结合城市管理领域的"智慧化"发展趋势，形成了智慧政务、 智慧园区、智慧交通、智慧教育、智慧医疗、智慧电力等系列解决方案，成为我国智慧城市建设领域领先的解决方案提供商。 这一智能化城市管理领域包含了多项新兴技术：数据资源体系、云计算中心、大数据和人工智能平台（汇集和处理城市中的 各类数据资源，提供数据共享、建模分析、可视化展现等功能，支撑各领域的精准服务、辅助决策、业务创新等活动，基于 </w:t>
      </w:r>
      <w:r>
        <w:rPr>
          <w:color w:val="000000"/>
          <w:spacing w:val="0"/>
          <w:w w:val="100"/>
          <w:position w:val="0"/>
        </w:rPr>
        <w:t>大数据管理的思想，规划城市未来的发展方向）、统一服务平台、城市运行指挥中心、智慧政务、智慧交通管理、精准扶贫、 智能供热等等。</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公司还利用自身的行业优势及客户资源优势，参与智慧城市的建设与运营，已将业务足迹遍布中国30省及百余个城市。 同时，公司战略上与巨头联手，与华为、腾讯等公司携手深度拓展全国市场，2021年公司与华为、腾讯合作在智慧城市、央 国企数字化转型、金融信创、国产化自主可控、能源、交通、教育等多行业多业态进行联合方案打造和拓展。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在大数据领域，公司在智慧城市、智慧供热、智慧电厂、智慧用电采集、智慧办公、智慧化监狱管理、智慧机场、交 通大数据应用、保险智能客户服务和精准营销以及反欺诈领域、基于大数据技术的数据治理、舆情分析、金融风控领域等广 泛耕耘，体现了公司在大数据分析和应用领域的深度、广度，随着越来越多大数据应用项目的落地，在各个数据管理和分析 领域，公司的大数据专家在不断地创造着数据的价值。</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通过承担不同行业信息化建设工程的设计和开发实施任务，公司积累成功实施案例的同时也积累了丰富的行业实践经 验，并积累了各类系统规划、实施和维护经验，促使公司系统规划能力和实施能力协同发展。同时，随着公司典型性成功案 例的增多，在行业内形成了一定的示范作用，积累了丰富的项目经验。这些都会建立客户对企业的信赖，从而为企业未来的 发展打开了空间。</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83" w:name="bookmark83"/>
      <w:r>
        <w:rPr>
          <w:color w:val="000000"/>
          <w:spacing w:val="0"/>
          <w:w w:val="100"/>
          <w:position w:val="0"/>
        </w:rPr>
        <w:t>3</w:t>
      </w:r>
      <w:bookmarkEnd w:id="83"/>
      <w:r>
        <w:rPr>
          <w:color w:val="000000"/>
          <w:spacing w:val="0"/>
          <w:w w:val="100"/>
          <w:position w:val="0"/>
        </w:rPr>
        <w:t>、</w:t>
        <w:tab/>
        <w:t>营销网络和人才团队优势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目前我国许多大型企业（包括银行、石化、电力、政府等）和全国性企业的总部在北京，针对这一规律，基于贴近客 户的原则，公司建立了由全国性中心、区域性次中心及运维服务网点构成的三级营销和服务网络，能持续、及时、有效地为 客户提供前期规划设计、中期实施交互、后期技术及运维服务。公司将软件经营总部设在北京，在研发人才和销售人才培养 方面都具有一定的地缘优势。公司在多年的</w:t>
      </w:r>
      <w:r>
        <w:rPr>
          <w:color w:val="000000"/>
          <w:spacing w:val="0"/>
          <w:w w:val="100"/>
          <w:position w:val="0"/>
        </w:rPr>
        <w:t>IT</w:t>
      </w:r>
      <w:r>
        <w:rPr>
          <w:color w:val="000000"/>
          <w:spacing w:val="0"/>
          <w:w w:val="100"/>
          <w:position w:val="0"/>
        </w:rPr>
        <w:t>基础设施服务过程中形成了一支稳定的、专业化水平较高的技术团队，且这些 技术研发人员大多都具备丰富的</w:t>
      </w:r>
      <w:r>
        <w:rPr>
          <w:color w:val="000000"/>
          <w:spacing w:val="0"/>
          <w:w w:val="100"/>
          <w:position w:val="0"/>
        </w:rPr>
        <w:t>IT</w:t>
      </w:r>
      <w:r>
        <w:rPr>
          <w:color w:val="000000"/>
          <w:spacing w:val="0"/>
          <w:w w:val="100"/>
          <w:position w:val="0"/>
        </w:rPr>
        <w:t>基础设施技术支持经验和项目管理经验。</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同时，公司管理团队稳定，具有较强的创新意识、学习能力和执行能力，多年来专注于</w:t>
      </w:r>
      <w:r>
        <w:rPr>
          <w:color w:val="000000"/>
          <w:spacing w:val="0"/>
          <w:w w:val="100"/>
          <w:position w:val="0"/>
        </w:rPr>
        <w:t>IT</w:t>
      </w:r>
      <w:r>
        <w:rPr>
          <w:color w:val="000000"/>
          <w:spacing w:val="0"/>
          <w:w w:val="100"/>
          <w:position w:val="0"/>
        </w:rPr>
        <w:t>基础设施服务领域并积累了 丰富的管理经验和行业经验，对市场发展有着前瞻性的把握，能够敏锐的捕捉到行业发展的机会。稳定的管理团队是公司不 断发展的有力保障。</w:t>
      </w:r>
    </w:p>
    <w:p>
      <w:pPr>
        <w:pStyle w:val="Style18"/>
        <w:keepNext w:val="0"/>
        <w:keepLines w:val="0"/>
        <w:widowControl w:val="0"/>
        <w:shd w:val="clear" w:color="auto" w:fill="auto"/>
        <w:tabs>
          <w:tab w:pos="729" w:val="left"/>
        </w:tabs>
        <w:bidi w:val="0"/>
        <w:spacing w:before="0" w:after="0" w:line="313" w:lineRule="exact"/>
        <w:ind w:left="0" w:right="0" w:firstLine="440"/>
        <w:jc w:val="both"/>
      </w:pPr>
      <w:bookmarkStart w:id="84" w:name="bookmark84"/>
      <w:r>
        <w:rPr>
          <w:color w:val="000000"/>
          <w:spacing w:val="0"/>
          <w:w w:val="100"/>
          <w:position w:val="0"/>
        </w:rPr>
        <w:t>4</w:t>
      </w:r>
      <w:bookmarkEnd w:id="84"/>
      <w:r>
        <w:rPr>
          <w:color w:val="000000"/>
          <w:spacing w:val="0"/>
          <w:w w:val="100"/>
          <w:position w:val="0"/>
        </w:rPr>
        <w:t>、</w:t>
        <w:tab/>
        <w:t>业务资质优势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业务资质一方面代表了一家软件服务商技术上的实力，另一方面同样是一种技术壁垒。公司拥有国家规划布局内重点 软件企业、国家计算机信息系统集成大型骨干企业、国家信息系统建设和服务能力优秀级</w:t>
      </w:r>
      <w:r>
        <w:rPr>
          <w:color w:val="000000"/>
          <w:spacing w:val="0"/>
          <w:w w:val="100"/>
          <w:position w:val="0"/>
        </w:rPr>
        <w:t>（CS4）、</w:t>
      </w:r>
      <w:r>
        <w:rPr>
          <w:color w:val="000000"/>
          <w:spacing w:val="0"/>
          <w:w w:val="100"/>
          <w:position w:val="0"/>
        </w:rPr>
        <w:t>涉及国家秘密的计算机信 息系统集成甲级、建筑智能化工程设计与施工一级等行业顶尖资质；通过了</w:t>
      </w:r>
      <w:r>
        <w:rPr>
          <w:color w:val="000000"/>
          <w:spacing w:val="0"/>
          <w:w w:val="100"/>
          <w:position w:val="0"/>
        </w:rPr>
        <w:t>CMMI5</w:t>
      </w:r>
      <w:r>
        <w:rPr>
          <w:color w:val="000000"/>
          <w:spacing w:val="0"/>
          <w:w w:val="100"/>
          <w:position w:val="0"/>
        </w:rPr>
        <w:t>级、</w:t>
      </w:r>
      <w:r>
        <w:rPr>
          <w:color w:val="000000"/>
          <w:spacing w:val="0"/>
          <w:w w:val="100"/>
          <w:position w:val="0"/>
        </w:rPr>
        <w:t>ISO9001</w:t>
      </w:r>
      <w:r>
        <w:rPr>
          <w:color w:val="000000"/>
          <w:spacing w:val="0"/>
          <w:w w:val="100"/>
          <w:position w:val="0"/>
        </w:rPr>
        <w:t>等多项国际标准认证。上述雄 厚的资质条件为公司未来发展奠定了坚实的基础。</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（二）纺织业务的优势</w:t>
      </w:r>
    </w:p>
    <w:p>
      <w:pPr>
        <w:pStyle w:val="Style18"/>
        <w:keepNext w:val="0"/>
        <w:keepLines w:val="0"/>
        <w:widowControl w:val="0"/>
        <w:shd w:val="clear" w:color="auto" w:fill="auto"/>
        <w:tabs>
          <w:tab w:pos="719" w:val="left"/>
        </w:tabs>
        <w:bidi w:val="0"/>
        <w:spacing w:before="0" w:after="0" w:line="313" w:lineRule="exact"/>
        <w:ind w:left="0" w:right="0" w:firstLine="440"/>
        <w:jc w:val="both"/>
      </w:pPr>
      <w:bookmarkStart w:id="85" w:name="bookmark85"/>
      <w:r>
        <w:rPr>
          <w:color w:val="000000"/>
          <w:spacing w:val="0"/>
          <w:w w:val="100"/>
          <w:position w:val="0"/>
        </w:rPr>
        <w:t>1</w:t>
      </w:r>
      <w:bookmarkEnd w:id="85"/>
      <w:r>
        <w:rPr>
          <w:color w:val="000000"/>
          <w:spacing w:val="0"/>
          <w:w w:val="100"/>
          <w:position w:val="0"/>
        </w:rPr>
        <w:t>、</w:t>
        <w:tab/>
        <w:t>管理与创新优势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公司始终坚持建立和完善管理体系，常年的积累使公司的管理体系日趋完善，近年来又不断地改进和创新提升管理的 水平，随着智能制造系统的应用以及作业成本体系的建立，使公司的管理更加科学和精细，内控的精度有了新的提高。依托 国家认定的企业技术中心、国家认可实验室和国家级技能大师工作室等技术平台，加强与科研院所、高校、战略客户和重要 供应商的技术合作，致力于纺织新技术、新面料的研究，加强低碳、绿色、可循环的创新理念，增强企业发展的动力和活力， 提升科技创新和技术进步对公司发展的贡献，推动产业升级。</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86" w:name="bookmark86"/>
      <w:r>
        <w:rPr>
          <w:color w:val="000000"/>
          <w:spacing w:val="0"/>
          <w:w w:val="100"/>
          <w:position w:val="0"/>
        </w:rPr>
        <w:t>2</w:t>
      </w:r>
      <w:bookmarkEnd w:id="86"/>
      <w:r>
        <w:rPr>
          <w:color w:val="000000"/>
          <w:spacing w:val="0"/>
          <w:w w:val="100"/>
          <w:position w:val="0"/>
        </w:rPr>
        <w:t>、</w:t>
        <w:tab/>
        <w:t>装备与技术优势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公司拥有国内领先、国际先进的纺纱、织造设备，并通过有效的维护和不断地改进，满足高标准的产品需求。公司技 术队伍雄厚扎实，技术储备深厚，攻关能力强，是新产品开发和创新的有力保障。</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87" w:name="bookmark87"/>
      <w:r>
        <w:rPr>
          <w:color w:val="000000"/>
          <w:spacing w:val="0"/>
          <w:w w:val="100"/>
          <w:position w:val="0"/>
        </w:rPr>
        <w:t>3</w:t>
      </w:r>
      <w:bookmarkEnd w:id="87"/>
      <w:r>
        <w:rPr>
          <w:color w:val="000000"/>
          <w:spacing w:val="0"/>
          <w:w w:val="100"/>
          <w:position w:val="0"/>
        </w:rPr>
        <w:t>、</w:t>
        <w:tab/>
        <w:t>体系认证优势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公司通过了</w:t>
      </w:r>
      <w:r>
        <w:rPr>
          <w:color w:val="000000"/>
          <w:spacing w:val="0"/>
          <w:w w:val="100"/>
          <w:position w:val="0"/>
        </w:rPr>
        <w:t>ISO900</w:t>
      </w:r>
      <w:r>
        <w:rPr>
          <w:color w:val="000000"/>
          <w:spacing w:val="0"/>
          <w:w w:val="100"/>
          <w:position w:val="0"/>
        </w:rPr>
        <w:t>0质量管理体系</w:t>
      </w:r>
      <w:r>
        <w:rPr>
          <w:color w:val="000000"/>
          <w:spacing w:val="0"/>
          <w:w w:val="100"/>
          <w:position w:val="0"/>
        </w:rPr>
        <w:t>、ISO14000</w:t>
      </w:r>
      <w:r>
        <w:rPr>
          <w:color w:val="000000"/>
          <w:spacing w:val="0"/>
          <w:w w:val="100"/>
          <w:position w:val="0"/>
        </w:rPr>
        <w:t>环境管理体系、</w:t>
      </w:r>
      <w:r>
        <w:rPr>
          <w:color w:val="000000"/>
          <w:spacing w:val="0"/>
          <w:w w:val="100"/>
          <w:position w:val="0"/>
        </w:rPr>
        <w:t>ISO45001:2018</w:t>
      </w:r>
      <w:r>
        <w:rPr>
          <w:color w:val="000000"/>
          <w:spacing w:val="0"/>
          <w:w w:val="100"/>
          <w:position w:val="0"/>
        </w:rPr>
        <w:t>职业健康安全管理体系认证，还获得了33 个国家和地区通认的</w:t>
      </w:r>
      <w:r>
        <w:rPr>
          <w:color w:val="000000"/>
          <w:spacing w:val="0"/>
          <w:w w:val="100"/>
          <w:position w:val="0"/>
        </w:rPr>
        <w:t>IQNet，Oeko-Tex</w:t>
      </w:r>
      <w:r>
        <w:rPr>
          <w:rFonts w:ascii="Times New Roman" w:eastAsia="Times New Roman" w:hAnsi="Times New Roman" w:cs="Times New Roman"/>
          <w:color w:val="000000"/>
          <w:spacing w:val="0"/>
          <w:w w:val="100"/>
          <w:position w:val="0"/>
        </w:rPr>
        <w:t>®</w:t>
      </w:r>
      <w:r>
        <w:rPr>
          <w:color w:val="000000"/>
          <w:spacing w:val="0"/>
          <w:w w:val="100"/>
          <w:position w:val="0"/>
        </w:rPr>
        <w:t xml:space="preserve">Standard </w:t>
      </w:r>
      <w:r>
        <w:rPr>
          <w:color w:val="000000"/>
          <w:spacing w:val="0"/>
          <w:w w:val="100"/>
          <w:position w:val="0"/>
        </w:rPr>
        <w:t>100生态纺织品认证，全球有机纺织品认证</w:t>
      </w:r>
      <w:r>
        <w:rPr>
          <w:color w:val="000000"/>
          <w:spacing w:val="0"/>
          <w:w w:val="100"/>
          <w:position w:val="0"/>
        </w:rPr>
        <w:t>GOTS</w:t>
      </w:r>
      <w:r>
        <w:rPr>
          <w:color w:val="000000"/>
          <w:spacing w:val="0"/>
          <w:w w:val="100"/>
          <w:position w:val="0"/>
        </w:rPr>
        <w:t xml:space="preserve">认证和全球回收标准认证 </w:t>
      </w:r>
      <w:r>
        <w:rPr>
          <w:color w:val="000000"/>
          <w:spacing w:val="0"/>
          <w:w w:val="100"/>
          <w:position w:val="0"/>
        </w:rPr>
        <w:t>GRS</w:t>
      </w:r>
      <w:r>
        <w:rPr>
          <w:color w:val="000000"/>
          <w:spacing w:val="0"/>
          <w:w w:val="100"/>
          <w:position w:val="0"/>
        </w:rPr>
        <w:t>认证，满足了客户的需求，实现了公司管理的国际化、标准化和规范化。</w:t>
      </w:r>
    </w:p>
    <w:p>
      <w:pPr>
        <w:pStyle w:val="Style18"/>
        <w:keepNext w:val="0"/>
        <w:keepLines w:val="0"/>
        <w:widowControl w:val="0"/>
        <w:shd w:val="clear" w:color="auto" w:fill="auto"/>
        <w:tabs>
          <w:tab w:pos="729" w:val="left"/>
        </w:tabs>
        <w:bidi w:val="0"/>
        <w:spacing w:before="0" w:after="40" w:line="313" w:lineRule="exact"/>
        <w:ind w:left="0" w:right="0" w:firstLine="440"/>
        <w:jc w:val="both"/>
      </w:pPr>
      <w:bookmarkStart w:id="88" w:name="bookmark88"/>
      <w:r>
        <w:rPr>
          <w:color w:val="000000"/>
          <w:spacing w:val="0"/>
          <w:w w:val="100"/>
          <w:position w:val="0"/>
        </w:rPr>
        <w:t>4</w:t>
      </w:r>
      <w:bookmarkEnd w:id="88"/>
      <w:r>
        <w:rPr>
          <w:color w:val="000000"/>
          <w:spacing w:val="0"/>
          <w:w w:val="100"/>
          <w:position w:val="0"/>
        </w:rPr>
        <w:t>、</w:t>
        <w:tab/>
        <w:t>传承与品牌优势</w:t>
      </w:r>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 xml:space="preserve">公司由原石家庄棉一、棉二、棉三、棉四和棉五改制成立，以上五家纺织厂均为国家“一五”期间建成的大型国企。自 上世纪五六十年代起，常山一直以严管理、高质量闻名业内，生产的府绸、纱卡系列坯布堪称“万能印染坯布”，享有业内 </w:t>
      </w:r>
      <w:r>
        <w:rPr>
          <w:color w:val="000000"/>
          <w:spacing w:val="0"/>
          <w:w w:val="100"/>
          <w:position w:val="0"/>
        </w:rPr>
        <w:t>“南纱北布” “北布”之美誉。公司成立以来，传承发扬常山纺织品牌文化，以质量创品牌，打造出了一系列中国名牌、省 著名商标、知名品牌等拳头产品，设计研发的功能型面料连年入围中国流行面料。</w:t>
      </w:r>
    </w:p>
    <w:p>
      <w:pPr>
        <w:pStyle w:val="Style23"/>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四</w:t>
      </w:r>
      <w:bookmarkEnd w:id="91"/>
      <w:r>
        <w:rPr>
          <w:color w:val="000000"/>
          <w:spacing w:val="0"/>
          <w:w w:val="100"/>
          <w:position w:val="0"/>
          <w:sz w:val="24"/>
          <w:szCs w:val="24"/>
        </w:rPr>
        <w:t>、主营业务分析</w:t>
      </w:r>
      <w:bookmarkEnd w:id="89"/>
      <w:bookmarkEnd w:id="90"/>
      <w:bookmarkEnd w:id="92"/>
    </w:p>
    <w:p>
      <w:pPr>
        <w:pStyle w:val="Style27"/>
        <w:keepNext/>
        <w:keepLines/>
        <w:widowControl w:val="0"/>
        <w:shd w:val="clear" w:color="auto" w:fill="auto"/>
        <w:tabs>
          <w:tab w:pos="368" w:val="left"/>
        </w:tabs>
        <w:bidi w:val="0"/>
        <w:spacing w:before="0" w:after="24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1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参见“管理层讨论与分析”中的“三、核心竞争力分析”相关内容。</w:t>
      </w:r>
    </w:p>
    <w:p>
      <w:pPr>
        <w:pStyle w:val="Style27"/>
        <w:keepNext/>
        <w:keepLines/>
        <w:widowControl w:val="0"/>
        <w:shd w:val="clear" w:color="auto" w:fill="auto"/>
        <w:tabs>
          <w:tab w:pos="378" w:val="left"/>
        </w:tabs>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27"/>
        <w:keepNext/>
        <w:keepLines/>
        <w:widowControl w:val="0"/>
        <w:shd w:val="clear" w:color="auto" w:fill="auto"/>
        <w:bidi w:val="0"/>
        <w:spacing w:before="0" w:line="240" w:lineRule="auto"/>
        <w:ind w:left="0" w:right="0" w:firstLine="0"/>
        <w:jc w:val="left"/>
      </w:pPr>
      <w:bookmarkStart w:id="101" w:name="bookmark101"/>
      <w:bookmarkStart w:id="102" w:name="bookmark102"/>
      <w:bookmarkStart w:id="97" w:name="bookmark97"/>
      <w:bookmarkStart w:id="98" w:name="bookmark98"/>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97"/>
      <w:bookmarkEnd w:id="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680"/>
        <w:gridCol w:w="1546"/>
        <w:gridCol w:w="1560"/>
        <w:gridCol w:w="1512"/>
        <w:gridCol w:w="12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4,785,397,879.26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4,572,697,524.39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6,096,208,098.73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5,311,098,066.81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14.78%</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367,074,607.82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371,124,818.79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1,173,331,524.65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983,290,024.62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2,607,291,708.68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2,285,613,431.97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系统集成及行业解决方 案服务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3,582,503,329.05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3,150,638,742.57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493,874,332.75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414,881,206.13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2,019,830,436.93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1,745,578,118.11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225,216,511.18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611,853,997.32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412,483,526.93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320,815,251.69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28.57%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7,394,711,376.70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6,882,639,902.50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1,319,148,823.21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1,304,019,860.08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1,847,718,728.19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1,538,016,201.50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320,027,049.89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159,119,627.12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101.12%</w:t>
            </w:r>
          </w:p>
        </w:tc>
      </w:tr>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9,883,795,591.20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10.10%</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本公司钢材收入较同期减少</w:t>
      </w:r>
      <w:r>
        <w:rPr>
          <w:rFonts w:ascii="Times New Roman" w:eastAsia="Times New Roman" w:hAnsi="Times New Roman" w:cs="Times New Roman"/>
          <w:color w:val="000000"/>
          <w:spacing w:val="0"/>
          <w:w w:val="100"/>
          <w:position w:val="0"/>
        </w:rPr>
        <w:t>63.19%</w:t>
      </w:r>
      <w:r>
        <w:rPr>
          <w:color w:val="000000"/>
          <w:spacing w:val="0"/>
          <w:w w:val="100"/>
          <w:position w:val="0"/>
        </w:rPr>
        <w:t>，主要系在“碳达峰、碳中和”政策下，我国钢铁行业迎来长期变革，加上下半年</w:t>
      </w:r>
      <w:r>
        <w:br w:type="page"/>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国内经济面临一定的下行压力，钢材消费同比有所回落，使公司本期钢材贸易收入减少</w:t>
      </w:r>
      <w:r>
        <w:rPr>
          <w:rFonts w:ascii="Times New Roman" w:eastAsia="Times New Roman" w:hAnsi="Times New Roman" w:cs="Times New Roman"/>
          <w:color w:val="000000"/>
          <w:spacing w:val="0"/>
          <w:w w:val="100"/>
          <w:position w:val="0"/>
        </w:rPr>
        <w:t>3.87</w:t>
      </w:r>
      <w:r>
        <w:rPr>
          <w:color w:val="000000"/>
          <w:spacing w:val="0"/>
          <w:w w:val="100"/>
          <w:position w:val="0"/>
        </w:rPr>
        <w:t>亿元。</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其他地区销售收入较同期增长</w:t>
      </w:r>
      <w:r>
        <w:rPr>
          <w:rFonts w:ascii="Times New Roman" w:eastAsia="Times New Roman" w:hAnsi="Times New Roman" w:cs="Times New Roman"/>
          <w:color w:val="000000"/>
          <w:spacing w:val="0"/>
          <w:w w:val="100"/>
          <w:position w:val="0"/>
        </w:rPr>
        <w:t>101.12%</w:t>
      </w:r>
      <w:r>
        <w:rPr>
          <w:color w:val="000000"/>
          <w:spacing w:val="0"/>
          <w:w w:val="100"/>
          <w:position w:val="0"/>
        </w:rPr>
        <w:t>，主要系由于市场需求变化，公司将部分销售业务转移至西北地区、东北地区所 致。</w:t>
      </w:r>
    </w:p>
    <w:p>
      <w:pPr>
        <w:pStyle w:val="Style18"/>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08"/>
        <w:gridCol w:w="1008"/>
        <w:gridCol w:w="1003"/>
        <w:gridCol w:w="1003"/>
        <w:gridCol w:w="10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1,425,030,</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2,663,608,</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2,053,326,</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4,739,640,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1,220,958,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2,384,041,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1,529,550,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4,749,244,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-88,854,63</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33,407,39</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21,915,56</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164,535,7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-98,949,58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13,433,52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36,314,68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150,507,8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公司季度性经营活动波动主要与公司软件板块行业周期特点和客户需求节奏相关。由于公司主要客户为金融、石化、电 力、政府等行业用户，客户通常在一季度启动全年采购计划及履行申请、审批等程序。二、三季度陆续进行项目的招标、谈 判、签约、实施等。四季度完成交付并付款，因此相对前三季度，公司第四季度产品交付、验收、确认收入较为集中。</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除软件业务受行业周期特点影响具有明显的季节波动性，业绩贡献季度分布不均衡外，本期的疫情也对公司业绩的季度 分布造成了一定影响。</w:t>
      </w:r>
    </w:p>
    <w:p>
      <w:pPr>
        <w:pStyle w:val="Style27"/>
        <w:keepNext/>
        <w:keepLines/>
        <w:widowControl w:val="0"/>
        <w:shd w:val="clear" w:color="auto" w:fill="auto"/>
        <w:bidi w:val="0"/>
        <w:spacing w:before="0" w:after="28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3"/>
      <w:bookmarkEnd w:id="104"/>
      <w:bookmarkEnd w:id="106"/>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98"/>
        <w:gridCol w:w="1560"/>
        <w:gridCol w:w="845"/>
        <w:gridCol w:w="1368"/>
        <w:gridCol w:w="1368"/>
        <w:gridCol w:w="122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毛利率比上</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软件和信息技术服 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6,096,208,098.73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5,025,894,869.31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系统集成及行业解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3,582,503,329.05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3,049,676,149.21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2,019,830,436.93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1,523,472,390.97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-6.08%</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4,213,450,122.49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3,636,251,940.51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689,996,652.41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462,895,875.83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1,192,761,323.83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926,747,052.97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0.93%</w:t>
            </w:r>
          </w:p>
        </w:tc>
      </w:tr>
    </w:tbl>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华南地区收入与成本较同期分别增加</w:t>
      </w:r>
      <w:r>
        <w:rPr>
          <w:rFonts w:ascii="Times New Roman" w:eastAsia="Times New Roman" w:hAnsi="Times New Roman" w:cs="Times New Roman"/>
          <w:color w:val="000000"/>
          <w:spacing w:val="0"/>
          <w:w w:val="100"/>
          <w:position w:val="0"/>
        </w:rPr>
        <w:t>48.05%</w:t>
      </w:r>
      <w:r>
        <w:rPr>
          <w:color w:val="000000"/>
          <w:spacing w:val="0"/>
          <w:w w:val="100"/>
          <w:position w:val="0"/>
        </w:rPr>
        <w:t>和</w:t>
      </w:r>
      <w:r>
        <w:rPr>
          <w:rFonts w:ascii="Times New Roman" w:eastAsia="Times New Roman" w:hAnsi="Times New Roman" w:cs="Times New Roman"/>
          <w:color w:val="000000"/>
          <w:spacing w:val="0"/>
          <w:w w:val="100"/>
          <w:position w:val="0"/>
        </w:rPr>
        <w:t>46.30%</w:t>
      </w:r>
      <w:r>
        <w:rPr>
          <w:color w:val="000000"/>
          <w:spacing w:val="0"/>
          <w:w w:val="100"/>
          <w:position w:val="0"/>
        </w:rPr>
        <w:t>，主要系本期公司在腾讯、广州税务局、南方电网以及广州中级 人民法院等客户收入增加所致。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1483"/>
        <w:gridCol w:w="1502"/>
        <w:gridCol w:w="1363"/>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4,785,397,879.26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4,703,267,955.40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0.94%</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1,173,331,524.65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1,113,531,645.04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2,607,291,708.68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2,603,773,290.00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r>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3,181,261,254.21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3,119,952,462.04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629,152,170.80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624,099,138.66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0.25%</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654,957,404.36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651,021,310.67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公司是否有实体门店销售终端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w:t>
      </w:r>
      <w:r>
        <w:rPr>
          <w:color w:val="000000"/>
          <w:spacing w:val="0"/>
          <w:w w:val="100"/>
          <w:position w:val="0"/>
        </w:rPr>
        <w:t>J</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上市公司新增门店情况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w:t>
      </w:r>
      <w:r>
        <w:rPr>
          <w:color w:val="000000"/>
          <w:spacing w:val="0"/>
          <w:w w:val="100"/>
          <w:position w:val="0"/>
        </w:rPr>
        <w:t>J</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公司是否披露前五大加盟店铺情况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w:t>
      </w:r>
      <w:r>
        <w:rPr>
          <w:color w:val="000000"/>
          <w:spacing w:val="0"/>
          <w:w w:val="100"/>
          <w:position w:val="0"/>
        </w:rPr>
        <w:t>J</w:t>
      </w:r>
      <w:r>
        <w:rPr>
          <w:color w:val="000000"/>
          <w:spacing w:val="0"/>
          <w:w w:val="100"/>
          <w:position w:val="0"/>
        </w:rPr>
        <w:t>否</w:t>
      </w:r>
    </w:p>
    <w:p>
      <w:pPr>
        <w:pStyle w:val="Style27"/>
        <w:keepNext/>
        <w:keepLines/>
        <w:widowControl w:val="0"/>
        <w:numPr>
          <w:ilvl w:val="0"/>
          <w:numId w:val="1"/>
        </w:numPr>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公司实物销售收入是否大于劳务收入</w:t>
      </w:r>
      <w:bookmarkEnd w:id="107"/>
      <w:bookmarkEnd w:id="108"/>
      <w:bookmarkEnd w:id="11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是□否</w:t>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12,641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11,996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r>
    </w:tbl>
    <w:p>
      <w:pPr>
        <w:pStyle w:val="Style1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 口适用</w:t>
      </w:r>
      <w:r>
        <w:rPr>
          <w:color w:val="000000"/>
          <w:spacing w:val="0"/>
          <w:w w:val="100"/>
          <w:position w:val="0"/>
        </w:rPr>
        <w:t>J</w:t>
      </w:r>
      <w:r>
        <w:rPr>
          <w:color w:val="000000"/>
          <w:spacing w:val="0"/>
          <w:w w:val="100"/>
          <w:position w:val="0"/>
        </w:rPr>
        <w:t>不适用</w:t>
      </w:r>
      <w:r>
        <w:br w:type="page"/>
      </w:r>
    </w:p>
    <w:p>
      <w:pPr>
        <w:pStyle w:val="Style27"/>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公司已签订的重大销售合同、重大采购合同截至本报告期的履行情况</w:t>
      </w:r>
      <w:bookmarkEnd w:id="111"/>
      <w:bookmarkEnd w:id="112"/>
      <w:bookmarkEnd w:id="11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营业成本构成</w:t>
      </w:r>
      <w:bookmarkEnd w:id="115"/>
      <w:bookmarkEnd w:id="116"/>
      <w:bookmarkEnd w:id="11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17"/>
        <w:gridCol w:w="1258"/>
        <w:gridCol w:w="1483"/>
        <w:gridCol w:w="1066"/>
        <w:gridCol w:w="1574"/>
        <w:gridCol w:w="1051"/>
        <w:gridCol w:w="97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860,530,733.54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827,335,968.85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138,090,856.88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144,425,874.69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101,845,688.32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83,582,350.40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118,874,026.09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123,111,317.87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3,249,568.50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3,894,498.85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4,782,533,007.46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4,159,449,957.02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243,361,861.85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207,426,638.28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243"/>
        <w:gridCol w:w="1531"/>
        <w:gridCol w:w="1075"/>
        <w:gridCol w:w="1622"/>
        <w:gridCol w:w="1037"/>
        <w:gridCol w:w="103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360,899,080.60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367,560,780.86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1,113,531,645.04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965,410,537.13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2,603,773,290.00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2,282,549,452.53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625,063,939.76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921,380,977.29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系统集成及行业解决 方案服务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3,049,676,149.21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2,767,322,286.88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452,746,329.13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389,005,072.96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1,523,472,390.97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1,210,549,235.46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本期公司其他产品营业成本较上年同期减少32.16%，主要系本期公司钢材贸易业务收入同比减少，其成本也相应减少。</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主营业务成本构成</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4,782,533,007.46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4,159,449,957.02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14.98%</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243,361,861.85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207,426,638.28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17.32%</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9"/>
      <w:bookmarkEnd w:id="120"/>
      <w:bookmarkEnd w:id="122"/>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40" w:line="313" w:lineRule="exact"/>
        <w:ind w:left="0" w:right="0"/>
        <w:jc w:val="both"/>
      </w:pPr>
      <w:r>
        <w:rPr>
          <w:color w:val="000000"/>
          <w:spacing w:val="0"/>
          <w:w w:val="100"/>
          <w:position w:val="0"/>
        </w:rPr>
        <w:t>本年度增加八家合并单位为：河北恒合纺织科技有限公司、石家庄恒昇多媒体科技有限公司、河北雄安北明软件有限公 司、南京北明软件有限公司、深圳北明软件有限公司、南宁北明数科信息技术有限公司、辽宁北明数科信息技术有限公司、 深圳北明数科信息技术有限公司，上述八家公司为2021年新设立的公司，其中本公司持有石家庄恒昇多媒体科技有限公司、 河北雄安北明软件有限公司、南京北明软件有限公司、深圳北明软件有限公司股权均为100%,持有河北恒合纺织科技有限公 司98%股权，持有南宁北明数科信息技术有限公司、辽宁北明数科信息技术有限公司、深圳北明数科信息技术有限公司</w:t>
      </w:r>
      <w:r>
        <w:rPr>
          <w:color w:val="000000"/>
          <w:spacing w:val="0"/>
          <w:w w:val="100"/>
          <w:position w:val="0"/>
        </w:rPr>
        <w:t xml:space="preserve">43. </w:t>
      </w:r>
      <w:r>
        <w:rPr>
          <w:color w:val="000000"/>
          <w:spacing w:val="0"/>
          <w:w w:val="100"/>
          <w:position w:val="0"/>
        </w:rPr>
        <w:t>35% 股权。</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本年度减少六家合并单位为：上海常纺恒友国际贸易有限公司、新疆常山恒宏纺织科技有限公司、北明（青岛）信息技 术有限公司、成都北明祺舯信息技术有限公司因注销不在合并范围内。北京枫调理顺科技发展有限公司少数股东签订《一致 行动人协议》，公司对其不再具有控制权，2021年为联营单位。北京天时前程工程技术有限公司（现更名为北京智合瑞行能 源科技有限公司）因处置不在合并范围内。</w:t>
      </w:r>
    </w:p>
    <w:p>
      <w:pPr>
        <w:pStyle w:val="Style27"/>
        <w:keepNext/>
        <w:keepLines/>
        <w:widowControl w:val="0"/>
        <w:shd w:val="clear" w:color="auto" w:fill="auto"/>
        <w:tabs>
          <w:tab w:pos="476" w:val="left"/>
        </w:tabs>
        <w:bidi w:val="0"/>
        <w:spacing w:before="0" w:after="2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3"/>
      <w:bookmarkEnd w:id="124"/>
      <w:bookmarkEnd w:id="126"/>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口适用”不适用</w:t>
      </w:r>
    </w:p>
    <w:p>
      <w:pPr>
        <w:pStyle w:val="Style27"/>
        <w:keepNext/>
        <w:keepLines/>
        <w:widowControl w:val="0"/>
        <w:shd w:val="clear" w:color="auto" w:fill="auto"/>
        <w:tabs>
          <w:tab w:pos="476"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7"/>
      <w:bookmarkEnd w:id="128"/>
      <w:bookmarkEnd w:id="1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94"/>
        <w:gridCol w:w="503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2,829,043,034.46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298"/>
        <w:gridCol w:w="2323"/>
        <w:gridCol w:w="314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917,666,494.65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541,036,641.75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505,269,331.10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445,001,666.54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420,068,900.42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3.86%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2,829,043,034.46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58"/>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3,870,747,412.01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tbl>
      <w:tblPr>
        <w:tblOverlap w:val="never"/>
        <w:jc w:val="center"/>
        <w:tblLayout w:type="fixed"/>
      </w:tblPr>
      <w:tblGrid>
        <w:gridCol w:w="941"/>
        <w:gridCol w:w="3168"/>
        <w:gridCol w:w="2323"/>
        <w:gridCol w:w="3149"/>
      </w:tblGrid>
      <w:tr>
        <w:trPr>
          <w:trHeight w:val="317"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1,661,457,264.06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918,401,968.08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563,617,989.35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390,676,376.63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336,593,813.89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3,870,747,412.01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14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8"/>
        <w:gridCol w:w="1382"/>
        <w:gridCol w:w="1349"/>
        <w:gridCol w:w="1003"/>
        <w:gridCol w:w="502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267,448,132.38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250,964,348.49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333,076,664.64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287,454,362.63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234,230,424.03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240,037,654.64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242,024,038.84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185,743,682.65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主要系本报告期公司软件板块研发项目数量及投入增加所致。</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w:t>
      </w:r>
    </w:p>
    <w:p>
      <w:pPr>
        <w:widowControl w:val="0"/>
        <w:spacing w:after="79" w:line="1" w:lineRule="exact"/>
      </w:pPr>
    </w:p>
    <w:tbl>
      <w:tblPr>
        <w:tblOverlap w:val="never"/>
        <w:jc w:val="left"/>
        <w:tblLayout w:type="fixed"/>
      </w:tblPr>
      <w:tblGrid>
        <w:gridCol w:w="1344"/>
        <w:gridCol w:w="1603"/>
        <w:gridCol w:w="1766"/>
        <w:gridCol w:w="1522"/>
        <w:gridCol w:w="1464"/>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纺织业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2021 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5,596, </w:t>
            </w:r>
            <w:r>
              <w:rPr>
                <w:color w:val="000000"/>
                <w:spacing w:val="0"/>
                <w:w w:val="100"/>
                <w:position w:val="0"/>
              </w:rPr>
              <w:t xml:space="preserve">824. </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7,872,283.16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131,721,162.21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124, 043, </w:t>
            </w:r>
            <w:r>
              <w:rPr>
                <w:color w:val="000000"/>
                <w:spacing w:val="0"/>
                <w:w w:val="100"/>
                <w:position w:val="0"/>
              </w:rPr>
              <w:t xml:space="preserve">132. </w:t>
            </w:r>
            <w:r>
              <w:rPr>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153,200,014.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153,948,836.99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tbl>
      <w:tblPr>
        <w:tblOverlap w:val="never"/>
        <w:jc w:val="left"/>
        <w:tblLayout w:type="fixed"/>
      </w:tblPr>
      <w:tblGrid>
        <w:gridCol w:w="1344"/>
        <w:gridCol w:w="1296"/>
        <w:gridCol w:w="1378"/>
        <w:gridCol w:w="1022"/>
        <w:gridCol w:w="3811"/>
      </w:tblGrid>
      <w:tr>
        <w:trPr>
          <w:trHeight w:val="4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 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2020年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4,084,100.68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3,941,737.54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690,947.38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903,030.23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-23.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821,776.51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3,027,515.39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-72.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主要系本期外销费用、仓储费等减少所致。</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5,596,824.57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7,872,283.16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-28. </w:t>
            </w:r>
            <w:r>
              <w:rPr>
                <w:color w:val="000000"/>
                <w:spacing w:val="0"/>
                <w:w w:val="100"/>
                <w:position w:val="0"/>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keepLines/>
        <w:widowControl w:val="0"/>
        <w:shd w:val="clear" w:color="auto" w:fill="auto"/>
        <w:bidi w:val="0"/>
        <w:spacing w:before="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、纺织服装相关行业信息披露指引要求的其他信息</w:t>
      </w:r>
      <w:bookmarkEnd w:id="135"/>
      <w:bookmarkEnd w:id="136"/>
      <w:bookmarkEnd w:id="13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w:t>
      </w:r>
    </w:p>
    <w:p>
      <w:pPr>
        <w:pStyle w:val="Style27"/>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1</w:t>
      </w:r>
      <w:r>
        <w:rPr>
          <w:color w:val="000000"/>
          <w:spacing w:val="0"/>
          <w:w w:val="100"/>
          <w:position w:val="0"/>
        </w:rPr>
        <w:t>）产能情况</w:t>
      </w:r>
      <w:bookmarkEnd w:id="139"/>
      <w:bookmarkEnd w:id="140"/>
      <w:bookmarkEnd w:id="14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公司自有产能状况</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r>
              <w:rPr>
                <w:rFonts w:ascii="Times New Roman" w:eastAsia="Times New Roman" w:hAnsi="Times New Roman" w:cs="Times New Roman"/>
                <w:color w:val="000000"/>
                <w:spacing w:val="0"/>
                <w:w w:val="100"/>
                <w:position w:val="0"/>
              </w:rPr>
              <w:t>25,000</w:t>
            </w:r>
            <w:r>
              <w:rPr>
                <w:color w:val="000000"/>
                <w:spacing w:val="0"/>
                <w:w w:val="100"/>
                <w:position w:val="0"/>
              </w:rPr>
              <w:t>吨，坯布</w:t>
            </w:r>
            <w:r>
              <w:rPr>
                <w:rFonts w:ascii="Times New Roman" w:eastAsia="Times New Roman" w:hAnsi="Times New Roman" w:cs="Times New Roman"/>
                <w:color w:val="000000"/>
                <w:spacing w:val="0"/>
                <w:w w:val="100"/>
                <w:position w:val="0"/>
              </w:rPr>
              <w:t>4,400</w:t>
            </w:r>
            <w:r>
              <w:rPr>
                <w:color w:val="000000"/>
                <w:spacing w:val="0"/>
                <w:w w:val="100"/>
                <w:position w:val="0"/>
              </w:rPr>
              <w:t>万米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r>
              <w:rPr>
                <w:rFonts w:ascii="Times New Roman" w:eastAsia="Times New Roman" w:hAnsi="Times New Roman" w:cs="Times New Roman"/>
                <w:color w:val="000000"/>
                <w:spacing w:val="0"/>
                <w:w w:val="100"/>
                <w:position w:val="0"/>
              </w:rPr>
              <w:t>25,000</w:t>
            </w:r>
            <w:r>
              <w:rPr>
                <w:color w:val="000000"/>
                <w:spacing w:val="0"/>
                <w:w w:val="100"/>
                <w:position w:val="0"/>
              </w:rPr>
              <w:t>吨、坯布</w:t>
            </w:r>
            <w:r>
              <w:rPr>
                <w:rFonts w:ascii="Times New Roman" w:eastAsia="Times New Roman" w:hAnsi="Times New Roman" w:cs="Times New Roman"/>
                <w:color w:val="000000"/>
                <w:spacing w:val="0"/>
                <w:w w:val="100"/>
                <w:position w:val="0"/>
              </w:rPr>
              <w:t>6,700</w:t>
            </w:r>
            <w:r>
              <w:rPr>
                <w:color w:val="000000"/>
                <w:spacing w:val="0"/>
                <w:w w:val="100"/>
                <w:position w:val="0"/>
              </w:rPr>
              <w:t>万米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产能利用率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在建工厂情况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产能利用率同比变动超过</w:t>
      </w:r>
      <w:r>
        <w:rPr>
          <w:rFonts w:ascii="Times New Roman" w:eastAsia="Times New Roman" w:hAnsi="Times New Roman" w:cs="Times New Roman"/>
          <w:color w:val="000000"/>
          <w:spacing w:val="0"/>
          <w:w w:val="100"/>
          <w:position w:val="0"/>
        </w:rPr>
        <w:t>10%</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主要系本报告期国内疫情得到有效控制，终端消费呈恢复增长态势，公司不断增强下游订单承揽能力，产销量上升，以 及清理部分低效无效设备等原因，使产能利用率变化较大。</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是否存在海外产能</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口是"否</w:t>
      </w:r>
    </w:p>
    <w:p>
      <w:pPr>
        <w:pStyle w:val="Style27"/>
        <w:keepNext/>
        <w:keepLines/>
        <w:widowControl w:val="0"/>
        <w:shd w:val="clear" w:color="auto" w:fill="auto"/>
        <w:bidi w:val="0"/>
        <w:spacing w:before="0" w:after="2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2</w:t>
      </w:r>
      <w:r>
        <w:rPr>
          <w:color w:val="000000"/>
          <w:spacing w:val="0"/>
          <w:w w:val="100"/>
          <w:position w:val="0"/>
        </w:rPr>
        <w:t>）销售模式及渠道情况</w:t>
      </w:r>
      <w:bookmarkEnd w:id="143"/>
      <w:bookmarkEnd w:id="144"/>
      <w:bookmarkEnd w:id="146"/>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产品的销售渠道及实际运营方式</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公司销售模式以直销为主。具体操作如下：公司始终重视产品的推广和营销，通过参加国内外行业展会，进行推广宣传; 通过拜访推介等方式推介公司产品，挖掘新客户资源；对现有客户定期拜访，不断增强与客户的粘合度，促进销售，加大定 单类产品接单力度，从多维度分担市场形势变化对公司造成的风险，提升利润空间。</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0"/>
        <w:gridCol w:w="1531"/>
        <w:gridCol w:w="1483"/>
        <w:gridCol w:w="1051"/>
        <w:gridCol w:w="1363"/>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销售渠道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1,500,648.62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1,297,135.66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531,535.30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539,991.31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4,783,897,230.64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4,701,970,819.74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212,168,819.57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165,826,216.28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变化原因</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3</w:t>
      </w:r>
      <w:r>
        <w:rPr>
          <w:color w:val="000000"/>
          <w:spacing w:val="0"/>
          <w:w w:val="100"/>
          <w:position w:val="0"/>
        </w:rPr>
        <w:t>）加盟、分销</w:t>
      </w:r>
      <w:bookmarkEnd w:id="147"/>
      <w:bookmarkEnd w:id="148"/>
      <w:bookmarkEnd w:id="15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加盟商、分销商实现销售收入占比超过</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前五大加盟商</w:t>
      </w:r>
    </w:p>
    <w:tbl>
      <w:tblPr>
        <w:tblOverlap w:val="never"/>
        <w:jc w:val="center"/>
        <w:tblLayout w:type="fixed"/>
      </w:tblPr>
      <w:tblGrid>
        <w:gridCol w:w="797"/>
        <w:gridCol w:w="2395"/>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销售总额（元）</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加盟商的层级</w:t>
            </w:r>
          </w:p>
        </w:tc>
      </w:tr>
    </w:tbl>
    <w:p>
      <w:pPr>
        <w:widowControl w:val="0"/>
        <w:spacing w:after="3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前五大分销商</w:t>
      </w:r>
    </w:p>
    <w:tbl>
      <w:tblPr>
        <w:tblOverlap w:val="never"/>
        <w:jc w:val="center"/>
        <w:tblLayout w:type="fixed"/>
      </w:tblPr>
      <w:tblGrid>
        <w:gridCol w:w="955"/>
        <w:gridCol w:w="287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销售总额（元）</w:t>
            </w:r>
          </w:p>
        </w:tc>
      </w:tr>
    </w:tbl>
    <w:p>
      <w:pPr>
        <w:spacing w:lineRule="exact" w:line="1"/>
        <w:rPr>
          <w:sz w:val="2"/>
          <w:szCs w:val="2"/>
        </w:rPr>
      </w:pPr>
      <w:r>
        <w:br w:type="page"/>
      </w:r>
    </w:p>
    <w:p>
      <w:pPr>
        <w:pStyle w:val="Style27"/>
        <w:keepNext/>
        <w:keepLines/>
        <w:widowControl w:val="0"/>
        <w:numPr>
          <w:ilvl w:val="0"/>
          <w:numId w:val="3"/>
        </w:numPr>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线上销售</w:t>
      </w:r>
      <w:bookmarkEnd w:id="151"/>
      <w:bookmarkEnd w:id="152"/>
      <w:bookmarkEnd w:id="15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线上销售实现销售收入占比超过</w:t>
      </w:r>
      <w:r>
        <w:rPr>
          <w:rFonts w:ascii="Times New Roman" w:eastAsia="Times New Roman" w:hAnsi="Times New Roman" w:cs="Times New Roman"/>
          <w:color w:val="000000"/>
          <w:spacing w:val="0"/>
          <w:w w:val="100"/>
          <w:position w:val="0"/>
        </w:rPr>
        <w:t>30%</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是否自建销售平台</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开始运营的时间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注册用户数量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月均活跃用户数量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主要销售品牌的退货率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29.00%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主要销售品类的退货率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29.00%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是否与第三方销售平台合作</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报告期内的交易金额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向该平台支付费用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29.70%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487,809.18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万里牛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949,121.23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18,540.00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公司开设或关闭线上销售渠道</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200"/>
        <w:gridCol w:w="974"/>
        <w:gridCol w:w="2011"/>
        <w:gridCol w:w="1051"/>
        <w:gridCol w:w="1061"/>
        <w:gridCol w:w="1877"/>
        <w:gridCol w:w="136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主营品牌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渠道状态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关闭的具 体原因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开业时间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开店期间经营 情况</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床品套件、毛巾浴巾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床品套件、毛巾浴巾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床品套件、毛巾浴巾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万里牛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床品套件、毛巾浴巾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说明对公司当期及未来发展的影响</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以上开设线上销售渠道是公司经营过程根据内外环境及公司实际情况进行的渠道拓展和调整，对公司无重大影响。</w:t>
      </w:r>
    </w:p>
    <w:p>
      <w:pPr>
        <w:pStyle w:val="Style27"/>
        <w:keepNext/>
        <w:keepLines/>
        <w:widowControl w:val="0"/>
        <w:numPr>
          <w:ilvl w:val="0"/>
          <w:numId w:val="3"/>
        </w:numPr>
        <w:shd w:val="clear" w:color="auto" w:fill="auto"/>
        <w:tabs>
          <w:tab w:pos="488" w:val="left"/>
        </w:tabs>
        <w:bidi w:val="0"/>
        <w:spacing w:before="0" w:after="38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代运营模式</w:t>
      </w:r>
      <w:bookmarkEnd w:id="155"/>
      <w:bookmarkEnd w:id="156"/>
      <w:bookmarkEnd w:id="15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是否涉及代运营模式</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27"/>
        <w:keepNext/>
        <w:keepLines/>
        <w:widowControl w:val="0"/>
        <w:numPr>
          <w:ilvl w:val="0"/>
          <w:numId w:val="3"/>
        </w:numPr>
        <w:shd w:val="clear" w:color="auto" w:fill="auto"/>
        <w:tabs>
          <w:tab w:pos="488" w:val="left"/>
        </w:tabs>
        <w:bidi w:val="0"/>
        <w:spacing w:before="0" w:after="14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存货情况</w:t>
      </w:r>
      <w:bookmarkEnd w:id="159"/>
      <w:bookmarkEnd w:id="160"/>
      <w:bookmarkEnd w:id="162"/>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存货情况</w:t>
      </w:r>
    </w:p>
    <w:tbl>
      <w:tblPr>
        <w:tblOverlap w:val="never"/>
        <w:jc w:val="center"/>
        <w:tblLayout w:type="fixed"/>
      </w:tblPr>
      <w:tblGrid>
        <w:gridCol w:w="1018"/>
        <w:gridCol w:w="931"/>
        <w:gridCol w:w="1109"/>
        <w:gridCol w:w="960"/>
        <w:gridCol w:w="1262"/>
        <w:gridCol w:w="44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存货周</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转天数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存货库龄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存货余额同</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比增减情况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主要系本期公司产能利用率提高，产品产量增加所致</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压缩库存，加快周转</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存货跌价准备的计提情况</w:t>
      </w:r>
    </w:p>
    <w:p>
      <w:pPr>
        <w:widowControl w:val="0"/>
        <w:spacing w:after="79" w:line="1" w:lineRule="exact"/>
      </w:pPr>
    </w:p>
    <w:p>
      <w:pPr>
        <w:pStyle w:val="Style25"/>
        <w:keepNext w:val="0"/>
        <w:keepLines w:val="0"/>
        <w:widowControl w:val="0"/>
        <w:shd w:val="clear" w:color="auto" w:fill="auto"/>
        <w:bidi w:val="0"/>
        <w:spacing w:before="0" w:after="0" w:line="240" w:lineRule="auto"/>
        <w:ind w:left="8179" w:right="0" w:firstLine="0"/>
        <w:jc w:val="left"/>
      </w:pPr>
      <w:r>
        <w:rPr>
          <w:color w:val="000000"/>
          <w:spacing w:val="0"/>
          <w:w w:val="100"/>
          <w:position w:val="0"/>
        </w:rPr>
        <w:t>单位：元</w:t>
      </w:r>
    </w:p>
    <w:tbl>
      <w:tblPr>
        <w:tblOverlap w:val="never"/>
        <w:jc w:val="center"/>
        <w:tblLayout w:type="fixed"/>
      </w:tblPr>
      <w:tblGrid>
        <w:gridCol w:w="2285"/>
        <w:gridCol w:w="2482"/>
        <w:gridCol w:w="2477"/>
        <w:gridCol w:w="2491"/>
      </w:tblGrid>
      <w:tr>
        <w:trPr>
          <w:trHeight w:val="6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2021. 12. </w:t>
            </w:r>
            <w:r>
              <w:rPr>
                <w:color w:val="000000"/>
                <w:spacing w:val="0"/>
                <w:w w:val="100"/>
                <w:position w:val="0"/>
              </w:rPr>
              <w:t>31</w:t>
            </w: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424, </w:t>
            </w:r>
            <w:r>
              <w:rPr>
                <w:color w:val="000000"/>
                <w:spacing w:val="0"/>
                <w:w w:val="100"/>
                <w:position w:val="0"/>
              </w:rPr>
              <w:t xml:space="preserve">137,408. </w:t>
            </w: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424, </w:t>
            </w:r>
            <w:r>
              <w:rPr>
                <w:color w:val="000000"/>
                <w:spacing w:val="0"/>
                <w:w w:val="100"/>
                <w:position w:val="0"/>
              </w:rPr>
              <w:t xml:space="preserve">137,408. </w:t>
            </w:r>
            <w:r>
              <w:rPr>
                <w:color w:val="000000"/>
                <w:spacing w:val="0"/>
                <w:w w:val="100"/>
                <w:position w:val="0"/>
              </w:rPr>
              <w:t>51</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32, 672, </w:t>
            </w:r>
            <w:r>
              <w:rPr>
                <w:color w:val="000000"/>
                <w:spacing w:val="0"/>
                <w:w w:val="100"/>
                <w:position w:val="0"/>
              </w:rPr>
              <w:t xml:space="preserve">959.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32,672,959.00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1,303,726, </w:t>
            </w:r>
            <w:r>
              <w:rPr>
                <w:color w:val="000000"/>
                <w:spacing w:val="0"/>
                <w:w w:val="100"/>
                <w:position w:val="0"/>
              </w:rPr>
              <w:t>659.41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42,319,200.81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1,261,407,458.60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1,007,513,327.99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1,007,513,327.99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3,568,483.72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3,568,483.72</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280,965,500.69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280,965,500.69</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3,052,584,339.32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42,319,200.81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3,010,265,138.51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加盟或分销商等终端渠道的存货信息</w:t>
      </w:r>
    </w:p>
    <w:p>
      <w:pPr>
        <w:pStyle w:val="Style27"/>
        <w:keepNext/>
        <w:keepLines/>
        <w:widowControl w:val="0"/>
        <w:shd w:val="clear" w:color="auto" w:fill="auto"/>
        <w:bidi w:val="0"/>
        <w:spacing w:before="0" w:after="38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7</w:t>
      </w:r>
      <w:r>
        <w:rPr>
          <w:color w:val="000000"/>
          <w:spacing w:val="0"/>
          <w:w w:val="100"/>
          <w:position w:val="0"/>
        </w:rPr>
        <w:t>）品牌建设情况</w:t>
      </w:r>
      <w:bookmarkEnd w:id="163"/>
      <w:bookmarkEnd w:id="164"/>
      <w:bookmarkEnd w:id="166"/>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公司是否涉及生产和销售品牌服装、服饰以及家纺产品</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自有品牌</w:t>
      </w:r>
    </w:p>
    <w:tbl>
      <w:tblPr>
        <w:tblOverlap w:val="never"/>
        <w:jc w:val="center"/>
        <w:tblLayout w:type="fixed"/>
      </w:tblPr>
      <w:tblGrid>
        <w:gridCol w:w="946"/>
        <w:gridCol w:w="1032"/>
        <w:gridCol w:w="2026"/>
        <w:gridCol w:w="1402"/>
        <w:gridCol w:w="1800"/>
        <w:gridCol w:w="984"/>
        <w:gridCol w:w="826"/>
        <w:gridCol w:w="7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目标客户群</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价格带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售区域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城市</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级别</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爱意生活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爱意生活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家用器皿、厨房用具、 牙刷、瓷器装饰品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智能牙刷消毒 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儿童、青少年、小资 白领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床品、纺织品、鹅绒被、 浴袍、睡袍、围巾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匹马棉、新疆长 绒棉材质、</w:t>
            </w:r>
            <w:r>
              <w:rPr>
                <w:rFonts w:ascii="Times New Roman" w:eastAsia="Times New Roman" w:hAnsi="Times New Roman" w:cs="Times New Roman"/>
                <w:color w:val="000000"/>
                <w:spacing w:val="0"/>
                <w:w w:val="100"/>
                <w:position w:val="0"/>
              </w:rPr>
              <w:t>A</w:t>
            </w:r>
            <w:r>
              <w:rPr>
                <w:color w:val="000000"/>
                <w:spacing w:val="0"/>
                <w:w w:val="100"/>
                <w:position w:val="0"/>
              </w:rPr>
              <w:t>类 优等品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中产高收入人群、富 裕家庭、品质追求的 消费升级人群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毛巾浴巾、内衣、袜子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匹马棉、新疆长 绒棉材质、</w:t>
            </w:r>
            <w:r>
              <w:rPr>
                <w:rFonts w:ascii="Times New Roman" w:eastAsia="Times New Roman" w:hAnsi="Times New Roman" w:cs="Times New Roman"/>
                <w:color w:val="000000"/>
                <w:spacing w:val="0"/>
                <w:w w:val="100"/>
                <w:position w:val="0"/>
              </w:rPr>
              <w:t>A</w:t>
            </w:r>
            <w:r>
              <w:rPr>
                <w:color w:val="000000"/>
                <w:spacing w:val="0"/>
                <w:w w:val="100"/>
                <w:position w:val="0"/>
              </w:rPr>
              <w:t>类 优等品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中产高收入人群、富 裕家庭、品质追求的 消费升级人群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松鼠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松鼠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织物；纺织品毛巾；床 上用覆盖物；毛巾被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新疆长绒棉材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质、</w:t>
            </w:r>
            <w:r>
              <w:rPr>
                <w:rFonts w:ascii="Times New Roman" w:eastAsia="Times New Roman" w:hAnsi="Times New Roman" w:cs="Times New Roman"/>
                <w:color w:val="000000"/>
                <w:spacing w:val="0"/>
                <w:w w:val="100"/>
                <w:position w:val="0"/>
              </w:rPr>
              <w:t>A</w:t>
            </w:r>
            <w:r>
              <w:rPr>
                <w:color w:val="000000"/>
                <w:spacing w:val="0"/>
                <w:w w:val="100"/>
                <w:position w:val="0"/>
              </w:rPr>
              <w:t>类优等品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中产富裕家庭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r>
    </w:tbl>
    <w:p>
      <w:pPr>
        <w:spacing w:lineRule="exact" w:line="1"/>
        <w:rPr>
          <w:sz w:val="2"/>
          <w:szCs w:val="2"/>
        </w:rPr>
      </w:pPr>
      <w:r>
        <w:br w:type="page"/>
      </w:r>
    </w:p>
    <w:tbl>
      <w:tblPr>
        <w:tblOverlap w:val="never"/>
        <w:jc w:val="center"/>
        <w:tblLayout w:type="fixed"/>
      </w:tblPr>
      <w:tblGrid>
        <w:gridCol w:w="946"/>
        <w:gridCol w:w="1032"/>
        <w:gridCol w:w="2026"/>
        <w:gridCol w:w="1402"/>
        <w:gridCol w:w="1800"/>
        <w:gridCol w:w="984"/>
        <w:gridCol w:w="826"/>
        <w:gridCol w:w="730"/>
      </w:tblGrid>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金常山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金常山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纺织织物；布；棉织品； 内衣用织物；纺织的弹 性布料；粗斜纹布；印 花棉布；平针织物；装 饰织品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匹马棉、新疆长 绒棉材质、</w:t>
            </w:r>
            <w:r>
              <w:rPr>
                <w:rFonts w:ascii="Times New Roman" w:eastAsia="Times New Roman" w:hAnsi="Times New Roman" w:cs="Times New Roman"/>
                <w:color w:val="000000"/>
                <w:spacing w:val="0"/>
                <w:w w:val="100"/>
                <w:position w:val="0"/>
              </w:rPr>
              <w:t>A</w:t>
            </w:r>
            <w:r>
              <w:rPr>
                <w:color w:val="000000"/>
                <w:spacing w:val="0"/>
                <w:w w:val="100"/>
                <w:position w:val="0"/>
              </w:rPr>
              <w:t>类 优等品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中产富裕家庭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合作品牌</w:t>
      </w:r>
    </w:p>
    <w:p>
      <w:pPr>
        <w:widowControl w:val="0"/>
        <w:spacing w:after="79" w:line="1" w:lineRule="exact"/>
      </w:pPr>
    </w:p>
    <w:tbl>
      <w:tblPr>
        <w:tblOverlap w:val="never"/>
        <w:jc w:val="center"/>
        <w:tblLayout w:type="fixed"/>
      </w:tblPr>
      <w:tblGrid>
        <w:gridCol w:w="802"/>
        <w:gridCol w:w="797"/>
        <w:gridCol w:w="797"/>
        <w:gridCol w:w="797"/>
        <w:gridCol w:w="797"/>
        <w:gridCol w:w="797"/>
        <w:gridCol w:w="797"/>
        <w:gridCol w:w="802"/>
        <w:gridCol w:w="797"/>
        <w:gridCol w:w="797"/>
        <w:gridCol w:w="797"/>
        <w:gridCol w:w="806"/>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品牌名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商标名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目标客 户群</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主要产 品价格 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主要销</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售区域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城市级 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品牌及 商标权 权属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合作方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合作方 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合作期 限</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被授权品牌</w:t>
      </w:r>
    </w:p>
    <w:tbl>
      <w:tblPr>
        <w:tblOverlap w:val="never"/>
        <w:jc w:val="center"/>
        <w:tblLayout w:type="fixed"/>
      </w:tblPr>
      <w:tblGrid>
        <w:gridCol w:w="869"/>
        <w:gridCol w:w="869"/>
        <w:gridCol w:w="869"/>
        <w:gridCol w:w="869"/>
        <w:gridCol w:w="869"/>
        <w:gridCol w:w="874"/>
        <w:gridCol w:w="869"/>
        <w:gridCol w:w="869"/>
        <w:gridCol w:w="869"/>
        <w:gridCol w:w="874"/>
        <w:gridCol w:w="874"/>
      </w:tblGrid>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品牌名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商标名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特点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目标客 户群</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主要产 品价格 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主要销</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售区域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城市级 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授权期 限</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独家授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报告期内各品牌的营销与运营</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涉及商标权属纠纷等情况</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7"/>
        <w:keepNext/>
        <w:keepLines/>
        <w:widowControl w:val="0"/>
        <w:numPr>
          <w:ilvl w:val="0"/>
          <w:numId w:val="5"/>
        </w:numPr>
        <w:shd w:val="clear" w:color="auto" w:fill="auto"/>
        <w:bidi w:val="0"/>
        <w:spacing w:before="0" w:after="200" w:line="240" w:lineRule="auto"/>
        <w:ind w:left="0" w:right="0" w:firstLine="0"/>
        <w:jc w:val="left"/>
      </w:pPr>
      <w:bookmarkStart w:id="167" w:name="bookmark167"/>
      <w:bookmarkStart w:id="168" w:name="bookmark168"/>
      <w:bookmarkStart w:id="169" w:name="bookmark169"/>
      <w:bookmarkStart w:id="170" w:name="bookmark170"/>
      <w:bookmarkEnd w:id="169"/>
      <w:r>
        <w:rPr>
          <w:color w:val="000000"/>
          <w:spacing w:val="0"/>
          <w:w w:val="100"/>
          <w:position w:val="0"/>
        </w:rPr>
        <w:t>其他</w:t>
      </w:r>
      <w:bookmarkEnd w:id="167"/>
      <w:bookmarkEnd w:id="168"/>
      <w:bookmarkEnd w:id="17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公司是否从事服装设计相关业务</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公司是否举办订货会</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7"/>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、研发投入</w:t>
      </w:r>
      <w:bookmarkEnd w:id="171"/>
      <w:bookmarkEnd w:id="172"/>
      <w:bookmarkEnd w:id="174"/>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北明一码通城平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w:t>
            </w:r>
            <w:r>
              <w:rPr>
                <w:rFonts w:ascii="Times New Roman" w:eastAsia="Times New Roman" w:hAnsi="Times New Roman" w:cs="Times New Roman"/>
                <w:color w:val="000000"/>
                <w:spacing w:val="0"/>
                <w:w w:val="100"/>
                <w:position w:val="0"/>
              </w:rPr>
              <w:t>"</w:t>
            </w:r>
            <w:r>
              <w:rPr>
                <w:color w:val="000000"/>
                <w:spacing w:val="0"/>
                <w:w w:val="100"/>
                <w:position w:val="0"/>
              </w:rPr>
              <w:t>一码通</w:t>
            </w:r>
            <w:r>
              <w:rPr>
                <w:rFonts w:ascii="Times New Roman" w:eastAsia="Times New Roman" w:hAnsi="Times New Roman" w:cs="Times New Roman"/>
                <w:color w:val="000000"/>
                <w:spacing w:val="0"/>
                <w:w w:val="100"/>
                <w:position w:val="0"/>
              </w:rPr>
              <w:t>"</w:t>
            </w:r>
            <w:r>
              <w:rPr>
                <w:color w:val="000000"/>
                <w:spacing w:val="0"/>
                <w:w w:val="100"/>
                <w:position w:val="0"/>
              </w:rPr>
              <w:t>统一服 务体系，以城市码为 信息化统筹的抓手， 连接健康出行、政务 服务、城市治理等应 用，个人</w:t>
            </w:r>
            <w:r>
              <w:rPr>
                <w:rFonts w:ascii="Times New Roman" w:eastAsia="Times New Roman" w:hAnsi="Times New Roman" w:cs="Times New Roman"/>
                <w:color w:val="000000"/>
                <w:spacing w:val="0"/>
                <w:w w:val="100"/>
                <w:position w:val="0"/>
              </w:rPr>
              <w:t>/</w:t>
            </w:r>
            <w:r>
              <w:rPr>
                <w:color w:val="000000"/>
                <w:spacing w:val="0"/>
                <w:w w:val="100"/>
                <w:position w:val="0"/>
              </w:rPr>
              <w:t>企业通过城 市码统一入口，扫码、 亮码即可享受智能化 服务，实现一码通办、 一码通行、一码通管、 一码通用。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一事一码的线上化超级 </w:t>
            </w:r>
            <w:r>
              <w:rPr>
                <w:rFonts w:ascii="Times New Roman" w:eastAsia="Times New Roman" w:hAnsi="Times New Roman" w:cs="Times New Roman"/>
                <w:color w:val="000000"/>
                <w:spacing w:val="0"/>
                <w:w w:val="100"/>
                <w:position w:val="0"/>
              </w:rPr>
              <w:t>ID</w:t>
            </w:r>
            <w:r>
              <w:rPr>
                <w:color w:val="000000"/>
                <w:spacing w:val="0"/>
                <w:w w:val="100"/>
                <w:position w:val="0"/>
              </w:rPr>
              <w:t>，</w:t>
            </w:r>
            <w:r>
              <w:rPr>
                <w:color w:val="000000"/>
                <w:spacing w:val="0"/>
                <w:w w:val="100"/>
                <w:position w:val="0"/>
              </w:rPr>
              <w:t xml:space="preserve">通过统一 </w:t>
            </w:r>
            <w:r>
              <w:rPr>
                <w:rFonts w:ascii="Times New Roman" w:eastAsia="Times New Roman" w:hAnsi="Times New Roman" w:cs="Times New Roman"/>
                <w:color w:val="000000"/>
                <w:spacing w:val="0"/>
                <w:w w:val="100"/>
                <w:position w:val="0"/>
              </w:rPr>
              <w:t>ID</w:t>
            </w:r>
            <w:r>
              <w:rPr>
                <w:color w:val="000000"/>
                <w:spacing w:val="0"/>
                <w:w w:val="100"/>
                <w:position w:val="0"/>
              </w:rPr>
              <w:t>实现多码 合一，一码连接健康码、 社保码、交通出行、政务 办事、城市治理等多个场 景，实现政务服务一码通 办、公众出行一码通行、 社会治理一码通管、公共 服务一码通用，打造政府 面向社会提供政务服务、 企业服务、公共服务的城 市''名片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用数据驱动运营，实现''一 码通城</w:t>
            </w:r>
            <w:r>
              <w:rPr>
                <w:rFonts w:ascii="Times New Roman" w:eastAsia="Times New Roman" w:hAnsi="Times New Roman" w:cs="Times New Roman"/>
                <w:color w:val="000000"/>
                <w:spacing w:val="0"/>
                <w:w w:val="100"/>
                <w:position w:val="0"/>
              </w:rPr>
              <w:t>"</w:t>
            </w:r>
            <w:r>
              <w:rPr>
                <w:color w:val="000000"/>
                <w:spacing w:val="0"/>
                <w:w w:val="100"/>
                <w:position w:val="0"/>
              </w:rPr>
              <w:t>，推动城市精细化 管理、全域化管控，构建</w:t>
            </w:r>
            <w:r>
              <w:rPr>
                <w:rFonts w:ascii="Times New Roman" w:eastAsia="Times New Roman" w:hAnsi="Times New Roman" w:cs="Times New Roman"/>
                <w:color w:val="000000"/>
                <w:spacing w:val="0"/>
                <w:w w:val="100"/>
                <w:position w:val="0"/>
              </w:rPr>
              <w:t xml:space="preserve">" </w:t>
            </w:r>
            <w:r>
              <w:rPr>
                <w:color w:val="000000"/>
                <w:spacing w:val="0"/>
                <w:w w:val="100"/>
                <w:position w:val="0"/>
              </w:rPr>
              <w:t>码上服务、码上管理</w:t>
            </w:r>
            <w:r>
              <w:rPr>
                <w:rFonts w:ascii="Times New Roman" w:eastAsia="Times New Roman" w:hAnsi="Times New Roman" w:cs="Times New Roman"/>
                <w:color w:val="000000"/>
                <w:spacing w:val="0"/>
                <w:w w:val="100"/>
                <w:position w:val="0"/>
              </w:rPr>
              <w:t>"</w:t>
            </w:r>
            <w:r>
              <w:rPr>
                <w:color w:val="000000"/>
                <w:spacing w:val="0"/>
                <w:w w:val="100"/>
                <w:position w:val="0"/>
              </w:rPr>
              <w:t>闭环 体系，全面满足民生服务、 企业服务、政务服务需求， 把城市服务用更便利的方 式触达每个市民、企业、 管理用户群体，改进城市 服务体验，提升城市治理 现代化和为民服务便捷化 水平。</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北明无证城市平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实现证照使用信息可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打造基于区块链的</w:t>
            </w:r>
            <w:r>
              <w:rPr>
                <w:rFonts w:ascii="Times New Roman" w:eastAsia="Times New Roman" w:hAnsi="Times New Roman" w:cs="Times New Roman"/>
                <w:color w:val="000000"/>
                <w:spacing w:val="0"/>
                <w:w w:val="100"/>
                <w:position w:val="0"/>
              </w:rPr>
              <w:t>"</w:t>
            </w:r>
            <w:r>
              <w:rPr>
                <w:color w:val="000000"/>
                <w:spacing w:val="0"/>
                <w:w w:val="100"/>
                <w:position w:val="0"/>
              </w:rPr>
              <w:t>可信、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通过电子证照数据跨层</w:t>
            </w:r>
          </w:p>
        </w:tc>
      </w:tr>
    </w:tbl>
    <w:p>
      <w:pPr>
        <w:spacing w:lineRule="exact" w:line="1"/>
        <w:rPr>
          <w:sz w:val="2"/>
          <w:szCs w:val="2"/>
        </w:rPr>
      </w:pPr>
      <w:r>
        <w:br w:type="page"/>
      </w:r>
    </w:p>
    <w:tbl>
      <w:tblPr>
        <w:tblOverlap w:val="never"/>
        <w:jc w:val="center"/>
        <w:tblLayout w:type="fixed"/>
      </w:tblPr>
      <w:tblGrid>
        <w:gridCol w:w="1526"/>
        <w:gridCol w:w="1915"/>
        <w:gridCol w:w="1622"/>
        <w:gridCol w:w="2251"/>
        <w:gridCol w:w="2261"/>
      </w:tblGrid>
      <w:tr>
        <w:trPr>
          <w:trHeight w:val="41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溯源、防盗用、防篡 改，通过打通证照数 据孤岛实现电子证照 替代实体卡证，赋能 政务审批服务、公共 单位服务和社会单位 服务场景，解决以往 证照多重验证与重复 提交问题。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可追溯、防篡改</w:t>
            </w:r>
            <w:r>
              <w:rPr>
                <w:rFonts w:ascii="Times New Roman" w:eastAsia="Times New Roman" w:hAnsi="Times New Roman" w:cs="Times New Roman"/>
                <w:color w:val="000000"/>
                <w:spacing w:val="0"/>
                <w:w w:val="100"/>
                <w:position w:val="0"/>
              </w:rPr>
              <w:t>"</w:t>
            </w:r>
            <w:r>
              <w:rPr>
                <w:color w:val="000000"/>
                <w:spacing w:val="0"/>
                <w:w w:val="100"/>
                <w:position w:val="0"/>
              </w:rPr>
              <w:t>无证城市 应用，实现发证、查证、 管证、用证的全生命周期 可信证照服务与应用，实 现证照证明在政务审批、 公共服务、社会服务等场 景的全渠道</w:t>
            </w:r>
            <w:r>
              <w:rPr>
                <w:color w:val="000000"/>
                <w:spacing w:val="0"/>
                <w:w w:val="100"/>
                <w:position w:val="0"/>
              </w:rPr>
              <w:t>（</w:t>
            </w:r>
            <w:r>
              <w:rPr>
                <w:rFonts w:ascii="Times New Roman" w:eastAsia="Times New Roman" w:hAnsi="Times New Roman" w:cs="Times New Roman"/>
                <w:color w:val="000000"/>
                <w:spacing w:val="0"/>
                <w:w w:val="100"/>
                <w:position w:val="0"/>
              </w:rPr>
              <w:t>PC</w:t>
            </w:r>
            <w:r>
              <w:rPr>
                <w:color w:val="000000"/>
                <w:spacing w:val="0"/>
                <w:w w:val="100"/>
                <w:position w:val="0"/>
              </w:rPr>
              <w:t>端、移动 端、大厅窗口端等）无证 服务，满足公众证照查询、 使用授权、应用追溯的需 求，简化政府及第三方机 构证照共享、证照核验、 证照监管等业务处理。</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级、跨地域、跨系统、跨 部门、跨业务互联互通和 协同共享，实现公众线上 办事一键授权免交材料、 免用卡证，提升政府办事 能力和效率，减轻群众携 证负担，建成无证应用更 便利、数据可信更安全的</w:t>
            </w:r>
            <w:r>
              <w:rPr>
                <w:rFonts w:ascii="Times New Roman" w:eastAsia="Times New Roman" w:hAnsi="Times New Roman" w:cs="Times New Roman"/>
                <w:color w:val="000000"/>
                <w:spacing w:val="0"/>
                <w:w w:val="100"/>
                <w:position w:val="0"/>
              </w:rPr>
              <w:t xml:space="preserve">" </w:t>
            </w:r>
            <w:r>
              <w:rPr>
                <w:color w:val="000000"/>
                <w:spacing w:val="0"/>
                <w:w w:val="100"/>
                <w:position w:val="0"/>
              </w:rPr>
              <w:t>无证城市</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北明一网通办平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政务服务是政府''执政 为民</w:t>
            </w:r>
            <w:r>
              <w:rPr>
                <w:rFonts w:ascii="Times New Roman" w:eastAsia="Times New Roman" w:hAnsi="Times New Roman" w:cs="Times New Roman"/>
                <w:color w:val="000000"/>
                <w:spacing w:val="0"/>
                <w:w w:val="100"/>
                <w:position w:val="0"/>
              </w:rPr>
              <w:t>"</w:t>
            </w:r>
            <w:r>
              <w:rPr>
                <w:color w:val="000000"/>
                <w:spacing w:val="0"/>
                <w:w w:val="100"/>
                <w:position w:val="0"/>
              </w:rPr>
              <w:t>的重要工作。打 破政务服务领域仍存 在的信息资源孤岛等 问题，围绕''高效办成 一件事</w:t>
            </w:r>
            <w:r>
              <w:rPr>
                <w:rFonts w:ascii="Times New Roman" w:eastAsia="Times New Roman" w:hAnsi="Times New Roman" w:cs="Times New Roman"/>
                <w:color w:val="000000"/>
                <w:spacing w:val="0"/>
                <w:w w:val="100"/>
                <w:position w:val="0"/>
              </w:rPr>
              <w:t>"</w:t>
            </w:r>
            <w:r>
              <w:rPr>
                <w:color w:val="000000"/>
                <w:spacing w:val="0"/>
                <w:w w:val="100"/>
                <w:position w:val="0"/>
              </w:rPr>
              <w:t>，推动环节精 简和流程优化再造， 强化跨部门协同，打 造一系列特色的政务 服务创新应用。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在省市区县现网政务资源 基础上，做加法、做整合 重塑、做业务创新，打造 一系列智慧政务创新应 用，全面优化提升政务服 务供给能力，进一步推进 政务服务运行标准化、服 务供给规范化、企业和群 众办事便利化，有效服务 生产要素自由流动和畅通 国民经济循环。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一网通办通过业务流程创 新和事项优化重塑，赋能 提升传统政务服务体系， 打造全新的线上线下一体 化政务服务模式，政务服 务流程显著优化，服务形 式更加多元。促进营商环 境改善，优化群众的办事 体验，也可节省政府行政 开支、助力城市经济发展。</w:t>
            </w:r>
          </w:p>
        </w:tc>
      </w:tr>
      <w:tr>
        <w:trPr>
          <w:trHeight w:val="47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北明营商助企一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为持续深化</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 xml:space="preserve">" </w:t>
            </w:r>
            <w:r>
              <w:rPr>
                <w:color w:val="000000"/>
                <w:spacing w:val="0"/>
                <w:w w:val="100"/>
                <w:position w:val="0"/>
              </w:rPr>
              <w:t>改革优化营商环境， 更大激发市场活力， 增强发展内生动力， 营商助企平台作为营 商环境优化、企业服 务提升的重要抓手， 能够针对企业在不同 发展阶段的需求，提 供政策服务、产业生 态服务、综合服务、 政企互动等涉企服 务，以持续优化区域 营商环境，提升企业 服务质量与水平。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为企业提供精准化、智能 化、多元化服务，实现惠 企政策一键兑现、企业诉 求一站通达、企业贷款快 捷便利、企业生态服务全 覆盖、经济监测高效精准、 营商环境动态感知。逐步 提高企业服务的精准化、 便捷化和智能化水平，为 优化营商环境、招商引资、 精准服务与管理、政策规 划提供支撑，推动企业高 质量发展。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通过构建良好的营商环境 和政企互动沟通桥梁，优 化产业促进要素供给机 制，有效降低企业的经营 成本，为营商环境政策制 定提供科学数据决策，通 过个性化、差异化服务供 给提升政府涉企服务水 平，增强企业对政府提供 的企业服务的粘性，大大 提升企业对政府的满意 度，进一步优化本地营商 环境。</w:t>
            </w:r>
          </w:p>
        </w:tc>
      </w:tr>
      <w:tr>
        <w:trPr>
          <w:trHeight w:val="130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北明城市运营中 心平台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构建统一的城市运行 状态监测体系和突发 事件综合协调体系， 提高跨部门协同效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城市运营中心是智慧城市 作为整体化运行的集中体 现，对城市运行态势展现、 事件预测预警、辅助决策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汇集城市各个部门数据资 源，建立起与现实世界相 对应的</w:t>
            </w:r>
            <w:r>
              <w:rPr>
                <w:rFonts w:ascii="Times New Roman" w:eastAsia="Times New Roman" w:hAnsi="Times New Roman" w:cs="Times New Roman"/>
                <w:color w:val="000000"/>
                <w:spacing w:val="0"/>
                <w:w w:val="100"/>
                <w:position w:val="0"/>
              </w:rPr>
              <w:t>”</w:t>
            </w:r>
            <w:r>
              <w:rPr>
                <w:color w:val="000000"/>
                <w:spacing w:val="0"/>
                <w:w w:val="100"/>
                <w:position w:val="0"/>
              </w:rPr>
              <w:t>数字化城市”（数字 挛生城市），将城市运行状</w:t>
            </w:r>
          </w:p>
        </w:tc>
      </w:tr>
    </w:tbl>
    <w:p>
      <w:pPr>
        <w:spacing w:lineRule="exact" w:line="1"/>
        <w:rPr>
          <w:sz w:val="2"/>
          <w:szCs w:val="2"/>
        </w:rPr>
      </w:pPr>
      <w:r>
        <w:br w:type="page"/>
      </w:r>
    </w:p>
    <w:tbl>
      <w:tblPr>
        <w:tblOverlap w:val="never"/>
        <w:jc w:val="center"/>
        <w:tblLayout w:type="fixed"/>
      </w:tblPr>
      <w:tblGrid>
        <w:gridCol w:w="1526"/>
        <w:gridCol w:w="1915"/>
        <w:gridCol w:w="1622"/>
        <w:gridCol w:w="2251"/>
        <w:gridCol w:w="2261"/>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率、提高决策支持水 平，打破传统城市''部 门割据</w:t>
            </w:r>
            <w:r>
              <w:rPr>
                <w:rFonts w:ascii="Times New Roman" w:eastAsia="Times New Roman" w:hAnsi="Times New Roman" w:cs="Times New Roman"/>
                <w:color w:val="000000"/>
                <w:spacing w:val="0"/>
                <w:w w:val="100"/>
                <w:position w:val="0"/>
              </w:rPr>
              <w:t>"</w:t>
            </w:r>
            <w:r>
              <w:rPr>
                <w:color w:val="000000"/>
                <w:spacing w:val="0"/>
                <w:w w:val="100"/>
                <w:position w:val="0"/>
              </w:rPr>
              <w:t>的管理模式， 从城市整体运行的层 面重构城市业务流 程，形成城市级跨领 域协同共治的智能化 管理中心。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分析、跨部门协同联动、 应急指挥调度，助力实现 整体化调度、精准化管理、 便捷化服务、科学化决策、 智慧化运行的现代化城市 治理体系。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态的全貌清晰展现，使得 城市的各个相关方能够全 面、深入地理解城市的运 行模式，更能通过大数据 的精准预测，推动现实世 界运行模式的转型升级。</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法院经济发展与 社会治理辅助决 策系统（司法大 数据智能分析系 统二期）项目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《人民法院信息化建 设五年发展规划 </w:t>
            </w:r>
            <w:r>
              <w:rPr>
                <w:rFonts w:ascii="Times New Roman" w:eastAsia="Times New Roman" w:hAnsi="Times New Roman" w:cs="Times New Roman"/>
                <w:color w:val="000000"/>
                <w:spacing w:val="0"/>
                <w:w w:val="100"/>
                <w:position w:val="0"/>
              </w:rPr>
              <w:t>2020-2024</w:t>
            </w:r>
            <w:r>
              <w:rPr>
                <w:color w:val="000000"/>
                <w:spacing w:val="0"/>
                <w:w w:val="100"/>
                <w:position w:val="0"/>
              </w:rPr>
              <w:t>》中要求： 利用文书、案件、外 部数据进行融合挖 掘，提供多角度多层 次的专题分析服务， 有效提升政府决策科 学化、社会治理精准 化、公共服务高效化。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强化数据融合，促进各类 司法数据深度应用；扩展 大数据分析能力，助力司 法改革与业务创新；完善 大数据预警能力，提高司 法管理科学性，提升风险 案件与风险人员的预警准 确性。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有助于总结审判执行工作 经验，提高审判执行效率； 深入分析司法数据与经济 社会发展之间的规律和关 联性，全面体现行政区域 经济发展、社会建设、民 生福祉等经济社会运行的 各个方面；司法指数评估 将为社会治理精准化和科 学化提供重要的依据。</w:t>
            </w:r>
          </w:p>
        </w:tc>
      </w:tr>
      <w:tr>
        <w:trPr>
          <w:trHeight w:val="57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国务院颁布中华人民 共和国国务院令（第 </w:t>
            </w:r>
            <w:r>
              <w:rPr>
                <w:rFonts w:ascii="Times New Roman" w:eastAsia="Times New Roman" w:hAnsi="Times New Roman" w:cs="Times New Roman"/>
                <w:color w:val="000000"/>
                <w:spacing w:val="0"/>
                <w:w w:val="100"/>
                <w:position w:val="0"/>
              </w:rPr>
              <w:t>658</w:t>
            </w:r>
            <w:r>
              <w:rPr>
                <w:color w:val="000000"/>
                <w:spacing w:val="0"/>
                <w:w w:val="100"/>
                <w:position w:val="0"/>
              </w:rPr>
              <w:t>号）《中华人民共 和国政府采购法实施 条例》，对政府采购当 事人、采购方式、采 购程序、采购合同、 监督检查、法律责任 等方面进行了明确。 实现涉公合同的全生 命周期监管，有效实 现涉公合同风险的长 效防范，做到订立有 规范、履行有监管、 风险可防范。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合同智控平台完整覆盖从 合同起草到后期监督的合 同管理全生命周期，实现 合同事前事中事后的全过 程监管；实现合同承办部 门与各监管部门的数据交 换与共享，自动归集合同 范本、管理制度、履约检 查通报等数据，实现''闭环 式</w:t>
            </w:r>
            <w:r>
              <w:rPr>
                <w:rFonts w:ascii="Times New Roman" w:eastAsia="Times New Roman" w:hAnsi="Times New Roman" w:cs="Times New Roman"/>
                <w:color w:val="000000"/>
                <w:spacing w:val="0"/>
                <w:w w:val="100"/>
                <w:position w:val="0"/>
              </w:rPr>
              <w:t>"</w:t>
            </w:r>
            <w:r>
              <w:rPr>
                <w:color w:val="000000"/>
                <w:spacing w:val="0"/>
                <w:w w:val="100"/>
                <w:position w:val="0"/>
              </w:rPr>
              <w:t>合同管理；实时掌握合 同履约动态，智能提示风 险，高效提升合同管理效 率、降低合同管理成本， 提升涉公合同监管工作的 便捷性、规范性及智能化， 防范管理不足的风险问 题，实现社会治理能力的 现代化改革。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合同智控平台有效整合各 部门业务联动，充分发挥 信息化对司法行政改革发 展的重要引擎作用，全面 构建科学高效的合同监管 信息化体系，强化对涉公 合同监管信息化方面的支 撑引领能力，推进数据资 源在风险防控、领导决策、 公共服务等方面的融合应 用，推进合同管理及监管 逐步走向规范化、数字化、 智能化、智慧化。</w:t>
            </w:r>
          </w:p>
        </w:tc>
      </w:tr>
      <w:tr>
        <w:trPr>
          <w:trHeight w:val="22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市域督导考评一 体化平台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主要应对中政委推进 各市域的全国市域社 会治理现代化试点工 作，帮助各市域成立 专班通过信息化手段 动态评估本地工作， 成为市域专班管理各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考核指标和流程配置化， 将组织工作压力分拆；考 评工作呈现扁平化，专班 可动态平衡最终结果；各 参与单位定位明确，提升 成果收集管理能力。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对政法委协调统管定位下 阶段性不同重点工作，各 地在探索不同的考评指标 的实际工作具有较广泛适 应性，可在此基础上快速 满足各地需求进一步落地 中满足实际需要，大大提</w:t>
            </w:r>
          </w:p>
        </w:tc>
      </w:tr>
    </w:tbl>
    <w:p>
      <w:pPr>
        <w:spacing w:lineRule="exact" w:line="1"/>
        <w:rPr>
          <w:sz w:val="2"/>
          <w:szCs w:val="2"/>
        </w:rPr>
      </w:pPr>
      <w:r>
        <w:br w:type="page"/>
      </w:r>
    </w:p>
    <w:tbl>
      <w:tblPr>
        <w:tblOverlap w:val="never"/>
        <w:jc w:val="center"/>
        <w:tblLayout w:type="fixed"/>
      </w:tblPr>
      <w:tblGrid>
        <w:gridCol w:w="1526"/>
        <w:gridCol w:w="1915"/>
        <w:gridCol w:w="1622"/>
        <w:gridCol w:w="2251"/>
        <w:gridCol w:w="226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参与单位的有力抓 手，通过工作部署和 验收材料接收收获各 类建设成果经验累 积，推动试点工作最 终验收。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升交付效率，适应各地考 核工作信息化、标准化的 要求。</w:t>
            </w:r>
          </w:p>
        </w:tc>
      </w:tr>
      <w:tr>
        <w:trPr>
          <w:trHeight w:val="50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保险行业</w:t>
            </w:r>
            <w:r>
              <w:rPr>
                <w:rFonts w:ascii="Times New Roman" w:eastAsia="Times New Roman" w:hAnsi="Times New Roman" w:cs="Times New Roman"/>
                <w:color w:val="000000"/>
                <w:spacing w:val="0"/>
                <w:w w:val="100"/>
                <w:position w:val="0"/>
              </w:rPr>
              <w:t>IFRS17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为了满足《国际财务 报告准则第</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保 险合同》、《企业会计 准则第</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保险合 同》对应会计准则的 要求，核心业务系统、 财务系统、销售系统 等进行改造，并建设 </w:t>
            </w:r>
            <w:r>
              <w:rPr>
                <w:rFonts w:ascii="Times New Roman" w:eastAsia="Times New Roman" w:hAnsi="Times New Roman" w:cs="Times New Roman"/>
                <w:color w:val="000000"/>
                <w:spacing w:val="0"/>
                <w:w w:val="100"/>
                <w:position w:val="0"/>
              </w:rPr>
              <w:t>IFRS17</w:t>
            </w:r>
            <w:r>
              <w:rPr>
                <w:color w:val="000000"/>
                <w:spacing w:val="0"/>
                <w:w w:val="100"/>
                <w:position w:val="0"/>
              </w:rPr>
              <w:t>数据平台进行 数据准备加工，以实 现具体的功能。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改变传统的数据集成模 式，实现</w:t>
            </w:r>
            <w:r>
              <w:rPr>
                <w:rFonts w:ascii="Times New Roman" w:eastAsia="Times New Roman" w:hAnsi="Times New Roman" w:cs="Times New Roman"/>
                <w:color w:val="000000"/>
                <w:spacing w:val="0"/>
                <w:w w:val="100"/>
                <w:position w:val="0"/>
              </w:rPr>
              <w:t>T+1</w:t>
            </w:r>
            <w:r>
              <w:rPr>
                <w:color w:val="000000"/>
                <w:spacing w:val="0"/>
                <w:w w:val="100"/>
                <w:position w:val="0"/>
              </w:rPr>
              <w:t>以及实时同 步两种数据对接方案，准 确保留业务变化轨迹数 据，为</w:t>
            </w:r>
            <w:r>
              <w:rPr>
                <w:rFonts w:ascii="Times New Roman" w:eastAsia="Times New Roman" w:hAnsi="Times New Roman" w:cs="Times New Roman"/>
                <w:color w:val="000000"/>
                <w:spacing w:val="0"/>
                <w:w w:val="100"/>
                <w:position w:val="0"/>
              </w:rPr>
              <w:t>IFRS17</w:t>
            </w:r>
            <w:r>
              <w:rPr>
                <w:color w:val="000000"/>
                <w:spacing w:val="0"/>
                <w:w w:val="100"/>
                <w:position w:val="0"/>
              </w:rPr>
              <w:t>数据加工提 供准备；构建数据处理和 数据分析引擎，保证数据 处理的时效性，准确性和 一致性；对会计引擎和精 算系统提供数据服务，通 过统一接口的形式，对接 下游系统，供其消费数据； 搭建统一的公共能力平 台，实现数据可配置、过 程可监控跟踪，为业务人 员提供管理平台。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运用大数据、</w:t>
            </w:r>
            <w:r>
              <w:rPr>
                <w:rFonts w:ascii="Times New Roman" w:eastAsia="Times New Roman" w:hAnsi="Times New Roman" w:cs="Times New Roman"/>
                <w:color w:val="000000"/>
                <w:spacing w:val="0"/>
                <w:w w:val="100"/>
                <w:position w:val="0"/>
              </w:rPr>
              <w:t>MPP</w:t>
            </w:r>
            <w:r>
              <w:rPr>
                <w:color w:val="000000"/>
                <w:spacing w:val="0"/>
                <w:w w:val="100"/>
                <w:position w:val="0"/>
              </w:rPr>
              <w:t>、</w:t>
            </w:r>
            <w:r>
              <w:rPr>
                <w:color w:val="000000"/>
                <w:spacing w:val="0"/>
                <w:w w:val="100"/>
                <w:position w:val="0"/>
              </w:rPr>
              <w:t>云原 生等技术，搭建</w:t>
            </w:r>
            <w:r>
              <w:rPr>
                <w:rFonts w:ascii="Times New Roman" w:eastAsia="Times New Roman" w:hAnsi="Times New Roman" w:cs="Times New Roman"/>
                <w:color w:val="000000"/>
                <w:spacing w:val="0"/>
                <w:w w:val="100"/>
                <w:position w:val="0"/>
              </w:rPr>
              <w:t>IFRS17</w:t>
            </w:r>
            <w:r>
              <w:rPr>
                <w:color w:val="000000"/>
                <w:spacing w:val="0"/>
                <w:w w:val="100"/>
                <w:position w:val="0"/>
              </w:rPr>
              <w:t xml:space="preserve">数 据平台化，将所有功能标 准化、模型化，实现弹性 计算、高性能计算，降低 险企运维成本，形成具备 行业竞争力的解决方案和 产品，快速的向保险公司 推广，为其快速的落地 </w:t>
            </w:r>
            <w:r>
              <w:rPr>
                <w:rFonts w:ascii="Times New Roman" w:eastAsia="Times New Roman" w:hAnsi="Times New Roman" w:cs="Times New Roman"/>
                <w:color w:val="000000"/>
                <w:spacing w:val="0"/>
                <w:w w:val="100"/>
                <w:position w:val="0"/>
              </w:rPr>
              <w:t>IFRS17</w:t>
            </w:r>
            <w:r>
              <w:rPr>
                <w:color w:val="000000"/>
                <w:spacing w:val="0"/>
                <w:w w:val="100"/>
                <w:position w:val="0"/>
              </w:rPr>
              <w:t>准则提供助力，并 推动保险行业的健康发 展。</w:t>
            </w:r>
          </w:p>
        </w:tc>
      </w:tr>
      <w:tr>
        <w:trPr>
          <w:trHeight w:val="6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纱厂节约能源智 能管理系统项目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通过智能化和信息化 建设，实现主要能源 的集中监测和精细化 管理考核，提高企业 能源管理水平、实时 掌握能耗数据、统计 分析能耗数据，发现 有效节能方向，满足 企业日常管理需求， 以及实现智能化、数 字化绿色智慧工厂的 建设目标。实现从计 划、调度、操作运行 到统计、考核整个事 务流的闭环管理。通 过能源介质产、存、 耗的动态平衡分析， 提高能源平衡水平和 能源介质利用效率， 提高整个公司的能源 管理水平。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利用能源管理系统平台数 据处理计算，可以分析出 分工序分机型分品种的实 时能耗情况，及时发现高 耗能机台及故障机台，同 时监控设备的运行情况， 提高设备的运转效率，致 使设备经济运行。分析纱 厂各个环节的用电情况， 根据指标及时控制；同时 发现高耗能机台，经过设 备整修，使设备健康运行， 从而提高设备的性能和产 品的质量。</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w:t>
            </w:r>
            <w:r>
              <w:rPr>
                <w:rFonts w:ascii="Times New Roman" w:eastAsia="Times New Roman" w:hAnsi="Times New Roman" w:cs="Times New Roman"/>
                <w:color w:val="000000"/>
                <w:spacing w:val="0"/>
                <w:w w:val="100"/>
                <w:position w:val="0"/>
              </w:rPr>
              <w:t>"</w:t>
            </w:r>
            <w:r>
              <w:rPr>
                <w:color w:val="000000"/>
                <w:spacing w:val="0"/>
                <w:w w:val="100"/>
                <w:position w:val="0"/>
              </w:rPr>
              <w:t>事前管理、事中监 督、事后考核''为主线的能 源管理平台，通过能源的 动态平衡分析，提高能源 平衡水平和能源利用效 率，提高整个公司的能源 管理水平，有效地监控设 备状态，推进设备管理水 平的提高。对纱厂的各个 环节的控制，使每个工序 良性循环；根据电网分时 段电费的不同，合理调配 资源，使能耗成本降低， 从而使公司良性发展，环 境友好，为</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color w:val="000000"/>
                <w:spacing w:val="0"/>
                <w:w w:val="100"/>
                <w:position w:val="0"/>
              </w:rPr>
              <w:t>'"'</w:t>
            </w:r>
            <w:r>
              <w:rPr>
                <w:color w:val="000000"/>
                <w:spacing w:val="0"/>
                <w:w w:val="100"/>
                <w:position w:val="0"/>
              </w:rPr>
              <w:t>碳达 标</w:t>
            </w:r>
            <w:r>
              <w:rPr>
                <w:rFonts w:ascii="Times New Roman" w:eastAsia="Times New Roman" w:hAnsi="Times New Roman" w:cs="Times New Roman"/>
                <w:color w:val="000000"/>
                <w:spacing w:val="0"/>
                <w:w w:val="100"/>
                <w:position w:val="0"/>
              </w:rPr>
              <w:t>"</w:t>
            </w:r>
            <w:r>
              <w:rPr>
                <w:color w:val="000000"/>
                <w:spacing w:val="0"/>
                <w:w w:val="100"/>
                <w:position w:val="0"/>
              </w:rPr>
              <w:t>目标做贡献。</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25.43%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35.18%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40-50 </w:t>
            </w:r>
            <w:r>
              <w:rPr>
                <w:color w:val="000000"/>
                <w:spacing w:val="0"/>
                <w:w w:val="100"/>
                <w:position w:val="0"/>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43.59%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50-60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0"/>
        <w:gridCol w:w="2395"/>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341,579,210.06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254,151,199.40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34.40%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99,555,171.22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68,407,516.75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45.53%</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354"/>
        <w:gridCol w:w="4800"/>
        <w:gridCol w:w="105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6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面向诉讼全流程的一体化便 民服务技术及装备研究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4,325,592.44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本研究旨在自动构建当事人社交关系网络和资产画像，并 基于此建立诉讼财产保全风险智能评估和自动预警模型， 支持对债务人转移变卖财产的资产风险、担保风险和错误 保全的法律风险进行评估和预警；最终会利用多层次网络 表示学习、关联事件抽取、深度特征学习等技术，开发一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395"/>
        <w:gridCol w:w="1354"/>
        <w:gridCol w:w="4800"/>
        <w:gridCol w:w="105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套基于金融和司法大数据的诉讼财产保全风险智能评估及 自动预警系统。</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检察办案质量保障、办案监 督风险评估、办案过程控制 模型与辅助决策技术研究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3,938,912.15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本课题研究办案质量保障、办案监督风险评估及办案过程 控制办案质量大数据的深度融合和实时计算模型和算法， 解决办案过程实时监督的时间瓶颈问题，完成相应的验证 系统。包括：</w:t>
            </w:r>
            <w:r>
              <w:rPr>
                <w:rFonts w:ascii="Times New Roman" w:eastAsia="Times New Roman" w:hAnsi="Times New Roman" w:cs="Times New Roman"/>
                <w:color w:val="000000"/>
                <w:spacing w:val="0"/>
                <w:w w:val="100"/>
                <w:position w:val="0"/>
              </w:rPr>
              <w:t>1</w:t>
            </w:r>
            <w:r>
              <w:rPr>
                <w:color w:val="000000"/>
                <w:spacing w:val="0"/>
                <w:w w:val="100"/>
                <w:position w:val="0"/>
              </w:rPr>
              <w:t>、通过开发支持业务有效开展的技术平台， 提高检察机关业务信息的收集、处理、传输、存储共享等 水平，形成科学合理的办案质量保障体系。</w:t>
            </w:r>
            <w:r>
              <w:rPr>
                <w:rFonts w:ascii="Times New Roman" w:eastAsia="Times New Roman" w:hAnsi="Times New Roman" w:cs="Times New Roman"/>
                <w:color w:val="000000"/>
                <w:spacing w:val="0"/>
                <w:w w:val="100"/>
                <w:position w:val="0"/>
              </w:rPr>
              <w:t>2</w:t>
            </w:r>
            <w:r>
              <w:rPr>
                <w:color w:val="000000"/>
                <w:spacing w:val="0"/>
                <w:w w:val="100"/>
                <w:position w:val="0"/>
              </w:rPr>
              <w:t>、研究检察办 案全过程实时管控与辅助决策技术，进行深度分析形成因 果关系分析图，实现检察办案辅助决策。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公共安全风险防控与应急技 术装备重点课题研究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902,408.66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本课题将系统地研发规范化司法文书电子文档材料处理， 司法文书智能理解与鉴定，司法文书辅助修改建议等关键 技术，全面实现司法文书质量估计与精确辅助修改建议技 术体系；并构建文书质量检测系统，能够对起诉书、判决 书、裁定书等司法文书内容进行语义分析，发现逻辑错误、 遗漏诉讼请求、法律条文引用错误等质量问题，并实现辅 助修改建议，为建立面向智慧司法属性层级、语言层级、 逻辑层级的司法认知模型提供智能方法与工具。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教育区校一体化管理平台和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应用开发项目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28,254,869.14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围绕现行的异构教育信息资源的跨组织、跨平台共享、计 算机支持的协同工作、个性化学习支持服务、教育信息支 持服务、教育决策支持服务等需求，以统一规划，统一标 准建设，统一开发建设，统一管理应用系统和信息资源整 合，避免出现新的“信息孤岛”为原则，对全区软硬件资 源进行高度共享，对原有各应用系统进行梳理、规划、改 造、整合、重建等，建立一个基础设施统一、数据标准统 一、信息数据资源共享、用户信息统一、展示平台统一、 应用服务丰富、系统互联互通的区域级教育信息化大集中 平台。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综合交通一体化平台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5,007,643.23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构建交通行业数据中台，融合交通、政务、机构、社会组 织等相关数据，建设以城市、高速、枢纽、航空等为主要 场景的业务模型架构。主要能力：</w:t>
            </w:r>
            <w:r>
              <w:rPr>
                <w:rFonts w:ascii="Times New Roman" w:eastAsia="Times New Roman" w:hAnsi="Times New Roman" w:cs="Times New Roman"/>
                <w:color w:val="000000"/>
                <w:spacing w:val="0"/>
                <w:w w:val="100"/>
                <w:position w:val="0"/>
              </w:rPr>
              <w:t>1</w:t>
            </w:r>
            <w:r>
              <w:rPr>
                <w:color w:val="000000"/>
                <w:spacing w:val="0"/>
                <w:w w:val="100"/>
                <w:position w:val="0"/>
              </w:rPr>
              <w:t>、数据采集</w:t>
            </w:r>
            <w:r>
              <w:rPr>
                <w:rFonts w:ascii="Times New Roman" w:eastAsia="Times New Roman" w:hAnsi="Times New Roman" w:cs="Times New Roman"/>
                <w:color w:val="000000"/>
                <w:spacing w:val="0"/>
                <w:w w:val="100"/>
                <w:position w:val="0"/>
              </w:rPr>
              <w:t>2</w:t>
            </w:r>
            <w:r>
              <w:rPr>
                <w:color w:val="000000"/>
                <w:spacing w:val="0"/>
                <w:w w:val="100"/>
                <w:position w:val="0"/>
              </w:rPr>
              <w:t>、数据 治理</w:t>
            </w:r>
            <w:r>
              <w:rPr>
                <w:rFonts w:ascii="Times New Roman" w:eastAsia="Times New Roman" w:hAnsi="Times New Roman" w:cs="Times New Roman"/>
                <w:color w:val="000000"/>
                <w:spacing w:val="0"/>
                <w:w w:val="100"/>
                <w:position w:val="0"/>
              </w:rPr>
              <w:t>3</w:t>
            </w:r>
            <w:r>
              <w:rPr>
                <w:color w:val="000000"/>
                <w:spacing w:val="0"/>
                <w:w w:val="100"/>
                <w:position w:val="0"/>
              </w:rPr>
              <w:t>、融合数仓</w:t>
            </w:r>
            <w:r>
              <w:rPr>
                <w:rFonts w:ascii="Times New Roman" w:eastAsia="Times New Roman" w:hAnsi="Times New Roman" w:cs="Times New Roman"/>
                <w:color w:val="000000"/>
                <w:spacing w:val="0"/>
                <w:w w:val="100"/>
                <w:position w:val="0"/>
              </w:rPr>
              <w:t>4</w:t>
            </w:r>
            <w:r>
              <w:rPr>
                <w:color w:val="000000"/>
                <w:spacing w:val="0"/>
                <w:w w:val="100"/>
                <w:position w:val="0"/>
              </w:rPr>
              <w:t>、数据服务</w:t>
            </w:r>
            <w:r>
              <w:rPr>
                <w:rFonts w:ascii="Times New Roman" w:eastAsia="Times New Roman" w:hAnsi="Times New Roman" w:cs="Times New Roman"/>
                <w:color w:val="000000"/>
                <w:spacing w:val="0"/>
                <w:w w:val="100"/>
                <w:position w:val="0"/>
              </w:rPr>
              <w:t>5</w:t>
            </w:r>
            <w:r>
              <w:rPr>
                <w:color w:val="000000"/>
                <w:spacing w:val="0"/>
                <w:w w:val="100"/>
                <w:position w:val="0"/>
              </w:rPr>
              <w:t>、业务应用：支持设施安 全管养、运输安全监管、交通综合执法等应用。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大数据处理工具软件项目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4,974,297.54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该课题由华为技术有限公司牵头，我司作为参与单位负责 大数据平台的集成适配、软件服务模块研发，构建跨域和 跨源协同分析能力和安全能力，并基于工具进行项目落地。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已完成</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区块链电子证照平台项目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9,096,865.02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区块链电子证照平台项目总体技术架构是基于组件架构风 格进行设计的，包括区块链基础支撑平台支撑平台、智能 合约层、业务应用层、无证办小程序等功能模块。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城市码应用平台项目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5,320,000.00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城市码应用平台项目总体技术架构是基于组件架构风格进 行设计的，包括支撑平台、码平台、业务应用和用户终端。 一码通支撑平台包括政务大数据平台，为一码通应用提供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395"/>
        <w:gridCol w:w="1354"/>
        <w:gridCol w:w="4800"/>
        <w:gridCol w:w="1056"/>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数据和区块链技术支撑。通过政务数据共享平台，实现数 据信息的交换、处理、存储、更新、服务为一体的运行、 管理、共享体系。构建个人数字空间、企业数字空间、物 时空数字空间、专题库等，为一码通平台支撑平台服务能 力。</w:t>
            </w: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城市一网通软件系统平台项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城市一网通软件系统平台项目总体技术架构是基于组件架 构风格进行设计的，包括支撑平台、码平台、业务应用和 用户终端。以小程序为移动端主入口，辅以政务服务网， 汇聚全区高频民生服务办事能力、企业服务、大学生服务、 惠农服务，为办事群众提供了一种新型、便捷的服务渠道， 各部门办理系统以安全方式对民生服务后台支撑开放接 口，改变以往各单位以网页嵌入方式导致服务不规范不统 一，质量难以监督问题，提升群众体验。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营商助企平台项目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营商助企服务平台将实现各级政府企业服务和管理业务线 上化和智能化，推进企业数据集聚、信息互通与数据共享， 创新涉企政府部门内部协同模式，减少重复劳动，大幅提 升涉企政府部门的企业服务工作效率；以人工智能、大数 据、“互联网</w:t>
            </w:r>
            <w:r>
              <w:rPr>
                <w:rFonts w:ascii="Times New Roman" w:eastAsia="Times New Roman" w:hAnsi="Times New Roman" w:cs="Times New Roman"/>
                <w:color w:val="000000"/>
                <w:spacing w:val="0"/>
                <w:w w:val="100"/>
                <w:position w:val="0"/>
              </w:rPr>
              <w:t>+</w:t>
            </w:r>
            <w:r>
              <w:rPr>
                <w:color w:val="000000"/>
                <w:spacing w:val="0"/>
                <w:w w:val="100"/>
                <w:position w:val="0"/>
              </w:rPr>
              <w:t>”技术为手段，智能分析企业发展状况，聚 焦解决企业痛点问题，助力企业快速发展，实现企业服务 精准化、主动化和个性化。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智慧供热综合管控平台</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4,316,439.55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能够及时、准确、全面地反映整个城市或集团公司的生产 经营信息，实现事前预警、事中控制、事后分析评价，由 结果控制转变为过程监控的生产管控平台，实现城市或集 团和下属机构之间的统一规范化的管理和协同管理。对于 多个热源联网形成热电供热大管网进行合理的调度，从而 达到科学调度、节能增效、减少事故的效果。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热网流式数据处理平台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3,786,610.97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数据管理创新，解决应用技术落后、数据庞大繁冗而得不 到充分利用，占用大量的硬件及网络资源的问题。分布式 采集驱动，可面对下位多种多样的</w:t>
            </w:r>
            <w:r>
              <w:rPr>
                <w:rFonts w:ascii="Times New Roman" w:eastAsia="Times New Roman" w:hAnsi="Times New Roman" w:cs="Times New Roman"/>
                <w:color w:val="000000"/>
                <w:spacing w:val="0"/>
                <w:w w:val="100"/>
                <w:position w:val="0"/>
              </w:rPr>
              <w:t>PLC</w:t>
            </w:r>
            <w:r>
              <w:rPr>
                <w:color w:val="000000"/>
                <w:spacing w:val="0"/>
                <w:w w:val="100"/>
                <w:position w:val="0"/>
              </w:rPr>
              <w:t>设备，分布式技术 提高了采集系统的可用性、容错性，同时具有应对高并发 场景的特点，基于微服务架构研发，多语言技术栈，具有 较强的扩展性和移植性。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边缘计算智能网关嵌入系统</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3,636,820.89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功能上，北侧应能够对接现有一线厂商的云平台环境，南 侧应能够兼容现有一线现场级控制器的通讯机制，边缘计 算功能应能够支撑供热行业在现场级的高阶计算与逻辑功 能需求。本产品为企业提供更高水平的控制产品，支撑面 向云计算的业务需求，丰富公司解决方案。采用线性回归 算法；支持向量聚类算法；基于遗传算法的小波神经网络。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FTP</w:t>
            </w:r>
            <w:r>
              <w:rPr>
                <w:color w:val="000000"/>
                <w:spacing w:val="0"/>
                <w:w w:val="100"/>
                <w:position w:val="0"/>
              </w:rPr>
              <w:t>收入模拟测算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1,254,426.62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系统实现功能范围包含整体页面风格、审批工作流引擎、 收入模拟模型配置化等，还增加部分新功能，帮助用户更 好的进行收入模拟测算，功能包括营业利润及营业成本计 划管理功能，系统报表集成功能。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395"/>
        <w:gridCol w:w="1354"/>
        <w:gridCol w:w="4800"/>
        <w:gridCol w:w="1056"/>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客户关系定价系统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1,301,837.17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对客户关系定价系统</w:t>
            </w:r>
            <w:r>
              <w:rPr>
                <w:rFonts w:ascii="Times New Roman" w:eastAsia="Times New Roman" w:hAnsi="Times New Roman" w:cs="Times New Roman"/>
                <w:color w:val="000000"/>
                <w:spacing w:val="0"/>
                <w:w w:val="100"/>
                <w:position w:val="0"/>
              </w:rPr>
              <w:t>V1.0</w:t>
            </w:r>
            <w:r>
              <w:rPr>
                <w:color w:val="000000"/>
                <w:spacing w:val="0"/>
                <w:w w:val="100"/>
                <w:position w:val="0"/>
              </w:rPr>
              <w:t>进行升级，升级功能范围包含整 体页面风格、审批工作流引擎、定价模型配置化、多级法 人等，还增加部分新功能，帮助用户更好的进行定价，功 能包括单笔业务测算功能，系统报表集成功能。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ALM</w:t>
            </w:r>
            <w:r>
              <w:rPr>
                <w:color w:val="000000"/>
                <w:spacing w:val="0"/>
                <w:w w:val="100"/>
                <w:position w:val="0"/>
              </w:rPr>
              <w:t>资产负债管理系统</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1,252,370.55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资产负债管理系统能够帮助客户满足以下总体业务目标需 求，从宏观方面观念方面包含以下内容：</w:t>
            </w:r>
            <w:r>
              <w:rPr>
                <w:rFonts w:ascii="Times New Roman" w:eastAsia="Times New Roman" w:hAnsi="Times New Roman" w:cs="Times New Roman"/>
                <w:color w:val="000000"/>
                <w:spacing w:val="0"/>
                <w:w w:val="100"/>
                <w:position w:val="0"/>
              </w:rPr>
              <w:t>1</w:t>
            </w:r>
            <w:r>
              <w:rPr>
                <w:color w:val="000000"/>
                <w:spacing w:val="0"/>
                <w:w w:val="100"/>
                <w:position w:val="0"/>
              </w:rPr>
              <w:t>、建立科学先进 的资产负债管理系统。</w:t>
            </w:r>
            <w:r>
              <w:rPr>
                <w:rFonts w:ascii="Times New Roman" w:eastAsia="Times New Roman" w:hAnsi="Times New Roman" w:cs="Times New Roman"/>
                <w:color w:val="000000"/>
                <w:spacing w:val="0"/>
                <w:w w:val="100"/>
                <w:position w:val="0"/>
              </w:rPr>
              <w:t>2</w:t>
            </w:r>
            <w:r>
              <w:rPr>
                <w:color w:val="000000"/>
                <w:spacing w:val="0"/>
                <w:w w:val="100"/>
                <w:position w:val="0"/>
              </w:rPr>
              <w:t xml:space="preserve">、全面资产负债管理分析报告体系。 </w:t>
            </w:r>
            <w:r>
              <w:rPr>
                <w:rFonts w:ascii="Times New Roman" w:eastAsia="Times New Roman" w:hAnsi="Times New Roman" w:cs="Times New Roman"/>
                <w:color w:val="000000"/>
                <w:spacing w:val="0"/>
                <w:w w:val="100"/>
                <w:position w:val="0"/>
              </w:rPr>
              <w:t>3</w:t>
            </w:r>
            <w:r>
              <w:rPr>
                <w:color w:val="000000"/>
                <w:spacing w:val="0"/>
                <w:w w:val="100"/>
                <w:position w:val="0"/>
              </w:rPr>
              <w:t>、精细化流动性风险管理</w:t>
            </w:r>
            <w:r>
              <w:rPr>
                <w:rFonts w:ascii="Times New Roman" w:eastAsia="Times New Roman" w:hAnsi="Times New Roman" w:cs="Times New Roman"/>
                <w:color w:val="000000"/>
                <w:spacing w:val="0"/>
                <w:w w:val="100"/>
                <w:position w:val="0"/>
              </w:rPr>
              <w:t>4</w:t>
            </w:r>
            <w:r>
              <w:rPr>
                <w:color w:val="000000"/>
                <w:spacing w:val="0"/>
                <w:w w:val="100"/>
                <w:position w:val="0"/>
              </w:rPr>
              <w:t>、精细化利率风险管理。从微 观应用层面可分为以下几部分：</w:t>
            </w:r>
            <w:r>
              <w:rPr>
                <w:rFonts w:ascii="Times New Roman" w:eastAsia="Times New Roman" w:hAnsi="Times New Roman" w:cs="Times New Roman"/>
                <w:color w:val="000000"/>
                <w:spacing w:val="0"/>
                <w:w w:val="100"/>
                <w:position w:val="0"/>
              </w:rPr>
              <w:t>1</w:t>
            </w:r>
            <w:r>
              <w:rPr>
                <w:color w:val="000000"/>
                <w:spacing w:val="0"/>
                <w:w w:val="100"/>
                <w:position w:val="0"/>
              </w:rPr>
              <w:t>、静态流动性</w:t>
            </w:r>
            <w:r>
              <w:rPr>
                <w:rFonts w:ascii="Times New Roman" w:eastAsia="Times New Roman" w:hAnsi="Times New Roman" w:cs="Times New Roman"/>
                <w:color w:val="000000"/>
                <w:spacing w:val="0"/>
                <w:w w:val="100"/>
                <w:position w:val="0"/>
              </w:rPr>
              <w:t>2</w:t>
            </w:r>
            <w:r>
              <w:rPr>
                <w:color w:val="000000"/>
                <w:spacing w:val="0"/>
                <w:w w:val="100"/>
                <w:position w:val="0"/>
              </w:rPr>
              <w:t>、动态流 动性</w:t>
            </w:r>
            <w:r>
              <w:rPr>
                <w:rFonts w:ascii="Times New Roman" w:eastAsia="Times New Roman" w:hAnsi="Times New Roman" w:cs="Times New Roman"/>
                <w:color w:val="000000"/>
                <w:spacing w:val="0"/>
                <w:w w:val="100"/>
                <w:position w:val="0"/>
              </w:rPr>
              <w:t>3</w:t>
            </w:r>
            <w:r>
              <w:rPr>
                <w:color w:val="000000"/>
                <w:spacing w:val="0"/>
                <w:w w:val="100"/>
                <w:position w:val="0"/>
              </w:rPr>
              <w:t>、流动性压力测试。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1,325,024.10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评估管理系统实现了为资产管理公司收购及投资、处置、 押品等进行评估、备案，完全实现评估申请、评估审批流 程线上化。对评估中介机构线上化管理、备案、考核、调 整；内部评估人员管理、评估评级及授信审核委员会管理； 及相关会议线上化。而且可以完成与相关系统实时接口对 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SK</w:t>
            </w:r>
            <w:r>
              <w:rPr>
                <w:color w:val="000000"/>
                <w:spacing w:val="0"/>
                <w:w w:val="100"/>
                <w:position w:val="0"/>
              </w:rPr>
              <w:t>数字中台研发项目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3,798,212.73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SK</w:t>
            </w:r>
            <w:r>
              <w:rPr>
                <w:color w:val="000000"/>
                <w:spacing w:val="0"/>
                <w:w w:val="100"/>
                <w:position w:val="0"/>
              </w:rPr>
              <w:t>数字中台不仅是一种高技术能力平台，还是企业进行数 字化转型的整体参考架构，将企业核心业务、数据抽象和 沉淀形成服务能力，对前台提供调用，基于前后端分离的 模式，为企业打造一个连接一切、集成一切的共享能力平 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北明数科一体化数智平台研 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5,257,978.55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本次项目主要基于一期的数据治理平台项目衍生出来的各 类数据产品组装而成的大数据基础平台。一体化数智平台 研发项目主要包括数据治理平台</w:t>
            </w:r>
            <w:r>
              <w:rPr>
                <w:rFonts w:ascii="Times New Roman" w:eastAsia="Times New Roman" w:hAnsi="Times New Roman" w:cs="Times New Roman"/>
                <w:color w:val="000000"/>
                <w:spacing w:val="0"/>
                <w:w w:val="100"/>
                <w:position w:val="0"/>
              </w:rPr>
              <w:t>2.0</w:t>
            </w:r>
            <w:r>
              <w:rPr>
                <w:color w:val="000000"/>
                <w:spacing w:val="0"/>
                <w:w w:val="100"/>
                <w:position w:val="0"/>
              </w:rPr>
              <w:t>、预警平台、标签平台、 区块链平台、物联网平台、知识图谱、文件管理平台、可 视化构建平台、智能搜索、应用支撑平台、</w:t>
            </w:r>
            <w:r>
              <w:rPr>
                <w:rFonts w:ascii="Times New Roman" w:eastAsia="Times New Roman" w:hAnsi="Times New Roman" w:cs="Times New Roman"/>
                <w:color w:val="000000"/>
                <w:spacing w:val="0"/>
                <w:w w:val="100"/>
                <w:position w:val="0"/>
              </w:rPr>
              <w:t>AI</w:t>
            </w:r>
            <w:r>
              <w:rPr>
                <w:color w:val="000000"/>
                <w:spacing w:val="0"/>
                <w:w w:val="100"/>
                <w:position w:val="0"/>
              </w:rPr>
              <w:t xml:space="preserve">模型平台等 </w:t>
            </w:r>
            <w:r>
              <w:rPr>
                <w:rFonts w:ascii="Times New Roman" w:eastAsia="Times New Roman" w:hAnsi="Times New Roman" w:cs="Times New Roman"/>
                <w:color w:val="000000"/>
                <w:spacing w:val="0"/>
                <w:w w:val="100"/>
                <w:position w:val="0"/>
              </w:rPr>
              <w:t>11</w:t>
            </w:r>
            <w:r>
              <w:rPr>
                <w:color w:val="000000"/>
                <w:spacing w:val="0"/>
                <w:w w:val="100"/>
                <w:position w:val="0"/>
              </w:rPr>
              <w:t>个子系统。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总体进度</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北明数科一网统管综合指挥 调度平台研发项目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3,349,795.39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一网统管综合指挥调度平台包含三个子产品，分别是一体 化指挥调度、事件智能管理以及指标管理。其中指挥调度 和事件管理两个产品在山东潍坊、青岛卫建和武汉智慧城 市有交付需求，指标管理暂无项目需求，正在设计以满足 产品上架需要。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总体进度</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明润</w:t>
            </w:r>
            <w:r>
              <w:rPr>
                <w:rFonts w:ascii="Times New Roman" w:eastAsia="Times New Roman" w:hAnsi="Times New Roman" w:cs="Times New Roman"/>
                <w:color w:val="000000"/>
                <w:spacing w:val="0"/>
                <w:w w:val="100"/>
                <w:position w:val="0"/>
              </w:rPr>
              <w:t>2020</w:t>
            </w:r>
            <w:r>
              <w:rPr>
                <w:color w:val="000000"/>
                <w:spacing w:val="0"/>
                <w:w w:val="100"/>
                <w:position w:val="0"/>
              </w:rPr>
              <w:t>年研发票据</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213,607.40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系统包含电子商业汇票系统、纸质商业汇票系统、票交 所直连</w:t>
            </w:r>
            <w:r>
              <w:rPr>
                <w:rFonts w:ascii="Times New Roman" w:eastAsia="Times New Roman" w:hAnsi="Times New Roman" w:cs="Times New Roman"/>
                <w:color w:val="000000"/>
                <w:spacing w:val="0"/>
                <w:w w:val="100"/>
                <w:position w:val="0"/>
              </w:rPr>
              <w:t>3.0</w:t>
            </w:r>
            <w:r>
              <w:rPr>
                <w:color w:val="000000"/>
                <w:spacing w:val="0"/>
                <w:w w:val="100"/>
                <w:position w:val="0"/>
              </w:rPr>
              <w:t>全部接口系统，以及极速贴现和在线开票等功 能。除了纸电票、交易直连等业务，新增票据产品的票付 通、贴现通等功能。支持基于</w:t>
            </w:r>
            <w:r>
              <w:rPr>
                <w:rFonts w:ascii="Times New Roman" w:eastAsia="Times New Roman" w:hAnsi="Times New Roman" w:cs="Times New Roman"/>
                <w:color w:val="000000"/>
                <w:spacing w:val="0"/>
                <w:w w:val="100"/>
                <w:position w:val="0"/>
              </w:rPr>
              <w:t>springboot</w:t>
            </w:r>
            <w:r>
              <w:rPr>
                <w:color w:val="000000"/>
                <w:spacing w:val="0"/>
                <w:w w:val="100"/>
                <w:position w:val="0"/>
              </w:rPr>
              <w:t>和</w:t>
            </w:r>
            <w:r>
              <w:rPr>
                <w:rFonts w:ascii="Times New Roman" w:eastAsia="Times New Roman" w:hAnsi="Times New Roman" w:cs="Times New Roman"/>
                <w:color w:val="000000"/>
                <w:spacing w:val="0"/>
                <w:w w:val="100"/>
                <w:position w:val="0"/>
              </w:rPr>
              <w:t>springcloud</w:t>
            </w:r>
            <w:r>
              <w:rPr>
                <w:color w:val="000000"/>
                <w:spacing w:val="0"/>
                <w:w w:val="100"/>
                <w:position w:val="0"/>
              </w:rPr>
              <w:t>的 微服务架构，支持</w:t>
            </w:r>
            <w:r>
              <w:rPr>
                <w:rFonts w:ascii="Times New Roman" w:eastAsia="Times New Roman" w:hAnsi="Times New Roman" w:cs="Times New Roman"/>
                <w:color w:val="000000"/>
                <w:spacing w:val="0"/>
                <w:w w:val="100"/>
                <w:position w:val="0"/>
              </w:rPr>
              <w:t>redis</w:t>
            </w:r>
            <w:r>
              <w:rPr>
                <w:color w:val="000000"/>
                <w:spacing w:val="0"/>
                <w:w w:val="100"/>
                <w:position w:val="0"/>
              </w:rPr>
              <w:t>集群，支持</w:t>
            </w:r>
            <w:r>
              <w:rPr>
                <w:rFonts w:ascii="Times New Roman" w:eastAsia="Times New Roman" w:hAnsi="Times New Roman" w:cs="Times New Roman"/>
                <w:color w:val="000000"/>
                <w:spacing w:val="0"/>
                <w:w w:val="100"/>
                <w:position w:val="0"/>
              </w:rPr>
              <w:t>nacos</w:t>
            </w:r>
            <w:r>
              <w:rPr>
                <w:color w:val="000000"/>
                <w:spacing w:val="0"/>
                <w:w w:val="100"/>
                <w:position w:val="0"/>
              </w:rPr>
              <w:t>服务中心和配置 中心；支持功能模块组件化“热插拔”配置。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档案影像</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4,041,459.12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档案影像</w:t>
            </w:r>
            <w:r>
              <w:rPr>
                <w:rFonts w:ascii="Times New Roman" w:eastAsia="Times New Roman" w:hAnsi="Times New Roman" w:cs="Times New Roman"/>
                <w:color w:val="000000"/>
                <w:spacing w:val="0"/>
                <w:w w:val="100"/>
                <w:position w:val="0"/>
              </w:rPr>
              <w:t>5.0</w:t>
            </w:r>
            <w:r>
              <w:rPr>
                <w:color w:val="000000"/>
                <w:spacing w:val="0"/>
                <w:w w:val="100"/>
                <w:position w:val="0"/>
              </w:rPr>
              <w:t>系统基于人工智能技术，研发的档案影像平 台，以主流开源的微服务架构为基础，采用分布式存储与 计算技术，支持多种格式的非结构化数据存储与管理，支 持数据集中式架构；支持集群的部署和负载均衡，实现了</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已完成</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96.76%</w:t>
            </w:r>
          </w:p>
        </w:tc>
      </w:tr>
    </w:tbl>
    <w:tbl>
      <w:tblPr>
        <w:tblOverlap w:val="never"/>
        <w:jc w:val="center"/>
        <w:tblLayout w:type="fixed"/>
      </w:tblPr>
      <w:tblGrid>
        <w:gridCol w:w="2395"/>
        <w:gridCol w:w="1354"/>
        <w:gridCol w:w="4800"/>
        <w:gridCol w:w="105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对金融行业非结构化数据的统一采集，降低了新业务接入 的时间成本，有利于新业务快速推出；促进金融机构打造 面向“从集中到分布式”的全场景影像业务基础设施方案， 覆盖金融行业的传统纸质凭证、电子化资料、多媒体内容 的全业务流程。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划分研究开发项目的研究阶段和开发阶段的具体标准：为获取新的技术和知识等进行的有计划的调查阶段，应确定为研 究阶段，该阶段具有计划性和探索性等特点；在进行商业性生产或使用前，将研究成果或其他知识应用于某项计划或设计， 以生产出新的或具有实质性改进的材料、装置、产品等阶段，应确定为开发阶段，该阶段具有针对性和形成成果的可能性较 大等特点。</w:t>
      </w:r>
    </w:p>
    <w:p>
      <w:pPr>
        <w:pStyle w:val="Style18"/>
        <w:keepNext w:val="0"/>
        <w:keepLines w:val="0"/>
        <w:widowControl w:val="0"/>
        <w:shd w:val="clear" w:color="auto" w:fill="auto"/>
        <w:bidi w:val="0"/>
        <w:spacing w:before="0" w:after="380" w:line="313" w:lineRule="exact"/>
        <w:ind w:left="0" w:right="0"/>
        <w:jc w:val="both"/>
      </w:pPr>
      <w:r>
        <w:rPr>
          <w:color w:val="000000"/>
          <w:spacing w:val="0"/>
          <w:w w:val="100"/>
          <w:position w:val="0"/>
        </w:rPr>
        <w:t>公司有严格的研发立项管理制度，运营管理部负责研发立项的登记管理、组织评审、项目跟踪等管理工作，研发项目经 理每月应向运营管理部提供项目进展情况报告，内容包括月度工作总结，项目进度分析，项目成本分析，项目里程碑阶段， 项目问题、风险和对策等；项目开发完成后，项目经理应撰写项目报告，提交运营管理部，由运营管理部组织项目评审小组 及外聘专家进行验收，验收内容包括功能的实现程度、与当初市场预测情况的偏差、研发支出是否超出预算等。对于实现预 期目标的开发项目，出具正式的验收报告。对于符合专利申请条件的开发产品或开发成果，由运营管理部提出申请，由市场 部办理著作权或软件产品登记手续。</w:t>
      </w:r>
    </w:p>
    <w:p>
      <w:pPr>
        <w:pStyle w:val="Style27"/>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6</w:t>
      </w:r>
      <w:bookmarkEnd w:id="177"/>
      <w:r>
        <w:rPr>
          <w:color w:val="000000"/>
          <w:spacing w:val="0"/>
          <w:w w:val="100"/>
          <w:position w:val="0"/>
        </w:rPr>
        <w:t>、现金流</w:t>
      </w:r>
      <w:bookmarkEnd w:id="175"/>
      <w:bookmarkEnd w:id="176"/>
      <w:bookmarkEnd w:id="1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50"/>
        <w:gridCol w:w="1896"/>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9,853,552,376.58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11,529,590,837.40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9,394,850,532.45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10,522,613,343.69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458,701,844.13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1,006,977,493.71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-54.45%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12,799,281.79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64,860,926.78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-80.27%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378,752,140.60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321,644,686.46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-365,952,858.81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-256,783,759.68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-42.51%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3,869,158,898.35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5,193,885,484.80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-25.51%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4,107,549,734.47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5,416,556,801.27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-24.17%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-238,390,836.12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-222,671,316.47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-147,107,070.92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527,012,499.99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经营活动产生的现金流量净额同比减少54.45%，主要系上年同期公司收到土地补偿金</w:t>
      </w:r>
      <w:r>
        <w:rPr>
          <w:color w:val="000000"/>
          <w:spacing w:val="0"/>
          <w:w w:val="100"/>
          <w:position w:val="0"/>
        </w:rPr>
        <w:t>8.71</w:t>
      </w:r>
      <w:r>
        <w:rPr>
          <w:color w:val="000000"/>
          <w:spacing w:val="0"/>
          <w:w w:val="100"/>
          <w:position w:val="0"/>
        </w:rPr>
        <w:t>亿元所致。</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投资活动产生的现金流量净额同比减少</w:t>
      </w:r>
      <w:r>
        <w:rPr>
          <w:color w:val="000000"/>
          <w:spacing w:val="0"/>
          <w:w w:val="100"/>
          <w:position w:val="0"/>
        </w:rPr>
        <w:t xml:space="preserve">42. </w:t>
      </w:r>
      <w:r>
        <w:rPr>
          <w:color w:val="000000"/>
          <w:spacing w:val="0"/>
          <w:w w:val="100"/>
          <w:position w:val="0"/>
        </w:rPr>
        <w:t>51%，主要系上年同期公司收到赵纺土地储备中心支付的土地款5,000万元， 以及本期预付供销冷链物流（石家庄）有限公司投资款所致。</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现金及现金等价物净增加额同比减少</w:t>
      </w:r>
      <w:r>
        <w:rPr>
          <w:color w:val="000000"/>
          <w:spacing w:val="0"/>
          <w:w w:val="100"/>
          <w:position w:val="0"/>
        </w:rPr>
        <w:t xml:space="preserve">127. </w:t>
      </w:r>
      <w:r>
        <w:rPr>
          <w:color w:val="000000"/>
          <w:spacing w:val="0"/>
          <w:w w:val="100"/>
          <w:position w:val="0"/>
        </w:rPr>
        <w:t>91%，主要系本期公司经营活动产生的现金流量净额、投资活动产生的现金流 量净额同比减少所致。</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45,870</w:t>
      </w:r>
      <w:r>
        <w:rPr>
          <w:color w:val="000000"/>
          <w:spacing w:val="0"/>
          <w:w w:val="100"/>
          <w:position w:val="0"/>
        </w:rPr>
        <w:t>万元，与本年度净利润</w:t>
      </w:r>
      <w:r>
        <w:rPr>
          <w:rFonts w:ascii="Times New Roman" w:eastAsia="Times New Roman" w:hAnsi="Times New Roman" w:cs="Times New Roman"/>
          <w:color w:val="000000"/>
          <w:spacing w:val="0"/>
          <w:w w:val="100"/>
          <w:position w:val="0"/>
        </w:rPr>
        <w:t>13,100</w:t>
      </w:r>
      <w:r>
        <w:rPr>
          <w:color w:val="000000"/>
          <w:spacing w:val="0"/>
          <w:w w:val="100"/>
          <w:position w:val="0"/>
        </w:rPr>
        <w:t>万元相差</w:t>
      </w:r>
      <w:r>
        <w:rPr>
          <w:rFonts w:ascii="Times New Roman" w:eastAsia="Times New Roman" w:hAnsi="Times New Roman" w:cs="Times New Roman"/>
          <w:color w:val="000000"/>
          <w:spacing w:val="0"/>
          <w:w w:val="100"/>
          <w:position w:val="0"/>
        </w:rPr>
        <w:t>32,770</w:t>
      </w:r>
      <w:r>
        <w:rPr>
          <w:color w:val="000000"/>
          <w:spacing w:val="0"/>
          <w:w w:val="100"/>
          <w:position w:val="0"/>
        </w:rPr>
        <w:t>万元，差异部分主要</w:t>
      </w:r>
      <w:r>
        <w:br w:type="page"/>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为资产计提的折旧和摊销。</w:t>
      </w:r>
    </w:p>
    <w:p>
      <w:pPr>
        <w:pStyle w:val="Style23"/>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、非主营业务分析</w:t>
      </w:r>
      <w:bookmarkEnd w:id="179"/>
      <w:bookmarkEnd w:id="180"/>
      <w:bookmarkEnd w:id="18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411"/>
        <w:gridCol w:w="1032"/>
        <w:gridCol w:w="4296"/>
        <w:gridCol w:w="106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是否具有</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5,223,744.45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其中河北银行分红</w:t>
            </w:r>
            <w:r>
              <w:rPr>
                <w:rFonts w:ascii="Times New Roman" w:eastAsia="Times New Roman" w:hAnsi="Times New Roman" w:cs="Times New Roman"/>
                <w:color w:val="000000"/>
                <w:spacing w:val="0"/>
                <w:w w:val="100"/>
                <w:position w:val="0"/>
              </w:rPr>
              <w:t>4,884,165.12</w:t>
            </w:r>
            <w:r>
              <w:rPr>
                <w:color w:val="000000"/>
                <w:spacing w:val="0"/>
                <w:w w:val="100"/>
                <w:position w:val="0"/>
              </w:rPr>
              <w:t>元；取得联营企业北 明兆业分红</w:t>
            </w:r>
            <w:r>
              <w:rPr>
                <w:rFonts w:ascii="Times New Roman" w:eastAsia="Times New Roman" w:hAnsi="Times New Roman" w:cs="Times New Roman"/>
                <w:color w:val="000000"/>
                <w:spacing w:val="0"/>
                <w:w w:val="100"/>
                <w:position w:val="0"/>
              </w:rPr>
              <w:t>800,000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1,389,485.98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衍生金融负债公允价值变动收益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-98,932,823.84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其中合同资产减值损失</w:t>
            </w:r>
            <w:r>
              <w:rPr>
                <w:rFonts w:ascii="Times New Roman" w:eastAsia="Times New Roman" w:hAnsi="Times New Roman" w:cs="Times New Roman"/>
                <w:color w:val="000000"/>
                <w:spacing w:val="0"/>
                <w:w w:val="100"/>
                <w:position w:val="0"/>
              </w:rPr>
              <w:t>23,074,067.70</w:t>
            </w:r>
            <w:r>
              <w:rPr>
                <w:color w:val="000000"/>
                <w:spacing w:val="0"/>
                <w:w w:val="100"/>
                <w:position w:val="0"/>
              </w:rPr>
              <w:t>元；存货跌价 损失</w:t>
            </w:r>
            <w:r>
              <w:rPr>
                <w:rFonts w:ascii="Times New Roman" w:eastAsia="Times New Roman" w:hAnsi="Times New Roman" w:cs="Times New Roman"/>
                <w:color w:val="000000"/>
                <w:spacing w:val="0"/>
                <w:w w:val="100"/>
                <w:position w:val="0"/>
              </w:rPr>
              <w:t>26,032,256.14</w:t>
            </w:r>
            <w:r>
              <w:rPr>
                <w:color w:val="000000"/>
                <w:spacing w:val="0"/>
                <w:w w:val="100"/>
                <w:position w:val="0"/>
              </w:rPr>
              <w:t>元；商誉减值损失</w:t>
            </w:r>
            <w:r>
              <w:rPr>
                <w:rFonts w:ascii="Times New Roman" w:eastAsia="Times New Roman" w:hAnsi="Times New Roman" w:cs="Times New Roman"/>
                <w:color w:val="000000"/>
                <w:spacing w:val="0"/>
                <w:w w:val="100"/>
                <w:position w:val="0"/>
              </w:rPr>
              <w:t xml:space="preserve">49,826,500.00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25,773,071.74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其中确认应收中铁一局集团第四工程有限公司的棉 五火灾损失赔偿款</w:t>
            </w:r>
            <w:r>
              <w:rPr>
                <w:rFonts w:ascii="Times New Roman" w:eastAsia="Times New Roman" w:hAnsi="Times New Roman" w:cs="Times New Roman"/>
                <w:color w:val="000000"/>
                <w:spacing w:val="0"/>
                <w:w w:val="100"/>
                <w:position w:val="0"/>
              </w:rPr>
              <w:t>16,825,794.91</w:t>
            </w:r>
            <w:r>
              <w:rPr>
                <w:color w:val="000000"/>
                <w:spacing w:val="0"/>
                <w:w w:val="100"/>
                <w:position w:val="0"/>
              </w:rPr>
              <w:t xml:space="preserve">元；违约金及罚没 收入 </w:t>
            </w:r>
            <w:r>
              <w:rPr>
                <w:rFonts w:ascii="Times New Roman" w:eastAsia="Times New Roman" w:hAnsi="Times New Roman" w:cs="Times New Roman"/>
                <w:color w:val="000000"/>
                <w:spacing w:val="0"/>
                <w:w w:val="100"/>
                <w:position w:val="0"/>
              </w:rPr>
              <w:t xml:space="preserve">8,764,022.98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36,642,802.92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其中停工损失</w:t>
            </w:r>
            <w:r>
              <w:rPr>
                <w:rFonts w:ascii="Times New Roman" w:eastAsia="Times New Roman" w:hAnsi="Times New Roman" w:cs="Times New Roman"/>
                <w:color w:val="000000"/>
                <w:spacing w:val="0"/>
                <w:w w:val="100"/>
                <w:position w:val="0"/>
              </w:rPr>
              <w:t>30,372,835.13</w:t>
            </w:r>
            <w:r>
              <w:rPr>
                <w:color w:val="000000"/>
                <w:spacing w:val="0"/>
                <w:w w:val="100"/>
                <w:position w:val="0"/>
              </w:rPr>
              <w:t>元；罚款支出</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2,053,639.92</w:t>
            </w:r>
            <w:r>
              <w:rPr>
                <w:color w:val="000000"/>
                <w:spacing w:val="0"/>
                <w:w w:val="100"/>
                <w:position w:val="0"/>
              </w:rPr>
              <w:t>元；代替赔偿义务人向商户垫付的棉五 火灾损失赔偿款</w:t>
            </w:r>
            <w:r>
              <w:rPr>
                <w:rFonts w:ascii="Times New Roman" w:eastAsia="Times New Roman" w:hAnsi="Times New Roman" w:cs="Times New Roman"/>
                <w:color w:val="000000"/>
                <w:spacing w:val="0"/>
                <w:w w:val="100"/>
                <w:position w:val="0"/>
              </w:rPr>
              <w:t>3,582,450.30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5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249,528,633.13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其中政府搬迁补助</w:t>
            </w:r>
            <w:r>
              <w:rPr>
                <w:rFonts w:ascii="Times New Roman" w:eastAsia="Times New Roman" w:hAnsi="Times New Roman" w:cs="Times New Roman"/>
                <w:color w:val="000000"/>
                <w:spacing w:val="0"/>
                <w:w w:val="100"/>
                <w:position w:val="0"/>
              </w:rPr>
              <w:t>216,935,152.90</w:t>
            </w:r>
            <w:r>
              <w:rPr>
                <w:color w:val="000000"/>
                <w:spacing w:val="0"/>
                <w:w w:val="100"/>
                <w:position w:val="0"/>
              </w:rPr>
              <w:t>元，公司与石家庄 市土地储备中心签署的《企、事业单位国有土地使用 权收购（回）合同》中约定：“根据《关于进一步做 好我市污染工业企业退城搬迁有关工作的通知》相关 要求，按照《石家庄市主城区污染工业企业退城搬迁 改造的实施意见》（石政规【</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号）规定的土 地补偿标准给予土地补偿</w:t>
            </w:r>
            <w:r>
              <w:rPr>
                <w:color w:val="000000"/>
                <w:spacing w:val="0"/>
                <w:w w:val="100"/>
                <w:position w:val="0"/>
              </w:rPr>
              <w:t>，</w:t>
            </w:r>
            <w:r>
              <w:rPr>
                <w:color w:val="000000"/>
                <w:spacing w:val="0"/>
                <w:w w:val="100"/>
                <w:position w:val="0"/>
              </w:rPr>
              <w:t xml:space="preserve">即按照土地出让总价款的 </w:t>
            </w:r>
            <w:r>
              <w:rPr>
                <w:rFonts w:ascii="Times New Roman" w:eastAsia="Times New Roman" w:hAnsi="Times New Roman" w:cs="Times New Roman"/>
                <w:color w:val="000000"/>
                <w:spacing w:val="0"/>
                <w:w w:val="100"/>
                <w:position w:val="0"/>
              </w:rPr>
              <w:t>60%</w:t>
            </w:r>
            <w:r>
              <w:rPr>
                <w:color w:val="000000"/>
                <w:spacing w:val="0"/>
                <w:w w:val="100"/>
                <w:position w:val="0"/>
              </w:rPr>
              <w:t>对企业进行补偿。补偿费用包括土地及地上建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（构）筑物等补偿费用，不再另行计提基金（如遇及 特殊情况，基金总额超过总价款数</w:t>
            </w:r>
            <w:r>
              <w:rPr>
                <w:rFonts w:ascii="Times New Roman" w:eastAsia="Times New Roman" w:hAnsi="Times New Roman" w:cs="Times New Roman"/>
                <w:color w:val="000000"/>
                <w:spacing w:val="0"/>
                <w:w w:val="100"/>
                <w:position w:val="0"/>
              </w:rPr>
              <w:t>40%</w:t>
            </w:r>
            <w:r>
              <w:rPr>
                <w:color w:val="000000"/>
                <w:spacing w:val="0"/>
                <w:w w:val="100"/>
                <w:position w:val="0"/>
              </w:rPr>
              <w:t>,超过部分 从企业补偿中扣除）。土地收购补偿金用于支持企业 搬迁改造。”报告期公司共确认政府搬迁补助</w:t>
            </w:r>
            <w:r>
              <w:rPr>
                <w:rFonts w:ascii="Times New Roman" w:eastAsia="Times New Roman" w:hAnsi="Times New Roman" w:cs="Times New Roman"/>
                <w:color w:val="000000"/>
                <w:spacing w:val="0"/>
                <w:w w:val="100"/>
                <w:position w:val="0"/>
              </w:rPr>
              <w:t>2.17</w:t>
            </w:r>
            <w:r>
              <w:rPr>
                <w:color w:val="000000"/>
                <w:spacing w:val="0"/>
                <w:w w:val="100"/>
                <w:position w:val="0"/>
              </w:rPr>
              <w:t>亿 元全部计入了其他收益。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六</w:t>
      </w:r>
      <w:bookmarkEnd w:id="185"/>
      <w:r>
        <w:rPr>
          <w:color w:val="000000"/>
          <w:spacing w:val="0"/>
          <w:w w:val="100"/>
          <w:position w:val="0"/>
          <w:sz w:val="24"/>
          <w:szCs w:val="24"/>
        </w:rPr>
        <w:t>、资产及负债状况分析</w:t>
      </w:r>
      <w:bookmarkEnd w:id="183"/>
      <w:bookmarkEnd w:id="184"/>
      <w:bookmarkEnd w:id="186"/>
    </w:p>
    <w:p>
      <w:pPr>
        <w:pStyle w:val="Style27"/>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483"/>
        <w:gridCol w:w="1080"/>
        <w:gridCol w:w="1488"/>
        <w:gridCol w:w="994"/>
        <w:gridCol w:w="955"/>
        <w:gridCol w:w="22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87"/>
        <w:gridCol w:w="1483"/>
        <w:gridCol w:w="1080"/>
        <w:gridCol w:w="1488"/>
        <w:gridCol w:w="994"/>
        <w:gridCol w:w="955"/>
        <w:gridCol w:w="22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2,361,272,662.94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2,338,659,817.95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2,641,114,739.93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1,794,586,849.40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主要系本期公司收入增 加，应收账款相应增加所 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676,228,492.27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860,616,592.37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3,010,265,138.51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2,417,014,869.83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142,401,269.37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41,637,211.64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26,502,564.03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2,478,956,971.45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2,498,349,164.85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272,322,391.09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199,681,227.21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39,799,208.37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55,134,395.16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3,039,777,853.38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2,736,777,744.84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504,208,796.81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385,491,441.81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631,131,508.49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1,393,445,437.40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主要系本期公司将部分长 期借款转入一年内到期的 非流动负债所致。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10,647,180.73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24,064,313.53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、以公允价值计量的资产和负债</w:t>
      </w:r>
      <w:bookmarkEnd w:id="191"/>
      <w:bookmarkEnd w:id="192"/>
      <w:bookmarkEnd w:id="1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392"/>
        <w:gridCol w:w="974"/>
        <w:gridCol w:w="1090"/>
        <w:gridCol w:w="936"/>
        <w:gridCol w:w="869"/>
        <w:gridCol w:w="811"/>
        <w:gridCol w:w="1190"/>
        <w:gridCol w:w="1330"/>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本期购</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30,194,928.13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30,194,928.13</w:t>
            </w:r>
          </w:p>
        </w:tc>
      </w:tr>
      <w:tr>
        <w:trPr>
          <w:trHeight w:val="16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计量且其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变动计入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59,274,128.88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-41,725,926.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17,548,202.40</w:t>
            </w:r>
          </w:p>
        </w:tc>
      </w:tr>
    </w:tbl>
    <w:tbl>
      <w:tblPr>
        <w:tblOverlap w:val="never"/>
        <w:jc w:val="center"/>
        <w:tblLayout w:type="fixed"/>
      </w:tblPr>
      <w:tblGrid>
        <w:gridCol w:w="1099"/>
        <w:gridCol w:w="1392"/>
        <w:gridCol w:w="974"/>
        <w:gridCol w:w="1090"/>
        <w:gridCol w:w="936"/>
        <w:gridCol w:w="869"/>
        <w:gridCol w:w="811"/>
        <w:gridCol w:w="1190"/>
        <w:gridCol w:w="1330"/>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89,469,057.01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-41,725,926.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47,743,130.53</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5,887,342.52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-1,389,48</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4,497,856.54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tabs>
          <w:tab w:pos="704" w:val="left"/>
        </w:tabs>
        <w:bidi w:val="0"/>
        <w:spacing w:before="0" w:after="0" w:line="312" w:lineRule="exact"/>
        <w:ind w:left="0" w:right="0"/>
        <w:jc w:val="both"/>
      </w:pPr>
      <w:bookmarkStart w:id="195" w:name="bookmark195"/>
      <w:r>
        <w:rPr>
          <w:color w:val="000000"/>
          <w:spacing w:val="0"/>
          <w:w w:val="100"/>
          <w:position w:val="0"/>
        </w:rPr>
        <w:t>1</w:t>
      </w:r>
      <w:bookmarkEnd w:id="195"/>
      <w:r>
        <w:rPr>
          <w:color w:val="000000"/>
          <w:spacing w:val="0"/>
          <w:w w:val="100"/>
          <w:position w:val="0"/>
        </w:rPr>
        <w:t>、</w:t>
        <w:tab/>
        <w:t>公允价值计量且其变动计入其他综合收益的应收票据，因其剩余期限较短，账面余额与公允价值相近，公司以票面 金额作为其公允价值进行计量。</w:t>
      </w:r>
    </w:p>
    <w:p>
      <w:pPr>
        <w:pStyle w:val="Style18"/>
        <w:keepNext w:val="0"/>
        <w:keepLines w:val="0"/>
        <w:widowControl w:val="0"/>
        <w:shd w:val="clear" w:color="auto" w:fill="auto"/>
        <w:tabs>
          <w:tab w:pos="704" w:val="left"/>
        </w:tabs>
        <w:bidi w:val="0"/>
        <w:spacing w:before="0" w:after="0" w:line="319" w:lineRule="exact"/>
        <w:ind w:left="0" w:right="0"/>
        <w:jc w:val="both"/>
      </w:pPr>
      <w:bookmarkStart w:id="196" w:name="bookmark196"/>
      <w:r>
        <w:rPr>
          <w:color w:val="000000"/>
          <w:spacing w:val="0"/>
          <w:w w:val="100"/>
          <w:position w:val="0"/>
        </w:rPr>
        <w:t>2</w:t>
      </w:r>
      <w:bookmarkEnd w:id="196"/>
      <w:r>
        <w:rPr>
          <w:color w:val="000000"/>
          <w:spacing w:val="0"/>
          <w:w w:val="100"/>
          <w:position w:val="0"/>
        </w:rPr>
        <w:t>、</w:t>
        <w:tab/>
        <w:t>因被投资企业河北国信投资控股集团股份有限公司、河北银行股份有限公司、紫光创新投资有限公司、北京未名雅 集文化传播中心、北京北明兆业科技有限公司的经营环境和经营情况、财务状况未发生重大变化，所以公司按投资成本作为 公允价值的合理估计进行计量。</w:t>
      </w:r>
    </w:p>
    <w:p>
      <w:pPr>
        <w:pStyle w:val="Style18"/>
        <w:keepNext w:val="0"/>
        <w:keepLines w:val="0"/>
        <w:widowControl w:val="0"/>
        <w:shd w:val="clear" w:color="auto" w:fill="auto"/>
        <w:tabs>
          <w:tab w:pos="699" w:val="left"/>
        </w:tabs>
        <w:bidi w:val="0"/>
        <w:spacing w:before="0" w:after="340" w:line="322" w:lineRule="exact"/>
        <w:ind w:left="0" w:right="0"/>
        <w:jc w:val="both"/>
      </w:pPr>
      <w:bookmarkStart w:id="197" w:name="bookmark197"/>
      <w:r>
        <w:rPr>
          <w:color w:val="000000"/>
          <w:spacing w:val="0"/>
          <w:w w:val="100"/>
          <w:position w:val="0"/>
        </w:rPr>
        <w:t>3</w:t>
      </w:r>
      <w:bookmarkEnd w:id="197"/>
      <w:r>
        <w:rPr>
          <w:color w:val="000000"/>
          <w:spacing w:val="0"/>
          <w:w w:val="100"/>
          <w:position w:val="0"/>
        </w:rPr>
        <w:t>、</w:t>
        <w:tab/>
        <w:t>对衍生金融负债公司采用大华银行（中国）有限公司广州分行出具的估值报告作为其期末公允价值的确定依据。采 用的估值技术是现金流量折现法，输入值主要包括远期汇率、远期利率和折现率。</w:t>
      </w:r>
    </w:p>
    <w:p>
      <w:pPr>
        <w:pStyle w:val="Style1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报告期内公司主要资产计量属性是否发生重大变化 口是"否</w:t>
      </w:r>
    </w:p>
    <w:p>
      <w:pPr>
        <w:pStyle w:val="Style27"/>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、截至报告期末的资产权利受限情况</w:t>
      </w:r>
      <w:bookmarkEnd w:id="198"/>
      <w:bookmarkEnd w:id="199"/>
      <w:bookmarkEnd w:id="201"/>
    </w:p>
    <w:p>
      <w:pPr>
        <w:pStyle w:val="Style34"/>
        <w:keepNext w:val="0"/>
        <w:keepLines w:val="0"/>
        <w:widowControl w:val="0"/>
        <w:shd w:val="clear" w:color="auto" w:fill="auto"/>
        <w:bidi w:val="0"/>
        <w:spacing w:before="0" w:line="240" w:lineRule="auto"/>
        <w:ind w:left="0" w:firstLine="0"/>
        <w:jc w:val="right"/>
      </w:pPr>
      <w:r>
        <w:rPr>
          <w:color w:val="000000"/>
          <w:spacing w:val="0"/>
          <w:w w:val="100"/>
          <w:position w:val="0"/>
        </w:rPr>
        <w:t>单位：元</w:t>
      </w:r>
    </w:p>
    <w:tbl>
      <w:tblPr>
        <w:tblOverlap w:val="never"/>
        <w:jc w:val="center"/>
        <w:tblLayout w:type="fixed"/>
      </w:tblPr>
      <w:tblGrid>
        <w:gridCol w:w="1954"/>
        <w:gridCol w:w="2736"/>
        <w:gridCol w:w="5045"/>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419,361,973.27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票据、保函及农民工工资保证金及质押银行存单</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937,486,123.36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项目借款抵押、售后租回设备</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42,804,000.48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1,399,652,097.11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sz w:val="24"/>
          <w:szCs w:val="24"/>
        </w:rPr>
        <w:t>七</w:t>
      </w:r>
      <w:bookmarkEnd w:id="204"/>
      <w:r>
        <w:rPr>
          <w:color w:val="000000"/>
          <w:spacing w:val="0"/>
          <w:w w:val="100"/>
          <w:position w:val="0"/>
          <w:sz w:val="24"/>
          <w:szCs w:val="24"/>
        </w:rPr>
        <w:t>、投资状况分析</w:t>
      </w:r>
      <w:bookmarkEnd w:id="202"/>
      <w:bookmarkEnd w:id="203"/>
      <w:bookmarkEnd w:id="205"/>
    </w:p>
    <w:p>
      <w:pPr>
        <w:pStyle w:val="Style27"/>
        <w:keepNext/>
        <w:keepLines/>
        <w:widowControl w:val="0"/>
        <w:shd w:val="clear" w:color="auto" w:fill="auto"/>
        <w:bidi w:val="0"/>
        <w:spacing w:before="0" w:after="340" w:line="240" w:lineRule="auto"/>
        <w:ind w:left="0" w:right="0" w:firstLine="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、总体情况</w:t>
      </w:r>
      <w:bookmarkEnd w:id="206"/>
      <w:bookmarkEnd w:id="207"/>
      <w:bookmarkEnd w:id="20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374,765,319.22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310,628,146.46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、报告期内获取的重大的股权投资情况</w:t>
      </w:r>
      <w:bookmarkEnd w:id="210"/>
      <w:bookmarkEnd w:id="211"/>
      <w:bookmarkEnd w:id="213"/>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r>
        <w:br w:type="page"/>
      </w:r>
    </w:p>
    <w:p>
      <w:pPr>
        <w:pStyle w:val="Style27"/>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、报告期内正在进行的重大的非股权投资情况</w:t>
      </w:r>
      <w:bookmarkEnd w:id="214"/>
      <w:bookmarkEnd w:id="215"/>
      <w:bookmarkEnd w:id="21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25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告期 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180"/>
              <w:jc w:val="both"/>
            </w:pPr>
            <w:r>
              <w:rPr>
                <w:color w:val="000000"/>
                <w:spacing w:val="0"/>
                <w:w w:val="100"/>
                <w:position w:val="0"/>
              </w:rPr>
              <w:t>截至 报告 期末 累计 实际 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未达 到计 划进 度和 预计 收益 的原 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披露 日期 （如 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披露</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索引</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（如</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有）</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tc>
      </w:tr>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家庄</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r>
      <w:tr>
        <w:trPr>
          <w:trHeight w:val="187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常山 云数 据中 心项 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35,087 </w:t>
            </w:r>
            <w:r>
              <w:rPr>
                <w:rFonts w:ascii="Times New Roman" w:eastAsia="Times New Roman" w:hAnsi="Times New Roman" w:cs="Times New Roman"/>
                <w:color w:val="000000"/>
                <w:spacing w:val="0"/>
                <w:w w:val="100"/>
                <w:position w:val="0"/>
              </w:rPr>
              <w:t xml:space="preserve">,994.0 </w:t>
            </w: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4,609.</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 贷款、 自有 资金</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66,070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 xml:space="preserve">日、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关于 投资 云数 据中 心项</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p>
        </w:tc>
      </w:tr>
      <w:tr>
        <w:trPr>
          <w:trHeight w:val="33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ninfO.c</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om.cn</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家庄</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44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 科技 股份 有限 公司 关于 投资 云数 据中 心项 目二 期工 程的</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w:t>
            </w: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35,087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,994.0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4,609.</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66,070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4</w:t>
      </w:r>
      <w:bookmarkEnd w:id="220"/>
      <w:r>
        <w:rPr>
          <w:color w:val="000000"/>
          <w:spacing w:val="0"/>
          <w:w w:val="100"/>
          <w:position w:val="0"/>
        </w:rPr>
        <w:t>、金融资产投资</w:t>
      </w:r>
      <w:bookmarkEnd w:id="218"/>
      <w:bookmarkEnd w:id="219"/>
      <w:bookmarkEnd w:id="221"/>
    </w:p>
    <w:p>
      <w:pPr>
        <w:pStyle w:val="Style27"/>
        <w:keepNext/>
        <w:keepLines/>
        <w:widowControl w:val="0"/>
        <w:shd w:val="clear" w:color="auto" w:fill="auto"/>
        <w:tabs>
          <w:tab w:pos="488" w:val="left"/>
        </w:tabs>
        <w:bidi w:val="0"/>
        <w:spacing w:before="0" w:after="340" w:line="240" w:lineRule="auto"/>
        <w:ind w:left="0" w:right="0" w:firstLine="0"/>
        <w:jc w:val="left"/>
      </w:pPr>
      <w:bookmarkStart w:id="218" w:name="bookmark218"/>
      <w:bookmarkStart w:id="219" w:name="bookmark219"/>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8"/>
      <w:bookmarkEnd w:id="219"/>
      <w:bookmarkEnd w:id="22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27"/>
        <w:keepNext/>
        <w:keepLines/>
        <w:widowControl w:val="0"/>
        <w:shd w:val="clear" w:color="auto" w:fill="auto"/>
        <w:tabs>
          <w:tab w:pos="488" w:val="left"/>
        </w:tabs>
        <w:bidi w:val="0"/>
        <w:spacing w:before="0" w:after="34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24"/>
      <w:bookmarkEnd w:id="225"/>
      <w:bookmarkEnd w:id="227"/>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96"/>
        <w:gridCol w:w="696"/>
        <w:gridCol w:w="691"/>
        <w:gridCol w:w="739"/>
        <w:gridCol w:w="696"/>
        <w:gridCol w:w="691"/>
        <w:gridCol w:w="691"/>
        <w:gridCol w:w="691"/>
        <w:gridCol w:w="691"/>
        <w:gridCol w:w="691"/>
        <w:gridCol w:w="691"/>
        <w:gridCol w:w="696"/>
        <w:gridCol w:w="691"/>
        <w:gridCol w:w="528"/>
      </w:tblGrid>
      <w:tr>
        <w:trPr>
          <w:trHeight w:val="29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160" w:right="0" w:firstLine="0"/>
              <w:jc w:val="left"/>
            </w:pPr>
            <w:r>
              <w:rPr>
                <w:color w:val="000000"/>
                <w:spacing w:val="0"/>
                <w:w w:val="100"/>
                <w:position w:val="0"/>
              </w:rPr>
              <w:t>衍生 品投 资操 作方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关联</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衍生 品投 资类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 品投 资初 始投 资金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终止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投资</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 期内 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期内 售出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60" w:right="0" w:firstLine="0"/>
              <w:jc w:val="left"/>
            </w:pPr>
            <w:r>
              <w:rPr>
                <w:color w:val="000000"/>
                <w:spacing w:val="0"/>
                <w:w w:val="100"/>
                <w:position w:val="0"/>
              </w:rPr>
              <w:t>计提 减值 准备 金额 （如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期末</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投资</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140" w:right="0" w:firstLine="0"/>
              <w:jc w:val="left"/>
            </w:pPr>
            <w:r>
              <w:rPr>
                <w:color w:val="000000"/>
                <w:spacing w:val="0"/>
                <w:w w:val="100"/>
                <w:position w:val="0"/>
              </w:rPr>
              <w:t>期末 投资 金额 占公 司报 告期 末净 资产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160"/>
              <w:jc w:val="left"/>
            </w:pPr>
            <w:r>
              <w:rPr>
                <w:color w:val="000000"/>
                <w:spacing w:val="0"/>
                <w:w w:val="100"/>
                <w:position w:val="0"/>
              </w:rPr>
              <w:t>报 告 期 实 际 损 益 金 额</w:t>
            </w:r>
          </w:p>
        </w:tc>
      </w:tr>
      <w:tr>
        <w:trPr>
          <w:trHeight w:val="160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大华</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银行</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 国）有 限公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掉期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2024</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198.8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bl>
    <w:p>
      <w:pPr>
        <w:spacing w:lineRule="exact" w:line="1"/>
        <w:rPr>
          <w:sz w:val="2"/>
          <w:szCs w:val="2"/>
        </w:rPr>
      </w:pPr>
      <w:r>
        <w:br w:type="page"/>
      </w:r>
    </w:p>
    <w:tbl>
      <w:tblPr>
        <w:tblOverlap w:val="never"/>
        <w:jc w:val="center"/>
        <w:tblLayout w:type="fixed"/>
      </w:tblPr>
      <w:tblGrid>
        <w:gridCol w:w="696"/>
        <w:gridCol w:w="696"/>
        <w:gridCol w:w="691"/>
        <w:gridCol w:w="739"/>
        <w:gridCol w:w="696"/>
        <w:gridCol w:w="691"/>
        <w:gridCol w:w="691"/>
        <w:gridCol w:w="691"/>
        <w:gridCol w:w="691"/>
        <w:gridCol w:w="691"/>
        <w:gridCol w:w="691"/>
        <w:gridCol w:w="696"/>
        <w:gridCol w:w="691"/>
        <w:gridCol w:w="528"/>
      </w:tblGrid>
      <w:tr>
        <w:trPr>
          <w:trHeight w:val="9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司广 州分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大华 银行</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 国）有 限公 司广 州分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939.9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753.3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2"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未涉诉</w:t>
            </w:r>
          </w:p>
        </w:tc>
      </w:tr>
      <w:tr>
        <w:trPr>
          <w:trHeight w:val="72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衍生品投资审批董事会公告披露 日期（如有</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71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衍生品投资审批股东会公告披露 日期（如有</w:t>
            </w:r>
            <w:r>
              <w:rPr>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008"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报告期衍生品持仓的风险分析及 控制措施说明（包括但不限于市 场风险、流动性风险、信用风险、 操作风险、法律风险等）</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902" w:val="left"/>
              </w:tabs>
              <w:bidi w:val="0"/>
              <w:spacing w:before="0" w:after="40" w:line="317" w:lineRule="exact"/>
              <w:ind w:left="0" w:right="0" w:firstLine="460"/>
              <w:jc w:val="left"/>
            </w:pPr>
            <w:r>
              <w:rPr>
                <w:color w:val="000000"/>
                <w:spacing w:val="0"/>
                <w:w w:val="100"/>
                <w:position w:val="0"/>
              </w:rPr>
              <w:t>（一）</w:t>
              <w:tab/>
              <w:t>风险分析</w:t>
            </w:r>
          </w:p>
          <w:p>
            <w:pPr>
              <w:pStyle w:val="Style20"/>
              <w:keepNext w:val="0"/>
              <w:keepLines w:val="0"/>
              <w:widowControl w:val="0"/>
              <w:shd w:val="clear" w:color="auto" w:fill="auto"/>
              <w:tabs>
                <w:tab w:pos="62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市场风险。在汇率、利率行情变动较大的情况下，若合约约定掉期汇率和掉 期利率劣于实时汇率和利率时，将造成汇兑损失。</w:t>
            </w:r>
          </w:p>
          <w:p>
            <w:pPr>
              <w:pStyle w:val="Style20"/>
              <w:keepNext w:val="0"/>
              <w:keepLines w:val="0"/>
              <w:widowControl w:val="0"/>
              <w:shd w:val="clear" w:color="auto" w:fill="auto"/>
              <w:tabs>
                <w:tab w:pos="619"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流动性风险。公司开展的本次外汇衍生品交易业务性质简单，均对应正常合 理的外币债务，与还款时间相匹配，不会对公司的流动性造成影响。</w:t>
            </w:r>
          </w:p>
          <w:p>
            <w:pPr>
              <w:pStyle w:val="Style20"/>
              <w:keepNext w:val="0"/>
              <w:keepLines w:val="0"/>
              <w:widowControl w:val="0"/>
              <w:shd w:val="clear" w:color="auto" w:fill="auto"/>
              <w:tabs>
                <w:tab w:pos="624" w:val="left"/>
              </w:tabs>
              <w:bidi w:val="0"/>
              <w:spacing w:before="0" w:after="40" w:line="326"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履约风险。公司本次外汇衍生品交易对手为大华银行（中国）有限公司广州 分行，该行信用良好且与公司已建立长期业务往来，履约风险低。</w:t>
            </w:r>
          </w:p>
          <w:p>
            <w:pPr>
              <w:pStyle w:val="Style20"/>
              <w:keepNext w:val="0"/>
              <w:keepLines w:val="0"/>
              <w:widowControl w:val="0"/>
              <w:shd w:val="clear" w:color="auto" w:fill="auto"/>
              <w:tabs>
                <w:tab w:pos="619"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其它风险。在开展交易时，如操作人员未按规定程序进行外汇衍生品交易操 作或未能充分理解衍生品信息，将带来操作风险；如交易合同条款不明确，将可能 面临法律风险。</w:t>
            </w:r>
          </w:p>
          <w:p>
            <w:pPr>
              <w:pStyle w:val="Style20"/>
              <w:keepNext w:val="0"/>
              <w:keepLines w:val="0"/>
              <w:widowControl w:val="0"/>
              <w:shd w:val="clear" w:color="auto" w:fill="auto"/>
              <w:tabs>
                <w:tab w:pos="902" w:val="left"/>
              </w:tabs>
              <w:bidi w:val="0"/>
              <w:spacing w:before="0" w:after="40" w:line="317" w:lineRule="exact"/>
              <w:ind w:left="0" w:right="0" w:firstLine="460"/>
              <w:jc w:val="left"/>
            </w:pPr>
            <w:r>
              <w:rPr>
                <w:color w:val="000000"/>
                <w:spacing w:val="0"/>
                <w:w w:val="100"/>
                <w:position w:val="0"/>
              </w:rPr>
              <w:t>（二）</w:t>
              <w:tab/>
              <w:t>风险管理措施</w:t>
            </w:r>
          </w:p>
          <w:p>
            <w:pPr>
              <w:pStyle w:val="Style20"/>
              <w:keepNext w:val="0"/>
              <w:keepLines w:val="0"/>
              <w:widowControl w:val="0"/>
              <w:shd w:val="clear" w:color="auto" w:fill="auto"/>
              <w:tabs>
                <w:tab w:pos="571" w:val="left"/>
              </w:tabs>
              <w:bidi w:val="0"/>
              <w:spacing w:before="0" w:after="40" w:line="312"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公司开展的本次外汇衍生品交易以减少汇率、利率波动对公司的影响为目的， 选择结构简单、风险可控的金融衍生工具开展交易，禁止任何风险投机行为。</w:t>
            </w:r>
          </w:p>
          <w:p>
            <w:pPr>
              <w:pStyle w:val="Style20"/>
              <w:keepNext w:val="0"/>
              <w:keepLines w:val="0"/>
              <w:widowControl w:val="0"/>
              <w:shd w:val="clear" w:color="auto" w:fill="auto"/>
              <w:tabs>
                <w:tab w:pos="63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公司已制定《衍生品投资管理制度》，对外汇衍生品交易的操作原则、审批 权限、责任部门及责任人、内部操作流程、内部风险报告制度及风险处理程序、信 息披露等作了明确规定，控制交易风险。</w:t>
            </w:r>
          </w:p>
          <w:p>
            <w:pPr>
              <w:pStyle w:val="Style20"/>
              <w:keepNext w:val="0"/>
              <w:keepLines w:val="0"/>
              <w:widowControl w:val="0"/>
              <w:shd w:val="clear" w:color="auto" w:fill="auto"/>
              <w:tabs>
                <w:tab w:pos="62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公司将审慎审查与大华银行（中国）有限公司广州分行签订的合约条款，严 格执行相关制度，以防范法律风险。</w:t>
            </w:r>
          </w:p>
          <w:p>
            <w:pPr>
              <w:pStyle w:val="Style20"/>
              <w:keepNext w:val="0"/>
              <w:keepLines w:val="0"/>
              <w:widowControl w:val="0"/>
              <w:shd w:val="clear" w:color="auto" w:fill="auto"/>
              <w:tabs>
                <w:tab w:pos="63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公司外汇业务相关人员将持续跟踪外汇衍生品公开市场价格或公允价值变 动，及时评估外汇衍生品交易的风险敞口变化情况，如发现异常情况及时报告授权 高管，提示风险并执行应急措施。</w:t>
            </w:r>
          </w:p>
        </w:tc>
      </w:tr>
    </w:tbl>
    <w:p>
      <w:pPr>
        <w:spacing w:lineRule="exact" w:line="1"/>
        <w:rPr>
          <w:sz w:val="2"/>
          <w:szCs w:val="2"/>
        </w:rPr>
      </w:pPr>
      <w:r>
        <w:br w:type="page"/>
      </w:r>
    </w:p>
    <w:tbl>
      <w:tblPr>
        <w:tblOverlap w:val="never"/>
        <w:jc w:val="center"/>
        <w:tblLayout w:type="fixed"/>
      </w:tblPr>
      <w:tblGrid>
        <w:gridCol w:w="2822"/>
        <w:gridCol w:w="67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w:t>
            </w:r>
            <w:r>
              <w:rPr>
                <w:color w:val="000000"/>
                <w:spacing w:val="0"/>
                <w:w w:val="100"/>
                <w:position w:val="0"/>
              </w:rPr>
              <w:t>、公司审计部门定期对外汇衍生品交易进行合规性内部审计。</w:t>
            </w:r>
          </w:p>
        </w:tc>
      </w:tr>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 或产品公允价值变动的情况，对 衍生品公允价值的分析应披露具 体使用的方法及相关假设与参数 的设定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460"/>
              <w:jc w:val="left"/>
            </w:pPr>
            <w:r>
              <w:rPr>
                <w:color w:val="000000"/>
                <w:spacing w:val="0"/>
                <w:w w:val="100"/>
                <w:position w:val="0"/>
              </w:rPr>
              <w:t>公司对报告期内衍生品损益情况进行了确认，确认公允价值变动收益</w:t>
            </w:r>
            <w:r>
              <w:rPr>
                <w:rFonts w:ascii="Times New Roman" w:eastAsia="Times New Roman" w:hAnsi="Times New Roman" w:cs="Times New Roman"/>
                <w:color w:val="000000"/>
                <w:spacing w:val="0"/>
                <w:w w:val="100"/>
                <w:position w:val="0"/>
              </w:rPr>
              <w:t>138.95</w:t>
            </w:r>
            <w:r>
              <w:rPr>
                <w:color w:val="000000"/>
                <w:spacing w:val="0"/>
                <w:w w:val="100"/>
                <w:position w:val="0"/>
              </w:rPr>
              <w:t>万 元，公允价值计算以大华银行（中国）有限公司广州分行出具的估值报告作为确定 依据。</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报告期公司衍生品的会计政策及 会计核算具体原则与上一报告期 相比是否发生重大变化的说明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独立董事对公司衍生品投资及风 险控制情况的专项意见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公司就云数据中心项目向大华银行有限公司香港分行申请以美元或港币借款， 为防范并降低外汇汇率及利率波动带来的风险，锁定融资成本，公司与大华银行（中 国）有限公司广州分行开展外汇衍生品投资业务。我们认为公司本次开展的外汇衍 生品交易业务，符合公司的实际经营需要。公司董事会在审议上述议案时，相关审 议程序符合法律、法规和规范性文件及《公司章程》的有关规定。综上所述，我们 同意公司在本次董事会批准额度范围内开展外汇衍生品交易业务。</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、募集资金使用情况</w:t>
      </w:r>
      <w:bookmarkEnd w:id="228"/>
      <w:bookmarkEnd w:id="229"/>
      <w:bookmarkEnd w:id="2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八</w:t>
      </w:r>
      <w:bookmarkEnd w:id="234"/>
      <w:r>
        <w:rPr>
          <w:color w:val="000000"/>
          <w:spacing w:val="0"/>
          <w:w w:val="100"/>
          <w:position w:val="0"/>
          <w:sz w:val="24"/>
          <w:szCs w:val="24"/>
        </w:rPr>
        <w:t>、</w:t>
        <w:tab/>
        <w:t>重大资产和股权出售</w:t>
      </w:r>
      <w:bookmarkEnd w:id="232"/>
      <w:bookmarkEnd w:id="233"/>
      <w:bookmarkEnd w:id="235"/>
    </w:p>
    <w:p>
      <w:pPr>
        <w:pStyle w:val="Style27"/>
        <w:keepNext/>
        <w:keepLines/>
        <w:widowControl w:val="0"/>
        <w:shd w:val="clear" w:color="auto" w:fill="auto"/>
        <w:tabs>
          <w:tab w:pos="404"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出售重大资产情况</w:t>
      </w:r>
      <w:bookmarkEnd w:id="236"/>
      <w:bookmarkEnd w:id="237"/>
      <w:bookmarkEnd w:id="23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4"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出售重大股权情况</w:t>
      </w:r>
      <w:bookmarkEnd w:id="240"/>
      <w:bookmarkEnd w:id="241"/>
      <w:bookmarkEnd w:id="24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w:t>
        <w:tab/>
        <w:t>主要控股参股公司分析</w:t>
      </w:r>
      <w:bookmarkEnd w:id="244"/>
      <w:bookmarkEnd w:id="245"/>
      <w:bookmarkEnd w:id="2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5"/>
        <w:gridCol w:w="1046"/>
        <w:gridCol w:w="1046"/>
        <w:gridCol w:w="1046"/>
        <w:gridCol w:w="1042"/>
        <w:gridCol w:w="1046"/>
        <w:gridCol w:w="1046"/>
        <w:gridCol w:w="105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北明软件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办公设备 批发</w:t>
            </w:r>
            <w:r>
              <w:rPr>
                <w:rFonts w:ascii="Times New Roman" w:eastAsia="Times New Roman" w:hAnsi="Times New Roman" w:cs="Times New Roman"/>
                <w:color w:val="000000"/>
                <w:spacing w:val="0"/>
                <w:w w:val="100"/>
                <w:position w:val="0"/>
              </w:rPr>
              <w:t>;</w:t>
            </w:r>
            <w:r>
              <w:rPr>
                <w:color w:val="000000"/>
                <w:spacing w:val="0"/>
                <w:w w:val="100"/>
                <w:position w:val="0"/>
              </w:rPr>
              <w:t>电子 元器件批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738,700,00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7,690,214,</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2,228,462,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6,076,047,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202,124,06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196,395,03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bl>
    <w:p>
      <w:pPr>
        <w:spacing w:lineRule="exact" w:line="1"/>
        <w:rPr>
          <w:sz w:val="2"/>
          <w:szCs w:val="2"/>
        </w:rPr>
      </w:pPr>
      <w:r>
        <w:br w:type="page"/>
      </w:r>
    </w:p>
    <w:tbl>
      <w:tblPr>
        <w:tblOverlap w:val="never"/>
        <w:jc w:val="center"/>
        <w:tblLayout w:type="fixed"/>
      </w:tblPr>
      <w:tblGrid>
        <w:gridCol w:w="1056"/>
        <w:gridCol w:w="1195"/>
        <w:gridCol w:w="1046"/>
        <w:gridCol w:w="1046"/>
        <w:gridCol w:w="1046"/>
        <w:gridCol w:w="1042"/>
        <w:gridCol w:w="1046"/>
        <w:gridCol w:w="1046"/>
        <w:gridCol w:w="1051"/>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w:t>
            </w:r>
            <w:r>
              <w:rPr>
                <w:rFonts w:ascii="Times New Roman" w:eastAsia="Times New Roman" w:hAnsi="Times New Roman" w:cs="Times New Roman"/>
                <w:color w:val="000000"/>
                <w:spacing w:val="0"/>
                <w:w w:val="100"/>
                <w:position w:val="0"/>
              </w:rPr>
              <w:t>;</w:t>
            </w:r>
            <w:r>
              <w:rPr>
                <w:color w:val="000000"/>
                <w:spacing w:val="0"/>
                <w:w w:val="100"/>
                <w:position w:val="0"/>
              </w:rPr>
              <w:t>软件服 务</w:t>
            </w:r>
            <w:r>
              <w:rPr>
                <w:rFonts w:ascii="Times New Roman" w:eastAsia="Times New Roman" w:hAnsi="Times New Roman" w:cs="Times New Roman"/>
                <w:color w:val="000000"/>
                <w:spacing w:val="0"/>
                <w:w w:val="100"/>
                <w:position w:val="0"/>
              </w:rPr>
              <w:t>;</w:t>
            </w:r>
            <w:r>
              <w:rPr>
                <w:color w:val="000000"/>
                <w:spacing w:val="0"/>
                <w:w w:val="100"/>
                <w:position w:val="0"/>
              </w:rPr>
              <w:t>智能化 安装工程 服务</w:t>
            </w:r>
            <w:r>
              <w:rPr>
                <w:rFonts w:ascii="Times New Roman" w:eastAsia="Times New Roman" w:hAnsi="Times New Roman" w:cs="Times New Roman"/>
                <w:color w:val="000000"/>
                <w:spacing w:val="0"/>
                <w:w w:val="100"/>
                <w:position w:val="0"/>
              </w:rPr>
              <w:t>;</w:t>
            </w:r>
            <w:r>
              <w:rPr>
                <w:color w:val="000000"/>
                <w:spacing w:val="0"/>
                <w:w w:val="100"/>
                <w:position w:val="0"/>
              </w:rPr>
              <w:t>技术 进出口</w:t>
            </w:r>
            <w:r>
              <w:rPr>
                <w:rFonts w:ascii="Times New Roman" w:eastAsia="Times New Roman" w:hAnsi="Times New Roman" w:cs="Times New Roman"/>
                <w:color w:val="000000"/>
                <w:spacing w:val="0"/>
                <w:w w:val="100"/>
                <w:position w:val="0"/>
              </w:rPr>
              <w:t>;</w:t>
            </w:r>
            <w:r>
              <w:rPr>
                <w:color w:val="000000"/>
                <w:spacing w:val="0"/>
                <w:w w:val="100"/>
                <w:position w:val="0"/>
              </w:rPr>
              <w:t>通 信设备零 售等。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石家庄恒昇多媒体科技有限公司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82.42</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河北恒合纺织科技有限公司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南宁北明数科信息技术有限公司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+188.64</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辽宁北明数科信息技术有限公司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-21.95</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深圳北明数科信息技术有限公司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+100.02</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-307.51</w:t>
            </w:r>
            <w:r>
              <w:rPr>
                <w:color w:val="000000"/>
                <w:spacing w:val="0"/>
                <w:w w:val="100"/>
                <w:position w:val="0"/>
              </w:rPr>
              <w:t>万元</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+61.70</w:t>
            </w:r>
            <w:r>
              <w:rPr>
                <w:color w:val="000000"/>
                <w:spacing w:val="0"/>
                <w:w w:val="100"/>
                <w:position w:val="0"/>
              </w:rPr>
              <w:t>万元</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3"/>
        <w:keepNext/>
        <w:keepLines/>
        <w:widowControl w:val="0"/>
        <w:shd w:val="clear" w:color="auto" w:fill="auto"/>
        <w:bidi w:val="0"/>
        <w:spacing w:before="0" w:after="26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十、公司控制的结构化主体情况</w:t>
      </w:r>
      <w:bookmarkEnd w:id="248"/>
      <w:bookmarkEnd w:id="249"/>
      <w:bookmarkEnd w:id="250"/>
    </w:p>
    <w:p>
      <w:pPr>
        <w:pStyle w:val="Style18"/>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十^―、公司未来发展的展望</w:t>
      </w:r>
      <w:bookmarkEnd w:id="251"/>
      <w:bookmarkEnd w:id="252"/>
      <w:bookmarkEnd w:id="253"/>
    </w:p>
    <w:p>
      <w:pPr>
        <w:pStyle w:val="Style18"/>
        <w:keepNext w:val="0"/>
        <w:keepLines w:val="0"/>
        <w:widowControl w:val="0"/>
        <w:shd w:val="clear" w:color="auto" w:fill="auto"/>
        <w:bidi w:val="0"/>
        <w:spacing w:before="0" w:after="0" w:line="313" w:lineRule="exact"/>
        <w:ind w:left="0" w:right="0" w:firstLine="360"/>
        <w:jc w:val="left"/>
      </w:pPr>
      <w:bookmarkStart w:id="254" w:name="bookmark254"/>
      <w:r>
        <w:rPr>
          <w:color w:val="000000"/>
          <w:spacing w:val="0"/>
          <w:w w:val="100"/>
          <w:position w:val="0"/>
        </w:rPr>
        <w:t>（</w:t>
      </w:r>
      <w:bookmarkEnd w:id="254"/>
      <w:r>
        <w:rPr>
          <w:color w:val="000000"/>
          <w:spacing w:val="0"/>
          <w:w w:val="100"/>
          <w:position w:val="0"/>
        </w:rPr>
        <w:t>一）公司所处的行业格局和形势</w:t>
      </w:r>
    </w:p>
    <w:p>
      <w:pPr>
        <w:pStyle w:val="Style18"/>
        <w:keepNext w:val="0"/>
        <w:keepLines w:val="0"/>
        <w:widowControl w:val="0"/>
        <w:shd w:val="clear" w:color="auto" w:fill="auto"/>
        <w:tabs>
          <w:tab w:pos="691" w:val="left"/>
        </w:tabs>
        <w:bidi w:val="0"/>
        <w:spacing w:before="0" w:after="0" w:line="313" w:lineRule="exact"/>
        <w:ind w:left="0" w:right="0" w:firstLine="360"/>
        <w:jc w:val="both"/>
      </w:pPr>
      <w:bookmarkStart w:id="255" w:name="bookmark255"/>
      <w:r>
        <w:rPr>
          <w:color w:val="000000"/>
          <w:spacing w:val="0"/>
          <w:w w:val="100"/>
          <w:position w:val="0"/>
        </w:rPr>
        <w:t>1</w:t>
      </w:r>
      <w:bookmarkEnd w:id="255"/>
      <w:r>
        <w:rPr>
          <w:color w:val="000000"/>
          <w:spacing w:val="0"/>
          <w:w w:val="100"/>
          <w:position w:val="0"/>
        </w:rPr>
        <w:t>、</w:t>
        <w:tab/>
        <w:t>软件行业</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当前的软件行业趋势正在沿着</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规划的方向发展，新基建的政策红利正在释放，在整个大的生态链条中，各类合 作伙伴建立生态圈，生态中建立能够支撑各类伙伴发展，吸引有能力的伙伴加入合作体系。面对软件信息化的不断深入、新 基建的上升趋势，不断实现物理世界和数字世界的融合、信息集成平台的支撑都将是未来几年的目标。城市信息化建设、工 业互联网、物联网、人工智能、区块链、云计算</w:t>
      </w:r>
      <w:r>
        <w:rPr>
          <w:color w:val="000000"/>
          <w:spacing w:val="0"/>
          <w:w w:val="100"/>
          <w:position w:val="0"/>
        </w:rPr>
        <w:t>、AI</w:t>
      </w:r>
      <w:r>
        <w:rPr>
          <w:color w:val="000000"/>
          <w:spacing w:val="0"/>
          <w:w w:val="100"/>
          <w:position w:val="0"/>
        </w:rPr>
        <w:t>的智能、大数据分析都是新基建道路上不可或缺的工具。公司将在新基 建的实施过程中不断发现并实现新技术、新业态、新商业模式的更迭。</w:t>
      </w:r>
    </w:p>
    <w:p>
      <w:pPr>
        <w:pStyle w:val="Style18"/>
        <w:keepNext w:val="0"/>
        <w:keepLines w:val="0"/>
        <w:widowControl w:val="0"/>
        <w:shd w:val="clear" w:color="auto" w:fill="auto"/>
        <w:tabs>
          <w:tab w:pos="701" w:val="left"/>
        </w:tabs>
        <w:bidi w:val="0"/>
        <w:spacing w:before="0" w:after="0" w:line="313" w:lineRule="exact"/>
        <w:ind w:left="0" w:right="0" w:firstLine="360"/>
        <w:jc w:val="both"/>
      </w:pPr>
      <w:bookmarkStart w:id="256" w:name="bookmark256"/>
      <w:r>
        <w:rPr>
          <w:color w:val="000000"/>
          <w:spacing w:val="0"/>
          <w:w w:val="100"/>
          <w:position w:val="0"/>
        </w:rPr>
        <w:t>2</w:t>
      </w:r>
      <w:bookmarkEnd w:id="256"/>
      <w:r>
        <w:rPr>
          <w:color w:val="000000"/>
          <w:spacing w:val="0"/>
          <w:w w:val="100"/>
          <w:position w:val="0"/>
        </w:rPr>
        <w:t>、</w:t>
        <w:tab/>
        <w:t>纺织行业</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当前百年变局与世纪疫情的相互叠加，世界进入了新的动荡变革期。全球各种风险相互交织、相互作用，整个外部环境 空前复杂。纺织行业发展面临的外部形势总体仍较2021年更为严峻。疫情的演变态势仍将是影响纺织行业运行走势的关键因 素，与此同时，通胀已在全球范围内构成挑战，作为应对措施，各国货币政策均趋于收紧，使得全球经济复苏前景愈加不明 朗，对市场消费能力及消费信心形成负面制约。在此背景下，收入预期不稳、物价高涨削弱实际购买力、储蓄动机增强等均 将导致市场需求复苏更趋疲弱。动力不足的市场复苏形势，叠加大宗商品价格高位运行、国际供应链体系难以完全恢复等因 </w:t>
      </w:r>
      <w:r>
        <w:rPr>
          <w:color w:val="000000"/>
          <w:spacing w:val="0"/>
          <w:w w:val="100"/>
          <w:position w:val="0"/>
        </w:rPr>
        <w:t>素，将使2022年纺织行业形势更趋复杂。</w:t>
      </w:r>
    </w:p>
    <w:p>
      <w:pPr>
        <w:pStyle w:val="Style18"/>
        <w:keepNext w:val="0"/>
        <w:keepLines w:val="0"/>
        <w:widowControl w:val="0"/>
        <w:shd w:val="clear" w:color="auto" w:fill="auto"/>
        <w:tabs>
          <w:tab w:pos="851" w:val="left"/>
        </w:tabs>
        <w:bidi w:val="0"/>
        <w:spacing w:before="0" w:after="0" w:line="312" w:lineRule="exact"/>
        <w:ind w:left="0" w:right="0"/>
        <w:jc w:val="both"/>
      </w:pPr>
      <w:bookmarkStart w:id="257" w:name="bookmark257"/>
      <w:r>
        <w:rPr>
          <w:color w:val="000000"/>
          <w:spacing w:val="0"/>
          <w:w w:val="100"/>
          <w:position w:val="0"/>
        </w:rPr>
        <w:t>（</w:t>
      </w:r>
      <w:bookmarkEnd w:id="257"/>
      <w:r>
        <w:rPr>
          <w:color w:val="000000"/>
          <w:spacing w:val="0"/>
          <w:w w:val="100"/>
          <w:position w:val="0"/>
        </w:rPr>
        <w:t>二）</w:t>
        <w:tab/>
        <w:t>公司发展战略</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以人才引领为根本，以创新驱动为支撑，以国家深化国企改革、推动京津冀协同发展、启动</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战略、实施</w:t>
      </w:r>
      <w:r>
        <w:rPr>
          <w:rFonts w:ascii="Times New Roman" w:eastAsia="Times New Roman" w:hAnsi="Times New Roman" w:cs="Times New Roman"/>
          <w:color w:val="000000"/>
          <w:spacing w:val="0"/>
          <w:w w:val="100"/>
          <w:position w:val="0"/>
        </w:rPr>
        <w:t>“</w:t>
      </w:r>
      <w:r>
        <w:rPr>
          <w:color w:val="000000"/>
          <w:spacing w:val="0"/>
          <w:w w:val="100"/>
          <w:position w:val="0"/>
        </w:rPr>
        <w:t>中 国制造2025</w:t>
      </w:r>
      <w:r>
        <w:rPr>
          <w:rFonts w:ascii="Times New Roman" w:eastAsia="Times New Roman" w:hAnsi="Times New Roman" w:cs="Times New Roman"/>
          <w:color w:val="000000"/>
          <w:spacing w:val="0"/>
          <w:w w:val="100"/>
          <w:position w:val="0"/>
        </w:rPr>
        <w:t>”</w:t>
      </w:r>
      <w:r>
        <w:rPr>
          <w:color w:val="000000"/>
          <w:spacing w:val="0"/>
          <w:w w:val="100"/>
          <w:position w:val="0"/>
        </w:rPr>
        <w:t>、推进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、促进工业化和信息化深度融合、支持企业兼并等为契机，统筹规划、合理布局，集中决策、 独立运营，发挥优势、抢抓机遇，开拓创新、大胆突破，软件板块加速扩张、实现跨越发展，纺织主业完成提质增效、实现 做优做精，形成高端信息产业和先进制造业相互支持、协同创新、融合发展的新格局。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公司将秉承</w:t>
      </w:r>
      <w:r>
        <w:rPr>
          <w:rFonts w:ascii="Times New Roman" w:eastAsia="Times New Roman" w:hAnsi="Times New Roman" w:cs="Times New Roman"/>
          <w:color w:val="000000"/>
          <w:spacing w:val="0"/>
          <w:w w:val="100"/>
          <w:position w:val="0"/>
        </w:rPr>
        <w:t>“</w:t>
      </w:r>
      <w:r>
        <w:rPr>
          <w:color w:val="000000"/>
          <w:spacing w:val="0"/>
          <w:w w:val="100"/>
          <w:position w:val="0"/>
        </w:rPr>
        <w:t>成长为中国一流的科技型行业领军企业</w:t>
      </w:r>
      <w:r>
        <w:rPr>
          <w:rFonts w:ascii="Times New Roman" w:eastAsia="Times New Roman" w:hAnsi="Times New Roman" w:cs="Times New Roman"/>
          <w:color w:val="000000"/>
          <w:spacing w:val="0"/>
          <w:w w:val="100"/>
          <w:position w:val="0"/>
        </w:rPr>
        <w:t>”</w:t>
      </w:r>
      <w:r>
        <w:rPr>
          <w:color w:val="000000"/>
          <w:spacing w:val="0"/>
          <w:w w:val="100"/>
          <w:position w:val="0"/>
        </w:rPr>
        <w:t>的愿景，着力实施数字产业化和产业数字化</w:t>
      </w:r>
      <w:r>
        <w:rPr>
          <w:rFonts w:ascii="Times New Roman" w:eastAsia="Times New Roman" w:hAnsi="Times New Roman" w:cs="Times New Roman"/>
          <w:color w:val="000000"/>
          <w:spacing w:val="0"/>
          <w:w w:val="100"/>
          <w:position w:val="0"/>
        </w:rPr>
        <w:t>“</w:t>
      </w:r>
      <w:r>
        <w:rPr>
          <w:color w:val="000000"/>
          <w:spacing w:val="0"/>
          <w:w w:val="100"/>
          <w:position w:val="0"/>
        </w:rPr>
        <w:t>双轮驱动</w:t>
      </w:r>
      <w:r>
        <w:rPr>
          <w:rFonts w:ascii="Times New Roman" w:eastAsia="Times New Roman" w:hAnsi="Times New Roman" w:cs="Times New Roman"/>
          <w:color w:val="000000"/>
          <w:spacing w:val="0"/>
          <w:w w:val="100"/>
          <w:position w:val="0"/>
        </w:rPr>
        <w:t>”</w:t>
      </w:r>
      <w:r>
        <w:rPr>
          <w:color w:val="000000"/>
          <w:spacing w:val="0"/>
          <w:w w:val="100"/>
          <w:position w:val="0"/>
        </w:rPr>
        <w:t>战略。在数 字产业化上，继续大力发展软件主业、提高自有软件产品和服务比重；软件主业围绕智慧城市、社会治理、金融科技、数据 中心四大业务板块做大做强，努力把公司打造成为中国一流的数字化转型实践者和服务提供商，着力将常山云数据中心建成 面向省会、面向雄安新区、面向京津冀的高等级、高性能、高效率的新一代数据中心；利用公司在正定数字经济产业园的独 特优势，以自有工业用地作为正定数字经济产业园的先行区、起步区，围绕软件信息服务，构建全链数字经济产业创新生态。 在产业数字化上，加快实施纺织业数字化转型，全面建成数字化工厂；加快推进智能冷链物流项目建设，利用公司</w:t>
      </w:r>
      <w:r>
        <w:rPr>
          <w:color w:val="000000"/>
          <w:spacing w:val="0"/>
          <w:w w:val="100"/>
          <w:position w:val="0"/>
        </w:rPr>
        <w:t>IT</w:t>
      </w:r>
      <w:r>
        <w:rPr>
          <w:color w:val="000000"/>
          <w:spacing w:val="0"/>
          <w:w w:val="100"/>
          <w:position w:val="0"/>
        </w:rPr>
        <w:t>架构解 决方案及土地资源优势，逐步构建形成绿色智慧冷链物流产业基地和国家冷链物流骨干网核心节点仓。</w:t>
      </w:r>
    </w:p>
    <w:p>
      <w:pPr>
        <w:pStyle w:val="Style18"/>
        <w:keepNext w:val="0"/>
        <w:keepLines w:val="0"/>
        <w:widowControl w:val="0"/>
        <w:shd w:val="clear" w:color="auto" w:fill="auto"/>
        <w:tabs>
          <w:tab w:pos="851" w:val="left"/>
        </w:tabs>
        <w:bidi w:val="0"/>
        <w:spacing w:before="0" w:after="0" w:line="312" w:lineRule="exact"/>
        <w:ind w:left="0" w:right="0"/>
        <w:jc w:val="both"/>
      </w:pPr>
      <w:bookmarkStart w:id="258" w:name="bookmark258"/>
      <w:r>
        <w:rPr>
          <w:color w:val="000000"/>
          <w:spacing w:val="0"/>
          <w:w w:val="100"/>
          <w:position w:val="0"/>
        </w:rPr>
        <w:t>（</w:t>
      </w:r>
      <w:bookmarkEnd w:id="258"/>
      <w:r>
        <w:rPr>
          <w:color w:val="000000"/>
          <w:spacing w:val="0"/>
          <w:w w:val="100"/>
          <w:position w:val="0"/>
        </w:rPr>
        <w:t>三）</w:t>
        <w:tab/>
        <w:t>2022年经营计划及面对的风险</w:t>
      </w:r>
    </w:p>
    <w:p>
      <w:pPr>
        <w:pStyle w:val="Style18"/>
        <w:keepNext w:val="0"/>
        <w:keepLines w:val="0"/>
        <w:widowControl w:val="0"/>
        <w:shd w:val="clear" w:color="auto" w:fill="auto"/>
        <w:tabs>
          <w:tab w:pos="654" w:val="left"/>
        </w:tabs>
        <w:bidi w:val="0"/>
        <w:spacing w:before="0" w:after="0" w:line="312" w:lineRule="exact"/>
        <w:ind w:left="0" w:right="0"/>
        <w:jc w:val="both"/>
      </w:pPr>
      <w:bookmarkStart w:id="259" w:name="bookmark259"/>
      <w:r>
        <w:rPr>
          <w:color w:val="000000"/>
          <w:spacing w:val="0"/>
          <w:w w:val="100"/>
          <w:position w:val="0"/>
        </w:rPr>
        <w:t>1</w:t>
      </w:r>
      <w:bookmarkEnd w:id="259"/>
      <w:r>
        <w:rPr>
          <w:color w:val="000000"/>
          <w:spacing w:val="0"/>
          <w:w w:val="100"/>
          <w:position w:val="0"/>
        </w:rPr>
        <w:t>、</w:t>
        <w:tab/>
        <w:t>2022年经营计划</w:t>
      </w:r>
    </w:p>
    <w:p>
      <w:pPr>
        <w:pStyle w:val="Style18"/>
        <w:keepNext w:val="0"/>
        <w:keepLines w:val="0"/>
        <w:widowControl w:val="0"/>
        <w:shd w:val="clear" w:color="auto" w:fill="auto"/>
        <w:tabs>
          <w:tab w:pos="760" w:val="left"/>
        </w:tabs>
        <w:bidi w:val="0"/>
        <w:spacing w:before="0" w:after="0" w:line="312" w:lineRule="exact"/>
        <w:ind w:left="0" w:right="0"/>
        <w:jc w:val="both"/>
      </w:pPr>
      <w:bookmarkStart w:id="260" w:name="bookmark260"/>
      <w:r>
        <w:rPr>
          <w:color w:val="000000"/>
          <w:spacing w:val="0"/>
          <w:w w:val="100"/>
          <w:position w:val="0"/>
        </w:rPr>
        <w:t>（</w:t>
      </w:r>
      <w:bookmarkEnd w:id="260"/>
      <w:r>
        <w:rPr>
          <w:color w:val="000000"/>
          <w:spacing w:val="0"/>
          <w:w w:val="100"/>
          <w:position w:val="0"/>
        </w:rPr>
        <w:t>1）</w:t>
        <w:tab/>
        <w:t>软件主业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软件主业要探索新基建的发展之路，深耕智慧城市、司法科技、科技金融、企业数字化转型的专业技术拓展，同时，借 助云生态，实现更多层面数字平台服务，沉淀公司价值。继续深化与华为、腾讯等行业巨头的战略合作，进一步提升在软件 和信息技术服务行业的领先优势。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在智慧城市领域，深化构建城市运行</w:t>
      </w:r>
      <w:r>
        <w:rPr>
          <w:rFonts w:ascii="Times New Roman" w:eastAsia="Times New Roman" w:hAnsi="Times New Roman" w:cs="Times New Roman"/>
          <w:color w:val="000000"/>
          <w:spacing w:val="0"/>
          <w:w w:val="100"/>
          <w:position w:val="0"/>
        </w:rPr>
        <w:t>“</w:t>
      </w:r>
      <w:r>
        <w:rPr>
          <w:color w:val="000000"/>
          <w:spacing w:val="0"/>
          <w:w w:val="100"/>
          <w:position w:val="0"/>
        </w:rPr>
        <w:t>一图总览</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一网通办</w:t>
      </w:r>
      <w:r>
        <w:rPr>
          <w:rFonts w:ascii="Times New Roman" w:eastAsia="Times New Roman" w:hAnsi="Times New Roman" w:cs="Times New Roman"/>
          <w:color w:val="000000"/>
          <w:spacing w:val="0"/>
          <w:w w:val="100"/>
          <w:position w:val="0"/>
        </w:rPr>
        <w:t>”</w:t>
      </w:r>
      <w:r>
        <w:rPr>
          <w:color w:val="000000"/>
          <w:spacing w:val="0"/>
          <w:w w:val="100"/>
          <w:position w:val="0"/>
        </w:rPr>
        <w:t>、城市治理</w:t>
      </w:r>
      <w:r>
        <w:rPr>
          <w:rFonts w:ascii="Times New Roman" w:eastAsia="Times New Roman" w:hAnsi="Times New Roman" w:cs="Times New Roman"/>
          <w:color w:val="000000"/>
          <w:spacing w:val="0"/>
          <w:w w:val="100"/>
          <w:position w:val="0"/>
        </w:rPr>
        <w:t>“</w:t>
      </w:r>
      <w:r>
        <w:rPr>
          <w:color w:val="000000"/>
          <w:spacing w:val="0"/>
          <w:w w:val="100"/>
          <w:position w:val="0"/>
        </w:rPr>
        <w:t>一网统管</w:t>
      </w:r>
      <w:r>
        <w:rPr>
          <w:rFonts w:ascii="Times New Roman" w:eastAsia="Times New Roman" w:hAnsi="Times New Roman" w:cs="Times New Roman"/>
          <w:color w:val="000000"/>
          <w:spacing w:val="0"/>
          <w:w w:val="100"/>
          <w:position w:val="0"/>
        </w:rPr>
        <w:t>”</w:t>
      </w:r>
      <w:r>
        <w:rPr>
          <w:color w:val="000000"/>
          <w:spacing w:val="0"/>
          <w:w w:val="100"/>
          <w:position w:val="0"/>
        </w:rPr>
        <w:t>、营商助企</w:t>
      </w:r>
      <w:r>
        <w:rPr>
          <w:rFonts w:ascii="Times New Roman" w:eastAsia="Times New Roman" w:hAnsi="Times New Roman" w:cs="Times New Roman"/>
          <w:color w:val="000000"/>
          <w:spacing w:val="0"/>
          <w:w w:val="100"/>
          <w:position w:val="0"/>
        </w:rPr>
        <w:t>“</w:t>
      </w:r>
      <w:r>
        <w:rPr>
          <w:color w:val="000000"/>
          <w:spacing w:val="0"/>
          <w:w w:val="100"/>
          <w:position w:val="0"/>
        </w:rPr>
        <w:t>一站兴业</w:t>
      </w:r>
      <w:r>
        <w:rPr>
          <w:rFonts w:ascii="Times New Roman" w:eastAsia="Times New Roman" w:hAnsi="Times New Roman" w:cs="Times New Roman"/>
          <w:color w:val="000000"/>
          <w:spacing w:val="0"/>
          <w:w w:val="100"/>
          <w:position w:val="0"/>
        </w:rPr>
        <w:t>”</w:t>
      </w:r>
      <w:r>
        <w:rPr>
          <w:color w:val="000000"/>
          <w:spacing w:val="0"/>
          <w:w w:val="100"/>
          <w:position w:val="0"/>
        </w:rPr>
        <w:t>、 应急管理</w:t>
      </w:r>
      <w:r>
        <w:rPr>
          <w:rFonts w:ascii="Times New Roman" w:eastAsia="Times New Roman" w:hAnsi="Times New Roman" w:cs="Times New Roman"/>
          <w:color w:val="000000"/>
          <w:spacing w:val="0"/>
          <w:w w:val="100"/>
          <w:position w:val="0"/>
        </w:rPr>
        <w:t>“</w:t>
      </w:r>
      <w:r>
        <w:rPr>
          <w:color w:val="000000"/>
          <w:spacing w:val="0"/>
          <w:w w:val="100"/>
          <w:position w:val="0"/>
        </w:rPr>
        <w:t>一体联动</w:t>
      </w:r>
      <w:r>
        <w:rPr>
          <w:rFonts w:ascii="Times New Roman" w:eastAsia="Times New Roman" w:hAnsi="Times New Roman" w:cs="Times New Roman"/>
          <w:color w:val="000000"/>
          <w:spacing w:val="0"/>
          <w:w w:val="100"/>
          <w:position w:val="0"/>
        </w:rPr>
        <w:t>”</w:t>
      </w:r>
      <w:r>
        <w:rPr>
          <w:color w:val="000000"/>
          <w:spacing w:val="0"/>
          <w:w w:val="100"/>
          <w:position w:val="0"/>
        </w:rPr>
        <w:t>、便民服务</w:t>
      </w:r>
      <w:r>
        <w:rPr>
          <w:rFonts w:ascii="Times New Roman" w:eastAsia="Times New Roman" w:hAnsi="Times New Roman" w:cs="Times New Roman"/>
          <w:color w:val="000000"/>
          <w:spacing w:val="0"/>
          <w:w w:val="100"/>
          <w:position w:val="0"/>
        </w:rPr>
        <w:t>“</w:t>
      </w:r>
      <w:r>
        <w:rPr>
          <w:color w:val="000000"/>
          <w:spacing w:val="0"/>
          <w:w w:val="100"/>
          <w:position w:val="0"/>
        </w:rPr>
        <w:t>一码通城</w:t>
      </w:r>
      <w:r>
        <w:rPr>
          <w:rFonts w:ascii="Times New Roman" w:eastAsia="Times New Roman" w:hAnsi="Times New Roman" w:cs="Times New Roman"/>
          <w:color w:val="000000"/>
          <w:spacing w:val="0"/>
          <w:w w:val="100"/>
          <w:position w:val="0"/>
        </w:rPr>
        <w:t>”</w:t>
      </w:r>
      <w:r>
        <w:rPr>
          <w:color w:val="000000"/>
          <w:spacing w:val="0"/>
          <w:w w:val="100"/>
          <w:position w:val="0"/>
        </w:rPr>
        <w:t>等应用场景，强化产品的技术含量和市场竞争力，在全国树立更多可复制、可推 广的新型智慧城市标杆项目。在司法科技领域，要着力加大司法领域数字化、场景化解决方案的研发和应用推广力度，推动 现代科技与司法业务的深度融合，巩固公司在纠纷预防和化解领域的领军企业地位。在企业数字化转型和科技金融领域，继 续精耕细作，凭借公司对制造业、公共事业、交通、金融等行业业务的深刻理解，助力企业</w:t>
      </w:r>
      <w:r>
        <w:rPr>
          <w:rFonts w:ascii="Times New Roman" w:eastAsia="Times New Roman" w:hAnsi="Times New Roman" w:cs="Times New Roman"/>
          <w:color w:val="000000"/>
          <w:spacing w:val="0"/>
          <w:w w:val="100"/>
          <w:position w:val="0"/>
        </w:rPr>
        <w:t>“</w:t>
      </w:r>
      <w:r>
        <w:rPr>
          <w:color w:val="000000"/>
          <w:spacing w:val="0"/>
          <w:w w:val="100"/>
          <w:position w:val="0"/>
        </w:rPr>
        <w:t>上云用数赋智</w:t>
      </w:r>
      <w:r>
        <w:rPr>
          <w:rFonts w:ascii="Times New Roman" w:eastAsia="Times New Roman" w:hAnsi="Times New Roman" w:cs="Times New Roman"/>
          <w:color w:val="000000"/>
          <w:spacing w:val="0"/>
          <w:w w:val="100"/>
          <w:position w:val="0"/>
        </w:rPr>
        <w:t>”</w:t>
      </w:r>
      <w:r>
        <w:rPr>
          <w:color w:val="000000"/>
          <w:spacing w:val="0"/>
          <w:w w:val="100"/>
          <w:position w:val="0"/>
        </w:rPr>
        <w:t>，全面提升</w:t>
      </w:r>
      <w:r>
        <w:rPr>
          <w:color w:val="000000"/>
          <w:spacing w:val="0"/>
          <w:w w:val="100"/>
          <w:position w:val="0"/>
        </w:rPr>
        <w:t xml:space="preserve">IT </w:t>
      </w:r>
      <w:r>
        <w:rPr>
          <w:color w:val="000000"/>
          <w:spacing w:val="0"/>
          <w:w w:val="100"/>
          <w:position w:val="0"/>
        </w:rPr>
        <w:t>基础设施的科技创新能力，为行业客户加快数字化转型提供强有力的保障和支持。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围绕构建特色鲜明、优势突出、结构合理的全链数字经济产业创新生态，对接数字经济发展、新一代电子信息产业发展、 智慧城市建设等方面的需求，加快正定数字经济产业园常山北明起步区建设，同时，着力做好廊坊新型智慧城市建设项目和 秦皇岛、保定、石家庄等省内高校智慧校园项目。常山云数据中心要加大招商力度，引进战略合作伙伴，深化与三大运营商 和互联网品牌客户的战略合作，推进本地政务云和企事业单位云建设项目落地。</w:t>
      </w:r>
    </w:p>
    <w:p>
      <w:pPr>
        <w:pStyle w:val="Style18"/>
        <w:keepNext w:val="0"/>
        <w:keepLines w:val="0"/>
        <w:widowControl w:val="0"/>
        <w:shd w:val="clear" w:color="auto" w:fill="auto"/>
        <w:tabs>
          <w:tab w:pos="760" w:val="left"/>
        </w:tabs>
        <w:bidi w:val="0"/>
        <w:spacing w:before="0" w:after="0" w:line="312" w:lineRule="exact"/>
        <w:ind w:left="0" w:right="0"/>
        <w:jc w:val="both"/>
      </w:pPr>
      <w:bookmarkStart w:id="261" w:name="bookmark261"/>
      <w:r>
        <w:rPr>
          <w:color w:val="000000"/>
          <w:spacing w:val="0"/>
          <w:w w:val="100"/>
          <w:position w:val="0"/>
        </w:rPr>
        <w:t>（</w:t>
      </w:r>
      <w:bookmarkEnd w:id="261"/>
      <w:r>
        <w:rPr>
          <w:color w:val="000000"/>
          <w:spacing w:val="0"/>
          <w:w w:val="100"/>
          <w:position w:val="0"/>
        </w:rPr>
        <w:t>2）</w:t>
        <w:tab/>
        <w:t>纺织主业</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把技术创新作为纺织主业转型升级的主攻方向。加大研发投入强度，发挥人才、技术、装备等优势，开发生产再生纤维 纱、色纺纱、高档服装、床品面料和差别化纤维面料，在高端化、绿色化、智能化、融合化改造提升上下更大的功夫。</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千方百计加大市场开拓力度。继续到国内同行业标杆企业对标学习，找出差距，拓宽思路，创新举措。强化营销队伍建 设，提升市场开拓和客户服务能力，扩大最终品牌客户。要强化市场预判能力，在把握市场变化趋势上下更大的功夫，提高 市场分析、风险防控和经营管理水平；继续优化调整品种结构。以市场为导向，围绕提高产品的市场竞争力和盈利能力，加 强技术攻关和开发能力，把企业的人才、技术、设备优势转化为新产品、新工艺、新材料、新功能、新用途开发能力，加快 形成以功能化差别化纤维色纺纱、高支针织纱、高档服装面料用纱和高档服装、床品用布、特种纤维服装用布为主的品种结 构。要大力发展大客户，加强与品牌客户的合作，做强常山品牌，做大市场影响力，提升品种聚集度和客户聚集度，提高订 单生产比例和产品附加值；把智能制造和技术改造作为纺织主业转型升级的重要抓手。实施好智能制造系统升级改造项目， 应用人工智能、大数据等新兴技术赋能传统制造，提高生产自动化、智能化水平和企业经营管理水平。</w:t>
      </w:r>
    </w:p>
    <w:p>
      <w:pPr>
        <w:pStyle w:val="Style18"/>
        <w:keepNext w:val="0"/>
        <w:keepLines w:val="0"/>
        <w:widowControl w:val="0"/>
        <w:shd w:val="clear" w:color="auto" w:fill="auto"/>
        <w:tabs>
          <w:tab w:pos="664" w:val="left"/>
        </w:tabs>
        <w:bidi w:val="0"/>
        <w:spacing w:before="0" w:after="0" w:line="312" w:lineRule="exact"/>
        <w:ind w:left="0" w:right="0"/>
        <w:jc w:val="both"/>
      </w:pPr>
      <w:bookmarkStart w:id="262" w:name="bookmark262"/>
      <w:r>
        <w:rPr>
          <w:color w:val="000000"/>
          <w:spacing w:val="0"/>
          <w:w w:val="100"/>
          <w:position w:val="0"/>
        </w:rPr>
        <w:t>2</w:t>
      </w:r>
      <w:bookmarkEnd w:id="262"/>
      <w:r>
        <w:rPr>
          <w:color w:val="000000"/>
          <w:spacing w:val="0"/>
          <w:w w:val="100"/>
          <w:position w:val="0"/>
        </w:rPr>
        <w:t>、</w:t>
        <w:tab/>
        <w:t>面对的风险及应对措施</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）专业人才短缺风险</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公司软件业务的不断拓展，应用所涉及的领域越来越广，细分进一步深化的同时，更需要细分行业专业性、综合性强 的人才，特别是随着智慧城市解决方案等项目的推进，对专业人才需要度更加迫切，行业内经验丰富、技术能力强的专业技 术人才和管理人才较为缺乏，随着公司主业的不断发展，相关产品市场规模稳步扩大增长，专业人才缺乏的问题将会更加突 出。</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应对措施：向外通过专业的猎头公司定向招募高端、优秀的人才，鼓励内部员工举荐人才，启动内部培养模式，通过招 聘对口的应届毕业生或初、中级专业人才，制定梯队培养计划，定期举办专业技术培训，细分行业培训，内部造血为公司的 发展输送人才，尽可能的满足公司面临的专业人才短缺需求。</w:t>
      </w:r>
    </w:p>
    <w:p>
      <w:pPr>
        <w:pStyle w:val="Style18"/>
        <w:keepNext w:val="0"/>
        <w:keepLines w:val="0"/>
        <w:widowControl w:val="0"/>
        <w:shd w:val="clear" w:color="auto" w:fill="auto"/>
        <w:tabs>
          <w:tab w:pos="773" w:val="left"/>
        </w:tabs>
        <w:bidi w:val="0"/>
        <w:spacing w:before="0" w:after="40" w:line="310" w:lineRule="exact"/>
        <w:ind w:left="0" w:right="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2</w:t>
      </w:r>
      <w:r>
        <w:rPr>
          <w:color w:val="000000"/>
          <w:spacing w:val="0"/>
          <w:w w:val="100"/>
          <w:position w:val="0"/>
        </w:rPr>
        <w:t>）</w:t>
        <w:tab/>
        <w:t>经营波动风险</w:t>
      </w:r>
    </w:p>
    <w:p>
      <w:pPr>
        <w:pStyle w:val="Style18"/>
        <w:keepNext w:val="0"/>
        <w:keepLines w:val="0"/>
        <w:widowControl w:val="0"/>
        <w:shd w:val="clear" w:color="auto" w:fill="auto"/>
        <w:bidi w:val="0"/>
        <w:spacing w:before="0" w:after="40" w:line="305" w:lineRule="exact"/>
        <w:ind w:left="0" w:right="0"/>
        <w:jc w:val="left"/>
      </w:pPr>
      <w:r>
        <w:rPr>
          <w:color w:val="000000"/>
          <w:spacing w:val="0"/>
          <w:w w:val="100"/>
          <w:position w:val="0"/>
        </w:rPr>
        <w:t>公司软件业务经营存在季节性特征。公司主要是项目采用交付式的经营模式，项目回款和收入确认主要体现在第四季度， 2020和2021年第四季度的软件业务营业收入分别占全年软件业务营业收入的</w:t>
      </w:r>
      <w:r>
        <w:rPr>
          <w:color w:val="000000"/>
          <w:spacing w:val="0"/>
          <w:w w:val="100"/>
          <w:position w:val="0"/>
        </w:rPr>
        <w:t xml:space="preserve">49. </w:t>
      </w:r>
      <w:r>
        <w:rPr>
          <w:color w:val="000000"/>
          <w:spacing w:val="0"/>
          <w:w w:val="100"/>
          <w:position w:val="0"/>
        </w:rPr>
        <w:t>89%和</w:t>
      </w:r>
      <w:r>
        <w:rPr>
          <w:color w:val="000000"/>
          <w:spacing w:val="0"/>
          <w:w w:val="100"/>
          <w:position w:val="0"/>
        </w:rPr>
        <w:t xml:space="preserve">56. </w:t>
      </w:r>
      <w:r>
        <w:rPr>
          <w:color w:val="000000"/>
          <w:spacing w:val="0"/>
          <w:w w:val="100"/>
          <w:position w:val="0"/>
        </w:rPr>
        <w:t>21%，第四季度软件业务的净利润分 别占全年软件业务净利润的</w:t>
      </w:r>
      <w:r>
        <w:rPr>
          <w:color w:val="000000"/>
          <w:spacing w:val="0"/>
          <w:w w:val="100"/>
          <w:position w:val="0"/>
        </w:rPr>
        <w:t xml:space="preserve">86. </w:t>
      </w:r>
      <w:r>
        <w:rPr>
          <w:color w:val="000000"/>
          <w:spacing w:val="0"/>
          <w:w w:val="100"/>
          <w:position w:val="0"/>
        </w:rPr>
        <w:t>53%和</w:t>
      </w:r>
      <w:r>
        <w:rPr>
          <w:color w:val="000000"/>
          <w:spacing w:val="0"/>
          <w:w w:val="100"/>
          <w:position w:val="0"/>
        </w:rPr>
        <w:t xml:space="preserve">89. </w:t>
      </w:r>
      <w:r>
        <w:rPr>
          <w:color w:val="000000"/>
          <w:spacing w:val="0"/>
          <w:w w:val="100"/>
          <w:position w:val="0"/>
        </w:rPr>
        <w:t>78%，公司软件业务收入和净利润存在较为明显的波动性。</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应对措施：健全内部控制系统。明确岗位责任，加强项目管控，提高业务部门人员的责任意识和风险意识。加强内部审 计，监督企业内部经济活动的合法性和合规性，及时发现存在的风险。与重点客户建立良好的战略合作伙伴关系，减少不确 定性带来的风险，与合作伙伴优势互补，双方互惠互利，提高业务交付实力，共同面对市场，在竞争中实现共赢。</w:t>
      </w:r>
    </w:p>
    <w:p>
      <w:pPr>
        <w:pStyle w:val="Style18"/>
        <w:keepNext w:val="0"/>
        <w:keepLines w:val="0"/>
        <w:widowControl w:val="0"/>
        <w:shd w:val="clear" w:color="auto" w:fill="auto"/>
        <w:tabs>
          <w:tab w:pos="773" w:val="left"/>
        </w:tabs>
        <w:bidi w:val="0"/>
        <w:spacing w:before="0" w:after="40" w:line="310" w:lineRule="exact"/>
        <w:ind w:left="0" w:right="0"/>
        <w:jc w:val="left"/>
      </w:pPr>
      <w:bookmarkStart w:id="264" w:name="bookmark264"/>
      <w:r>
        <w:rPr>
          <w:color w:val="000000"/>
          <w:spacing w:val="0"/>
          <w:w w:val="100"/>
          <w:position w:val="0"/>
        </w:rPr>
        <w:t>（</w:t>
      </w:r>
      <w:bookmarkEnd w:id="264"/>
      <w:r>
        <w:rPr>
          <w:color w:val="000000"/>
          <w:spacing w:val="0"/>
          <w:w w:val="100"/>
          <w:position w:val="0"/>
        </w:rPr>
        <w:t>3）</w:t>
        <w:tab/>
        <w:t>原材料价格变动的风险</w:t>
      </w:r>
    </w:p>
    <w:p>
      <w:pPr>
        <w:pStyle w:val="Style18"/>
        <w:keepNext w:val="0"/>
        <w:keepLines w:val="0"/>
        <w:widowControl w:val="0"/>
        <w:shd w:val="clear" w:color="auto" w:fill="auto"/>
        <w:bidi w:val="0"/>
        <w:spacing w:before="0" w:after="40" w:line="317" w:lineRule="exact"/>
        <w:ind w:left="0" w:right="0"/>
        <w:jc w:val="left"/>
      </w:pPr>
      <w:r>
        <w:rPr>
          <w:color w:val="000000"/>
          <w:spacing w:val="0"/>
          <w:w w:val="100"/>
          <w:position w:val="0"/>
        </w:rPr>
        <w:t>目前公司纺织板块主要原材料为棉花及棉花制品，2021年特别是下半年以来，受疫情、产量、环保等多重因素影响，棉 花价格出现了大幅上涨，当价格发生波动时，对公司经营成本和业绩具有较大影响。</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应对措施：公司将密切关注国际、国内棉花价格波动情况，加大调研力度，密切分析形势的变化，摸准市场的大节奏， 与主要原材料供应商建立战略合作关系，确保公司长期稳定的原材料供应。同时逐步减少棉花及棉花制品等原材料，增加其 他纤维品种原料的使用。通过积极有效的途径和方法，努力减少因原料价格波动对公司经营业绩的影响度。</w:t>
      </w:r>
    </w:p>
    <w:p>
      <w:pPr>
        <w:pStyle w:val="Style18"/>
        <w:keepNext w:val="0"/>
        <w:keepLines w:val="0"/>
        <w:widowControl w:val="0"/>
        <w:shd w:val="clear" w:color="auto" w:fill="auto"/>
        <w:tabs>
          <w:tab w:pos="773" w:val="left"/>
        </w:tabs>
        <w:bidi w:val="0"/>
        <w:spacing w:before="0" w:after="40" w:line="310" w:lineRule="exact"/>
        <w:ind w:left="0" w:right="0"/>
        <w:jc w:val="both"/>
      </w:pPr>
      <w:bookmarkStart w:id="265" w:name="bookmark265"/>
      <w:r>
        <w:rPr>
          <w:color w:val="000000"/>
          <w:spacing w:val="0"/>
          <w:w w:val="100"/>
          <w:position w:val="0"/>
        </w:rPr>
        <w:t>（</w:t>
      </w:r>
      <w:bookmarkEnd w:id="265"/>
      <w:r>
        <w:rPr>
          <w:color w:val="000000"/>
          <w:spacing w:val="0"/>
          <w:w w:val="100"/>
          <w:position w:val="0"/>
        </w:rPr>
        <w:t>4）</w:t>
        <w:tab/>
        <w:t>存货管理及跌价风险</w:t>
      </w:r>
    </w:p>
    <w:p>
      <w:pPr>
        <w:pStyle w:val="Style18"/>
        <w:keepNext w:val="0"/>
        <w:keepLines w:val="0"/>
        <w:widowControl w:val="0"/>
        <w:shd w:val="clear" w:color="auto" w:fill="auto"/>
        <w:bidi w:val="0"/>
        <w:spacing w:before="0" w:after="40" w:line="318" w:lineRule="exact"/>
        <w:ind w:left="0" w:right="0"/>
        <w:jc w:val="both"/>
      </w:pPr>
      <w:r>
        <w:rPr>
          <w:color w:val="000000"/>
          <w:spacing w:val="0"/>
          <w:w w:val="100"/>
          <w:position w:val="0"/>
        </w:rPr>
        <w:t>为了维持正常运转，公司必须保持一定数量的存货。近几年公司存货一直维持在较高水平，2020年和2021年末公司存货 净额占流动资产的比例分别为</w:t>
      </w:r>
      <w:r>
        <w:rPr>
          <w:color w:val="000000"/>
          <w:spacing w:val="0"/>
          <w:w w:val="100"/>
          <w:position w:val="0"/>
        </w:rPr>
        <w:t xml:space="preserve">27. </w:t>
      </w:r>
      <w:r>
        <w:rPr>
          <w:color w:val="000000"/>
          <w:spacing w:val="0"/>
          <w:w w:val="100"/>
          <w:position w:val="0"/>
        </w:rPr>
        <w:t>02%%和</w:t>
      </w:r>
      <w:r>
        <w:rPr>
          <w:color w:val="000000"/>
          <w:spacing w:val="0"/>
          <w:w w:val="100"/>
          <w:position w:val="0"/>
        </w:rPr>
        <w:t xml:space="preserve">28. </w:t>
      </w:r>
      <w:r>
        <w:rPr>
          <w:color w:val="000000"/>
          <w:spacing w:val="0"/>
          <w:w w:val="100"/>
          <w:position w:val="0"/>
        </w:rPr>
        <w:t>92%。存货规模较大使公司面临较大的采购组织和存货管理难度，如果公司的采 购组织和存货管理不力，可能导致公司的存货发生贬值、或者因存货严重积压从而占用营运资金，对公司的正常运营将产生 不利影响。</w:t>
      </w:r>
    </w:p>
    <w:p>
      <w:pPr>
        <w:pStyle w:val="Style18"/>
        <w:keepNext w:val="0"/>
        <w:keepLines w:val="0"/>
        <w:widowControl w:val="0"/>
        <w:shd w:val="clear" w:color="auto" w:fill="auto"/>
        <w:bidi w:val="0"/>
        <w:spacing w:before="0" w:after="40" w:line="318" w:lineRule="exact"/>
        <w:ind w:left="0" w:right="0"/>
        <w:jc w:val="both"/>
      </w:pPr>
      <w:r>
        <w:rPr>
          <w:color w:val="000000"/>
          <w:spacing w:val="0"/>
          <w:w w:val="100"/>
          <w:position w:val="0"/>
        </w:rPr>
        <w:t>应对措施：通过建立健全存货内部控制制度、实行存货</w:t>
      </w:r>
      <w:r>
        <w:rPr>
          <w:color w:val="000000"/>
          <w:spacing w:val="0"/>
          <w:w w:val="100"/>
          <w:position w:val="0"/>
        </w:rPr>
        <w:t>ABC</w:t>
      </w:r>
      <w:r>
        <w:rPr>
          <w:color w:val="000000"/>
          <w:spacing w:val="0"/>
          <w:w w:val="100"/>
          <w:position w:val="0"/>
        </w:rPr>
        <w:t>分类控制管理方法以及软件业务加强协调推进项目实施进度、 纺织业务提高订单比例降低常规品种比例，计提存货跌价准备金等措施加速存货周转，防范企业风险。</w:t>
      </w:r>
    </w:p>
    <w:p>
      <w:pPr>
        <w:pStyle w:val="Style18"/>
        <w:keepNext w:val="0"/>
        <w:keepLines w:val="0"/>
        <w:widowControl w:val="0"/>
        <w:shd w:val="clear" w:color="auto" w:fill="auto"/>
        <w:tabs>
          <w:tab w:pos="773" w:val="left"/>
        </w:tabs>
        <w:bidi w:val="0"/>
        <w:spacing w:before="0" w:after="40" w:line="310" w:lineRule="exact"/>
        <w:ind w:left="0" w:right="0"/>
        <w:jc w:val="both"/>
      </w:pPr>
      <w:bookmarkStart w:id="266" w:name="bookmark266"/>
      <w:r>
        <w:rPr>
          <w:color w:val="000000"/>
          <w:spacing w:val="0"/>
          <w:w w:val="100"/>
          <w:position w:val="0"/>
        </w:rPr>
        <w:t>（</w:t>
      </w:r>
      <w:bookmarkEnd w:id="266"/>
      <w:r>
        <w:rPr>
          <w:color w:val="000000"/>
          <w:spacing w:val="0"/>
          <w:w w:val="100"/>
          <w:position w:val="0"/>
        </w:rPr>
        <w:t>5）</w:t>
        <w:tab/>
        <w:t>商誉减值风险</w:t>
      </w:r>
    </w:p>
    <w:p>
      <w:pPr>
        <w:pStyle w:val="Style18"/>
        <w:keepNext w:val="0"/>
        <w:keepLines w:val="0"/>
        <w:widowControl w:val="0"/>
        <w:shd w:val="clear" w:color="auto" w:fill="auto"/>
        <w:bidi w:val="0"/>
        <w:spacing w:before="0" w:after="40" w:line="305"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年，公司发行股份购买北明软件</w:t>
      </w:r>
      <w:r>
        <w:rPr>
          <w:rFonts w:ascii="Times New Roman" w:eastAsia="Times New Roman" w:hAnsi="Times New Roman" w:cs="Times New Roman"/>
          <w:color w:val="000000"/>
          <w:spacing w:val="0"/>
          <w:w w:val="100"/>
          <w:position w:val="0"/>
        </w:rPr>
        <w:t>100%</w:t>
      </w:r>
      <w:r>
        <w:rPr>
          <w:color w:val="000000"/>
          <w:spacing w:val="0"/>
          <w:w w:val="100"/>
          <w:position w:val="0"/>
        </w:rPr>
        <w:t>股权，公司之子公司北明软件收购索科维尔、天时能源、北明成功、明润科 技四家公司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年，北明软件收购金实盈信</w:t>
      </w:r>
      <w:r>
        <w:rPr>
          <w:rFonts w:ascii="Times New Roman" w:eastAsia="Times New Roman" w:hAnsi="Times New Roman" w:cs="Times New Roman"/>
          <w:color w:val="000000"/>
          <w:spacing w:val="0"/>
          <w:w w:val="100"/>
          <w:position w:val="0"/>
        </w:rPr>
        <w:t>100%</w:t>
      </w:r>
      <w:r>
        <w:rPr>
          <w:color w:val="000000"/>
          <w:spacing w:val="0"/>
          <w:w w:val="100"/>
          <w:position w:val="0"/>
        </w:rPr>
        <w:t>股权，对价与可辨认净资产公允价值之间的差额形成的商誉共 计</w:t>
      </w:r>
      <w:r>
        <w:rPr>
          <w:rFonts w:ascii="Times New Roman" w:eastAsia="Times New Roman" w:hAnsi="Times New Roman" w:cs="Times New Roman"/>
          <w:color w:val="000000"/>
          <w:spacing w:val="0"/>
          <w:w w:val="100"/>
          <w:position w:val="0"/>
        </w:rPr>
        <w:t>21.72</w:t>
      </w:r>
      <w:r>
        <w:rPr>
          <w:color w:val="000000"/>
          <w:spacing w:val="0"/>
          <w:w w:val="100"/>
          <w:position w:val="0"/>
        </w:rPr>
        <w:t>亿元，截止</w:t>
      </w:r>
      <w:r>
        <w:rPr>
          <w:rFonts w:ascii="Times New Roman" w:eastAsia="Times New Roman" w:hAnsi="Times New Roman" w:cs="Times New Roman"/>
          <w:color w:val="000000"/>
          <w:spacing w:val="0"/>
          <w:w w:val="100"/>
          <w:position w:val="0"/>
        </w:rPr>
        <w:t>2021</w:t>
      </w:r>
      <w:r>
        <w:rPr>
          <w:color w:val="000000"/>
          <w:spacing w:val="0"/>
          <w:w w:val="100"/>
          <w:position w:val="0"/>
        </w:rPr>
        <w:t>年末公司商誉账面净值为</w:t>
      </w:r>
      <w:r>
        <w:rPr>
          <w:color w:val="000000"/>
          <w:spacing w:val="0"/>
          <w:w w:val="100"/>
          <w:position w:val="0"/>
        </w:rPr>
        <w:t>20.34</w:t>
      </w:r>
      <w:r>
        <w:rPr>
          <w:color w:val="000000"/>
          <w:spacing w:val="0"/>
          <w:w w:val="100"/>
          <w:position w:val="0"/>
        </w:rPr>
        <w:t>亿元，占资产总额的12.25</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尽管各收购标的公司的管理层将勤勉经营，尽最大努力实现最佳盈利，但是，未来包括但不限于经济环境和产业政策及 意外事件等诸多因素的变化均可能给标的公司的经营管理造成不利影响。如果标的公司经营情况未达预期，可能导致收购所 形成的商誉出现减值，进而对上市公司的整体经营业绩和盈利水平造成影响。</w:t>
      </w:r>
    </w:p>
    <w:p>
      <w:pPr>
        <w:pStyle w:val="Style18"/>
        <w:keepNext w:val="0"/>
        <w:keepLines w:val="0"/>
        <w:widowControl w:val="0"/>
        <w:shd w:val="clear" w:color="auto" w:fill="auto"/>
        <w:bidi w:val="0"/>
        <w:spacing w:before="0" w:after="360" w:line="307" w:lineRule="exact"/>
        <w:ind w:left="0" w:right="0"/>
        <w:jc w:val="left"/>
      </w:pPr>
      <w:r>
        <w:rPr>
          <w:color w:val="000000"/>
          <w:spacing w:val="0"/>
          <w:w w:val="100"/>
          <w:position w:val="0"/>
        </w:rPr>
        <w:t>应对措施：为降低上述商誉减值风险，公司建立了有效的绩效考核与激励机制，以充分调动标的公司管理层的积极性。 公司也制定了长远的发展战略及短期的经营计划，且正在有计划有步骤的落实，来保持标的公司的持续竞争力。同时，对于 并购重组产生的商誉公司会严格按照会计准则规定进行账务处理。</w:t>
      </w:r>
    </w:p>
    <w:p>
      <w:pPr>
        <w:pStyle w:val="Style23"/>
        <w:keepNext/>
        <w:keepLines/>
        <w:widowControl w:val="0"/>
        <w:shd w:val="clear" w:color="auto" w:fill="auto"/>
        <w:bidi w:val="0"/>
        <w:spacing w:before="0" w:after="260" w:line="240" w:lineRule="auto"/>
        <w:ind w:left="0" w:right="0" w:firstLine="0"/>
        <w:jc w:val="left"/>
      </w:pPr>
      <w:bookmarkStart w:id="267" w:name="bookmark267"/>
      <w:bookmarkStart w:id="268" w:name="bookmark268"/>
      <w:bookmarkStart w:id="269" w:name="bookmark269"/>
      <w:r>
        <w:rPr>
          <w:color w:val="000000"/>
          <w:spacing w:val="0"/>
          <w:w w:val="100"/>
          <w:position w:val="0"/>
          <w:sz w:val="24"/>
          <w:szCs w:val="24"/>
        </w:rPr>
        <w:t>十二、报告期内接待调研、沟通、采访等活动</w:t>
      </w:r>
      <w:bookmarkEnd w:id="267"/>
      <w:bookmarkEnd w:id="268"/>
      <w:bookmarkEnd w:id="269"/>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0" w:after="500" w:line="240" w:lineRule="auto"/>
        <w:ind w:left="0" w:right="0" w:firstLine="0"/>
        <w:jc w:val="center"/>
      </w:pPr>
      <w:bookmarkStart w:id="270" w:name="bookmark270"/>
      <w:bookmarkStart w:id="271" w:name="bookmark271"/>
      <w:bookmarkStart w:id="272" w:name="bookmark272"/>
      <w:r>
        <w:rPr>
          <w:color w:val="000000"/>
          <w:spacing w:val="0"/>
          <w:w w:val="100"/>
          <w:position w:val="0"/>
        </w:rPr>
        <w:t>第四节公司治理</w:t>
      </w:r>
      <w:bookmarkEnd w:id="270"/>
      <w:bookmarkEnd w:id="271"/>
      <w:bookmarkEnd w:id="272"/>
    </w:p>
    <w:p>
      <w:pPr>
        <w:pStyle w:val="Style23"/>
        <w:keepNext/>
        <w:keepLines/>
        <w:widowControl w:val="0"/>
        <w:shd w:val="clear" w:color="auto" w:fill="auto"/>
        <w:tabs>
          <w:tab w:pos="575" w:val="left"/>
        </w:tabs>
        <w:bidi w:val="0"/>
        <w:spacing w:before="0" w:after="260" w:line="312"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w:t>
        <w:tab/>
        <w:t>公司治理的基本状况</w:t>
      </w:r>
      <w:bookmarkEnd w:id="273"/>
      <w:bookmarkEnd w:id="274"/>
      <w:bookmarkEnd w:id="27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公司严格按照《公司法》、《证券法》、《上市公司治理准则》、《深圳证券交易所股票上市规则》、《深圳证券交易所上市公 司自律监管指引第1号-主板上市公司规范运作》等法律法规及有关上市公司治理规范性文件的要求，结合本公司实际情况， 不断完善法人治理结构和内部控制体系，建立健全公司内部管理和控制制度，持续深入开展公司治理活动，促进公司规范运 作。目前，公司已按照上市公司规范要求建立了权责明确、相互制衡的公司治理结构和监督有效的内控制度，并严格依法规 范运作，公司治理实际状况符合相关法律、法规的要求，不存在监管部门要求限期整改的问题。</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18"/>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75" w:val="left"/>
        </w:tabs>
        <w:bidi w:val="0"/>
        <w:spacing w:before="0" w:after="260" w:line="312"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w:t>
        <w:tab/>
        <w:t>公司相对于控股股东、实际控制人在保证公司资产、人员、财务、机构、业务等方面的 独立情况</w:t>
      </w:r>
      <w:bookmarkEnd w:id="277"/>
      <w:bookmarkEnd w:id="278"/>
      <w:bookmarkEnd w:id="280"/>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公司与控股股东在业务、人员、资产、机构、财务等方面做到了</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，公司独立核算、独立纳税、独立承担责任和 风险，具有独立完整的业务与自主经营能力。</w:t>
      </w:r>
    </w:p>
    <w:p>
      <w:pPr>
        <w:pStyle w:val="Style18"/>
        <w:keepNext w:val="0"/>
        <w:keepLines w:val="0"/>
        <w:widowControl w:val="0"/>
        <w:shd w:val="clear" w:color="auto" w:fill="auto"/>
        <w:tabs>
          <w:tab w:pos="714" w:val="left"/>
        </w:tabs>
        <w:bidi w:val="0"/>
        <w:spacing w:before="0" w:after="0" w:line="317" w:lineRule="exact"/>
        <w:ind w:left="0" w:right="0"/>
        <w:jc w:val="both"/>
      </w:pPr>
      <w:bookmarkStart w:id="281" w:name="bookmark281"/>
      <w:r>
        <w:rPr>
          <w:rFonts w:ascii="Times New Roman" w:eastAsia="Times New Roman" w:hAnsi="Times New Roman" w:cs="Times New Roman"/>
          <w:color w:val="000000"/>
          <w:spacing w:val="0"/>
          <w:w w:val="100"/>
          <w:position w:val="0"/>
        </w:rPr>
        <w:t>1</w:t>
      </w:r>
      <w:bookmarkEnd w:id="281"/>
      <w:r>
        <w:rPr>
          <w:color w:val="000000"/>
          <w:spacing w:val="0"/>
          <w:w w:val="100"/>
          <w:position w:val="0"/>
        </w:rPr>
        <w:t>、</w:t>
        <w:tab/>
        <w:t>业务方面：公司在业务上与控股股东完全分开，具有完全独立的产、供、销系统和自主独立的经营能力。</w:t>
      </w:r>
    </w:p>
    <w:p>
      <w:pPr>
        <w:pStyle w:val="Style18"/>
        <w:keepNext w:val="0"/>
        <w:keepLines w:val="0"/>
        <w:widowControl w:val="0"/>
        <w:shd w:val="clear" w:color="auto" w:fill="auto"/>
        <w:tabs>
          <w:tab w:pos="734" w:val="left"/>
        </w:tabs>
        <w:bidi w:val="0"/>
        <w:spacing w:before="0" w:after="0" w:line="317" w:lineRule="exact"/>
        <w:ind w:left="0" w:right="0"/>
        <w:jc w:val="both"/>
      </w:pPr>
      <w:bookmarkStart w:id="282" w:name="bookmark282"/>
      <w:r>
        <w:rPr>
          <w:rFonts w:ascii="Times New Roman" w:eastAsia="Times New Roman" w:hAnsi="Times New Roman" w:cs="Times New Roman"/>
          <w:color w:val="000000"/>
          <w:spacing w:val="0"/>
          <w:w w:val="100"/>
          <w:position w:val="0"/>
        </w:rPr>
        <w:t>2</w:t>
      </w:r>
      <w:bookmarkEnd w:id="282"/>
      <w:r>
        <w:rPr>
          <w:color w:val="000000"/>
          <w:spacing w:val="0"/>
          <w:w w:val="100"/>
          <w:position w:val="0"/>
        </w:rPr>
        <w:t>、</w:t>
        <w:tab/>
        <w:t>财务方面：公司具有独立的财务部门，有规范的财务核算体系和财务管理制度、内控制度，有独立的银行账户。</w:t>
      </w:r>
    </w:p>
    <w:p>
      <w:pPr>
        <w:pStyle w:val="Style18"/>
        <w:keepNext w:val="0"/>
        <w:keepLines w:val="0"/>
        <w:widowControl w:val="0"/>
        <w:shd w:val="clear" w:color="auto" w:fill="auto"/>
        <w:tabs>
          <w:tab w:pos="734" w:val="left"/>
        </w:tabs>
        <w:bidi w:val="0"/>
        <w:spacing w:before="0" w:after="0" w:line="317" w:lineRule="exact"/>
        <w:ind w:left="0" w:right="0"/>
        <w:jc w:val="both"/>
      </w:pPr>
      <w:bookmarkStart w:id="283" w:name="bookmark283"/>
      <w:r>
        <w:rPr>
          <w:rFonts w:ascii="Times New Roman" w:eastAsia="Times New Roman" w:hAnsi="Times New Roman" w:cs="Times New Roman"/>
          <w:color w:val="000000"/>
          <w:spacing w:val="0"/>
          <w:w w:val="100"/>
          <w:position w:val="0"/>
        </w:rPr>
        <w:t>3</w:t>
      </w:r>
      <w:bookmarkEnd w:id="283"/>
      <w:r>
        <w:rPr>
          <w:color w:val="000000"/>
          <w:spacing w:val="0"/>
          <w:w w:val="100"/>
          <w:position w:val="0"/>
        </w:rPr>
        <w:t>、</w:t>
        <w:tab/>
        <w:t>人员方面：公司在劳动、人事、工资等人力资源方面完全独立，具有独立完整的自主能力。</w:t>
      </w:r>
    </w:p>
    <w:p>
      <w:pPr>
        <w:pStyle w:val="Style18"/>
        <w:keepNext w:val="0"/>
        <w:keepLines w:val="0"/>
        <w:widowControl w:val="0"/>
        <w:shd w:val="clear" w:color="auto" w:fill="auto"/>
        <w:tabs>
          <w:tab w:pos="704" w:val="left"/>
        </w:tabs>
        <w:bidi w:val="0"/>
        <w:spacing w:before="0" w:after="0" w:line="322" w:lineRule="exact"/>
        <w:ind w:left="0" w:right="0"/>
        <w:jc w:val="both"/>
      </w:pPr>
      <w:bookmarkStart w:id="284" w:name="bookmark284"/>
      <w:r>
        <w:rPr>
          <w:rFonts w:ascii="Times New Roman" w:eastAsia="Times New Roman" w:hAnsi="Times New Roman" w:cs="Times New Roman"/>
          <w:color w:val="000000"/>
          <w:spacing w:val="0"/>
          <w:w w:val="100"/>
          <w:position w:val="0"/>
        </w:rPr>
        <w:t>4</w:t>
      </w:r>
      <w:bookmarkEnd w:id="284"/>
      <w:r>
        <w:rPr>
          <w:color w:val="000000"/>
          <w:spacing w:val="0"/>
          <w:w w:val="100"/>
          <w:position w:val="0"/>
        </w:rPr>
        <w:t>、</w:t>
        <w:tab/>
        <w:t>资产方面：公司具有完整的、独立的法人财产权，拥有独立、完善的生产、辅助生产和配套设施；对商标、专利技 术等无形资产具有独立所有权。</w:t>
      </w:r>
    </w:p>
    <w:p>
      <w:pPr>
        <w:pStyle w:val="Style18"/>
        <w:keepNext w:val="0"/>
        <w:keepLines w:val="0"/>
        <w:widowControl w:val="0"/>
        <w:shd w:val="clear" w:color="auto" w:fill="auto"/>
        <w:tabs>
          <w:tab w:pos="734" w:val="left"/>
        </w:tabs>
        <w:bidi w:val="0"/>
        <w:spacing w:before="0" w:after="320" w:line="317" w:lineRule="exact"/>
        <w:ind w:left="0" w:right="0"/>
        <w:jc w:val="both"/>
      </w:pPr>
      <w:bookmarkStart w:id="285" w:name="bookmark285"/>
      <w:r>
        <w:rPr>
          <w:rFonts w:ascii="Times New Roman" w:eastAsia="Times New Roman" w:hAnsi="Times New Roman" w:cs="Times New Roman"/>
          <w:color w:val="000000"/>
          <w:spacing w:val="0"/>
          <w:w w:val="100"/>
          <w:position w:val="0"/>
        </w:rPr>
        <w:t>5</w:t>
      </w:r>
      <w:bookmarkEnd w:id="285"/>
      <w:r>
        <w:rPr>
          <w:color w:val="000000"/>
          <w:spacing w:val="0"/>
          <w:w w:val="100"/>
          <w:position w:val="0"/>
        </w:rPr>
        <w:t>、</w:t>
        <w:tab/>
        <w:t>机构方面：公司组织机构独立、完善，不存在与控股股东合署办公的情况。</w:t>
      </w:r>
    </w:p>
    <w:p>
      <w:pPr>
        <w:pStyle w:val="Style23"/>
        <w:keepNext/>
        <w:keepLines/>
        <w:widowControl w:val="0"/>
        <w:shd w:val="clear" w:color="auto" w:fill="auto"/>
        <w:tabs>
          <w:tab w:pos="575" w:val="left"/>
        </w:tabs>
        <w:bidi w:val="0"/>
        <w:spacing w:before="0" w:after="260" w:line="312"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w:t>
        <w:tab/>
        <w:t>同业竞争情况</w:t>
      </w:r>
      <w:bookmarkEnd w:id="286"/>
      <w:bookmarkEnd w:id="287"/>
      <w:bookmarkEnd w:id="289"/>
    </w:p>
    <w:p>
      <w:pPr>
        <w:pStyle w:val="Style1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75" w:val="left"/>
        </w:tabs>
        <w:bidi w:val="0"/>
        <w:spacing w:before="0" w:after="320" w:line="312"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报告期内召开的年度股东大会和临时股东大会的有关情况</w:t>
      </w:r>
      <w:bookmarkEnd w:id="290"/>
      <w:bookmarkEnd w:id="291"/>
      <w:bookmarkEnd w:id="293"/>
    </w:p>
    <w:p>
      <w:pPr>
        <w:pStyle w:val="Style27"/>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、本报告期股东大会情况</w:t>
      </w:r>
      <w:bookmarkEnd w:id="294"/>
      <w:bookmarkEnd w:id="295"/>
      <w:bookmarkEnd w:id="297"/>
    </w:p>
    <w:tbl>
      <w:tblPr>
        <w:tblOverlap w:val="never"/>
        <w:jc w:val="center"/>
        <w:tblLayout w:type="fixed"/>
      </w:tblPr>
      <w:tblGrid>
        <w:gridCol w:w="1598"/>
        <w:gridCol w:w="1594"/>
        <w:gridCol w:w="1008"/>
        <w:gridCol w:w="1594"/>
        <w:gridCol w:w="1594"/>
        <w:gridCol w:w="193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会议决议</w:t>
            </w:r>
          </w:p>
        </w:tc>
      </w:tr>
      <w:tr>
        <w:trPr>
          <w:trHeight w:val="19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 董事会工作报告》、</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 作报告》、《关于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年度计提资产减值准 备的议案》、《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1598"/>
        <w:gridCol w:w="1594"/>
        <w:gridCol w:w="1008"/>
        <w:gridCol w:w="1594"/>
        <w:gridCol w:w="1594"/>
        <w:gridCol w:w="1934"/>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年度报告》、《</w:t>
            </w:r>
            <w:r>
              <w:rPr>
                <w:rFonts w:ascii="Times New Roman" w:eastAsia="Times New Roman" w:hAnsi="Times New Roman" w:cs="Times New Roman"/>
                <w:color w:val="000000"/>
                <w:spacing w:val="0"/>
                <w:w w:val="100"/>
                <w:position w:val="0"/>
              </w:rPr>
              <w:t>2020</w:t>
            </w:r>
            <w:r>
              <w:rPr>
                <w:color w:val="000000"/>
                <w:spacing w:val="0"/>
                <w:w w:val="100"/>
                <w:position w:val="0"/>
              </w:rPr>
              <w:t>年 度财务决算方案》、</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 方案》、《关于聘任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年度财务审计机 构及内部控制审计机 构的议案》、《关于 </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 易预计议案》、《关于预 计</w:t>
            </w:r>
            <w:r>
              <w:rPr>
                <w:rFonts w:ascii="Times New Roman" w:eastAsia="Times New Roman" w:hAnsi="Times New Roman" w:cs="Times New Roman"/>
                <w:color w:val="000000"/>
                <w:spacing w:val="0"/>
                <w:w w:val="100"/>
                <w:position w:val="0"/>
              </w:rPr>
              <w:t>2021</w:t>
            </w:r>
            <w:r>
              <w:rPr>
                <w:color w:val="000000"/>
                <w:spacing w:val="0"/>
                <w:w w:val="100"/>
                <w:position w:val="0"/>
              </w:rPr>
              <w:t>年公司与子公 司担保额度的议案》、</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年度董事、监 事、高级管理人员薪酬 与绩效考核方案》、《关 于变更注册地址及修 改〈公司章程〉相关条 款的议案》。</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次临 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审议《关于选举第八届 董事会非独立董事成 员的议案》、《关于选举 第八届董事会独立董 事成员的议案》、《关于 选举第八届监事会监 事成员的议案》。</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2</w:t>
            </w:r>
            <w:r>
              <w:rPr>
                <w:color w:val="000000"/>
                <w:spacing w:val="0"/>
                <w:w w:val="100"/>
                <w:position w:val="0"/>
              </w:rPr>
              <w:t>次临 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审议通过《关于处置闲 置报废设备的议案》。</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、表决权恢复的优先股股东请求召开临时股东大会</w:t>
      </w:r>
      <w:bookmarkEnd w:id="298"/>
      <w:bookmarkEnd w:id="299"/>
      <w:bookmarkEnd w:id="30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、董事、监事和高级管理人员情况</w:t>
      </w:r>
      <w:bookmarkEnd w:id="302"/>
      <w:bookmarkEnd w:id="303"/>
      <w:bookmarkEnd w:id="305"/>
    </w:p>
    <w:p>
      <w:pPr>
        <w:pStyle w:val="Style27"/>
        <w:keepNext/>
        <w:keepLines/>
        <w:widowControl w:val="0"/>
        <w:shd w:val="clear" w:color="auto" w:fill="auto"/>
        <w:bidi w:val="0"/>
        <w:spacing w:before="0" w:after="34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、基本情况</w:t>
      </w:r>
      <w:bookmarkEnd w:id="306"/>
      <w:bookmarkEnd w:id="307"/>
      <w:bookmarkEnd w:id="309"/>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任职 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w:t>
            </w:r>
          </w:p>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0"/>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本期</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减持</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股份</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180"/>
              <w:jc w:val="left"/>
            </w:pPr>
            <w:r>
              <w:rPr>
                <w:color w:val="000000"/>
                <w:spacing w:val="0"/>
                <w:w w:val="100"/>
                <w:position w:val="0"/>
              </w:rPr>
              <w:t>其他</w:t>
            </w:r>
          </w:p>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增减 变动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180"/>
              <w:jc w:val="left"/>
            </w:pPr>
            <w:r>
              <w:rPr>
                <w:color w:val="000000"/>
                <w:spacing w:val="0"/>
                <w:w w:val="100"/>
                <w:position w:val="0"/>
              </w:rPr>
              <w:t>股份</w:t>
            </w:r>
          </w:p>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增减 变动 的原 因</w:t>
            </w: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肖荣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 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13,351</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1,913,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11,438</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自身 资金 需要 减持 股份</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13,404</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1,921,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11,482</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自身 资金 需要 减持 股份</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王惠 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25,870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薛建 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曹金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童庆 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蔡为 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陈爱 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邓中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马如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2015</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池俊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25,220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马晓 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袁立 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2015</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白彦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袁宗 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2015</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李质 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2015</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高俊 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22,490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何长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2015</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自身 资金 需要 减持 股份</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赵立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4,264, 900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334"/>
        <w:gridCol w:w="1330"/>
        <w:gridCol w:w="1330"/>
        <w:gridCol w:w="1963"/>
        <w:gridCol w:w="36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主动辞职</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董事会换届，不再担任副总经理</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马如猛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董事会换届，不再设立总工程师职位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董事会换届，不再担任董事会秘书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袁立峰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、任职情况</w:t>
      </w:r>
      <w:bookmarkEnd w:id="310"/>
      <w:bookmarkEnd w:id="311"/>
      <w:bookmarkEnd w:id="31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tabs>
          <w:tab w:pos="654" w:val="left"/>
        </w:tabs>
        <w:bidi w:val="0"/>
        <w:spacing w:before="0" w:after="0" w:line="314" w:lineRule="exact"/>
        <w:ind w:left="0" w:right="0"/>
        <w:jc w:val="left"/>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董事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肖荣智先生，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月出生，中共党员，研究生学历，正高级会计师，正高级经济师。曾任石家庄常山纺织集团有限 责任公司财务部副部长，本公司财务部、证券部经理、副总经理、总经理、副董事长。现任石家庄常山纺织集团有限责任公 司董事长，石家庄常山恒新纺织有限公司董事、本公司董事长。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李锋先生，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月出生，中共党员，本科学历，曾任北大方正出版公司副总经理，北京天桥北大青鸟科技股份有限 公司高级副总裁，青鸟软件股份有限公司董事长，本公司董事、总经理。现任北京北明伟业控股有限公司董事长，北明软件 有限公司董事长，本公司副董事长。</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应华江先生，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月出生，本科学历。曾任山东省山泉石材有限公司总经理助理，广州瑞曼妮时装有限公司总经理 助理，广州志海软件有限公司董事长，广州北大明天资源科技发展有限公司董事长，本公司副董事长。现任北京北明伟业控 股有限公司董事，二六三网络通信股份有限公司监事会主席，北明软件有限公司董事、总裁，本公司董事、总经理。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王惠君先生，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月出生，中共党员，本科学历。曾任石家庄纺织经编厂办公室干事，石家庄常山纺织集团有限责 任公司办公室秘书、科长、副主任、主任、副总裁、董事，兼任石家庄常山纺织集团经编实业有限公司董事长、总经理。现 任石家庄常山纺织集团有限责任公司副董事长、总经理，本公司董事。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薛建昌先生，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月出生，中共党员，本科学历，正高级工程师。曾任石家庄棉二锦宏纺织有限公司生产技术部主 任工程师，本公司生产技术部部长、副总工程师、总工程师。现任石家庄常山恒新纺织有限公司董事长、总经理，本公司董 事、副总经理。</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曹金霞女士，</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月出生，大专学历，会计师职称。曾任石家庄常山纺织集团有限责任公司财务部会计，石家庄常 山纺织股份有限公司财务部职员、核算中心主任，现任石家庄常山恒新纺织有限公司董事、舞钢智慧城市科技发展有限公司 监事会主席、河北常山恒云数据科技有限公司董事、供销冷链物流（石家庄）有限公司监事、河北恒合纺织科技有限公司董 事、北明软件有限公司董事、本公司董事、总会计师、财务部经理。</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童庆明先生，男，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硕士。曾任北大方正集团计算机公司副总经理、南京分公司总经理、华东区 总经理、方正电脑公司董事、副总经理、总经理，北京高阳万为电力信息技术有限公司总经理，北大青鸟集团北京青鸟华光 科技有限公司总经理、潍坊青鸟华光电池有限公司总经理、潍坊青鸟华光科技股份有限公司副总裁、总裁、青鸟软件股份有 限公司高级副总裁、北明软件有限公司高级副总裁，现任北京爱意生活电子商务有限公司董事长、本公司董事。</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李万军先生，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月出生，中共党员，管理学硕士，高级会计师、注册会计师。曾任河北省注册会计师协会副秘书 长，曾于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月任本公司独立董事。现任亚太（集团）会计师事务所合伙人，兼长城汽车股份有限公司、 北京中关村科技发展（控股）股份有限公司独立董事、本公司独立董事。</w:t>
      </w:r>
    </w:p>
    <w:p>
      <w:pPr>
        <w:pStyle w:val="Style1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蔡为民先生，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月出生。毕业于北京大学，获物理学学士学位。历任北京市正和装饰工程公司总经理、北京北大 青鸟安全系统工程技术有限公司总经理、北京北大青鸟环宇科技股份有限公司董事、副总裁、河北北大青鸟环宇消防设备有 限公司董事、总经理，青鸟消防股份有限公司总经理，现任青鸟消防股份有限公司董事长。兼任中国消防协会第六届理事会 理事、全国消防标准化技术委员会火灾探测与报警分技术委员会委员、全国专业标准化技术委员会委员、本公司独立董事。</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杨峻先生，</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月出生，中共党员，大学本科学历。历任国家纺织工业部工程师、副处长，中国华源集团贸易部总 经理、总裁助理，中纺联合进出口有限公司总经理、董事长，中国服装股份有限公司总经理、副董事长，中国纺织工业联合 会副秘书长，曾任中国纺织工业企业管理协会秘书长、常务副会长，兼任中国企业联合会常务理事。现任中国纺织工业企业 管理协会顾问、本公司独立董事。</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陈爱珍女士，</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月出生，经济学硕士。曾任山西大学讲师、副教授。现任北京市众天律师事务所律师，兼任深圳 汇洁股份有限公司、东旭蓝天新能源股份有限公司、先河环保股份有限公司、唐山三友化工股份有限公司独立董事，同时兼 任山西焦煤能源股份有限公司法律顾问、本公司独立董事。</w:t>
      </w:r>
    </w:p>
    <w:p>
      <w:pPr>
        <w:pStyle w:val="Style18"/>
        <w:keepNext w:val="0"/>
        <w:keepLines w:val="0"/>
        <w:widowControl w:val="0"/>
        <w:shd w:val="clear" w:color="auto" w:fill="auto"/>
        <w:tabs>
          <w:tab w:pos="674" w:val="left"/>
        </w:tabs>
        <w:bidi w:val="0"/>
        <w:spacing w:before="0" w:after="0" w:line="314" w:lineRule="exact"/>
        <w:ind w:left="0" w:right="0"/>
        <w:jc w:val="both"/>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监事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邓中斌先生，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月出生，本科学历，助理工程师，中共党员。曾任棉四分公司经理助理、经理，现任河北常山恒 云数据科技有限公司董事长、经理，供销冷链物流（石家庄）有限公司董事、经理，本公司监事会主席。</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马如猛先生，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月出生，中共党员，大专学历，政工师。曾任石家庄常山纺织集团有限责任公司办公室副主任、 办公室主任、副总载，石家庄纺织厂厂长。现任石家庄常山纺织集团有限责任公司副总经理，石家庄常山纺织集团供销有限 </w:t>
      </w:r>
      <w:r>
        <w:rPr>
          <w:color w:val="000000"/>
          <w:spacing w:val="0"/>
          <w:w w:val="100"/>
          <w:position w:val="0"/>
        </w:rPr>
        <w:t>责任公司董事长、总经理、本公司监事。</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王哲先生，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月出生，本科学历，会计师。曾任北京燕山石油化工公司会计，北京北大青鸟商用信息系统有限公 司、北京天桥北大青鸟科技股份有限公司财务经理，麦科特光电股份有限公司财务部经理、领锐资产管理股份有限公司财务 部总经理、青鸟软件股份有限公司财务总监。现任北明软件有限公司董事、财务总监，本公司监事。</w:t>
      </w:r>
    </w:p>
    <w:p>
      <w:pPr>
        <w:pStyle w:val="Style18"/>
        <w:keepNext w:val="0"/>
        <w:keepLines w:val="0"/>
        <w:widowControl w:val="0"/>
        <w:shd w:val="clear" w:color="auto" w:fill="auto"/>
        <w:bidi w:val="0"/>
        <w:spacing w:before="0" w:after="0"/>
        <w:ind w:left="0" w:right="0"/>
        <w:jc w:val="both"/>
      </w:pPr>
      <w:bookmarkStart w:id="316" w:name="bookmark316"/>
      <w:r>
        <w:rPr>
          <w:rFonts w:ascii="Times New Roman" w:eastAsia="Times New Roman" w:hAnsi="Times New Roman" w:cs="Times New Roman"/>
          <w:color w:val="000000"/>
          <w:spacing w:val="0"/>
          <w:w w:val="100"/>
          <w:position w:val="0"/>
        </w:rPr>
        <w:t>3</w:t>
      </w:r>
      <w:bookmarkEnd w:id="316"/>
      <w:r>
        <w:rPr>
          <w:color w:val="000000"/>
          <w:spacing w:val="0"/>
          <w:w w:val="100"/>
          <w:position w:val="0"/>
        </w:rPr>
        <w:t>、高级管理人员</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薛建昌先生，详见董事履历。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马晓峰先生，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月出生，本科学历，高级工程师。曾任本公司董事、副总经理、棉二分公司经理，华光纺织有限 公司总经理，河北正定华润纺织有限公司董事、总经理，华润纺织（集团）有限公司运营副总监兼生产管理部经理，现任北 京爱意生活电子商务有限公司董事，河北恒合纺织科技有限公司董事，本公司副总经理、恒盛纺织分公司经理。</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池俊平先生，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月出生，本科学历，中共党员。曾任石家庄宝石电子玻璃股份有限公司证券部职员，华夏证券公 司石家庄营业部职员，华夏证券公司保定营业部职员，本公司证券部职员、证券事务代表、董事会秘书。现任河北常山恒云 数据科技有限公司监事，石家庄常山恒新纺织有限公司监事，北明软件有限公司董事、供销冷链物流（石家庄）有限公司董 事，石家庄恒昇多媒体科技有限公司董事长、经理，本公司副总经理。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刘辉先生，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月出生，本科学历，高级工程师，中共党员。曾任石家庄第二棉纺织厂织造车间技术员、劳动人事 部职员，石家庄常山纺织股份有限公司劳动人事部职员、副部长，新疆库尔勒香梨股份有限公司副总裁（援疆干部），石家 庄常山纺织股份有限公司总经理助理。现任河北常山恒云数据科技有限公司董事、本公司副总经理。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袁立峰先生，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月出生，中共党员，本科学历，高级工程师。曾任本公司生产技术部部长、总经理助理、副总经 理，石家庄赛孚纺织有限公司经理、纺机分公司经理。现任河北北明鼎云信息技术有限公司董事长、本公司副总经理。</w:t>
      </w:r>
    </w:p>
    <w:p>
      <w:pPr>
        <w:pStyle w:val="Style18"/>
        <w:keepNext w:val="0"/>
        <w:keepLines w:val="0"/>
        <w:widowControl w:val="0"/>
        <w:shd w:val="clear" w:color="auto" w:fill="auto"/>
        <w:bidi w:val="0"/>
        <w:spacing w:before="0" w:after="0" w:line="309" w:lineRule="exact"/>
        <w:ind w:left="0" w:right="0"/>
        <w:jc w:val="both"/>
      </w:pPr>
      <w:r>
        <w:rPr>
          <w:color w:val="000000"/>
          <w:spacing w:val="0"/>
          <w:w w:val="100"/>
          <w:position w:val="0"/>
        </w:rPr>
        <w:t>李瑞平先生，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月出生，中共党员，本科学历，双学士学位，高级工程师。曾任河北省供销社（棉麻总公司）棉 办室副主任、河北省棉麻总公司分公司副经理，石家庄常山纺织集团有限责任公司办公室主任，舞钢智慧城市科技发展有限 公司监事会主席，本公司研究室主任、总经理办公室主任、人力资源部部长、助理总经理。现任石家庄常山恒新纺织有限公 司董事、本公司副总经理、行政人事部部长。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李猛先生，</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月出生，研究生学历。曾任杭州易联科技有限公司运营总监，河北欣意电缆有限公司副总经理。现 任河北北明兴云互联网科技有限责任公司总经理、本公司副总经理。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董佳先生，</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月出生，研究生学历。曾任朗登科技中国区营销总经理，北京华胜天成有限公司存储产品事业部总 经理，北大青鸟商用信息系统存储事业部总经理，北明软件有限公司助理总裁，现任北明软件有限公司副总裁、本公司副总 经理。</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曹金霞女士，见董事简历。</w:t>
      </w:r>
    </w:p>
    <w:p>
      <w:pPr>
        <w:pStyle w:val="Style18"/>
        <w:keepNext w:val="0"/>
        <w:keepLines w:val="0"/>
        <w:widowControl w:val="0"/>
        <w:shd w:val="clear" w:color="auto" w:fill="auto"/>
        <w:bidi w:val="0"/>
        <w:spacing w:before="0" w:after="140" w:line="326" w:lineRule="exact"/>
        <w:ind w:left="0" w:right="0"/>
        <w:jc w:val="both"/>
      </w:pPr>
      <w:r>
        <w:rPr>
          <w:color w:val="000000"/>
          <w:spacing w:val="0"/>
          <w:w w:val="100"/>
          <w:position w:val="0"/>
        </w:rPr>
        <w:t>张莉女士，</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月出生，中共党员，大专学历。曾任本公司办公室主任、证券事务代表、董事会办公室主任。现任 河北北明鼎云信息技术有限公司董事、本公司董事会秘书。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tbl>
      <w:tblPr>
        <w:tblOverlap w:val="never"/>
        <w:jc w:val="center"/>
        <w:tblLayout w:type="fixed"/>
      </w:tblPr>
      <w:tblGrid>
        <w:gridCol w:w="917"/>
        <w:gridCol w:w="2966"/>
        <w:gridCol w:w="1200"/>
        <w:gridCol w:w="1666"/>
        <w:gridCol w:w="1349"/>
        <w:gridCol w:w="148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80" w:right="0" w:hanging="180"/>
              <w:jc w:val="left"/>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马如猛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931"/>
        <w:gridCol w:w="3274"/>
        <w:gridCol w:w="1094"/>
        <w:gridCol w:w="1834"/>
        <w:gridCol w:w="1358"/>
        <w:gridCol w:w="1291"/>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在其他单</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位担任的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马如猛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袁立峰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河北北明兴云互联网科技有限责任公司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长城汽车股份有限公司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北京中关村科技发展（控股）股份有限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供销冷链物流（石家庄）有限公司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供销冷链物流（石家庄）有限公司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石家庄恒昇多媒体科技有限公司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31"/>
        <w:gridCol w:w="3274"/>
        <w:gridCol w:w="1094"/>
        <w:gridCol w:w="1834"/>
        <w:gridCol w:w="1358"/>
        <w:gridCol w:w="129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青鸟消防股份有限公司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上海青鸟杰光消防科技有限公司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盟莆安电子（上海）有限公司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海南青鸟消防科技发展有限公司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北京惟泰安全设备有限公司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赛创电气（铜陵）有限公司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镓特半导体科技（上海）有限公司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广东左向照明有限公司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上海显耀显示科技有限公司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广东禾纪科技有限公司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MapleArmor Fire Solutions Canada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MAPLE ARMOR FIRE ALARM</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DEVICE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MAPLE ARMOR MANAGEMENT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青鸟环宇消防设备国际（香港）有限公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Jade Bird Fire Alarm International (USA) Co.,Ltd.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mPower Electronics,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Jade Bird Fire Alarm International (Europe), S.L.</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Finsecur SAS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中国消防协会第七届理事会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第六届全国消防标准化技术委员会火灾 探测与报警分技术委员会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供销冷链物流（石家庄）有限公司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河北恒合纺织科技有限公司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石家庄恒昇多媒体科技有限公司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河北恒合纺织科技有限公司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31"/>
        <w:gridCol w:w="3274"/>
        <w:gridCol w:w="1094"/>
        <w:gridCol w:w="1834"/>
        <w:gridCol w:w="1358"/>
        <w:gridCol w:w="129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中国纺织工业企业管理协会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北京市众天律师事务所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深圳汇洁股份有限公司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唐山三友化工股份有限公司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2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、董事、监事、高级管理人员报酬情况</w:t>
      </w:r>
      <w:bookmarkEnd w:id="317"/>
      <w:bookmarkEnd w:id="318"/>
      <w:bookmarkEnd w:id="320"/>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公司独立董事的津贴由董事会审议后，经股东大会批准执行；公司非独立董事、监事、高级管理人员报酬按《董事监事 高级管理人员薪酬管理制度》执行，年度薪酬与考核方案由公司董事会薪酬与考核委员会提出，报公司董事会审议通过，提 交公司股东大会审议批准。</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单位：万元</w:t>
      </w:r>
    </w:p>
    <w:tbl>
      <w:tblPr>
        <w:tblOverlap w:val="never"/>
        <w:jc w:val="center"/>
        <w:tblLayout w:type="fixed"/>
      </w:tblPr>
      <w:tblGrid>
        <w:gridCol w:w="1373"/>
        <w:gridCol w:w="1958"/>
        <w:gridCol w:w="648"/>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马如猛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袁立峰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958"/>
        <w:gridCol w:w="648"/>
        <w:gridCol w:w="1368"/>
        <w:gridCol w:w="1368"/>
        <w:gridCol w:w="1368"/>
        <w:gridCol w:w="136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六</w:t>
      </w:r>
      <w:bookmarkEnd w:id="323"/>
      <w:r>
        <w:rPr>
          <w:color w:val="000000"/>
          <w:spacing w:val="0"/>
          <w:w w:val="100"/>
          <w:position w:val="0"/>
          <w:sz w:val="24"/>
          <w:szCs w:val="24"/>
        </w:rPr>
        <w:t>、报告期内董事履行职责的情况</w:t>
      </w:r>
      <w:bookmarkEnd w:id="321"/>
      <w:bookmarkEnd w:id="322"/>
      <w:bookmarkEnd w:id="324"/>
    </w:p>
    <w:p>
      <w:pPr>
        <w:pStyle w:val="Style27"/>
        <w:keepNext/>
        <w:keepLines/>
        <w:widowControl w:val="0"/>
        <w:shd w:val="clear" w:color="auto" w:fill="auto"/>
        <w:bidi w:val="0"/>
        <w:spacing w:before="0" w:after="32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、本报告期董事会情况</w:t>
      </w:r>
      <w:bookmarkEnd w:id="325"/>
      <w:bookmarkEnd w:id="326"/>
      <w:bookmarkEnd w:id="328"/>
    </w:p>
    <w:tbl>
      <w:tblPr>
        <w:tblOverlap w:val="never"/>
        <w:jc w:val="center"/>
        <w:tblLayout w:type="fixed"/>
      </w:tblPr>
      <w:tblGrid>
        <w:gridCol w:w="1800"/>
        <w:gridCol w:w="1738"/>
        <w:gridCol w:w="1771"/>
        <w:gridCol w:w="41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审议通过《关于启用新版〈河北常山恒云数据科技 有限公司章程〉的议案》、《关于委派常山恒云执行 董事的议案》。</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审议通过《关于交付棉二分公司厂区土地的议案》。</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年度计提资产减值准备的议案》、《关于会计政策及 会计估计变更的议案》、《</w:t>
            </w:r>
            <w:r>
              <w:rPr>
                <w:rFonts w:ascii="Times New Roman" w:eastAsia="Times New Roman" w:hAnsi="Times New Roman" w:cs="Times New Roman"/>
                <w:color w:val="000000"/>
                <w:spacing w:val="0"/>
                <w:w w:val="100"/>
                <w:position w:val="0"/>
              </w:rPr>
              <w:t>2020</w:t>
            </w:r>
            <w:r>
              <w:rPr>
                <w:color w:val="000000"/>
                <w:spacing w:val="0"/>
                <w:w w:val="100"/>
                <w:position w:val="0"/>
              </w:rPr>
              <w:t>年度总经理工作报 告》、《</w:t>
            </w:r>
            <w:r>
              <w:rPr>
                <w:rFonts w:ascii="Times New Roman" w:eastAsia="Times New Roman" w:hAnsi="Times New Roman" w:cs="Times New Roman"/>
                <w:color w:val="000000"/>
                <w:spacing w:val="0"/>
                <w:w w:val="100"/>
                <w:position w:val="0"/>
              </w:rPr>
              <w:t>2020</w:t>
            </w:r>
            <w:r>
              <w:rPr>
                <w:color w:val="000000"/>
                <w:spacing w:val="0"/>
                <w:w w:val="100"/>
                <w:position w:val="0"/>
              </w:rPr>
              <w:t>年度报告及其摘要》、《</w:t>
            </w:r>
            <w:r>
              <w:rPr>
                <w:rFonts w:ascii="Times New Roman" w:eastAsia="Times New Roman" w:hAnsi="Times New Roman" w:cs="Times New Roman"/>
                <w:color w:val="000000"/>
                <w:spacing w:val="0"/>
                <w:w w:val="100"/>
                <w:position w:val="0"/>
              </w:rPr>
              <w:t>2020</w:t>
            </w:r>
            <w:r>
              <w:rPr>
                <w:color w:val="000000"/>
                <w:spacing w:val="0"/>
                <w:w w:val="100"/>
                <w:position w:val="0"/>
              </w:rPr>
              <w:t>年度财务 决算方案》、《</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年度利润分配预案》、《聘任</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年度财务审计机构及内部控制审计机构的议案》、</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《聘任</w:t>
            </w:r>
            <w:r>
              <w:rPr>
                <w:rFonts w:ascii="Times New Roman" w:eastAsia="Times New Roman" w:hAnsi="Times New Roman" w:cs="Times New Roman"/>
                <w:color w:val="000000"/>
                <w:spacing w:val="0"/>
                <w:w w:val="100"/>
                <w:position w:val="0"/>
              </w:rPr>
              <w:t>2021</w:t>
            </w:r>
            <w:r>
              <w:rPr>
                <w:color w:val="000000"/>
                <w:spacing w:val="0"/>
                <w:w w:val="100"/>
                <w:position w:val="0"/>
              </w:rPr>
              <w:t>年度常年法律顾问的议案》、《</w:t>
            </w:r>
            <w:r>
              <w:rPr>
                <w:rFonts w:ascii="Times New Roman" w:eastAsia="Times New Roman" w:hAnsi="Times New Roman" w:cs="Times New Roman"/>
                <w:color w:val="000000"/>
                <w:spacing w:val="0"/>
                <w:w w:val="100"/>
                <w:position w:val="0"/>
              </w:rPr>
              <w:t>2021</w:t>
            </w:r>
            <w:r>
              <w:rPr>
                <w:color w:val="000000"/>
                <w:spacing w:val="0"/>
                <w:w w:val="100"/>
                <w:position w:val="0"/>
              </w:rPr>
              <w:t>年 度日常关联交易预计议案》、《关于预计</w:t>
            </w:r>
            <w:r>
              <w:rPr>
                <w:rFonts w:ascii="Times New Roman" w:eastAsia="Times New Roman" w:hAnsi="Times New Roman" w:cs="Times New Roman"/>
                <w:color w:val="000000"/>
                <w:spacing w:val="0"/>
                <w:w w:val="100"/>
                <w:position w:val="0"/>
              </w:rPr>
              <w:t>2021</w:t>
            </w:r>
            <w:r>
              <w:rPr>
                <w:color w:val="000000"/>
                <w:spacing w:val="0"/>
                <w:w w:val="100"/>
                <w:position w:val="0"/>
              </w:rPr>
              <w:t>年公 司与子公司担保额度的议案》、《</w:t>
            </w:r>
            <w:r>
              <w:rPr>
                <w:rFonts w:ascii="Times New Roman" w:eastAsia="Times New Roman" w:hAnsi="Times New Roman" w:cs="Times New Roman"/>
                <w:color w:val="000000"/>
                <w:spacing w:val="0"/>
                <w:w w:val="100"/>
                <w:position w:val="0"/>
              </w:rPr>
              <w:t>2021</w:t>
            </w:r>
            <w:r>
              <w:rPr>
                <w:color w:val="000000"/>
                <w:spacing w:val="0"/>
                <w:w w:val="100"/>
                <w:position w:val="0"/>
              </w:rPr>
              <w:t>年度经营目 标》、《</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年度董事、监事、高级管理人员薪酬与绩效考核方 案》、《关于召开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年度股东大会的议案》。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w:t>
            </w:r>
            <w:r>
              <w:rPr>
                <w:color w:val="000000"/>
                <w:spacing w:val="0"/>
                <w:w w:val="100"/>
                <w:position w:val="0"/>
              </w:rPr>
              <w:t>季度报告》。</w:t>
            </w:r>
          </w:p>
        </w:tc>
      </w:tr>
      <w:tr>
        <w:trPr>
          <w:trHeight w:val="67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七届二十三次会议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审议通过《关于常山恒云减少注册资本的议案》、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《关于修改常山恒云《公司章程》部分条款的议</w:t>
            </w:r>
          </w:p>
        </w:tc>
      </w:tr>
    </w:tbl>
    <w:p>
      <w:pPr>
        <w:spacing w:lineRule="exact" w:line="1"/>
        <w:rPr>
          <w:sz w:val="2"/>
          <w:szCs w:val="2"/>
        </w:rPr>
      </w:pPr>
      <w:r>
        <w:br w:type="page"/>
      </w:r>
    </w:p>
    <w:tbl>
      <w:tblPr>
        <w:tblOverlap w:val="never"/>
        <w:jc w:val="center"/>
        <w:tblLayout w:type="fixed"/>
      </w:tblPr>
      <w:tblGrid>
        <w:gridCol w:w="1800"/>
        <w:gridCol w:w="1738"/>
        <w:gridCol w:w="1771"/>
        <w:gridCol w:w="4133"/>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案》、《关于修改常山恒云〈公司章程〉部分条款的 议案》、《关于修改常山恒新〈公司章程〉部分条款 的议案》、《关于委派常山恒新监事的议案》。</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审议通过《关于核销部分应收款项的议案》、《</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年半年度报告及摘要》、《关于向控股股东支付担保 费暨关联交易的议案》、《关于制定公司〈对外担保 管理制度〉的议案》。</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审议通过《关于推选公司第八届董事会非独立董事 候选人的议案》、《关于推选公司第八届董事会独立 董事候选人的议案》、《关于召开二。二一年第一次 临时股东大会的议案》。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七届二十六次会议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季度报告》。</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八届一次会议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审议通过《关于选举公司董事长的议案》、《关于选 举公司副董事长的议案》、《关于选举第八届董事会 各专门委员会组成人员的议案》、《关于聘任公司总 经理的议案》、《关于聘任公司副总经理的议案》、</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《关于聘任公司总会计师的议案》、《关于聘任公司 董事会秘书的议案》。</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八届二次会议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审议通过《关于修改北明鼎云〈公司章程〉部分条 款的议案》、《关于变更北明鼎云董事和监事的议 案》、《关于提名恒合纺织董事和监事的议案》、《关 于委派恒昇多媒体董事和监事的议案》、《关于提名 冷链物流董事和监事的议案》。</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八届三次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审议通过《关于拟处置闲置报废设备的议案》、《关 于召开</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次临时股东大会的议案》。</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八届四次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审议通过《关于签署</w:t>
            </w:r>
            <w:r>
              <w:rPr>
                <w:color w:val="000000"/>
                <w:spacing w:val="0"/>
                <w:w w:val="100"/>
                <w:position w:val="0"/>
              </w:rPr>
              <w:t>〈</w:t>
            </w:r>
            <w:r>
              <w:rPr>
                <w:color w:val="000000"/>
                <w:spacing w:val="0"/>
                <w:w w:val="100"/>
                <w:position w:val="0"/>
              </w:rPr>
              <w:t>企、事业单位国有土地使用 权收购（回）合同</w:t>
            </w:r>
            <w:r>
              <w:rPr>
                <w:color w:val="000000"/>
                <w:spacing w:val="0"/>
                <w:w w:val="100"/>
                <w:position w:val="0"/>
              </w:rPr>
              <w:t>〉</w:t>
            </w:r>
            <w:r>
              <w:rPr>
                <w:color w:val="000000"/>
                <w:spacing w:val="0"/>
                <w:w w:val="100"/>
                <w:position w:val="0"/>
              </w:rPr>
              <w:t>的议案》。</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、董事出席董事会及股东大会的情况</w:t>
      </w:r>
      <w:bookmarkEnd w:id="329"/>
      <w:bookmarkEnd w:id="330"/>
      <w:bookmarkEnd w:id="332"/>
    </w:p>
    <w:tbl>
      <w:tblPr>
        <w:tblOverlap w:val="never"/>
        <w:jc w:val="center"/>
        <w:tblLayout w:type="fixed"/>
      </w:tblPr>
      <w:tblGrid>
        <w:gridCol w:w="1430"/>
        <w:gridCol w:w="1162"/>
        <w:gridCol w:w="1166"/>
        <w:gridCol w:w="1162"/>
        <w:gridCol w:w="1162"/>
        <w:gridCol w:w="1166"/>
        <w:gridCol w:w="1162"/>
        <w:gridCol w:w="1166"/>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 会次数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1430"/>
        <w:gridCol w:w="1162"/>
        <w:gridCol w:w="1166"/>
        <w:gridCol w:w="1162"/>
        <w:gridCol w:w="1162"/>
        <w:gridCol w:w="1166"/>
        <w:gridCol w:w="1162"/>
        <w:gridCol w:w="1166"/>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连续两次未亲自出席董事会的说明</w:t>
      </w:r>
    </w:p>
    <w:p>
      <w:pPr>
        <w:pStyle w:val="Style27"/>
        <w:keepNext/>
        <w:keepLines/>
        <w:widowControl w:val="0"/>
        <w:shd w:val="clear" w:color="auto" w:fill="auto"/>
        <w:tabs>
          <w:tab w:pos="378"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董事对公司有关事项提出异议的情况</w:t>
      </w:r>
      <w:bookmarkEnd w:id="333"/>
      <w:bookmarkEnd w:id="334"/>
      <w:bookmarkEnd w:id="3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董事履行职责的其他说明</w:t>
      </w:r>
      <w:bookmarkEnd w:id="337"/>
      <w:bookmarkEnd w:id="338"/>
      <w:bookmarkEnd w:id="34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七</w:t>
      </w:r>
      <w:bookmarkEnd w:id="343"/>
      <w:r>
        <w:rPr>
          <w:color w:val="000000"/>
          <w:spacing w:val="0"/>
          <w:w w:val="100"/>
          <w:position w:val="0"/>
          <w:sz w:val="24"/>
          <w:szCs w:val="24"/>
        </w:rPr>
        <w:t>、董事会下设专门委员会在报告期内的情况</w:t>
      </w:r>
      <w:bookmarkEnd w:id="341"/>
      <w:bookmarkEnd w:id="342"/>
      <w:bookmarkEnd w:id="344"/>
    </w:p>
    <w:tbl>
      <w:tblPr>
        <w:tblOverlap w:val="never"/>
        <w:jc w:val="center"/>
        <w:tblLayout w:type="fixed"/>
      </w:tblPr>
      <w:tblGrid>
        <w:gridCol w:w="898"/>
        <w:gridCol w:w="1195"/>
        <w:gridCol w:w="1200"/>
        <w:gridCol w:w="1195"/>
        <w:gridCol w:w="1195"/>
        <w:gridCol w:w="1694"/>
        <w:gridCol w:w="1200"/>
        <w:gridCol w:w="120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异议事项具</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体情况（如</w:t>
            </w:r>
          </w:p>
          <w:p>
            <w:pPr>
              <w:pStyle w:val="Style2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有）</w:t>
            </w:r>
          </w:p>
        </w:tc>
      </w:tr>
      <w:tr>
        <w:trPr>
          <w:trHeight w:val="28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袁宗琦、肖 荣智、李锋、 李质仙、孟 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会议审议通 过《关于推 荐公司第八 届董事会董 事人选的议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推荐肖荣智、李锋、 应华江、王惠君、 薛建昌、曹金霞、 童庆明、李万军、 蔡为民、杨峻、陈 爱珍担任公司第八 届董事会董事，其 中李万军、蔡为民、</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杨峻、陈爱珍为独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02"/>
        <w:gridCol w:w="1195"/>
        <w:gridCol w:w="1200"/>
        <w:gridCol w:w="1195"/>
        <w:gridCol w:w="1195"/>
        <w:gridCol w:w="1694"/>
        <w:gridCol w:w="1200"/>
        <w:gridCol w:w="12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5"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陈爱珍、肖 荣智、李锋、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《关于推荐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公司第八届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推荐应华江担任公 司总经理；推荐张 莉担任公司董事会 秘书；推荐薛建昌、 池俊平、刘辉、马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晓峰、赵立新、袁</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杨峻、蔡为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立峰、李瑞平、李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员等人选的</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议案》</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猛、董佳担任公司 副总经理，曹金霞 担任公司总会计 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9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李质仙、肖 荣智、李锋、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年适用董监 高绩效考核 结果的议 案》、《关于</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对适用董监高</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年季度和年度绩效 考核结果予以批 准；决定将《董事、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制订公司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color w:val="000000"/>
                <w:spacing w:val="0"/>
                <w:w w:val="100"/>
                <w:position w:val="0"/>
              </w:rPr>
              <w:t>员会</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袁宗琦、李 万军、孟梓</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监事、高级管理人 员薪酬与绩效考核 方案》提请公司董 事会审议批准。</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员薪酬与绩</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效考核方</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r>
              <w:rPr>
                <w:color w:val="000000"/>
                <w:spacing w:val="0"/>
                <w:w w:val="100"/>
                <w:position w:val="0"/>
              </w:rPr>
              <w:t>〉</w:t>
            </w:r>
            <w:r>
              <w:rPr>
                <w:color w:val="000000"/>
                <w:spacing w:val="0"/>
                <w:w w:val="100"/>
                <w:position w:val="0"/>
              </w:rPr>
              <w:t>的议案》</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杨峻、肖荣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智、李锋、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《关于调整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确定袁立峰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调整新任高管袁立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考核委 员会</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李万军、蔡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为民、陈爱</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峰、李瑞平、张莉 的年度薪酬标准。</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等年度薪酬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83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李万军、袁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宗琦、肖荣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 会计政策及 会计估计变 更的议案》</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年度计提资</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报告期内为 确保</w:t>
            </w:r>
            <w:r>
              <w:rPr>
                <w:rFonts w:ascii="Times New Roman" w:eastAsia="Times New Roman" w:hAnsi="Times New Roman" w:cs="Times New Roman"/>
                <w:color w:val="000000"/>
                <w:spacing w:val="0"/>
                <w:w w:val="100"/>
                <w:position w:val="0"/>
              </w:rPr>
              <w:t>2020</w:t>
            </w:r>
            <w:r>
              <w:rPr>
                <w:color w:val="000000"/>
                <w:spacing w:val="0"/>
                <w:w w:val="100"/>
                <w:position w:val="0"/>
              </w:rPr>
              <w:t>年 度报告审计 工作的进度 与质量，按 照证监会相</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产减值准备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关要求，就</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的议案》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度审计工作</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财务决算方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安排与会计</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师事务所进</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度利润分配</w:t>
            </w:r>
          </w:p>
        </w:tc>
        <w:tc>
          <w:tcPr>
            <w:tcBorders>
              <w:left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行沟通，协</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98"/>
        <w:gridCol w:w="1195"/>
        <w:gridCol w:w="1200"/>
        <w:gridCol w:w="1195"/>
        <w:gridCol w:w="1195"/>
        <w:gridCol w:w="1694"/>
        <w:gridCol w:w="1200"/>
        <w:gridCol w:w="1200"/>
      </w:tblGrid>
      <w:tr>
        <w:trPr>
          <w:trHeight w:val="1160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预案》《聘任 </w:t>
            </w:r>
            <w:r>
              <w:rPr>
                <w:rFonts w:ascii="Times New Roman" w:eastAsia="Times New Roman" w:hAnsi="Times New Roman" w:cs="Times New Roman"/>
                <w:color w:val="000000"/>
                <w:spacing w:val="0"/>
                <w:w w:val="100"/>
                <w:position w:val="0"/>
              </w:rPr>
              <w:t>2021</w:t>
            </w:r>
            <w:r>
              <w:rPr>
                <w:color w:val="000000"/>
                <w:spacing w:val="0"/>
                <w:w w:val="100"/>
                <w:position w:val="0"/>
              </w:rPr>
              <w:t>年度财 务审计机构 及内部控制 审计机构的 议案》《控股 股东及其他 关联方占用 资金情况》</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 营业收入扣 除情况》</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年内 部控制自我 评价报告》</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 报告及其摘 要》《</w:t>
            </w:r>
            <w:r>
              <w:rPr>
                <w:rFonts w:ascii="Times New Roman" w:eastAsia="Times New Roman" w:hAnsi="Times New Roman" w:cs="Times New Roman"/>
                <w:color w:val="000000"/>
                <w:spacing w:val="0"/>
                <w:w w:val="100"/>
                <w:position w:val="0"/>
              </w:rPr>
              <w:t>2021</w:t>
            </w:r>
            <w:r>
              <w:rPr>
                <w:color w:val="000000"/>
                <w:spacing w:val="0"/>
                <w:w w:val="100"/>
                <w:position w:val="0"/>
              </w:rPr>
              <w:t>年 经营目标》</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 易预计议 案》《关于预 计</w:t>
            </w:r>
            <w:r>
              <w:rPr>
                <w:rFonts w:ascii="Times New Roman" w:eastAsia="Times New Roman" w:hAnsi="Times New Roman" w:cs="Times New Roman"/>
                <w:color w:val="000000"/>
                <w:spacing w:val="0"/>
                <w:w w:val="100"/>
                <w:position w:val="0"/>
              </w:rPr>
              <w:t>2021</w:t>
            </w:r>
            <w:r>
              <w:rPr>
                <w:color w:val="000000"/>
                <w:spacing w:val="0"/>
                <w:w w:val="100"/>
                <w:position w:val="0"/>
              </w:rPr>
              <w:t>年公 司与子公司 担保额度的 议案》《会计 师事务所从 事</w:t>
            </w:r>
            <w:r>
              <w:rPr>
                <w:rFonts w:ascii="Times New Roman" w:eastAsia="Times New Roman" w:hAnsi="Times New Roman" w:cs="Times New Roman"/>
                <w:color w:val="000000"/>
                <w:spacing w:val="0"/>
                <w:w w:val="100"/>
                <w:position w:val="0"/>
              </w:rPr>
              <w:t>2020</w:t>
            </w:r>
            <w:r>
              <w:rPr>
                <w:color w:val="000000"/>
                <w:spacing w:val="0"/>
                <w:w w:val="100"/>
                <w:position w:val="0"/>
              </w:rPr>
              <w:t>年度 审计工作的 总结报告》</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《审计部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年度工 作总结和 </w:t>
            </w:r>
            <w:r>
              <w:rPr>
                <w:rFonts w:ascii="Times New Roman" w:eastAsia="Times New Roman" w:hAnsi="Times New Roman" w:cs="Times New Roman"/>
                <w:color w:val="000000"/>
                <w:spacing w:val="0"/>
                <w:w w:val="100"/>
                <w:position w:val="0"/>
              </w:rPr>
              <w:t>2021</w:t>
            </w:r>
            <w:r>
              <w:rPr>
                <w:color w:val="000000"/>
                <w:spacing w:val="0"/>
                <w:w w:val="100"/>
                <w:position w:val="0"/>
              </w:rPr>
              <w:t>年度内 部审计计 划》</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商确定了公 司</w:t>
            </w:r>
            <w:r>
              <w:rPr>
                <w:rFonts w:ascii="Times New Roman" w:eastAsia="Times New Roman" w:hAnsi="Times New Roman" w:cs="Times New Roman"/>
                <w:color w:val="000000"/>
                <w:spacing w:val="0"/>
                <w:w w:val="100"/>
                <w:position w:val="0"/>
              </w:rPr>
              <w:t>2020</w:t>
            </w:r>
            <w:r>
              <w:rPr>
                <w:color w:val="000000"/>
                <w:spacing w:val="0"/>
                <w:w w:val="100"/>
                <w:position w:val="0"/>
              </w:rPr>
              <w:t>年度 审计工作的 时间安排。 在年审注册 会计师进场 前，认真审 阅了公司编 制的</w:t>
            </w:r>
            <w:r>
              <w:rPr>
                <w:rFonts w:ascii="Times New Roman" w:eastAsia="Times New Roman" w:hAnsi="Times New Roman" w:cs="Times New Roman"/>
                <w:color w:val="000000"/>
                <w:spacing w:val="0"/>
                <w:w w:val="100"/>
                <w:position w:val="0"/>
              </w:rPr>
              <w:t>2020</w:t>
            </w:r>
            <w:r>
              <w:rPr>
                <w:color w:val="000000"/>
                <w:spacing w:val="0"/>
                <w:w w:val="100"/>
                <w:position w:val="0"/>
              </w:rPr>
              <w:t>年 度财务报告 初稿，出具 了关于在年 审注册会计 师进场前公 司编制的财 务会计报表 的书面意 见。在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年年报编制 期间，通过 见面会等形 式与年审注 册会计师进 行沟通，督 促审计工作 的进度，对 年审注册会 计师的工作 情况进行了 评价总结。</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审议《公司</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季度报告》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 核销部分应 收款项的议 案》《关于向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02"/>
        <w:gridCol w:w="1195"/>
        <w:gridCol w:w="1200"/>
        <w:gridCol w:w="1195"/>
        <w:gridCol w:w="1195"/>
        <w:gridCol w:w="1694"/>
        <w:gridCol w:w="1200"/>
        <w:gridCol w:w="1200"/>
      </w:tblGrid>
      <w:tr>
        <w:trPr>
          <w:trHeight w:val="317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控股股东支 付担保费暨 关联交易的 议案》《关于 制定公司对 外担保管理 制度的议 案》《</w:t>
            </w:r>
            <w:r>
              <w:rPr>
                <w:rFonts w:ascii="Times New Roman" w:eastAsia="Times New Roman" w:hAnsi="Times New Roman" w:cs="Times New Roman"/>
                <w:color w:val="000000"/>
                <w:spacing w:val="0"/>
                <w:w w:val="100"/>
                <w:position w:val="0"/>
              </w:rPr>
              <w:t>2021</w:t>
            </w:r>
            <w:r>
              <w:rPr>
                <w:color w:val="000000"/>
                <w:spacing w:val="0"/>
                <w:w w:val="100"/>
                <w:position w:val="0"/>
              </w:rPr>
              <w:t>年 半年度报告 及摘要》</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三季度报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李万军、杨 峻、肖荣智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《关于拟处</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置闲置报废 设备的议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22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八</w:t>
      </w:r>
      <w:bookmarkEnd w:id="347"/>
      <w:r>
        <w:rPr>
          <w:color w:val="000000"/>
          <w:spacing w:val="0"/>
          <w:w w:val="100"/>
          <w:position w:val="0"/>
          <w:sz w:val="24"/>
          <w:szCs w:val="24"/>
        </w:rPr>
        <w:t>、监事会工作情况</w:t>
      </w:r>
      <w:bookmarkEnd w:id="345"/>
      <w:bookmarkEnd w:id="346"/>
      <w:bookmarkEnd w:id="348"/>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监事会在报告期内的监督活动中发现公司是否存在风险 口是"否</w:t>
      </w:r>
    </w:p>
    <w:p>
      <w:pPr>
        <w:pStyle w:val="Style18"/>
        <w:keepNext w:val="0"/>
        <w:keepLines w:val="0"/>
        <w:widowControl w:val="0"/>
        <w:shd w:val="clear" w:color="auto" w:fill="auto"/>
        <w:bidi w:val="0"/>
        <w:spacing w:before="0" w:after="320" w:line="355"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九</w:t>
      </w:r>
      <w:bookmarkEnd w:id="351"/>
      <w:r>
        <w:rPr>
          <w:color w:val="000000"/>
          <w:spacing w:val="0"/>
          <w:w w:val="100"/>
          <w:position w:val="0"/>
          <w:sz w:val="24"/>
          <w:szCs w:val="24"/>
        </w:rPr>
        <w:t>、公司员工情况</w:t>
      </w:r>
      <w:bookmarkEnd w:id="349"/>
      <w:bookmarkEnd w:id="350"/>
      <w:bookmarkEnd w:id="352"/>
    </w:p>
    <w:p>
      <w:pPr>
        <w:pStyle w:val="Style27"/>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、员工数量、专业构成及教育程度</w:t>
      </w:r>
      <w:bookmarkEnd w:id="353"/>
      <w:bookmarkEnd w:id="354"/>
      <w:bookmarkEnd w:id="35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1,570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3,498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5,068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2,872</w:t>
            </w:r>
          </w:p>
        </w:tc>
      </w:tr>
    </w:tbl>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5,068</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2,550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538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中专、中技及高中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946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864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5,068</w:t>
            </w:r>
          </w:p>
        </w:tc>
      </w:tr>
    </w:tbl>
    <w:p>
      <w:pPr>
        <w:widowControl w:val="0"/>
        <w:spacing w:after="279" w:line="1" w:lineRule="exact"/>
      </w:pPr>
    </w:p>
    <w:p>
      <w:pPr>
        <w:pStyle w:val="Style27"/>
        <w:keepNext/>
        <w:keepLines/>
        <w:widowControl w:val="0"/>
        <w:shd w:val="clear" w:color="auto" w:fill="auto"/>
        <w:tabs>
          <w:tab w:pos="367" w:val="left"/>
        </w:tabs>
        <w:bidi w:val="0"/>
        <w:spacing w:before="0" w:after="28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薪酬政策</w:t>
      </w:r>
      <w:bookmarkEnd w:id="357"/>
      <w:bookmarkEnd w:id="358"/>
      <w:bookmarkEnd w:id="360"/>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公司采用结构薪酬制，严格薪酬的计划预算管理，执行统一的薪酬结构。公司不断进行薪酬改革，逐步将岗位价值、工 作饱和度、任职能力等因素引入薪酬分配体系，倡导“岗位标准看价值，绩效考核看指标”理念，将员工收入与个人业绩、 个人能力相挂钩。并不断通过绩效管理的持续改进，有效促进员工不断提升工作能力、职业素养与工作业绩，推动员工自我 成长，实现自我价值。保持公司健康持续的发展的同时，实现公司价值与员工价值的同步成长。</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行业信息披露》中软件与信息技术服务业的披露要求</w:t>
      </w:r>
    </w:p>
    <w:p>
      <w:pPr>
        <w:pStyle w:val="Style18"/>
        <w:keepNext w:val="0"/>
        <w:keepLines w:val="0"/>
        <w:widowControl w:val="0"/>
        <w:shd w:val="clear" w:color="auto" w:fill="auto"/>
        <w:bidi w:val="0"/>
        <w:spacing w:before="0" w:after="40" w:line="311" w:lineRule="exact"/>
        <w:ind w:left="0" w:right="0"/>
        <w:jc w:val="both"/>
      </w:pPr>
      <w:r>
        <w:rPr>
          <w:color w:val="000000"/>
          <w:spacing w:val="0"/>
          <w:w w:val="100"/>
          <w:position w:val="0"/>
        </w:rPr>
        <w:t>报告期内，职工薪酬总额（计入成本部分）占公司总成本的比例为3.92%，上年同期为3.98%，公司利润对职工薪酬总额 变化敏感度较低。公司软件板块职工薪酬（计入成本部分）占软件板块营业成本的比重为4.84%，较上年同期增加了</w:t>
      </w:r>
      <w:r>
        <w:rPr>
          <w:color w:val="000000"/>
          <w:spacing w:val="0"/>
          <w:w w:val="100"/>
          <w:position w:val="0"/>
        </w:rPr>
        <w:t>0.09</w:t>
      </w:r>
      <w:r>
        <w:rPr>
          <w:color w:val="000000"/>
          <w:spacing w:val="0"/>
          <w:w w:val="100"/>
          <w:position w:val="0"/>
        </w:rPr>
        <w:t>个 百分点。报告期内，公司核心技术人员数量及薪酬占比分别为</w:t>
      </w:r>
      <w:r>
        <w:rPr>
          <w:color w:val="000000"/>
          <w:spacing w:val="0"/>
          <w:w w:val="100"/>
          <w:position w:val="0"/>
        </w:rPr>
        <w:t xml:space="preserve">2. </w:t>
      </w:r>
      <w:r>
        <w:rPr>
          <w:color w:val="000000"/>
          <w:spacing w:val="0"/>
          <w:w w:val="100"/>
          <w:position w:val="0"/>
        </w:rPr>
        <w:t>33%、5.10%，上年同期分别为</w:t>
      </w:r>
      <w:r>
        <w:rPr>
          <w:color w:val="000000"/>
          <w:spacing w:val="0"/>
          <w:w w:val="100"/>
          <w:position w:val="0"/>
        </w:rPr>
        <w:t xml:space="preserve">2. </w:t>
      </w:r>
      <w:r>
        <w:rPr>
          <w:color w:val="000000"/>
          <w:spacing w:val="0"/>
          <w:w w:val="100"/>
          <w:position w:val="0"/>
        </w:rPr>
        <w:t xml:space="preserve">78%, </w:t>
      </w:r>
      <w:r>
        <w:rPr>
          <w:color w:val="000000"/>
          <w:spacing w:val="0"/>
          <w:w w:val="100"/>
          <w:position w:val="0"/>
        </w:rPr>
        <w:t xml:space="preserve">7. </w:t>
      </w:r>
      <w:r>
        <w:rPr>
          <w:color w:val="000000"/>
          <w:spacing w:val="0"/>
          <w:w w:val="100"/>
          <w:position w:val="0"/>
        </w:rPr>
        <w:t>13%，分别下降了</w:t>
      </w:r>
      <w:r>
        <w:rPr>
          <w:color w:val="000000"/>
          <w:spacing w:val="0"/>
          <w:w w:val="100"/>
          <w:position w:val="0"/>
        </w:rPr>
        <w:t xml:space="preserve">0.45 </w:t>
      </w:r>
      <w:r>
        <w:rPr>
          <w:color w:val="000000"/>
          <w:spacing w:val="0"/>
          <w:w w:val="100"/>
          <w:position w:val="0"/>
        </w:rPr>
        <w:t>个百分点和</w:t>
      </w:r>
      <w:r>
        <w:rPr>
          <w:color w:val="000000"/>
          <w:spacing w:val="0"/>
          <w:w w:val="100"/>
          <w:position w:val="0"/>
        </w:rPr>
        <w:t>2.03</w:t>
      </w:r>
      <w:r>
        <w:rPr>
          <w:color w:val="000000"/>
          <w:spacing w:val="0"/>
          <w:w w:val="100"/>
          <w:position w:val="0"/>
        </w:rPr>
        <w:t>个百分点。</w:t>
      </w:r>
    </w:p>
    <w:p>
      <w:pPr>
        <w:pStyle w:val="Style18"/>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27"/>
        <w:keepNext/>
        <w:keepLines/>
        <w:widowControl w:val="0"/>
        <w:shd w:val="clear" w:color="auto" w:fill="auto"/>
        <w:tabs>
          <w:tab w:pos="367" w:val="left"/>
        </w:tabs>
        <w:bidi w:val="0"/>
        <w:spacing w:before="0" w:after="2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w:t>
        <w:tab/>
        <w:t>培训计划</w:t>
      </w:r>
      <w:bookmarkEnd w:id="361"/>
      <w:bookmarkEnd w:id="362"/>
      <w:bookmarkEnd w:id="364"/>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依据公司战略规划和发展目标，公司坚持完善中高层管理团队能力修炼计划、关键岗位继任者计划、管理培训生培养及 员工日常技能培训四个模块的人员培训体系，形成由低到高的人才培养衔接机制，完善能力素质培养与专业技能培养结合机 制。其中，中高层管理团队能力修炼计划，通过先进的管理理念培训和指导，提升核心管理团队素质。关键岗位继任者计划， 主要是针对经理以上级岗位选拔和培养后备梯队，以保证公司快速发展中中层管理干部的人员供给。同时，继续完善管理培 训生招聘和培养体系，每年向企业各个岗位输送优秀的新鲜血液。在日常培训方面，把外部培训课程内化，丰富和完善公司 内部网络培训资源，定期组织开展内部专业理论和技能培训，使员工在企业始终得到能力的提升和锻炼。</w:t>
      </w:r>
    </w:p>
    <w:p>
      <w:pPr>
        <w:pStyle w:val="Style27"/>
        <w:keepNext/>
        <w:keepLines/>
        <w:widowControl w:val="0"/>
        <w:shd w:val="clear" w:color="auto" w:fill="auto"/>
        <w:tabs>
          <w:tab w:pos="367" w:val="left"/>
        </w:tabs>
        <w:bidi w:val="0"/>
        <w:spacing w:before="0" w:after="2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w:t>
        <w:tab/>
        <w:t>劳务外包情况</w:t>
      </w:r>
      <w:bookmarkEnd w:id="365"/>
      <w:bookmarkEnd w:id="366"/>
      <w:bookmarkEnd w:id="368"/>
    </w:p>
    <w:p>
      <w:pPr>
        <w:pStyle w:val="Style1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28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十、公司利润分配及资本公积金转增股本情况</w:t>
      </w:r>
      <w:bookmarkEnd w:id="369"/>
      <w:bookmarkEnd w:id="370"/>
      <w:bookmarkEnd w:id="371"/>
    </w:p>
    <w:p>
      <w:pPr>
        <w:pStyle w:val="Style18"/>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4786"/>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报告期内盈利且母公司可供股东分配利润为正但未提出现 金红利分配预案的原因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6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公司正处于转型升级关键时期，</w:t>
            </w:r>
            <w:r>
              <w:rPr>
                <w:rFonts w:ascii="Times New Roman" w:eastAsia="Times New Roman" w:hAnsi="Times New Roman" w:cs="Times New Roman"/>
                <w:color w:val="000000"/>
                <w:spacing w:val="0"/>
                <w:w w:val="100"/>
                <w:position w:val="0"/>
              </w:rPr>
              <w:t>2022</w:t>
            </w:r>
            <w:r>
              <w:rPr>
                <w:color w:val="000000"/>
                <w:spacing w:val="0"/>
                <w:w w:val="100"/>
                <w:position w:val="0"/>
              </w:rPr>
              <w:t>年在云数据中心 等项目建设上仍存在较大资金需求和投入，且公司纺织主 业在</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年连续受到新型冠状病毒肺炎疫情的 影响，尚在恢复过程中，需要预留资金以发展主营业务和 抵御其他不可抗力因素的影响。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剩余未分配利润结转至下一年度，将主要用于公司日 常经营发展及流动资金需要、云数据中心等项目建设以及 新项目投资需求，以保障公司正常生产经营和业务拓展， 为公司及股东谋求利益最大化。</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bidi w:val="0"/>
        <w:spacing w:before="0" w:after="2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十一、公司股权激励计划、员工持股计划或其他员工激励措施的实施情况</w:t>
      </w:r>
      <w:bookmarkEnd w:id="372"/>
      <w:bookmarkEnd w:id="373"/>
      <w:bookmarkEnd w:id="374"/>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十二、报告期内的内部控制制度建设及实施情况</w:t>
      </w:r>
      <w:bookmarkEnd w:id="375"/>
      <w:bookmarkEnd w:id="376"/>
      <w:bookmarkEnd w:id="377"/>
    </w:p>
    <w:p>
      <w:pPr>
        <w:pStyle w:val="Style27"/>
        <w:keepNext/>
        <w:keepLines/>
        <w:widowControl w:val="0"/>
        <w:shd w:val="clear" w:color="auto" w:fill="auto"/>
        <w:tabs>
          <w:tab w:pos="368"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w:t>
        <w:tab/>
        <w:t>内部控制建设及实施情况</w:t>
      </w:r>
      <w:bookmarkEnd w:id="378"/>
      <w:bookmarkEnd w:id="379"/>
      <w:bookmarkEnd w:id="381"/>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公司根据中国证监会、深圳证券交易所的有关规定，遵循内部控制的基本原则，按照公司实际情况，已建立健全了公司 的内部控制制度体系并得到有效的执行，并由审计委员会、内部审计部门共同组成公司的风险内控管理组织体系，对公司的 内部控制管理进行监督与评价。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公司的内部控制能够涵盖公司经营管理的主要方面，不存在重大遗漏；纳入评价范围的单位、业务和事项涵盖了公司经 营管理的主要方面，不存在重大遗漏；公司内部控制设计健全、合理，内部控制执行有效，不存在重大遗漏。</w:t>
      </w:r>
    </w:p>
    <w:p>
      <w:pPr>
        <w:pStyle w:val="Style18"/>
        <w:keepNext w:val="0"/>
        <w:keepLines w:val="0"/>
        <w:widowControl w:val="0"/>
        <w:shd w:val="clear" w:color="auto" w:fill="auto"/>
        <w:bidi w:val="0"/>
        <w:spacing w:before="0" w:after="340" w:line="314" w:lineRule="exact"/>
        <w:ind w:left="0" w:right="0"/>
        <w:jc w:val="both"/>
      </w:pPr>
      <w:r>
        <w:rPr>
          <w:color w:val="000000"/>
          <w:spacing w:val="0"/>
          <w:w w:val="100"/>
          <w:position w:val="0"/>
        </w:rPr>
        <w:t>公司通过内部控制体系的运行、分析与评价，有效防范了经营管理中的风险，促进了内部控制目标的实现。</w:t>
      </w:r>
    </w:p>
    <w:p>
      <w:pPr>
        <w:pStyle w:val="Style27"/>
        <w:keepNext/>
        <w:keepLines/>
        <w:widowControl w:val="0"/>
        <w:shd w:val="clear" w:color="auto" w:fill="auto"/>
        <w:tabs>
          <w:tab w:pos="378" w:val="left"/>
        </w:tabs>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报告期内发现的内部控制重大缺陷的具体情况</w:t>
      </w:r>
      <w:bookmarkEnd w:id="382"/>
      <w:bookmarkEnd w:id="383"/>
      <w:bookmarkEnd w:id="385"/>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口是"否</w:t>
      </w:r>
    </w:p>
    <w:p>
      <w:pPr>
        <w:pStyle w:val="Style23"/>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十三、公司报告期内对子公司的管理控制情况</w:t>
      </w:r>
      <w:bookmarkEnd w:id="386"/>
      <w:bookmarkEnd w:id="387"/>
      <w:bookmarkEnd w:id="388"/>
    </w:p>
    <w:tbl>
      <w:tblPr>
        <w:tblOverlap w:val="never"/>
        <w:jc w:val="center"/>
        <w:tblLayout w:type="fixed"/>
      </w:tblPr>
      <w:tblGrid>
        <w:gridCol w:w="1373"/>
        <w:gridCol w:w="1363"/>
        <w:gridCol w:w="1368"/>
        <w:gridCol w:w="1368"/>
        <w:gridCol w:w="1363"/>
        <w:gridCol w:w="1368"/>
        <w:gridCol w:w="137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十四、内部控制自我评价报告或内部控制审计报告</w:t>
      </w:r>
      <w:bookmarkEnd w:id="389"/>
      <w:bookmarkEnd w:id="390"/>
      <w:bookmarkEnd w:id="391"/>
    </w:p>
    <w:p>
      <w:pPr>
        <w:pStyle w:val="Style27"/>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、内控自我评价报告</w:t>
      </w:r>
      <w:bookmarkEnd w:id="392"/>
      <w:bookmarkEnd w:id="393"/>
      <w:bookmarkEnd w:id="395"/>
    </w:p>
    <w:tbl>
      <w:tblPr>
        <w:tblOverlap w:val="never"/>
        <w:jc w:val="center"/>
        <w:tblLayout w:type="fixed"/>
      </w:tblPr>
      <w:tblGrid>
        <w:gridCol w:w="3197"/>
        <w:gridCol w:w="3322"/>
        <w:gridCol w:w="30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年度内部控制评价报告》详见潮资讯网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60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60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7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 人员舞弊；（</w:t>
            </w:r>
            <w:r>
              <w:rPr>
                <w:rFonts w:ascii="Times New Roman" w:eastAsia="Times New Roman" w:hAnsi="Times New Roman" w:cs="Times New Roman"/>
                <w:color w:val="000000"/>
                <w:spacing w:val="0"/>
                <w:w w:val="100"/>
                <w:position w:val="0"/>
              </w:rPr>
              <w:t>2</w:t>
            </w:r>
            <w:r>
              <w:rPr>
                <w:color w:val="000000"/>
                <w:spacing w:val="0"/>
                <w:w w:val="100"/>
                <w:position w:val="0"/>
              </w:rPr>
              <w:t>）企业更正已公布的财务 报告；（</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）注册会计师发现当期财务报 告存在重大错报而内部控制在运行过程 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）企业审计委员 会和内部审计机构对内部控制的监督无 效。重要缺陷：（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 准则选择和应用会计政策；（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 立反舞弊程序和控制措施；（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 常规或特殊交易的账务处理没有建立相 应的控制机制或没有实施且没有相应的 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 程的控制存在一项或多项缺陷且不能合 理保证编制的财务报表达到真实、准确 的目标。一般缺陷：未构成重大缺陷、 重要缺陷标准的其他内部控制缺陷。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重大缺陷：违犯国家法律法规或规范 性文件、重大决策程序不科学、制度 缺失可能导致系统性失效、关键岗位 人员流失严重、被媒体频频曝光负面 新闻、重大缺陷不能得到整改。重要 缺陷：违反企业内部规章、重要业务 缺乏制度控制、被媒体曝光负面新 闻、较重要业务缺乏制度控制或制度 系统性失效、重要缺陷的事项未得到 整改。一般缺陷：未构成重大缺陷、 重要缺陷标准的其他内部控制缺陷。</w:t>
            </w:r>
          </w:p>
        </w:tc>
      </w:tr>
      <w:tr>
        <w:trPr>
          <w:trHeight w:val="450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定量标准以税前利润、所有者权益总额 作为衡量指标。内部控制缺陷可能导致 或导致的损失与利润表相关的，以税前 利润指标衡量。如果该缺陷单独或连同 其他缺陷可能导致的财务报告错报金额 小于税前利润的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 陷；如果超过税前利润的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5%</w:t>
            </w:r>
            <w:r>
              <w:rPr>
                <w:color w:val="000000"/>
                <w:spacing w:val="0"/>
                <w:w w:val="100"/>
                <w:position w:val="0"/>
              </w:rPr>
              <w:t xml:space="preserve">， 则为重要缺陷；如果超过税前利润的 </w:t>
            </w:r>
            <w:r>
              <w:rPr>
                <w:rFonts w:ascii="Times New Roman" w:eastAsia="Times New Roman" w:hAnsi="Times New Roman" w:cs="Times New Roman"/>
                <w:color w:val="000000"/>
                <w:spacing w:val="0"/>
                <w:w w:val="100"/>
                <w:position w:val="0"/>
              </w:rPr>
              <w:t>5%</w:t>
            </w:r>
            <w:r>
              <w:rPr>
                <w:color w:val="000000"/>
                <w:spacing w:val="0"/>
                <w:w w:val="100"/>
                <w:position w:val="0"/>
              </w:rPr>
              <w:t>，则认定为重大缺陷。内部控制缺陷 可能导致或导致的损失与资产管理相关 的，以所有者权益总额指标衡量。如果 该缺陷单独或连同其他缺陷可能导致的 财务报告错报金额小于所有者权益总额 的</w:t>
            </w:r>
            <w:r>
              <w:rPr>
                <w:rFonts w:ascii="Times New Roman" w:eastAsia="Times New Roman" w:hAnsi="Times New Roman" w:cs="Times New Roman"/>
                <w:color w:val="000000"/>
                <w:spacing w:val="0"/>
                <w:w w:val="100"/>
                <w:position w:val="0"/>
              </w:rPr>
              <w:t>0.2%</w:t>
            </w:r>
            <w:r>
              <w:rPr>
                <w:color w:val="000000"/>
                <w:spacing w:val="0"/>
                <w:w w:val="100"/>
                <w:position w:val="0"/>
              </w:rPr>
              <w:t>，则认定为一般缺陷；如果超过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重大缺陷：</w:t>
            </w:r>
            <w:r>
              <w:rPr>
                <w:color w:val="000000"/>
                <w:spacing w:val="0"/>
                <w:w w:val="100"/>
                <w:position w:val="0"/>
              </w:rPr>
              <w:t>N</w:t>
            </w:r>
            <w:r>
              <w:rPr>
                <w:color w:val="000000"/>
                <w:spacing w:val="0"/>
                <w:w w:val="100"/>
                <w:position w:val="0"/>
              </w:rPr>
              <w:t>所有者权益总额</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或已经对外正式披露并对公司定期 报告披露造成负面影响；企业关键岗 位人员流失严重；被媒体频频曝光负 面新闻。重要缺陷：所有者权益总额 </w:t>
            </w:r>
            <w:r>
              <w:rPr>
                <w:rFonts w:ascii="Times New Roman" w:eastAsia="Times New Roman" w:hAnsi="Times New Roman" w:cs="Times New Roman"/>
                <w:color w:val="000000"/>
                <w:spacing w:val="0"/>
                <w:w w:val="100"/>
                <w:position w:val="0"/>
              </w:rPr>
              <w:t>0.2%</w:t>
            </w:r>
            <w:r>
              <w:rPr>
                <w:color w:val="000000"/>
                <w:spacing w:val="0"/>
                <w:w w:val="100"/>
                <w:position w:val="0"/>
              </w:rPr>
              <w:t>W</w:t>
            </w:r>
            <w:r>
              <w:rPr>
                <w:color w:val="000000"/>
                <w:spacing w:val="0"/>
                <w:w w:val="100"/>
                <w:position w:val="0"/>
              </w:rPr>
              <w:t xml:space="preserve">直接损失〈所有者权益总额 </w:t>
            </w:r>
            <w:r>
              <w:rPr>
                <w:rFonts w:ascii="Times New Roman" w:eastAsia="Times New Roman" w:hAnsi="Times New Roman" w:cs="Times New Roman"/>
                <w:color w:val="000000"/>
                <w:spacing w:val="0"/>
                <w:w w:val="100"/>
                <w:position w:val="0"/>
              </w:rPr>
              <w:t>0.4%</w:t>
            </w:r>
            <w:r>
              <w:rPr>
                <w:color w:val="000000"/>
                <w:spacing w:val="0"/>
                <w:w w:val="100"/>
                <w:position w:val="0"/>
              </w:rPr>
              <w:t>或受到国家政府部门处罚，但未 对公司定期报告披露造成负面影响； 被媒体曝光且产生负面影响。一般缺 陷：〈所有者权益总额</w:t>
            </w:r>
            <w:r>
              <w:rPr>
                <w:rFonts w:ascii="Times New Roman" w:eastAsia="Times New Roman" w:hAnsi="Times New Roman" w:cs="Times New Roman"/>
                <w:color w:val="000000"/>
                <w:spacing w:val="0"/>
                <w:w w:val="100"/>
                <w:position w:val="0"/>
              </w:rPr>
              <w:t>0.2%</w:t>
            </w:r>
            <w:r>
              <w:rPr>
                <w:color w:val="000000"/>
                <w:spacing w:val="0"/>
                <w:w w:val="100"/>
                <w:position w:val="0"/>
              </w:rPr>
              <w:t>或受到 省级（含省级）以下政府部门处罚但 未对公司定期报告披露造成负面影 响。</w:t>
            </w:r>
          </w:p>
        </w:tc>
      </w:tr>
    </w:tbl>
    <w:p>
      <w:pPr>
        <w:spacing w:lineRule="exact" w:line="1"/>
        <w:rPr>
          <w:sz w:val="2"/>
          <w:szCs w:val="2"/>
        </w:rPr>
      </w:pPr>
      <w:r>
        <w:br w:type="page"/>
      </w:r>
    </w:p>
    <w:tbl>
      <w:tblPr>
        <w:tblOverlap w:val="never"/>
        <w:jc w:val="center"/>
        <w:tblLayout w:type="fixed"/>
      </w:tblPr>
      <w:tblGrid>
        <w:gridCol w:w="3197"/>
        <w:gridCol w:w="3322"/>
        <w:gridCol w:w="3058"/>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所有者权益总额的</w:t>
            </w:r>
            <w:r>
              <w:rPr>
                <w:rFonts w:ascii="Times New Roman" w:eastAsia="Times New Roman" w:hAnsi="Times New Roman" w:cs="Times New Roman"/>
                <w:color w:val="000000"/>
                <w:spacing w:val="0"/>
                <w:w w:val="100"/>
                <w:position w:val="0"/>
              </w:rPr>
              <w:t>0.2%</w:t>
            </w:r>
            <w:r>
              <w:rPr>
                <w:color w:val="000000"/>
                <w:spacing w:val="0"/>
                <w:w w:val="100"/>
                <w:position w:val="0"/>
              </w:rPr>
              <w:t>但小于</w:t>
            </w:r>
            <w:r>
              <w:rPr>
                <w:rFonts w:ascii="Times New Roman" w:eastAsia="Times New Roman" w:hAnsi="Times New Roman" w:cs="Times New Roman"/>
                <w:color w:val="000000"/>
                <w:spacing w:val="0"/>
                <w:w w:val="100"/>
                <w:position w:val="0"/>
              </w:rPr>
              <w:t>0.4%</w:t>
            </w:r>
            <w:r>
              <w:rPr>
                <w:color w:val="000000"/>
                <w:spacing w:val="0"/>
                <w:w w:val="100"/>
                <w:position w:val="0"/>
              </w:rPr>
              <w:t>认 定为重要缺陷；如果超过所有者权益总 额</w:t>
            </w:r>
            <w:r>
              <w:rPr>
                <w:rFonts w:ascii="Times New Roman" w:eastAsia="Times New Roman" w:hAnsi="Times New Roman" w:cs="Times New Roman"/>
                <w:color w:val="000000"/>
                <w:spacing w:val="0"/>
                <w:w w:val="100"/>
                <w:position w:val="0"/>
              </w:rPr>
              <w:t>0.4%</w:t>
            </w:r>
            <w:r>
              <w:rPr>
                <w:color w:val="000000"/>
                <w:spacing w:val="0"/>
                <w:w w:val="100"/>
                <w:position w:val="0"/>
              </w:rPr>
              <w:t>，则认定为重大缺陷。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、内部控制审计报告</w:t>
      </w:r>
      <w:bookmarkEnd w:id="396"/>
      <w:bookmarkEnd w:id="397"/>
      <w:bookmarkEnd w:id="399"/>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3000"/>
        <w:gridCol w:w="6682"/>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460"/>
              <w:jc w:val="left"/>
            </w:pPr>
            <w:r>
              <w:rPr>
                <w:color w:val="000000"/>
                <w:spacing w:val="0"/>
                <w:w w:val="100"/>
                <w:position w:val="0"/>
              </w:rPr>
              <w:t>我们认为，常山北明于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 财务报告内部控制。</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会计师事务所是否出具非标准意见的内部控制审计报告</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”是□否</w:t>
      </w:r>
    </w:p>
    <w:p>
      <w:pPr>
        <w:pStyle w:val="Style23"/>
        <w:keepNext/>
        <w:keepLines/>
        <w:widowControl w:val="0"/>
        <w:shd w:val="clear" w:color="auto" w:fill="auto"/>
        <w:bidi w:val="0"/>
        <w:spacing w:before="0" w:after="26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十五、上市公司治理专项行动自查问题整改情况</w:t>
      </w:r>
      <w:bookmarkEnd w:id="400"/>
      <w:bookmarkEnd w:id="401"/>
      <w:bookmarkEnd w:id="402"/>
    </w:p>
    <w:p>
      <w:pPr>
        <w:pStyle w:val="Style18"/>
        <w:keepNext w:val="0"/>
        <w:keepLines w:val="0"/>
        <w:widowControl w:val="0"/>
        <w:shd w:val="clear" w:color="auto" w:fill="auto"/>
        <w:bidi w:val="0"/>
        <w:spacing w:before="0" w:after="180" w:line="312" w:lineRule="exact"/>
        <w:ind w:left="0" w:right="0"/>
        <w:jc w:val="left"/>
        <w:sectPr>
          <w:footnotePr>
            <w:pos w:val="pageBottom"/>
            <w:numFmt w:val="decimal"/>
            <w:numRestart w:val="continuous"/>
          </w:footnotePr>
          <w:pgSz w:w="11900" w:h="16840"/>
          <w:pgMar w:top="1359" w:right="1035" w:bottom="1445" w:left="1059" w:header="0" w:footer="3" w:gutter="0"/>
          <w:cols w:space="720"/>
          <w:noEndnote/>
          <w:rtlGutter w:val="0"/>
          <w:docGrid w:linePitch="360"/>
        </w:sectPr>
      </w:pPr>
      <w:r>
        <w:rPr>
          <w:color w:val="000000"/>
          <w:spacing w:val="0"/>
          <w:w w:val="100"/>
          <w:position w:val="0"/>
        </w:rPr>
        <w:t>公司根据证监会《关于开展上市公司治理专项行动的公告》的要求，组织相关部门对公司治理问题进行自查，完成专项 自查清单的填写。通过自查，公司治理整体符合要求，不存在需整改的重大问题。</w:t>
      </w:r>
    </w:p>
    <w:p>
      <w:pPr>
        <w:pStyle w:val="Style10"/>
        <w:keepNext/>
        <w:keepLines/>
        <w:widowControl w:val="0"/>
        <w:shd w:val="clear" w:color="auto" w:fill="auto"/>
        <w:bidi w:val="0"/>
        <w:spacing w:before="480" w:after="520" w:line="240" w:lineRule="auto"/>
        <w:ind w:left="0" w:right="0" w:firstLine="0"/>
        <w:jc w:val="center"/>
      </w:pPr>
      <w:bookmarkStart w:id="403" w:name="bookmark403"/>
      <w:bookmarkStart w:id="404" w:name="bookmark404"/>
      <w:bookmarkStart w:id="405" w:name="bookmark405"/>
      <w:r>
        <w:rPr>
          <w:color w:val="000000"/>
          <w:spacing w:val="0"/>
          <w:w w:val="100"/>
          <w:position w:val="0"/>
        </w:rPr>
        <w:t>第五节环境和社会责任</w:t>
      </w:r>
      <w:bookmarkEnd w:id="403"/>
      <w:bookmarkEnd w:id="404"/>
      <w:bookmarkEnd w:id="405"/>
    </w:p>
    <w:p>
      <w:pPr>
        <w:pStyle w:val="Style23"/>
        <w:keepNext/>
        <w:keepLines/>
        <w:widowControl w:val="0"/>
        <w:shd w:val="clear" w:color="auto" w:fill="auto"/>
        <w:bidi w:val="0"/>
        <w:spacing w:before="0" w:after="360" w:line="240" w:lineRule="auto"/>
        <w:ind w:left="0" w:right="0" w:firstLine="260"/>
        <w:jc w:val="left"/>
      </w:pPr>
      <w:bookmarkStart w:id="406" w:name="bookmark406"/>
      <w:bookmarkStart w:id="407" w:name="bookmark407"/>
      <w:bookmarkStart w:id="408" w:name="bookmark408"/>
      <w:r>
        <w:rPr>
          <w:color w:val="000000"/>
          <w:spacing w:val="0"/>
          <w:w w:val="100"/>
          <w:position w:val="0"/>
          <w:sz w:val="24"/>
          <w:szCs w:val="24"/>
        </w:rPr>
        <w:t>、重大环保问题</w:t>
      </w:r>
      <w:bookmarkEnd w:id="406"/>
      <w:bookmarkEnd w:id="407"/>
      <w:bookmarkEnd w:id="40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公司始终坚持环保就是效益的理念，高度重视环保工作，在日常管理和生产经营中纳入社会责任要素，实现企业与员工、 企业与社会、企业与环境的和谐发展，以碳中和目标为牵引，走绿色发展之路。</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本企业生产不属于废水污染监管行业，公司设置了内部生态环境保护管理机构，配置了兼职环保管理人员，建立了环境 运行控制程序、突发环境事件应急预案等生态环境保护管理制度，实行生态环境保护目标管理。公司所有项目均严格执行了 环评及环保三同时制度，并取得</w:t>
      </w:r>
      <w:r>
        <w:rPr>
          <w:color w:val="000000"/>
          <w:spacing w:val="0"/>
          <w:w w:val="100"/>
          <w:position w:val="0"/>
        </w:rPr>
        <w:t>ISO14001</w:t>
      </w:r>
      <w:r>
        <w:rPr>
          <w:color w:val="000000"/>
          <w:spacing w:val="0"/>
          <w:w w:val="100"/>
          <w:position w:val="0"/>
        </w:rPr>
        <w:t>环境体系管理认证证书，根据固定污染源排污许可分类管理目录2019,公司排污许 可属于登记类管理，已在全国排污许可证管理信息平台进行填报排污登记；公司水污染物、大气污染物、噪声等排放均达到 国家或者本省污染物排放标准；公司建有污水处理站；排放的生产、生活废水经公司污水处理站处理达标后经污水管网排入 正定新区污水处理厂。污水综合排放</w:t>
      </w:r>
      <w:r>
        <w:rPr>
          <w:color w:val="000000"/>
          <w:spacing w:val="0"/>
          <w:w w:val="100"/>
          <w:position w:val="0"/>
        </w:rPr>
        <w:t>GB8978-1996</w:t>
      </w:r>
      <w:r>
        <w:rPr>
          <w:color w:val="000000"/>
          <w:spacing w:val="0"/>
          <w:w w:val="100"/>
          <w:position w:val="0"/>
        </w:rPr>
        <w:t>表4三级标准/正定新区污水处理厂进水水质要求。污水站设备设施运行正 常，运行维护记录填写完整，企业已编制重污染天气应急响应操作方案，实行“一厂一策”管理；企业按要求在河北省污染 源环境管理数据平台和全国排污许可证管理信息平台公开了企业基础信息、污染物排放信息、污染防治设施建设和运行情况 等信息。</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公司认真贯彻《中华人民共和国环境保护法》，生产全过程认真执行质量管理体系</w:t>
      </w:r>
      <w:r>
        <w:rPr>
          <w:color w:val="000000"/>
          <w:spacing w:val="0"/>
          <w:w w:val="100"/>
          <w:position w:val="0"/>
        </w:rPr>
        <w:t>ISO9001:2015</w:t>
      </w:r>
      <w:r>
        <w:rPr>
          <w:color w:val="000000"/>
          <w:spacing w:val="0"/>
          <w:w w:val="100"/>
          <w:position w:val="0"/>
        </w:rPr>
        <w:t>标准和环境管理体系</w:t>
      </w:r>
      <w:r>
        <w:rPr>
          <w:color w:val="000000"/>
          <w:spacing w:val="0"/>
          <w:w w:val="100"/>
          <w:position w:val="0"/>
        </w:rPr>
        <w:t xml:space="preserve">ISO </w:t>
      </w:r>
      <w:r>
        <w:rPr>
          <w:color w:val="000000"/>
          <w:spacing w:val="0"/>
          <w:w w:val="100"/>
          <w:position w:val="0"/>
        </w:rPr>
        <w:t>14001： 2015标准，公司致力于开展清洁生产经营活动，达到环保要求，减少环境污染，为了更好地实现公司可持续发展， 推行节能减排创新工作，公司努力降低能源的消耗，在技术改造升级、工艺调整、浆料配方优化等方面不断创新，做到达标 排放。空压机的系统优化、改造空调风机扇叶和在纺织设备上使用变频节能技术等降低电力能源消耗，改造车间用水设施， 在保证生产的情况下实现水的循环利用，节约用水降低成本，达到了废水排放量的降低；空调采用较为先进的喷淋头，降低 空调用水，做到循环利用，提高了空调效率，在节约电能的同时节约了用水量。报告期内，公司”三废”全部实现达标排放， 未发生环境纠纷和环境污染事故。</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公司及子公司不属于环境保护部门公布的重点排污单位，在日常生产经营过程中认真执行环境保护方面相关的法律法 规，报告期内未出现因重大环境保护违法违规而受到处罚的情况。</w:t>
      </w:r>
    </w:p>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 报告期内公司环保合规情况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公司及子公司不属于环境保护部门公布的重点排污单位。公司主要从事纯棉纱、布和涤棉纱、布的生产和销售，生产过 程中不涉及印染、鞣制等会产生重大污染的环节。在日常生产经营过程中认真执行环境保护方面相关的法律法规，强化节能 减排、资源综合利用。报告期内，公司未发生重大环境污染事件，也未因违反环境保护有关法律法规而受到环境保护主管部 门的行政处罚。</w:t>
      </w:r>
    </w:p>
    <w:p>
      <w:pPr>
        <w:pStyle w:val="Style23"/>
        <w:keepNext/>
        <w:keepLines/>
        <w:widowControl w:val="0"/>
        <w:shd w:val="clear" w:color="auto" w:fill="auto"/>
        <w:tabs>
          <w:tab w:pos="583" w:val="left"/>
        </w:tabs>
        <w:bidi w:val="0"/>
        <w:spacing w:before="0" w:after="260" w:line="240" w:lineRule="auto"/>
        <w:ind w:left="0" w:right="0" w:firstLine="0"/>
        <w:jc w:val="both"/>
      </w:pPr>
      <w:bookmarkStart w:id="409" w:name="bookmark409"/>
      <w:bookmarkStart w:id="410" w:name="bookmark410"/>
      <w:bookmarkStart w:id="411" w:name="bookmark411"/>
      <w:bookmarkStart w:id="412" w:name="bookmark412"/>
      <w:r>
        <w:rPr>
          <w:color w:val="000000"/>
          <w:spacing w:val="0"/>
          <w:w w:val="100"/>
          <w:position w:val="0"/>
          <w:sz w:val="24"/>
          <w:szCs w:val="24"/>
        </w:rPr>
        <w:t>二</w:t>
      </w:r>
      <w:bookmarkEnd w:id="411"/>
      <w:r>
        <w:rPr>
          <w:color w:val="000000"/>
          <w:spacing w:val="0"/>
          <w:w w:val="100"/>
          <w:position w:val="0"/>
          <w:sz w:val="24"/>
          <w:szCs w:val="24"/>
        </w:rPr>
        <w:t>、</w:t>
        <w:tab/>
        <w:t>社会责任情况</w:t>
      </w:r>
      <w:bookmarkEnd w:id="409"/>
      <w:bookmarkEnd w:id="410"/>
      <w:bookmarkEnd w:id="412"/>
    </w:p>
    <w:p>
      <w:pPr>
        <w:pStyle w:val="Style18"/>
        <w:keepNext w:val="0"/>
        <w:keepLines w:val="0"/>
        <w:widowControl w:val="0"/>
        <w:shd w:val="clear" w:color="auto" w:fill="auto"/>
        <w:tabs>
          <w:tab w:pos="704" w:val="left"/>
        </w:tabs>
        <w:bidi w:val="0"/>
        <w:spacing w:before="0" w:after="0" w:line="319" w:lineRule="exact"/>
        <w:ind w:left="0" w:right="0"/>
        <w:jc w:val="left"/>
      </w:pPr>
      <w:bookmarkStart w:id="413" w:name="bookmark413"/>
      <w:r>
        <w:rPr>
          <w:color w:val="000000"/>
          <w:spacing w:val="0"/>
          <w:w w:val="100"/>
          <w:position w:val="0"/>
        </w:rPr>
        <w:t>1</w:t>
      </w:r>
      <w:bookmarkEnd w:id="413"/>
      <w:r>
        <w:rPr>
          <w:color w:val="000000"/>
          <w:spacing w:val="0"/>
          <w:w w:val="100"/>
          <w:position w:val="0"/>
        </w:rPr>
        <w:t>、</w:t>
        <w:tab/>
        <w:t>公司不断完善治理结构，严格管理，不存在违规担保、关联方违规占用资金、内幕交易等损害投资者、债权人等利 益相关者的行为。</w:t>
      </w:r>
    </w:p>
    <w:p>
      <w:pPr>
        <w:pStyle w:val="Style18"/>
        <w:keepNext w:val="0"/>
        <w:keepLines w:val="0"/>
        <w:widowControl w:val="0"/>
        <w:shd w:val="clear" w:color="auto" w:fill="auto"/>
        <w:tabs>
          <w:tab w:pos="724" w:val="left"/>
        </w:tabs>
        <w:bidi w:val="0"/>
        <w:spacing w:before="0" w:after="0" w:line="319" w:lineRule="exact"/>
        <w:ind w:left="0" w:right="0"/>
        <w:jc w:val="left"/>
      </w:pPr>
      <w:bookmarkStart w:id="414" w:name="bookmark414"/>
      <w:r>
        <w:rPr>
          <w:color w:val="000000"/>
          <w:spacing w:val="0"/>
          <w:w w:val="100"/>
          <w:position w:val="0"/>
        </w:rPr>
        <w:t>2</w:t>
      </w:r>
      <w:bookmarkEnd w:id="414"/>
      <w:r>
        <w:rPr>
          <w:color w:val="000000"/>
          <w:spacing w:val="0"/>
          <w:w w:val="100"/>
          <w:position w:val="0"/>
        </w:rPr>
        <w:t>、</w:t>
        <w:tab/>
        <w:t>公司守法诚信经营，与上下游客户建立了和谐共盈的合作关系。</w:t>
      </w:r>
    </w:p>
    <w:p>
      <w:pPr>
        <w:pStyle w:val="Style18"/>
        <w:keepNext w:val="0"/>
        <w:keepLines w:val="0"/>
        <w:widowControl w:val="0"/>
        <w:shd w:val="clear" w:color="auto" w:fill="auto"/>
        <w:tabs>
          <w:tab w:pos="704" w:val="left"/>
        </w:tabs>
        <w:bidi w:val="0"/>
        <w:spacing w:before="0" w:after="0" w:line="319" w:lineRule="exact"/>
        <w:ind w:left="0" w:right="0"/>
        <w:jc w:val="left"/>
      </w:pPr>
      <w:bookmarkStart w:id="415" w:name="bookmark415"/>
      <w:r>
        <w:rPr>
          <w:color w:val="000000"/>
          <w:spacing w:val="0"/>
          <w:w w:val="100"/>
          <w:position w:val="0"/>
        </w:rPr>
        <w:t>3</w:t>
      </w:r>
      <w:bookmarkEnd w:id="415"/>
      <w:r>
        <w:rPr>
          <w:color w:val="000000"/>
          <w:spacing w:val="0"/>
          <w:w w:val="100"/>
          <w:position w:val="0"/>
        </w:rPr>
        <w:t>、</w:t>
        <w:tab/>
        <w:t>公司严格按照《劳动合同法》要求，与职工签订劳动合同，按照国家相关规定为职工缴纳各项社会保险，尊重员工 各项权利。</w:t>
      </w:r>
    </w:p>
    <w:p>
      <w:pPr>
        <w:pStyle w:val="Style18"/>
        <w:keepNext w:val="0"/>
        <w:keepLines w:val="0"/>
        <w:widowControl w:val="0"/>
        <w:shd w:val="clear" w:color="auto" w:fill="auto"/>
        <w:tabs>
          <w:tab w:pos="704" w:val="left"/>
        </w:tabs>
        <w:bidi w:val="0"/>
        <w:spacing w:before="0" w:after="360" w:line="317" w:lineRule="exact"/>
        <w:ind w:left="0" w:right="0"/>
        <w:jc w:val="left"/>
      </w:pPr>
      <w:bookmarkStart w:id="416" w:name="bookmark416"/>
      <w:r>
        <w:rPr>
          <w:color w:val="000000"/>
          <w:spacing w:val="0"/>
          <w:w w:val="100"/>
          <w:position w:val="0"/>
        </w:rPr>
        <w:t>4</w:t>
      </w:r>
      <w:bookmarkEnd w:id="416"/>
      <w:r>
        <w:rPr>
          <w:color w:val="000000"/>
          <w:spacing w:val="0"/>
          <w:w w:val="100"/>
          <w:position w:val="0"/>
        </w:rPr>
        <w:t>、</w:t>
        <w:tab/>
        <w:t>积极履行企业社会责任，研发推出“新冠疫情防控平台”，面向疫情防控管理部门提供免费部署服务。平台基于成熟 的大数据运用能力、出色的大数据治理技术，形成了三层严密的疫情防控“科技网”。从感染源到传播路径，从预警到监控， 从人群分析到全局管理，为疫情防控部门提供精准可用的数据支撑。</w:t>
      </w:r>
    </w:p>
    <w:p>
      <w:pPr>
        <w:pStyle w:val="Style23"/>
        <w:keepNext/>
        <w:keepLines/>
        <w:widowControl w:val="0"/>
        <w:shd w:val="clear" w:color="auto" w:fill="auto"/>
        <w:tabs>
          <w:tab w:pos="583" w:val="left"/>
        </w:tabs>
        <w:bidi w:val="0"/>
        <w:spacing w:before="0" w:after="2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三</w:t>
      </w:r>
      <w:bookmarkEnd w:id="419"/>
      <w:r>
        <w:rPr>
          <w:color w:val="000000"/>
          <w:spacing w:val="0"/>
          <w:w w:val="100"/>
          <w:position w:val="0"/>
          <w:sz w:val="24"/>
          <w:szCs w:val="24"/>
        </w:rPr>
        <w:t>、</w:t>
        <w:tab/>
        <w:t>巩固拓展脱贫攻坚成果、乡村振兴的情况</w:t>
      </w:r>
      <w:bookmarkEnd w:id="417"/>
      <w:bookmarkEnd w:id="418"/>
      <w:bookmarkEnd w:id="420"/>
    </w:p>
    <w:p>
      <w:pPr>
        <w:pStyle w:val="Style18"/>
        <w:keepNext w:val="0"/>
        <w:keepLines w:val="0"/>
        <w:widowControl w:val="0"/>
        <w:shd w:val="clear" w:color="auto" w:fill="auto"/>
        <w:bidi w:val="0"/>
        <w:spacing w:before="0" w:after="260" w:line="319" w:lineRule="exact"/>
        <w:ind w:left="0" w:right="0" w:firstLine="0"/>
        <w:jc w:val="left"/>
        <w:sectPr>
          <w:footnotePr>
            <w:pos w:val="pageBottom"/>
            <w:numFmt w:val="decimal"/>
            <w:numRestart w:val="continuous"/>
          </w:footnotePr>
          <w:pgSz w:w="11900" w:h="16840"/>
          <w:pgMar w:top="1484" w:right="1017" w:bottom="1494" w:left="1106" w:header="0" w:footer="3" w:gutter="0"/>
          <w:cols w:space="720"/>
          <w:noEndnote/>
          <w:rtlGutter w:val="0"/>
          <w:docGrid w:linePitch="360"/>
        </w:sectPr>
      </w:pPr>
      <w:r>
        <w:rPr>
          <w:color w:val="000000"/>
          <w:spacing w:val="0"/>
          <w:w w:val="100"/>
          <w:position w:val="0"/>
        </w:rPr>
        <w:t>无</w:t>
      </w:r>
    </w:p>
    <w:p>
      <w:pPr>
        <w:pStyle w:val="Style10"/>
        <w:keepNext/>
        <w:keepLines/>
        <w:widowControl w:val="0"/>
        <w:shd w:val="clear" w:color="auto" w:fill="auto"/>
        <w:bidi w:val="0"/>
        <w:spacing w:before="520" w:after="480" w:line="240" w:lineRule="auto"/>
        <w:ind w:left="0" w:right="0" w:firstLine="0"/>
        <w:jc w:val="center"/>
      </w:pPr>
      <w:bookmarkStart w:id="421" w:name="bookmark421"/>
      <w:bookmarkStart w:id="422" w:name="bookmark422"/>
      <w:bookmarkStart w:id="423" w:name="bookmark423"/>
      <w:r>
        <w:rPr>
          <w:color w:val="000000"/>
          <w:spacing w:val="0"/>
          <w:w w:val="100"/>
          <w:position w:val="0"/>
        </w:rPr>
        <w:t>第六节重要事项</w:t>
      </w:r>
      <w:bookmarkEnd w:id="421"/>
      <w:bookmarkEnd w:id="422"/>
      <w:bookmarkEnd w:id="423"/>
    </w:p>
    <w:p>
      <w:pPr>
        <w:pStyle w:val="Style23"/>
        <w:keepNext/>
        <w:keepLines/>
        <w:widowControl w:val="0"/>
        <w:shd w:val="clear" w:color="auto" w:fill="auto"/>
        <w:tabs>
          <w:tab w:pos="517" w:val="left"/>
        </w:tabs>
        <w:bidi w:val="0"/>
        <w:spacing w:before="0" w:after="260" w:line="326" w:lineRule="exact"/>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一</w:t>
      </w:r>
      <w:bookmarkEnd w:id="426"/>
      <w:r>
        <w:rPr>
          <w:color w:val="000000"/>
          <w:spacing w:val="0"/>
          <w:w w:val="100"/>
          <w:position w:val="0"/>
          <w:sz w:val="24"/>
          <w:szCs w:val="24"/>
        </w:rPr>
        <w:t>、</w:t>
        <w:tab/>
        <w:t>承诺事项履行情况</w:t>
      </w:r>
      <w:bookmarkEnd w:id="424"/>
      <w:bookmarkEnd w:id="425"/>
      <w:bookmarkEnd w:id="427"/>
    </w:p>
    <w:p>
      <w:pPr>
        <w:pStyle w:val="Style27"/>
        <w:keepNext/>
        <w:keepLines/>
        <w:widowControl w:val="0"/>
        <w:shd w:val="clear" w:color="auto" w:fill="auto"/>
        <w:tabs>
          <w:tab w:pos="440" w:val="left"/>
        </w:tabs>
        <w:bidi w:val="0"/>
        <w:spacing w:before="0" w:after="260" w:line="322" w:lineRule="exact"/>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w:t>
        <w:tab/>
        <w:t>公司实际控制人、股东、关联方、收购人以及公司等承诺相关方在报告期内履行完毕及截至报告期末 尚未履行完毕的承诺事项</w:t>
      </w:r>
      <w:bookmarkEnd w:id="428"/>
      <w:bookmarkEnd w:id="429"/>
      <w:bookmarkEnd w:id="431"/>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27"/>
        <w:keepNext/>
        <w:keepLines/>
        <w:widowControl w:val="0"/>
        <w:shd w:val="clear" w:color="auto" w:fill="auto"/>
        <w:tabs>
          <w:tab w:pos="440" w:val="left"/>
        </w:tabs>
        <w:bidi w:val="0"/>
        <w:spacing w:before="0" w:after="260" w:line="312" w:lineRule="exact"/>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公司资产或项目存在盈利预测，且报告期仍处在盈利预测期间，公司就资产或项目达到原盈利预测及 其原因做出说明</w:t>
      </w:r>
      <w:bookmarkEnd w:id="432"/>
      <w:bookmarkEnd w:id="433"/>
      <w:bookmarkEnd w:id="435"/>
    </w:p>
    <w:p>
      <w:pPr>
        <w:pStyle w:val="Style1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260" w:line="326" w:lineRule="exact"/>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w:t>
        <w:tab/>
        <w:t>控股股东及其他关联方对上市公司的非经营性占用资金情况</w:t>
      </w:r>
      <w:bookmarkEnd w:id="436"/>
      <w:bookmarkEnd w:id="437"/>
      <w:bookmarkEnd w:id="439"/>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260" w:line="326" w:lineRule="exact"/>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三</w:t>
      </w:r>
      <w:bookmarkEnd w:id="442"/>
      <w:r>
        <w:rPr>
          <w:color w:val="000000"/>
          <w:spacing w:val="0"/>
          <w:w w:val="100"/>
          <w:position w:val="0"/>
          <w:sz w:val="24"/>
          <w:szCs w:val="24"/>
        </w:rPr>
        <w:t>、</w:t>
        <w:tab/>
        <w:t>违规对外担保情况</w:t>
      </w:r>
      <w:bookmarkEnd w:id="440"/>
      <w:bookmarkEnd w:id="441"/>
      <w:bookmarkEnd w:id="443"/>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260" w:line="326" w:lineRule="exact"/>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四</w:t>
      </w:r>
      <w:bookmarkEnd w:id="446"/>
      <w:r>
        <w:rPr>
          <w:color w:val="000000"/>
          <w:spacing w:val="0"/>
          <w:w w:val="100"/>
          <w:position w:val="0"/>
          <w:sz w:val="24"/>
          <w:szCs w:val="24"/>
        </w:rPr>
        <w:t>、</w:t>
        <w:tab/>
        <w:t>董事会对最近一期“非标准审计报告”相关情况的说明</w:t>
      </w:r>
      <w:bookmarkEnd w:id="444"/>
      <w:bookmarkEnd w:id="445"/>
      <w:bookmarkEnd w:id="447"/>
    </w:p>
    <w:p>
      <w:pPr>
        <w:pStyle w:val="Style1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22" w:val="left"/>
        </w:tabs>
        <w:bidi w:val="0"/>
        <w:spacing w:before="0" w:after="260" w:line="326"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五</w:t>
      </w:r>
      <w:bookmarkEnd w:id="450"/>
      <w:r>
        <w:rPr>
          <w:color w:val="000000"/>
          <w:spacing w:val="0"/>
          <w:w w:val="100"/>
          <w:position w:val="0"/>
          <w:sz w:val="24"/>
          <w:szCs w:val="24"/>
        </w:rPr>
        <w:t>、</w:t>
        <w:tab/>
        <w:t>董事会、监事会、独立董事（如有）对会计师事务所本报告期“非标准审计报告”的说 明</w:t>
      </w:r>
      <w:bookmarkEnd w:id="448"/>
      <w:bookmarkEnd w:id="449"/>
      <w:bookmarkEnd w:id="451"/>
    </w:p>
    <w:p>
      <w:pPr>
        <w:pStyle w:val="Style18"/>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22" w:val="left"/>
        </w:tabs>
        <w:bidi w:val="0"/>
        <w:spacing w:before="0" w:after="260" w:line="326"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六</w:t>
      </w:r>
      <w:bookmarkEnd w:id="454"/>
      <w:r>
        <w:rPr>
          <w:color w:val="000000"/>
          <w:spacing w:val="0"/>
          <w:w w:val="100"/>
          <w:position w:val="0"/>
          <w:sz w:val="24"/>
          <w:szCs w:val="24"/>
        </w:rPr>
        <w:t>、</w:t>
        <w:tab/>
        <w:t>与上年度财务报告相比，会计政策、会计估计变更或重大会计差错更正的情况说明</w:t>
      </w:r>
      <w:bookmarkEnd w:id="452"/>
      <w:bookmarkEnd w:id="453"/>
      <w:bookmarkEnd w:id="455"/>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260" w:line="315" w:lineRule="exact"/>
        <w:ind w:left="0" w:right="0"/>
        <w:jc w:val="both"/>
      </w:pPr>
      <w:r>
        <w:rPr>
          <w:color w:val="000000"/>
          <w:spacing w:val="0"/>
          <w:w w:val="100"/>
          <w:position w:val="0"/>
        </w:rPr>
        <w:t>财政部2018年12月7日发布了修订后的《企业会计准则第21号一租赁》（财会[2018]35号）（以下简称“新租赁准则”）， 本公司2021年1月1日起执行新租赁准则。根据新租赁准则的相关规定，本公司对于首次执行本准则的累积影响数，调整首次 执行本准则当年年初留存收益及财务报表其他相关项目金额，不调整可比期间信息。执行新租赁准则对2021年期初报表项目 影响如下：</w:t>
      </w:r>
    </w:p>
    <w:tbl>
      <w:tblPr>
        <w:tblOverlap w:val="never"/>
        <w:jc w:val="center"/>
        <w:tblLayout w:type="fixed"/>
      </w:tblPr>
      <w:tblGrid>
        <w:gridCol w:w="3667"/>
        <w:gridCol w:w="2947"/>
        <w:gridCol w:w="2957"/>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2021年1月1日</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55,134,395.16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1,091,738, </w:t>
            </w:r>
            <w:r>
              <w:rPr>
                <w:color w:val="000000"/>
                <w:spacing w:val="0"/>
                <w:w w:val="100"/>
                <w:position w:val="0"/>
              </w:rPr>
              <w:t xml:space="preserve">787.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1,086,247,570.87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394,811,659.09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420,390,524.42</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24,064,313.53</w:t>
            </w:r>
          </w:p>
        </w:tc>
      </w:tr>
    </w:tbl>
    <w:p>
      <w:pPr>
        <w:widowControl w:val="0"/>
        <w:spacing w:after="659" w:line="1" w:lineRule="exact"/>
      </w:pPr>
    </w:p>
    <w:p>
      <w:pPr>
        <w:pStyle w:val="Style23"/>
        <w:keepNext/>
        <w:keepLines/>
        <w:widowControl w:val="0"/>
        <w:shd w:val="clear" w:color="auto" w:fill="auto"/>
        <w:tabs>
          <w:tab w:pos="520" w:val="left"/>
        </w:tabs>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七</w:t>
      </w:r>
      <w:bookmarkEnd w:id="458"/>
      <w:r>
        <w:rPr>
          <w:color w:val="000000"/>
          <w:spacing w:val="0"/>
          <w:w w:val="100"/>
          <w:position w:val="0"/>
          <w:sz w:val="24"/>
          <w:szCs w:val="24"/>
        </w:rPr>
        <w:t>、</w:t>
        <w:tab/>
        <w:t>与上年度财务报告相比，合并报表范围发生变化的情况说明</w:t>
      </w:r>
      <w:bookmarkEnd w:id="456"/>
      <w:bookmarkEnd w:id="457"/>
      <w:bookmarkEnd w:id="459"/>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本年度增加八家合并单位为：河北恒合纺织科技有限公司、石家庄恒昇多媒体科技有限公司、河北雄安北明软件有限公 司、南京北明软件有限公司、深圳北明软件有限公司、南宁北明数科信息技术有限公司、辽宁北明数科信息技术有限公司、 深圳北明数科信息技术有限公司，上述八家公司为2021年新设立的公司，其中本公司持有石家庄恒昇多媒体科技有限公司、 河北雄安北明软件有限公司、南京北明软件有限公司、深圳北明软件有限公司股权均为100%，持有河北恒合纺织科技有限公 司98%股权，持有南宁北明数科信息技术有限公司、辽宁北明数科信息技术有限公司、深圳北明数科信息技术有限公司</w:t>
      </w:r>
      <w:r>
        <w:rPr>
          <w:color w:val="000000"/>
          <w:spacing w:val="0"/>
          <w:w w:val="100"/>
          <w:position w:val="0"/>
        </w:rPr>
        <w:t xml:space="preserve">43. </w:t>
      </w:r>
      <w:r>
        <w:rPr>
          <w:color w:val="000000"/>
          <w:spacing w:val="0"/>
          <w:w w:val="100"/>
          <w:position w:val="0"/>
        </w:rPr>
        <w:t>35% 股权。</w:t>
      </w:r>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本年度减少六家合并单位为：上海常纺恒友国际贸易有限公司、新疆常山恒宏纺织科技有限公司、北明（青岛）信息技 术有限公司、成都北明祺舯信息技术有限公司因注销不在合并范围内。北京枫调理顺科技发展有限公司少数股东签订《一致 行动人协议》，公司对其不再具有控制权，2021年为联营单位。北京天时前程工程技术有限公司（现更名为北京智合瑞行能 源科技有限公司）因处置不在合并范围内。</w:t>
      </w:r>
    </w:p>
    <w:p>
      <w:pPr>
        <w:pStyle w:val="Style23"/>
        <w:keepNext/>
        <w:keepLines/>
        <w:widowControl w:val="0"/>
        <w:shd w:val="clear" w:color="auto" w:fill="auto"/>
        <w:tabs>
          <w:tab w:pos="520" w:val="left"/>
        </w:tabs>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八</w:t>
      </w:r>
      <w:bookmarkEnd w:id="462"/>
      <w:r>
        <w:rPr>
          <w:color w:val="000000"/>
          <w:spacing w:val="0"/>
          <w:w w:val="100"/>
          <w:position w:val="0"/>
          <w:sz w:val="24"/>
          <w:szCs w:val="24"/>
        </w:rPr>
        <w:t>、</w:t>
        <w:tab/>
        <w:t>聘任、解聘会计师事务所情况</w:t>
      </w:r>
      <w:bookmarkEnd w:id="460"/>
      <w:bookmarkEnd w:id="461"/>
      <w:bookmarkEnd w:id="46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秦卫国、苏阳</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秦卫国</w:t>
            </w:r>
            <w:r>
              <w:rPr>
                <w:rFonts w:ascii="Times New Roman" w:eastAsia="Times New Roman" w:hAnsi="Times New Roman" w:cs="Times New Roman"/>
                <w:color w:val="000000"/>
                <w:spacing w:val="0"/>
                <w:w w:val="100"/>
                <w:position w:val="0"/>
              </w:rPr>
              <w:t>3</w:t>
            </w:r>
            <w:r>
              <w:rPr>
                <w:color w:val="000000"/>
                <w:spacing w:val="0"/>
                <w:w w:val="100"/>
                <w:position w:val="0"/>
              </w:rPr>
              <w:t>年、苏阳</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本年度，公司聘请中兴财光华会计师事务所（特殊普通合伙）为内部控制审计机构，期间共支付报酬50万元。</w:t>
      </w:r>
    </w:p>
    <w:p>
      <w:pPr>
        <w:pStyle w:val="Style23"/>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九</w:t>
      </w:r>
      <w:bookmarkEnd w:id="466"/>
      <w:r>
        <w:rPr>
          <w:color w:val="000000"/>
          <w:spacing w:val="0"/>
          <w:w w:val="100"/>
          <w:position w:val="0"/>
          <w:sz w:val="24"/>
          <w:szCs w:val="24"/>
        </w:rPr>
        <w:t>、年度报告披露后面临退市情况</w:t>
      </w:r>
      <w:bookmarkEnd w:id="464"/>
      <w:bookmarkEnd w:id="465"/>
      <w:bookmarkEnd w:id="46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十、破产重整相关事项</w:t>
      </w:r>
      <w:bookmarkEnd w:id="468"/>
      <w:bookmarkEnd w:id="469"/>
      <w:bookmarkEnd w:id="47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十一、重大诉讼、仲裁事项</w:t>
      </w:r>
      <w:bookmarkEnd w:id="471"/>
      <w:bookmarkEnd w:id="472"/>
      <w:bookmarkEnd w:id="47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十二、处罚及整改情况</w:t>
      </w:r>
      <w:bookmarkEnd w:id="474"/>
      <w:bookmarkEnd w:id="475"/>
      <w:bookmarkEnd w:id="47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十三、公司及其控股股东、实际控制人的诚信状况</w:t>
      </w:r>
      <w:bookmarkEnd w:id="477"/>
      <w:bookmarkEnd w:id="478"/>
      <w:bookmarkEnd w:id="47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十四、重大关联交易</w:t>
      </w:r>
      <w:bookmarkEnd w:id="480"/>
      <w:bookmarkEnd w:id="481"/>
      <w:bookmarkEnd w:id="482"/>
    </w:p>
    <w:p>
      <w:pPr>
        <w:pStyle w:val="Style27"/>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、与日常经营相关的关联交易</w:t>
      </w:r>
      <w:bookmarkEnd w:id="483"/>
      <w:bookmarkEnd w:id="484"/>
      <w:bookmarkEnd w:id="486"/>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806"/>
        <w:gridCol w:w="677"/>
        <w:gridCol w:w="677"/>
        <w:gridCol w:w="706"/>
        <w:gridCol w:w="682"/>
        <w:gridCol w:w="672"/>
        <w:gridCol w:w="677"/>
        <w:gridCol w:w="672"/>
        <w:gridCol w:w="672"/>
        <w:gridCol w:w="677"/>
        <w:gridCol w:w="672"/>
        <w:gridCol w:w="677"/>
        <w:gridCol w:w="667"/>
        <w:gridCol w:w="653"/>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 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0" w:line="322" w:lineRule="exact"/>
              <w:ind w:left="0" w:right="0" w:firstLine="140"/>
              <w:jc w:val="left"/>
            </w:pPr>
            <w:r>
              <w:rPr>
                <w:color w:val="000000"/>
                <w:spacing w:val="0"/>
                <w:w w:val="100"/>
                <w:position w:val="0"/>
              </w:rPr>
              <w:t>交易 金额</w:t>
            </w:r>
          </w:p>
          <w:p>
            <w:pPr>
              <w:pStyle w:val="Style20"/>
              <w:keepNext w:val="0"/>
              <w:keepLines w:val="0"/>
              <w:widowControl w:val="0"/>
              <w:shd w:val="clear" w:color="auto" w:fill="auto"/>
              <w:bidi w:val="0"/>
              <w:spacing w:before="0" w:after="0" w:line="322" w:lineRule="exact"/>
              <w:ind w:left="0" w:right="0" w:firstLine="140"/>
              <w:jc w:val="left"/>
            </w:pPr>
            <w:r>
              <w:rPr>
                <w:color w:val="000000"/>
                <w:spacing w:val="0"/>
                <w:w w:val="100"/>
                <w:position w:val="0"/>
              </w:rPr>
              <w:t>（万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w:t>
            </w:r>
          </w:p>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交易 结算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索引</w:t>
            </w:r>
          </w:p>
        </w:tc>
      </w:tr>
      <w:tr>
        <w:trPr>
          <w:trHeight w:val="66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母公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 于</w:t>
            </w:r>
          </w:p>
        </w:tc>
      </w:tr>
      <w:tr>
        <w:trPr>
          <w:trHeight w:val="317"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织集团</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0.54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供销有</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r>
      <w:tr>
        <w:trPr>
          <w:trHeight w:val="66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限责任 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64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 母公 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0.05</w:t>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p>
        </w:tc>
      </w:tr>
      <w:tr>
        <w:trPr>
          <w:trHeight w:val="653"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织集团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经编实</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82"/>
        <w:gridCol w:w="672"/>
        <w:gridCol w:w="677"/>
        <w:gridCol w:w="672"/>
        <w:gridCol w:w="672"/>
        <w:gridCol w:w="677"/>
        <w:gridCol w:w="672"/>
        <w:gridCol w:w="677"/>
        <w:gridCol w:w="667"/>
        <w:gridCol w:w="653"/>
      </w:tblGrid>
      <w:tr>
        <w:trPr>
          <w:trHeight w:val="6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业有限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（编 号： </w:t>
            </w:r>
            <w:r>
              <w:rPr>
                <w:rFonts w:ascii="Times New Roman" w:eastAsia="Times New Roman" w:hAnsi="Times New Roman" w:cs="Times New Roman"/>
                <w:color w:val="000000"/>
                <w:spacing w:val="0"/>
                <w:w w:val="100"/>
                <w:position w:val="0"/>
              </w:rPr>
              <w:t>2021</w:t>
              <w:softHyphen/>
              <w:t>019</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 国证 券 报》、</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 券时 报》 和巨 潮资 讯网</w:t>
            </w:r>
          </w:p>
          <w:p>
            <w:pPr>
              <w:pStyle w:val="Style2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 p://w ww.c ninfo.</w:t>
            </w:r>
          </w:p>
          <w:p>
            <w:pPr>
              <w:pStyle w:val="Style20"/>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com.</w:t>
            </w:r>
          </w:p>
          <w:p>
            <w:pPr>
              <w:pStyle w:val="Style20"/>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 常山纺 织集团 进出口 贸易有 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 母公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136.3</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0.03</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 常山纺 织集团 供销有 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3,907.</w:t>
            </w:r>
          </w:p>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1.09</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 常山纺 织集团 经编实 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母公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0.02</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北京北 明兆业 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0.01</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全面智 能（厦 门）科 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495.5</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0.08</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495.5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北京北 明兆业 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1,057.</w:t>
            </w:r>
          </w:p>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0.18</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北京国 智云鼎 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823.2</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0.14</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823.2</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全面智 能（厦 门）科 技有限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731.6</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0.12</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731.6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77"/>
        <w:gridCol w:w="677"/>
        <w:gridCol w:w="706"/>
        <w:gridCol w:w="682"/>
        <w:gridCol w:w="672"/>
        <w:gridCol w:w="677"/>
        <w:gridCol w:w="672"/>
        <w:gridCol w:w="672"/>
        <w:gridCol w:w="677"/>
        <w:gridCol w:w="672"/>
        <w:gridCol w:w="677"/>
        <w:gridCol w:w="667"/>
        <w:gridCol w:w="64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北京盛 世繁花 国际传 媒广告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 第二 大股 东合 营企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238.7</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北京枫</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调理顺</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科技发</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10,40</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年年度股东大会审议通过与常山集团签署</w:t>
            </w:r>
            <w:r>
              <w:rPr>
                <w:rFonts w:ascii="Times New Roman" w:eastAsia="Times New Roman" w:hAnsi="Times New Roman" w:cs="Times New Roman"/>
                <w:color w:val="000000"/>
                <w:spacing w:val="0"/>
                <w:w w:val="100"/>
                <w:position w:val="0"/>
              </w:rPr>
              <w:t>2021</w:t>
            </w:r>
            <w:r>
              <w:rPr>
                <w:color w:val="000000"/>
                <w:spacing w:val="0"/>
                <w:w w:val="100"/>
                <w:position w:val="0"/>
              </w:rPr>
              <w:t>年度日常生产经 营关联交易协议的议案，</w:t>
            </w:r>
            <w:r>
              <w:rPr>
                <w:rFonts w:ascii="Times New Roman" w:eastAsia="Times New Roman" w:hAnsi="Times New Roman" w:cs="Times New Roman"/>
                <w:color w:val="000000"/>
                <w:spacing w:val="0"/>
                <w:w w:val="100"/>
                <w:position w:val="0"/>
              </w:rPr>
              <w:t>2021</w:t>
            </w:r>
            <w:r>
              <w:rPr>
                <w:color w:val="000000"/>
                <w:spacing w:val="0"/>
                <w:w w:val="100"/>
                <w:position w:val="0"/>
              </w:rPr>
              <w:t>年度预计销售商品发生关联交易</w:t>
            </w:r>
            <w:r>
              <w:rPr>
                <w:rFonts w:ascii="Times New Roman" w:eastAsia="Times New Roman" w:hAnsi="Times New Roman" w:cs="Times New Roman"/>
                <w:color w:val="000000"/>
                <w:spacing w:val="0"/>
                <w:w w:val="100"/>
                <w:position w:val="0"/>
              </w:rPr>
              <w:t>6,000</w:t>
            </w:r>
            <w:r>
              <w:rPr>
                <w:color w:val="000000"/>
                <w:spacing w:val="0"/>
                <w:w w:val="100"/>
                <w:position w:val="0"/>
              </w:rPr>
              <w:t>万元，购买商 品发生关联交易</w:t>
            </w:r>
            <w:r>
              <w:rPr>
                <w:rFonts w:ascii="Times New Roman" w:eastAsia="Times New Roman" w:hAnsi="Times New Roman" w:cs="Times New Roman"/>
                <w:color w:val="000000"/>
                <w:spacing w:val="0"/>
                <w:w w:val="100"/>
                <w:position w:val="0"/>
              </w:rPr>
              <w:t>4,000</w:t>
            </w:r>
            <w:r>
              <w:rPr>
                <w:color w:val="000000"/>
                <w:spacing w:val="0"/>
                <w:w w:val="100"/>
                <w:position w:val="0"/>
              </w:rPr>
              <w:t>万元，本报告期内公司与常山集团及附属企业实际发生销售 商品关联交易</w:t>
            </w:r>
            <w:r>
              <w:rPr>
                <w:rFonts w:ascii="Times New Roman" w:eastAsia="Times New Roman" w:hAnsi="Times New Roman" w:cs="Times New Roman"/>
                <w:color w:val="000000"/>
                <w:spacing w:val="0"/>
                <w:w w:val="100"/>
                <w:position w:val="0"/>
              </w:rPr>
              <w:t>2,980.38</w:t>
            </w:r>
            <w:r>
              <w:rPr>
                <w:color w:val="000000"/>
                <w:spacing w:val="0"/>
                <w:w w:val="100"/>
                <w:position w:val="0"/>
              </w:rPr>
              <w:t>万元，发生购买商品关联交易</w:t>
            </w:r>
            <w:r>
              <w:rPr>
                <w:rFonts w:ascii="Times New Roman" w:eastAsia="Times New Roman" w:hAnsi="Times New Roman" w:cs="Times New Roman"/>
                <w:color w:val="000000"/>
                <w:spacing w:val="0"/>
                <w:w w:val="100"/>
                <w:position w:val="0"/>
              </w:rPr>
              <w:t>3,972.87</w:t>
            </w:r>
            <w:r>
              <w:rPr>
                <w:color w:val="000000"/>
                <w:spacing w:val="0"/>
                <w:w w:val="100"/>
                <w:position w:val="0"/>
              </w:rPr>
              <w:t>万元，在股东大会授 权范围内。</w:t>
            </w:r>
          </w:p>
        </w:tc>
      </w:tr>
      <w:tr>
        <w:trPr>
          <w:trHeight w:val="71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、资产或股权收购、出售发生的关联交易</w:t>
      </w:r>
      <w:bookmarkEnd w:id="487"/>
      <w:bookmarkEnd w:id="488"/>
      <w:bookmarkEnd w:id="49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w:t>
        <w:tab/>
        <w:t>共同对外投资的关联交易</w:t>
      </w:r>
      <w:bookmarkEnd w:id="491"/>
      <w:bookmarkEnd w:id="492"/>
      <w:bookmarkEnd w:id="4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w:t>
        <w:tab/>
        <w:t>关联债权债务往来</w:t>
      </w:r>
      <w:bookmarkEnd w:id="495"/>
      <w:bookmarkEnd w:id="496"/>
      <w:bookmarkEnd w:id="49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5</w:t>
      </w:r>
      <w:bookmarkEnd w:id="501"/>
      <w:r>
        <w:rPr>
          <w:color w:val="000000"/>
          <w:spacing w:val="0"/>
          <w:w w:val="100"/>
          <w:position w:val="0"/>
        </w:rPr>
        <w:t>、</w:t>
        <w:tab/>
        <w:t>与存在关联关系的财务公司的往来情况</w:t>
      </w:r>
      <w:bookmarkEnd w:id="499"/>
      <w:bookmarkEnd w:id="500"/>
      <w:bookmarkEnd w:id="502"/>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t>公司控股的财务公司与关联方的往来情况</w:t>
      </w:r>
      <w:bookmarkEnd w:id="503"/>
      <w:bookmarkEnd w:id="504"/>
      <w:bookmarkEnd w:id="506"/>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7</w:t>
      </w:r>
      <w:bookmarkEnd w:id="509"/>
      <w:r>
        <w:rPr>
          <w:color w:val="000000"/>
          <w:spacing w:val="0"/>
          <w:w w:val="100"/>
          <w:position w:val="0"/>
        </w:rPr>
        <w:t>、</w:t>
        <w:tab/>
        <w:t>其他重大关联交易</w:t>
      </w:r>
      <w:bookmarkEnd w:id="507"/>
      <w:bookmarkEnd w:id="508"/>
      <w:bookmarkEnd w:id="510"/>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40" w:line="31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日召开董事会七届二十四次会议，审议通过了《关于向控股股东支付担保费暨关联交易的议案》。常 山集团在</w:t>
      </w:r>
      <w:r>
        <w:rPr>
          <w:rFonts w:ascii="Times New Roman" w:eastAsia="Times New Roman" w:hAnsi="Times New Roman" w:cs="Times New Roman"/>
          <w:color w:val="000000"/>
          <w:spacing w:val="0"/>
          <w:w w:val="100"/>
          <w:position w:val="0"/>
        </w:rPr>
        <w:t>2021</w:t>
      </w:r>
      <w:r>
        <w:rPr>
          <w:color w:val="000000"/>
          <w:spacing w:val="0"/>
          <w:w w:val="100"/>
          <w:position w:val="0"/>
        </w:rPr>
        <w:t>年度为公司提供总额不超过</w:t>
      </w:r>
      <w:r>
        <w:rPr>
          <w:rFonts w:ascii="Times New Roman" w:eastAsia="Times New Roman" w:hAnsi="Times New Roman" w:cs="Times New Roman"/>
          <w:color w:val="000000"/>
          <w:spacing w:val="0"/>
          <w:w w:val="100"/>
          <w:position w:val="0"/>
        </w:rPr>
        <w:t>34.18</w:t>
      </w:r>
      <w:r>
        <w:rPr>
          <w:rFonts w:ascii="Times New Roman" w:eastAsia="Times New Roman" w:hAnsi="Times New Roman" w:cs="Times New Roman"/>
          <w:color w:val="000000"/>
          <w:spacing w:val="0"/>
          <w:w w:val="100"/>
          <w:position w:val="0"/>
        </w:rPr>
        <w:t>7</w:t>
      </w:r>
      <w:r>
        <w:rPr>
          <w:color w:val="000000"/>
          <w:spacing w:val="0"/>
          <w:w w:val="100"/>
          <w:position w:val="0"/>
        </w:rPr>
        <w:t>亿元的银行贷款或其他融资方式的连带责任担保，公司向常山集团支付担保 费，年度累计不超过</w:t>
      </w:r>
      <w:r>
        <w:rPr>
          <w:rFonts w:ascii="Times New Roman" w:eastAsia="Times New Roman" w:hAnsi="Times New Roman" w:cs="Times New Roman"/>
          <w:color w:val="000000"/>
          <w:spacing w:val="0"/>
          <w:w w:val="100"/>
          <w:position w:val="0"/>
        </w:rPr>
        <w:t>440</w:t>
      </w:r>
      <w:r>
        <w:rPr>
          <w:color w:val="000000"/>
          <w:spacing w:val="0"/>
          <w:w w:val="100"/>
          <w:position w:val="0"/>
        </w:rPr>
        <w:t>万元（含税）。2021年公司向常山集团支付的担保费为440万元。</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363"/>
        <w:gridCol w:w="1997"/>
        <w:gridCol w:w="34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关于向控股股东支付担保费暨关联交易的公告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十五、重大合同及其履行情况</w:t>
      </w:r>
      <w:bookmarkEnd w:id="511"/>
      <w:bookmarkEnd w:id="512"/>
      <w:bookmarkEnd w:id="513"/>
    </w:p>
    <w:p>
      <w:pPr>
        <w:pStyle w:val="Style27"/>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、托管、承包、租赁事项情况</w:t>
      </w:r>
      <w:bookmarkEnd w:id="514"/>
      <w:bookmarkEnd w:id="515"/>
      <w:bookmarkEnd w:id="517"/>
    </w:p>
    <w:p>
      <w:pPr>
        <w:pStyle w:val="Style27"/>
        <w:keepNext/>
        <w:keepLines/>
        <w:widowControl w:val="0"/>
        <w:shd w:val="clear" w:color="auto" w:fill="auto"/>
        <w:tabs>
          <w:tab w:pos="488" w:val="left"/>
        </w:tabs>
        <w:bidi w:val="0"/>
        <w:spacing w:before="0" w:after="400" w:line="240" w:lineRule="auto"/>
        <w:ind w:left="0" w:right="0" w:firstLine="0"/>
        <w:jc w:val="left"/>
      </w:pPr>
      <w:bookmarkStart w:id="514" w:name="bookmark514"/>
      <w:bookmarkStart w:id="515" w:name="bookmark515"/>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4"/>
      <w:bookmarkEnd w:id="515"/>
      <w:bookmarkEnd w:id="51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7"/>
        <w:keepNext/>
        <w:keepLines/>
        <w:widowControl w:val="0"/>
        <w:shd w:val="clear" w:color="auto" w:fill="auto"/>
        <w:tabs>
          <w:tab w:pos="488" w:val="left"/>
        </w:tabs>
        <w:bidi w:val="0"/>
        <w:spacing w:before="0" w:after="40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0"/>
      <w:bookmarkEnd w:id="521"/>
      <w:bookmarkEnd w:id="52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公司报告期不存在承包情况。</w:t>
      </w:r>
    </w:p>
    <w:p>
      <w:pPr>
        <w:pStyle w:val="Style27"/>
        <w:keepNext/>
        <w:keepLines/>
        <w:widowControl w:val="0"/>
        <w:shd w:val="clear" w:color="auto" w:fill="auto"/>
        <w:tabs>
          <w:tab w:pos="488" w:val="left"/>
        </w:tabs>
        <w:bidi w:val="0"/>
        <w:spacing w:before="0" w:after="12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4"/>
      <w:bookmarkEnd w:id="525"/>
      <w:bookmarkEnd w:id="52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单位：元</w:t>
      </w:r>
    </w:p>
    <w:tbl>
      <w:tblPr>
        <w:tblOverlap w:val="never"/>
        <w:jc w:val="center"/>
        <w:tblLayout w:type="fixed"/>
      </w:tblPr>
      <w:tblGrid>
        <w:gridCol w:w="3936"/>
        <w:gridCol w:w="1618"/>
        <w:gridCol w:w="2083"/>
        <w:gridCol w:w="2098"/>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本年确认的租赁费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上年确认的租赁费</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3,177,666.31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2,771,953.23</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2,417,848.69</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036,510.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19,479,313.32</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说明：公司向关联方承租定价的原则：按照公平、公正的市场原则进行定价。</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7"/>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、重大担保</w:t>
      </w:r>
      <w:bookmarkEnd w:id="528"/>
      <w:bookmarkEnd w:id="529"/>
      <w:bookmarkEnd w:id="5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26"/>
        <w:gridCol w:w="931"/>
        <w:gridCol w:w="931"/>
        <w:gridCol w:w="931"/>
        <w:gridCol w:w="931"/>
        <w:gridCol w:w="926"/>
        <w:gridCol w:w="667"/>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担保对象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担保额</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度相关</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山恒荣进 出口贸易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石家庄常 山恒新纺 织有限公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北明软件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color w:val="000000"/>
                <w:spacing w:val="0"/>
                <w:w w:val="100"/>
                <w:position w:val="0"/>
              </w:rPr>
              <w:t>河北北明 鼎云信息 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舞钢智慧</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城市科技</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282,000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197,984</w:t>
            </w:r>
          </w:p>
        </w:tc>
      </w:tr>
    </w:tbl>
    <w:p>
      <w:pPr>
        <w:spacing w:lineRule="exact" w:line="1"/>
        <w:rPr>
          <w:sz w:val="2"/>
          <w:szCs w:val="2"/>
        </w:rPr>
      </w:pPr>
      <w:r>
        <w:br w:type="page"/>
      </w:r>
    </w:p>
    <w:tbl>
      <w:tblPr>
        <w:tblOverlap w:val="never"/>
        <w:jc w:val="center"/>
        <w:tblLayout w:type="fixed"/>
      </w:tblPr>
      <w:tblGrid>
        <w:gridCol w:w="941"/>
        <w:gridCol w:w="926"/>
        <w:gridCol w:w="576"/>
        <w:gridCol w:w="355"/>
        <w:gridCol w:w="931"/>
        <w:gridCol w:w="931"/>
        <w:gridCol w:w="931"/>
        <w:gridCol w:w="926"/>
        <w:gridCol w:w="667"/>
        <w:gridCol w:w="797"/>
        <w:gridCol w:w="797"/>
        <w:gridCol w:w="797"/>
      </w:tblGrid>
      <w:tr>
        <w:trPr>
          <w:trHeight w:val="68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保实际发生额合计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子公司担保额度合计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际担保余额合计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197,984</w:t>
            </w: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度相关 公告披</w:t>
            </w:r>
          </w:p>
          <w:p>
            <w:pPr>
              <w:pStyle w:val="Style20"/>
              <w:keepNext w:val="0"/>
              <w:keepLines w:val="0"/>
              <w:widowControl w:val="0"/>
              <w:shd w:val="clear" w:color="auto" w:fill="auto"/>
              <w:bidi w:val="0"/>
              <w:spacing w:before="0" w:after="0" w:line="312" w:lineRule="exact"/>
              <w:ind w:left="0" w:right="0" w:firstLine="180"/>
              <w:jc w:val="left"/>
            </w:pPr>
            <w:r>
              <w:rPr>
                <w:color w:val="000000"/>
                <w:spacing w:val="0"/>
                <w:w w:val="100"/>
                <w:position w:val="0"/>
              </w:rPr>
              <w:t>露日期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反担</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保情</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担保</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北明天时</w:t>
            </w:r>
          </w:p>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能源科技</w:t>
            </w:r>
          </w:p>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司担保额度合计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保实际发生额合计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w:t>
            </w: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报告期末已审批的对 子公司担保额度合计 </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际担保余额合计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292,000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202,543</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292,000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202,543</w:t>
            </w:r>
          </w:p>
        </w:tc>
      </w:tr>
      <w:tr>
        <w:trPr>
          <w:trHeight w:val="71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140" w:right="0" w:firstLine="0"/>
              <w:jc w:val="left"/>
            </w:pPr>
            <w:r>
              <w:rPr>
                <w:rFonts w:ascii="Times New Roman" w:eastAsia="Times New Roman" w:hAnsi="Times New Roman" w:cs="Times New Roman"/>
                <w:color w:val="000000"/>
                <w:spacing w:val="0"/>
                <w:w w:val="100"/>
                <w:position w:val="0"/>
              </w:rPr>
              <w:t>32.91%</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140" w:right="0" w:firstLine="0"/>
              <w:jc w:val="left"/>
            </w:pPr>
            <w:r>
              <w:rPr>
                <w:rFonts w:ascii="Times New Roman" w:eastAsia="Times New Roman" w:hAnsi="Times New Roman" w:cs="Times New Roman"/>
                <w:color w:val="000000"/>
                <w:spacing w:val="0"/>
                <w:w w:val="100"/>
                <w:position w:val="0"/>
              </w:rPr>
              <w:t>167,984</w:t>
            </w:r>
          </w:p>
        </w:tc>
      </w:tr>
      <w:tr>
        <w:trPr>
          <w:trHeight w:val="403"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140" w:right="0" w:firstLine="0"/>
              <w:jc w:val="left"/>
            </w:pPr>
            <w:r>
              <w:rPr>
                <w:rFonts w:ascii="Times New Roman" w:eastAsia="Times New Roman" w:hAnsi="Times New Roman" w:cs="Times New Roman"/>
                <w:color w:val="000000"/>
                <w:spacing w:val="0"/>
                <w:w w:val="100"/>
                <w:position w:val="0"/>
              </w:rPr>
              <w:t>167,984</w:t>
            </w: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采用复合方式担保的具体情况说明</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行业信息披露》中纺织服装相关业的披露要求 公司是否存在为经销商提供担保或财务资助</w:t>
      </w: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口是"否</w:t>
      </w:r>
    </w:p>
    <w:p>
      <w:pPr>
        <w:pStyle w:val="Style27"/>
        <w:keepNext/>
        <w:keepLines/>
        <w:widowControl w:val="0"/>
        <w:shd w:val="clear" w:color="auto" w:fill="auto"/>
        <w:tabs>
          <w:tab w:pos="37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委托他人进行现金资产管理情况</w:t>
      </w:r>
      <w:bookmarkEnd w:id="532"/>
      <w:bookmarkEnd w:id="533"/>
      <w:bookmarkEnd w:id="535"/>
    </w:p>
    <w:p>
      <w:pPr>
        <w:pStyle w:val="Style27"/>
        <w:keepNext/>
        <w:keepLines/>
        <w:widowControl w:val="0"/>
        <w:shd w:val="clear" w:color="auto" w:fill="auto"/>
        <w:tabs>
          <w:tab w:pos="488" w:val="left"/>
        </w:tabs>
        <w:bidi w:val="0"/>
        <w:spacing w:before="0" w:after="260" w:line="240" w:lineRule="auto"/>
        <w:ind w:left="0" w:right="0" w:firstLine="0"/>
        <w:jc w:val="left"/>
      </w:pPr>
      <w:bookmarkStart w:id="532" w:name="bookmark532"/>
      <w:bookmarkStart w:id="533" w:name="bookmark533"/>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32"/>
      <w:bookmarkEnd w:id="533"/>
      <w:bookmarkEnd w:id="537"/>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公司报告期不存在委托理财。</w:t>
      </w:r>
    </w:p>
    <w:p>
      <w:pPr>
        <w:pStyle w:val="Style27"/>
        <w:keepNext/>
        <w:keepLines/>
        <w:widowControl w:val="0"/>
        <w:shd w:val="clear" w:color="auto" w:fill="auto"/>
        <w:tabs>
          <w:tab w:pos="488"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38"/>
      <w:bookmarkEnd w:id="539"/>
      <w:bookmarkEnd w:id="541"/>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26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其他重大合同</w:t>
      </w:r>
      <w:bookmarkEnd w:id="542"/>
      <w:bookmarkEnd w:id="543"/>
      <w:bookmarkEnd w:id="545"/>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260" w:line="240" w:lineRule="auto"/>
        <w:ind w:left="0" w:right="0" w:firstLine="0"/>
        <w:jc w:val="both"/>
      </w:pPr>
      <w:bookmarkStart w:id="546" w:name="bookmark546"/>
      <w:bookmarkStart w:id="547" w:name="bookmark547"/>
      <w:bookmarkStart w:id="548" w:name="bookmark548"/>
      <w:r>
        <w:rPr>
          <w:color w:val="000000"/>
          <w:spacing w:val="0"/>
          <w:w w:val="100"/>
          <w:position w:val="0"/>
          <w:sz w:val="24"/>
          <w:szCs w:val="24"/>
        </w:rPr>
        <w:t>十六、其他重大事项的说明</w:t>
      </w:r>
      <w:bookmarkEnd w:id="546"/>
      <w:bookmarkEnd w:id="547"/>
      <w:bookmarkEnd w:id="548"/>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tabs>
          <w:tab w:pos="704" w:val="left"/>
        </w:tabs>
        <w:bidi w:val="0"/>
        <w:spacing w:before="0" w:after="40" w:line="314" w:lineRule="exact"/>
        <w:ind w:left="0" w:right="0"/>
        <w:jc w:val="left"/>
      </w:pPr>
      <w:bookmarkStart w:id="549" w:name="bookmark549"/>
      <w:r>
        <w:rPr>
          <w:rFonts w:ascii="Times New Roman" w:eastAsia="Times New Roman" w:hAnsi="Times New Roman" w:cs="Times New Roman"/>
          <w:color w:val="000000"/>
          <w:spacing w:val="0"/>
          <w:w w:val="100"/>
          <w:position w:val="0"/>
        </w:rPr>
        <w:t>1</w:t>
      </w:r>
      <w:bookmarkEnd w:id="549"/>
      <w:r>
        <w:rPr>
          <w:color w:val="000000"/>
          <w:spacing w:val="0"/>
          <w:w w:val="100"/>
          <w:position w:val="0"/>
        </w:rPr>
        <w:t>、</w:t>
        <w:tab/>
        <w:t>经公司董事会八届三次会议和</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年第二次临时股东大会审议批准，公司拟通过国有产权交易机构，采用分类打包、 公开挂牌方式，处置恒盛纺织分公司的</w:t>
      </w:r>
      <w:r>
        <w:rPr>
          <w:rFonts w:ascii="Times New Roman" w:eastAsia="Times New Roman" w:hAnsi="Times New Roman" w:cs="Times New Roman"/>
          <w:color w:val="000000"/>
          <w:spacing w:val="0"/>
          <w:w w:val="100"/>
          <w:position w:val="0"/>
        </w:rPr>
        <w:t>B2</w:t>
      </w:r>
      <w:r>
        <w:rPr>
          <w:color w:val="000000"/>
          <w:spacing w:val="0"/>
          <w:w w:val="100"/>
          <w:position w:val="0"/>
        </w:rPr>
        <w:t>车间设备及舒美特、大提花等部分报废设备，共计</w:t>
      </w:r>
      <w:r>
        <w:rPr>
          <w:rFonts w:ascii="Times New Roman" w:eastAsia="Times New Roman" w:hAnsi="Times New Roman" w:cs="Times New Roman"/>
          <w:color w:val="000000"/>
          <w:spacing w:val="0"/>
          <w:w w:val="100"/>
          <w:position w:val="0"/>
        </w:rPr>
        <w:t>630</w:t>
      </w:r>
      <w:r>
        <w:rPr>
          <w:color w:val="000000"/>
          <w:spacing w:val="0"/>
          <w:w w:val="100"/>
          <w:position w:val="0"/>
        </w:rPr>
        <w:t>台（套），原值</w:t>
      </w:r>
      <w:r>
        <w:rPr>
          <w:rFonts w:ascii="Times New Roman" w:eastAsia="Times New Roman" w:hAnsi="Times New Roman" w:cs="Times New Roman"/>
          <w:color w:val="000000"/>
          <w:spacing w:val="0"/>
          <w:w w:val="100"/>
          <w:position w:val="0"/>
        </w:rPr>
        <w:t>30,534.97</w:t>
      </w:r>
      <w:r>
        <w:rPr>
          <w:color w:val="000000"/>
          <w:spacing w:val="0"/>
          <w:w w:val="100"/>
          <w:position w:val="0"/>
        </w:rPr>
        <w:t>万 元，净值</w:t>
      </w:r>
      <w:r>
        <w:rPr>
          <w:rFonts w:ascii="Times New Roman" w:eastAsia="Times New Roman" w:hAnsi="Times New Roman" w:cs="Times New Roman"/>
          <w:color w:val="000000"/>
          <w:spacing w:val="0"/>
          <w:w w:val="100"/>
          <w:position w:val="0"/>
        </w:rPr>
        <w:t>23,515.46</w:t>
      </w:r>
      <w:r>
        <w:rPr>
          <w:color w:val="000000"/>
          <w:spacing w:val="0"/>
          <w:w w:val="100"/>
          <w:position w:val="0"/>
        </w:rPr>
        <w:t>万元，评估值</w:t>
      </w:r>
      <w:r>
        <w:rPr>
          <w:rFonts w:ascii="Times New Roman" w:eastAsia="Times New Roman" w:hAnsi="Times New Roman" w:cs="Times New Roman"/>
          <w:color w:val="000000"/>
          <w:spacing w:val="0"/>
          <w:w w:val="100"/>
          <w:position w:val="0"/>
        </w:rPr>
        <w:t>826.55</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日在《中国证券报》、《证券时报》和巨潮资 讯网上披露的《关于拟处置闲置报废设备的公告》（公告编号：</w:t>
      </w:r>
      <w:r>
        <w:rPr>
          <w:rFonts w:ascii="Times New Roman" w:eastAsia="Times New Roman" w:hAnsi="Times New Roman" w:cs="Times New Roman"/>
          <w:color w:val="000000"/>
          <w:spacing w:val="0"/>
          <w:w w:val="100"/>
          <w:position w:val="0"/>
        </w:rPr>
        <w:t>2021-066</w:t>
      </w:r>
      <w:r>
        <w:rPr>
          <w:color w:val="000000"/>
          <w:spacing w:val="0"/>
          <w:w w:val="100"/>
          <w:position w:val="0"/>
        </w:rPr>
        <w:t>）。</w:t>
      </w:r>
    </w:p>
    <w:p>
      <w:pPr>
        <w:pStyle w:val="Style18"/>
        <w:keepNext w:val="0"/>
        <w:keepLines w:val="0"/>
        <w:widowControl w:val="0"/>
        <w:shd w:val="clear" w:color="auto" w:fill="auto"/>
        <w:tabs>
          <w:tab w:pos="704" w:val="left"/>
        </w:tabs>
        <w:bidi w:val="0"/>
        <w:spacing w:before="0" w:after="360" w:line="310" w:lineRule="exact"/>
        <w:ind w:left="0" w:right="0"/>
        <w:jc w:val="left"/>
      </w:pPr>
      <w:bookmarkStart w:id="550" w:name="bookmark550"/>
      <w:r>
        <w:rPr>
          <w:rFonts w:ascii="Times New Roman" w:eastAsia="Times New Roman" w:hAnsi="Times New Roman" w:cs="Times New Roman"/>
          <w:color w:val="000000"/>
          <w:spacing w:val="0"/>
          <w:w w:val="100"/>
          <w:position w:val="0"/>
        </w:rPr>
        <w:t>2</w:t>
      </w:r>
      <w:bookmarkEnd w:id="550"/>
      <w:r>
        <w:rPr>
          <w:color w:val="000000"/>
          <w:spacing w:val="0"/>
          <w:w w:val="100"/>
          <w:position w:val="0"/>
        </w:rPr>
        <w:t>、</w:t>
        <w:tab/>
        <w:t>经公司董事会八届四次会议审议通过，公司就原棉二分公司厂区土地与石家庄市土地储备中心签署《企、事业单位 国有土地使用权收购（回）合同》暨《土地收回（购）合同》（石收储</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w:t>
      </w:r>
      <w:r>
        <w:rPr>
          <w:rFonts w:ascii="Times New Roman" w:eastAsia="Times New Roman" w:hAnsi="Times New Roman" w:cs="Times New Roman"/>
          <w:color w:val="000000"/>
          <w:spacing w:val="0"/>
          <w:w w:val="100"/>
          <w:position w:val="0"/>
        </w:rPr>
        <w:t>02</w:t>
      </w:r>
      <w:r>
        <w:rPr>
          <w:color w:val="000000"/>
          <w:spacing w:val="0"/>
          <w:w w:val="100"/>
          <w:position w:val="0"/>
        </w:rPr>
        <w:t>）号）之补充协议。具体内容详见公司于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日在《中国证券报》、《证券时报》和巨潮资讯网上披露的《关于签署〈企事业单位国有土地使用权收购（回）合同〉 的公告》（公告编号：</w:t>
      </w:r>
      <w:r>
        <w:rPr>
          <w:rFonts w:ascii="Times New Roman" w:eastAsia="Times New Roman" w:hAnsi="Times New Roman" w:cs="Times New Roman"/>
          <w:color w:val="000000"/>
          <w:spacing w:val="0"/>
          <w:w w:val="100"/>
          <w:position w:val="0"/>
        </w:rPr>
        <w:t>2021-075</w:t>
      </w:r>
      <w:r>
        <w:rPr>
          <w:color w:val="000000"/>
          <w:spacing w:val="0"/>
          <w:w w:val="100"/>
          <w:position w:val="0"/>
        </w:rPr>
        <w:t>）。</w:t>
      </w:r>
    </w:p>
    <w:p>
      <w:pPr>
        <w:pStyle w:val="Style23"/>
        <w:keepNext/>
        <w:keepLines/>
        <w:widowControl w:val="0"/>
        <w:shd w:val="clear" w:color="auto" w:fill="auto"/>
        <w:bidi w:val="0"/>
        <w:spacing w:before="0" w:after="260" w:line="240" w:lineRule="auto"/>
        <w:ind w:left="0" w:right="0" w:firstLine="0"/>
        <w:jc w:val="both"/>
      </w:pPr>
      <w:bookmarkStart w:id="551" w:name="bookmark551"/>
      <w:bookmarkStart w:id="552" w:name="bookmark552"/>
      <w:bookmarkStart w:id="553" w:name="bookmark553"/>
      <w:r>
        <w:rPr>
          <w:color w:val="000000"/>
          <w:spacing w:val="0"/>
          <w:w w:val="100"/>
          <w:position w:val="0"/>
          <w:sz w:val="24"/>
          <w:szCs w:val="24"/>
        </w:rPr>
        <w:t>十七、公司子公司重大事项</w:t>
      </w:r>
      <w:bookmarkEnd w:id="551"/>
      <w:bookmarkEnd w:id="552"/>
      <w:bookmarkEnd w:id="553"/>
    </w:p>
    <w:p>
      <w:pPr>
        <w:pStyle w:val="Style18"/>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口适用”不适用</w:t>
      </w:r>
      <w:r>
        <w:br w:type="page"/>
      </w:r>
    </w:p>
    <w:p>
      <w:pPr>
        <w:pStyle w:val="Style10"/>
        <w:keepNext/>
        <w:keepLines/>
        <w:widowControl w:val="0"/>
        <w:shd w:val="clear" w:color="auto" w:fill="auto"/>
        <w:bidi w:val="0"/>
        <w:spacing w:before="0" w:after="540" w:line="240" w:lineRule="auto"/>
        <w:ind w:left="0" w:right="0" w:firstLine="0"/>
        <w:jc w:val="center"/>
      </w:pPr>
      <w:bookmarkStart w:id="554" w:name="bookmark554"/>
      <w:bookmarkStart w:id="555" w:name="bookmark555"/>
      <w:bookmarkStart w:id="556" w:name="bookmark556"/>
      <w:r>
        <w:rPr>
          <w:color w:val="000000"/>
          <w:spacing w:val="0"/>
          <w:w w:val="100"/>
          <w:position w:val="0"/>
        </w:rPr>
        <w:t>第七节股份变动及股东情况</w:t>
      </w:r>
      <w:bookmarkEnd w:id="554"/>
      <w:bookmarkEnd w:id="555"/>
      <w:bookmarkEnd w:id="556"/>
    </w:p>
    <w:p>
      <w:pPr>
        <w:pStyle w:val="Style23"/>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、股份变动情况</w:t>
      </w:r>
      <w:bookmarkEnd w:id="557"/>
      <w:bookmarkEnd w:id="558"/>
      <w:bookmarkEnd w:id="560"/>
    </w:p>
    <w:p>
      <w:pPr>
        <w:pStyle w:val="Style27"/>
        <w:keepNext/>
        <w:keepLines/>
        <w:widowControl w:val="0"/>
        <w:shd w:val="clear" w:color="auto" w:fill="auto"/>
        <w:bidi w:val="0"/>
        <w:spacing w:before="0" w:after="34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、股份变动情况</w:t>
      </w:r>
      <w:bookmarkEnd w:id="561"/>
      <w:bookmarkEnd w:id="562"/>
      <w:bookmarkEnd w:id="5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27"/>
        <w:gridCol w:w="826"/>
        <w:gridCol w:w="821"/>
        <w:gridCol w:w="826"/>
        <w:gridCol w:w="821"/>
        <w:gridCol w:w="821"/>
        <w:gridCol w:w="826"/>
        <w:gridCol w:w="821"/>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21,574, 828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21,567,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21,574, 828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21,567,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21,574, 828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21,567,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1,577,0</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1,577,0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1,577,0</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1,577,0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1,598,6</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16,721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1,598,6</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报告期内，公司董事会、监事会换届，持有公司股份的离任监事、高管所持股份全部锁定，导致报告期末高管锁定股份数量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发生变化。</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、限售股份变动情况</w:t>
      </w:r>
      <w:bookmarkEnd w:id="565"/>
      <w:bookmarkEnd w:id="566"/>
      <w:bookmarkEnd w:id="5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78"/>
        <w:gridCol w:w="1349"/>
        <w:gridCol w:w="1128"/>
        <w:gridCol w:w="994"/>
        <w:gridCol w:w="1032"/>
        <w:gridCol w:w="2669"/>
        <w:gridCol w:w="16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公司离任高管原任期结束，股份 全部锁定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1,291,292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任期满离任高管股份全部锁定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任期满离任监事股份全部锁定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1,307,836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1,314,757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tabs>
          <w:tab w:pos="517" w:val="left"/>
        </w:tabs>
        <w:bidi w:val="0"/>
        <w:spacing w:before="0" w:after="32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证券发行与上市情况</w:t>
      </w:r>
      <w:bookmarkEnd w:id="569"/>
      <w:bookmarkEnd w:id="570"/>
      <w:bookmarkEnd w:id="572"/>
    </w:p>
    <w:p>
      <w:pPr>
        <w:pStyle w:val="Style27"/>
        <w:keepNext/>
        <w:keepLines/>
        <w:widowControl w:val="0"/>
        <w:shd w:val="clear" w:color="auto" w:fill="auto"/>
        <w:tabs>
          <w:tab w:pos="384" w:val="left"/>
        </w:tabs>
        <w:bidi w:val="0"/>
        <w:spacing w:before="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w:t>
        <w:tab/>
        <w:t>报告期内证券发行（不含优先股）情况</w:t>
      </w:r>
      <w:bookmarkEnd w:id="573"/>
      <w:bookmarkEnd w:id="574"/>
      <w:bookmarkEnd w:id="57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84"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公司股份总数及股东结构的变动、公司资产和负债结构的变动情况说明</w:t>
      </w:r>
      <w:bookmarkEnd w:id="577"/>
      <w:bookmarkEnd w:id="578"/>
      <w:bookmarkEnd w:id="58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84"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现存的内部职工股情况</w:t>
      </w:r>
      <w:bookmarkEnd w:id="581"/>
      <w:bookmarkEnd w:id="582"/>
      <w:bookmarkEnd w:id="58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22" w:val="left"/>
        </w:tabs>
        <w:bidi w:val="0"/>
        <w:spacing w:before="0" w:after="32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股东和实际控制人情况</w:t>
      </w:r>
      <w:bookmarkEnd w:id="585"/>
      <w:bookmarkEnd w:id="586"/>
      <w:bookmarkEnd w:id="588"/>
    </w:p>
    <w:p>
      <w:pPr>
        <w:pStyle w:val="Style27"/>
        <w:keepNext/>
        <w:keepLines/>
        <w:widowControl w:val="0"/>
        <w:shd w:val="clear" w:color="auto" w:fill="auto"/>
        <w:bidi w:val="0"/>
        <w:spacing w:before="0" w:after="32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、公司股东数量及持股情况</w:t>
      </w:r>
      <w:bookmarkEnd w:id="589"/>
      <w:bookmarkEnd w:id="590"/>
      <w:bookmarkEnd w:id="592"/>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792"/>
        <w:gridCol w:w="782"/>
        <w:gridCol w:w="331"/>
        <w:gridCol w:w="456"/>
        <w:gridCol w:w="787"/>
        <w:gridCol w:w="221"/>
        <w:gridCol w:w="619"/>
        <w:gridCol w:w="442"/>
        <w:gridCol w:w="907"/>
        <w:gridCol w:w="422"/>
        <w:gridCol w:w="931"/>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144,102</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141,049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末持股</w:t>
            </w:r>
          </w:p>
          <w:p>
            <w:pPr>
              <w:pStyle w:val="Style20"/>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石家庄常山纺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织集团有限责</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455,29</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455,296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94,500,000</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北京北明伟业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166,41</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-29,904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166,413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林芝腾讯投资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42,847,</w:t>
            </w:r>
          </w:p>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42,847,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11,482, 894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-1,921, 200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10,053,</w:t>
            </w:r>
          </w:p>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1,429,8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11,438,</w:t>
            </w:r>
          </w:p>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-1,913, 700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10,013, 966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香港中央结算 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10,955,</w:t>
            </w:r>
          </w:p>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 股份有限公司</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一中证</w:t>
            </w:r>
            <w:r>
              <w:rPr>
                <w:rFonts w:ascii="Times New Roman" w:eastAsia="Times New Roman" w:hAnsi="Times New Roman" w:cs="Times New Roman"/>
                <w:color w:val="000000"/>
                <w:spacing w:val="0"/>
                <w:w w:val="100"/>
                <w:position w:val="0"/>
              </w:rPr>
              <w:t>500</w:t>
            </w:r>
            <w:r>
              <w:rPr>
                <w:color w:val="000000"/>
                <w:spacing w:val="0"/>
                <w:w w:val="100"/>
                <w:position w:val="0"/>
              </w:rPr>
              <w:t>交易 型开放式指数 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5,440,9</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1,026,0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5,440,9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王宝山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4,069,4 94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4,069,4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4,069,4 94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严道平</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3,991,4 92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-1,934, 000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3,991,4 92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430,792</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北京万峰嘉晔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投资管理中心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3,273,0</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-16,023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3,273,0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石家庄常山纺织集团有限责任公司与其他股东之间无关联关系。北京北明伟业 控股有限公司、李锋与应华江为一致行动人。公司未知其他股东之间是否存在关联 关系或属于《上市公司收购管理办法》规定的一致行动人。</w:t>
            </w:r>
          </w:p>
        </w:tc>
      </w:tr>
    </w:tbl>
    <w:p>
      <w:pPr>
        <w:spacing w:lineRule="exact" w:line="1"/>
        <w:rPr>
          <w:sz w:val="2"/>
          <w:szCs w:val="2"/>
        </w:rPr>
      </w:pPr>
      <w:r>
        <w:br w:type="page"/>
      </w:r>
    </w:p>
    <w:tbl>
      <w:tblPr>
        <w:tblOverlap w:val="never"/>
        <w:jc w:val="center"/>
        <w:tblLayout w:type="fixed"/>
      </w:tblPr>
      <w:tblGrid>
        <w:gridCol w:w="2885"/>
        <w:gridCol w:w="3989"/>
        <w:gridCol w:w="1349"/>
        <w:gridCol w:w="13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石家庄常山纺织集团有限责任公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455,296,184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455,296,184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166,413,620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166,413,620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42,847,100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42,847,100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10,955,439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10,955,439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中国农业银行股份有限公司一中 证</w:t>
            </w:r>
            <w:r>
              <w:rPr>
                <w:rFonts w:ascii="Times New Roman" w:eastAsia="Times New Roman" w:hAnsi="Times New Roman" w:cs="Times New Roman"/>
                <w:color w:val="000000"/>
                <w:spacing w:val="0"/>
                <w:w w:val="100"/>
                <w:position w:val="0"/>
              </w:rPr>
              <w:t>500</w:t>
            </w:r>
            <w:r>
              <w:rPr>
                <w:color w:val="000000"/>
                <w:spacing w:val="0"/>
                <w:w w:val="100"/>
                <w:position w:val="0"/>
              </w:rPr>
              <w:t>交易型开放式指数证券投资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5,440,905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5,440,905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王宝山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4,069,494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4,069,494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严道平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3,991,492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3,991,492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北京万峰嘉晔投资管理中心（有限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3,273,002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3,273,002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3,035,680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3,035,680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2,722,004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2,722,004</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60"/>
              <w:jc w:val="left"/>
            </w:pPr>
            <w:r>
              <w:rPr>
                <w:color w:val="000000"/>
                <w:spacing w:val="0"/>
                <w:w w:val="100"/>
                <w:position w:val="0"/>
              </w:rPr>
              <w:t>石家庄常山纺织集团有限责任公司与其他股东之间无关联关系。公司未知其他 股东之间是否存在关联关系或属于《上市公司收购管理办法》规定的一致行动人。</w:t>
            </w:r>
          </w:p>
        </w:tc>
      </w:tr>
    </w:tbl>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、公司控股股东情况</w:t>
      </w:r>
      <w:bookmarkEnd w:id="593"/>
      <w:bookmarkEnd w:id="594"/>
      <w:bookmarkEnd w:id="59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66"/>
        <w:gridCol w:w="1243"/>
        <w:gridCol w:w="1723"/>
        <w:gridCol w:w="1882"/>
        <w:gridCol w:w="244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911301002360441730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针纺织品开发、制造销售， 纺织配件配材加工销售等</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、公司实际控制人及其一致行动人</w:t>
      </w:r>
      <w:bookmarkEnd w:id="597"/>
      <w:bookmarkEnd w:id="598"/>
      <w:bookmarkEnd w:id="60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3000"/>
        <w:gridCol w:w="1382"/>
        <w:gridCol w:w="1229"/>
        <w:gridCol w:w="1498"/>
        <w:gridCol w:w="244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石家庄市国有资产监督管理委员会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76205558-5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实际控制人报告期内控制的其他境 内外上市公司的股权情况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4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日，石家庄市国有资产监督管理委员会（以下简称“市国资委”）与石家庄国有资本投资运营集团有限 责任公司（以下简称“市国投集团”）签署了《无偿划转协议》，将市国资委持有的常山集团</w:t>
      </w:r>
      <w:r>
        <w:rPr>
          <w:rFonts w:ascii="Times New Roman" w:eastAsia="Times New Roman" w:hAnsi="Times New Roman" w:cs="Times New Roman"/>
          <w:color w:val="000000"/>
          <w:spacing w:val="0"/>
          <w:w w:val="100"/>
          <w:position w:val="0"/>
        </w:rPr>
        <w:t>100%</w:t>
      </w:r>
      <w:r>
        <w:rPr>
          <w:color w:val="000000"/>
          <w:spacing w:val="0"/>
          <w:w w:val="100"/>
          <w:position w:val="0"/>
        </w:rPr>
        <w:t>股权无偿划转至市国投集 团。股权划转完成后，市国资委持有市国投集团</w:t>
      </w:r>
      <w:r>
        <w:rPr>
          <w:rFonts w:ascii="Times New Roman" w:eastAsia="Times New Roman" w:hAnsi="Times New Roman" w:cs="Times New Roman"/>
          <w:color w:val="000000"/>
          <w:spacing w:val="0"/>
          <w:w w:val="100"/>
          <w:position w:val="0"/>
        </w:rPr>
        <w:t>100%</w:t>
      </w:r>
      <w:r>
        <w:rPr>
          <w:color w:val="000000"/>
          <w:spacing w:val="0"/>
          <w:w w:val="100"/>
          <w:position w:val="0"/>
        </w:rPr>
        <w:t>股权，市国投集团持有常山集团</w:t>
      </w:r>
      <w:r>
        <w:rPr>
          <w:rFonts w:ascii="Times New Roman" w:eastAsia="Times New Roman" w:hAnsi="Times New Roman" w:cs="Times New Roman"/>
          <w:color w:val="000000"/>
          <w:spacing w:val="0"/>
          <w:w w:val="100"/>
          <w:position w:val="0"/>
        </w:rPr>
        <w:t>100%</w:t>
      </w:r>
      <w:r>
        <w:rPr>
          <w:color w:val="000000"/>
          <w:spacing w:val="0"/>
          <w:w w:val="100"/>
          <w:position w:val="0"/>
        </w:rPr>
        <w:t>股权。常山集团仍为公司控股 股东，国投集团为公司间接控股股东，市国资委仍为公司实际控制人。</w:t>
      </w:r>
    </w:p>
    <w:p>
      <w:pPr>
        <w:pStyle w:val="Style1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7185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3718560"/>
                    </a:xfrm>
                    <a:prstGeom prst="rect"/>
                  </pic:spPr>
                </pic:pic>
              </a:graphicData>
            </a:graphic>
          </wp:inline>
        </w:drawing>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1"/>
      <w:bookmarkEnd w:id="602"/>
      <w:bookmarkEnd w:id="60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5</w:t>
      </w:r>
      <w:bookmarkEnd w:id="6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5"/>
      <w:bookmarkEnd w:id="606"/>
      <w:bookmarkEnd w:id="60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2582"/>
        <w:gridCol w:w="1258"/>
        <w:gridCol w:w="1651"/>
        <w:gridCol w:w="1286"/>
        <w:gridCol w:w="273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rPr>
              <w:t>3,150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投资管理、资产管理、投资咨询</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6</w:t>
      </w:r>
      <w:bookmarkEnd w:id="611"/>
      <w:r>
        <w:rPr>
          <w:color w:val="000000"/>
          <w:spacing w:val="0"/>
          <w:w w:val="100"/>
          <w:position w:val="0"/>
        </w:rPr>
        <w:t>、控股股东、实际控制人、重组方及其他承诺主体股份限制减持情况</w:t>
      </w:r>
      <w:bookmarkEnd w:id="609"/>
      <w:bookmarkEnd w:id="610"/>
      <w:bookmarkEnd w:id="61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四</w:t>
      </w:r>
      <w:bookmarkEnd w:id="615"/>
      <w:r>
        <w:rPr>
          <w:color w:val="000000"/>
          <w:spacing w:val="0"/>
          <w:w w:val="100"/>
          <w:position w:val="0"/>
          <w:sz w:val="24"/>
          <w:szCs w:val="24"/>
        </w:rPr>
        <w:t>、股份回购在报告期的具体实施情况</w:t>
      </w:r>
      <w:bookmarkEnd w:id="613"/>
      <w:bookmarkEnd w:id="614"/>
      <w:bookmarkEnd w:id="61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21" w:bottom="1523" w:left="1030"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3" name="Shape 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r>
                              <w:rPr>
                                <w:color w:val="000000"/>
                                <w:spacing w:val="0"/>
                                <w:w w:val="100"/>
                                <w:position w:val="0"/>
                              </w:rPr>
                              <w:t>第八节优先股相关情况</w:t>
                            </w:r>
                            <w:bookmarkEnd w:id="617"/>
                            <w:bookmarkEnd w:id="618"/>
                            <w:bookmarkEnd w:id="61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2.30000000000001pt;margin-top:0;width:170.40000000000001pt;height:19.19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17" w:name="bookmark617"/>
                      <w:bookmarkStart w:id="618" w:name="bookmark618"/>
                      <w:bookmarkStart w:id="619" w:name="bookmark619"/>
                      <w:r>
                        <w:rPr>
                          <w:color w:val="000000"/>
                          <w:spacing w:val="0"/>
                          <w:w w:val="100"/>
                          <w:position w:val="0"/>
                        </w:rPr>
                        <w:t>第八节优先股相关情况</w:t>
                      </w:r>
                      <w:bookmarkEnd w:id="617"/>
                      <w:bookmarkEnd w:id="618"/>
                      <w:bookmarkEnd w:id="619"/>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55"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20" w:name="bookmark620"/>
      <w:bookmarkStart w:id="621" w:name="bookmark621"/>
      <w:bookmarkStart w:id="622" w:name="bookmark622"/>
      <w:r>
        <w:rPr>
          <w:color w:val="000000"/>
          <w:spacing w:val="0"/>
          <w:w w:val="100"/>
          <w:position w:val="0"/>
        </w:rPr>
        <w:t>第九节债券相关情况</w:t>
      </w:r>
      <w:bookmarkEnd w:id="620"/>
      <w:bookmarkEnd w:id="621"/>
      <w:bookmarkEnd w:id="622"/>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255" w:bottom="1935" w:left="110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560" w:after="520" w:line="240" w:lineRule="auto"/>
        <w:ind w:left="0" w:right="0" w:firstLine="0"/>
        <w:jc w:val="center"/>
      </w:pPr>
      <w:bookmarkStart w:id="623" w:name="bookmark623"/>
      <w:bookmarkStart w:id="624" w:name="bookmark624"/>
      <w:bookmarkStart w:id="625" w:name="bookmark625"/>
      <w:r>
        <w:rPr>
          <w:color w:val="000000"/>
          <w:spacing w:val="0"/>
          <w:w w:val="100"/>
          <w:position w:val="0"/>
        </w:rPr>
        <w:t>第十节财务报告</w:t>
      </w:r>
      <w:bookmarkEnd w:id="623"/>
      <w:bookmarkEnd w:id="624"/>
      <w:bookmarkEnd w:id="625"/>
    </w:p>
    <w:p>
      <w:pPr>
        <w:pStyle w:val="Style23"/>
        <w:keepNext/>
        <w:keepLines/>
        <w:widowControl w:val="0"/>
        <w:shd w:val="clear" w:color="auto" w:fill="auto"/>
        <w:bidi w:val="0"/>
        <w:spacing w:before="0" w:after="320" w:line="240" w:lineRule="auto"/>
        <w:ind w:left="0" w:right="0" w:firstLine="260"/>
        <w:jc w:val="left"/>
      </w:pPr>
      <w:bookmarkStart w:id="626" w:name="bookmark626"/>
      <w:bookmarkStart w:id="627" w:name="bookmark627"/>
      <w:bookmarkStart w:id="628" w:name="bookmark628"/>
      <w:r>
        <w:rPr>
          <w:color w:val="000000"/>
          <w:spacing w:val="0"/>
          <w:w w:val="100"/>
          <w:position w:val="0"/>
          <w:sz w:val="24"/>
          <w:szCs w:val="24"/>
        </w:rPr>
        <w:t>、审计报告</w:t>
      </w:r>
      <w:bookmarkEnd w:id="626"/>
      <w:bookmarkEnd w:id="627"/>
      <w:bookmarkEnd w:id="628"/>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120020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秦卫国、苏阳</w:t>
            </w:r>
          </w:p>
        </w:tc>
      </w:tr>
    </w:tbl>
    <w:p>
      <w:pPr>
        <w:pStyle w:val="Style25"/>
        <w:keepNext w:val="0"/>
        <w:keepLines w:val="0"/>
        <w:widowControl w:val="0"/>
        <w:shd w:val="clear" w:color="auto" w:fill="auto"/>
        <w:bidi w:val="0"/>
        <w:spacing w:before="0" w:after="0" w:line="240" w:lineRule="auto"/>
        <w:ind w:left="4262"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石家庄常山北明科技股份有限公司全体股东：</w:t>
      </w:r>
    </w:p>
    <w:p>
      <w:pPr>
        <w:pStyle w:val="Style18"/>
        <w:keepNext w:val="0"/>
        <w:keepLines w:val="0"/>
        <w:widowControl w:val="0"/>
        <w:shd w:val="clear" w:color="auto" w:fill="auto"/>
        <w:tabs>
          <w:tab w:pos="810" w:val="left"/>
        </w:tabs>
        <w:bidi w:val="0"/>
        <w:spacing w:before="0" w:after="0" w:line="314" w:lineRule="exact"/>
        <w:ind w:left="0" w:right="0"/>
        <w:jc w:val="both"/>
      </w:pPr>
      <w:bookmarkStart w:id="629" w:name="bookmark629"/>
      <w:r>
        <w:rPr>
          <w:color w:val="000000"/>
          <w:spacing w:val="0"/>
          <w:w w:val="100"/>
          <w:position w:val="0"/>
        </w:rPr>
        <w:t>一</w:t>
      </w:r>
      <w:bookmarkEnd w:id="629"/>
      <w:r>
        <w:rPr>
          <w:color w:val="000000"/>
          <w:spacing w:val="0"/>
          <w:w w:val="100"/>
          <w:position w:val="0"/>
        </w:rPr>
        <w:t>、</w:t>
        <w:tab/>
        <w:t>审计意见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我们审计了石家庄常山北明科技股份有限公司（以下简称“常山北明”）财务报表，包括2021年12月31日的合并及公司 资产负债表，2021年度的合并及公司利润表、合并及公司现金流量表、合并及公司股东权益变动表以及财务报表附注。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我们认为，后附的财务报表在所有重大方面按照企业会计准则的规定编制，公允反映了常山北明2021年12月31日的合并 及公司财务状况以及2021年度的合并及公司经营成果和现金流量。</w:t>
      </w:r>
    </w:p>
    <w:p>
      <w:pPr>
        <w:pStyle w:val="Style18"/>
        <w:keepNext w:val="0"/>
        <w:keepLines w:val="0"/>
        <w:widowControl w:val="0"/>
        <w:shd w:val="clear" w:color="auto" w:fill="auto"/>
        <w:tabs>
          <w:tab w:pos="810" w:val="left"/>
        </w:tabs>
        <w:bidi w:val="0"/>
        <w:spacing w:before="0" w:after="0" w:line="314" w:lineRule="exact"/>
        <w:ind w:left="0" w:right="0"/>
        <w:jc w:val="both"/>
      </w:pPr>
      <w:bookmarkStart w:id="630" w:name="bookmark630"/>
      <w:r>
        <w:rPr>
          <w:color w:val="000000"/>
          <w:spacing w:val="0"/>
          <w:w w:val="100"/>
          <w:position w:val="0"/>
        </w:rPr>
        <w:t>二</w:t>
      </w:r>
      <w:bookmarkEnd w:id="630"/>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步阐述了我们在这些准则下的责任。按照中国注册会计师职业道德守则，我们独立于常山北明，并履行了职业道德方面的其 他责任。我们相信，我们获取的审计证据是充分、适当的，为发表审计意见提供了基础。</w:t>
      </w:r>
    </w:p>
    <w:p>
      <w:pPr>
        <w:pStyle w:val="Style18"/>
        <w:keepNext w:val="0"/>
        <w:keepLines w:val="0"/>
        <w:widowControl w:val="0"/>
        <w:shd w:val="clear" w:color="auto" w:fill="auto"/>
        <w:tabs>
          <w:tab w:pos="810" w:val="left"/>
        </w:tabs>
        <w:bidi w:val="0"/>
        <w:spacing w:before="0" w:after="0" w:line="314" w:lineRule="exact"/>
        <w:ind w:left="0" w:right="0"/>
        <w:jc w:val="both"/>
      </w:pPr>
      <w:bookmarkStart w:id="631" w:name="bookmark631"/>
      <w:r>
        <w:rPr>
          <w:color w:val="000000"/>
          <w:spacing w:val="0"/>
          <w:w w:val="100"/>
          <w:position w:val="0"/>
        </w:rPr>
        <w:t>三</w:t>
      </w:r>
      <w:bookmarkEnd w:id="631"/>
      <w:r>
        <w:rPr>
          <w:color w:val="000000"/>
          <w:spacing w:val="0"/>
          <w:w w:val="100"/>
          <w:position w:val="0"/>
        </w:rPr>
        <w:t>、</w:t>
        <w:tab/>
        <w:t>关键审计事项</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18"/>
        <w:keepNext w:val="0"/>
        <w:keepLines w:val="0"/>
        <w:widowControl w:val="0"/>
        <w:shd w:val="clear" w:color="auto" w:fill="auto"/>
        <w:bidi w:val="0"/>
        <w:spacing w:before="0" w:after="0" w:line="314" w:lineRule="exact"/>
        <w:ind w:left="0" w:right="0"/>
        <w:jc w:val="left"/>
      </w:pPr>
      <w:bookmarkStart w:id="632" w:name="bookmark632"/>
      <w:r>
        <w:rPr>
          <w:color w:val="000000"/>
          <w:spacing w:val="0"/>
          <w:w w:val="100"/>
          <w:position w:val="0"/>
        </w:rPr>
        <w:t>（</w:t>
      </w:r>
      <w:bookmarkEnd w:id="632"/>
      <w:r>
        <w:rPr>
          <w:color w:val="000000"/>
          <w:spacing w:val="0"/>
          <w:w w:val="100"/>
          <w:position w:val="0"/>
        </w:rPr>
        <w:t>一）收入确认</w:t>
      </w:r>
    </w:p>
    <w:p>
      <w:pPr>
        <w:pStyle w:val="Style18"/>
        <w:keepNext w:val="0"/>
        <w:keepLines w:val="0"/>
        <w:widowControl w:val="0"/>
        <w:shd w:val="clear" w:color="auto" w:fill="auto"/>
        <w:tabs>
          <w:tab w:pos="730" w:val="left"/>
        </w:tabs>
        <w:bidi w:val="0"/>
        <w:spacing w:before="0" w:after="0" w:line="314" w:lineRule="exact"/>
        <w:ind w:left="0" w:right="0"/>
        <w:jc w:val="left"/>
      </w:pPr>
      <w:bookmarkStart w:id="633" w:name="bookmark633"/>
      <w:r>
        <w:rPr>
          <w:color w:val="000000"/>
          <w:spacing w:val="0"/>
          <w:w w:val="100"/>
          <w:position w:val="0"/>
        </w:rPr>
        <w:t>1</w:t>
      </w:r>
      <w:bookmarkEnd w:id="633"/>
      <w:r>
        <w:rPr>
          <w:color w:val="000000"/>
          <w:spacing w:val="0"/>
          <w:w w:val="100"/>
          <w:position w:val="0"/>
        </w:rPr>
        <w:t>、</w:t>
        <w:tab/>
        <w:t>事项描述</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常山北明主要从事纺织品的生产与销售、系统集成及行业解决方案、代理产品增值销售和定制软件及服务。2021年度， 常山北明实现的营业收入为</w:t>
      </w:r>
      <w:r>
        <w:rPr>
          <w:color w:val="000000"/>
          <w:spacing w:val="0"/>
          <w:w w:val="100"/>
          <w:position w:val="0"/>
        </w:rPr>
        <w:t>1,088,160.60</w:t>
      </w:r>
      <w:r>
        <w:rPr>
          <w:color w:val="000000"/>
          <w:spacing w:val="0"/>
          <w:w w:val="100"/>
          <w:position w:val="0"/>
        </w:rPr>
        <w:t>万元，相关信息披露详见财务报表附注五33、附注七42描述。由于营业收入是公司 利润表的重要科目，是公司的主要利润来源，影响公司的关键业绩指标，从而存在管理层为了达到特定目标或期望而操纵收 入确认时点的固有风险。因此，我们将上述常山北明的收入确认作为关键审计事项。</w:t>
      </w:r>
    </w:p>
    <w:p>
      <w:pPr>
        <w:pStyle w:val="Style18"/>
        <w:keepNext w:val="0"/>
        <w:keepLines w:val="0"/>
        <w:widowControl w:val="0"/>
        <w:shd w:val="clear" w:color="auto" w:fill="auto"/>
        <w:tabs>
          <w:tab w:pos="730" w:val="left"/>
        </w:tabs>
        <w:bidi w:val="0"/>
        <w:spacing w:before="0" w:after="0" w:line="314" w:lineRule="exact"/>
        <w:ind w:left="0" w:right="0"/>
        <w:jc w:val="both"/>
      </w:pPr>
      <w:bookmarkStart w:id="634" w:name="bookmark634"/>
      <w:r>
        <w:rPr>
          <w:color w:val="000000"/>
          <w:spacing w:val="0"/>
          <w:w w:val="100"/>
          <w:position w:val="0"/>
        </w:rPr>
        <w:t>2</w:t>
      </w:r>
      <w:bookmarkEnd w:id="634"/>
      <w:r>
        <w:rPr>
          <w:color w:val="000000"/>
          <w:spacing w:val="0"/>
          <w:w w:val="100"/>
          <w:position w:val="0"/>
        </w:rPr>
        <w:t>、</w:t>
        <w:tab/>
        <w:t>审计应对</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我们针对收入确认相关的上述关键审计事项执行的主要审计程序如下：</w:t>
      </w:r>
    </w:p>
    <w:p>
      <w:pPr>
        <w:pStyle w:val="Style18"/>
        <w:keepNext w:val="0"/>
        <w:keepLines w:val="0"/>
        <w:widowControl w:val="0"/>
        <w:shd w:val="clear" w:color="auto" w:fill="auto"/>
        <w:tabs>
          <w:tab w:pos="820" w:val="left"/>
        </w:tabs>
        <w:bidi w:val="0"/>
        <w:spacing w:before="0" w:after="0" w:line="314" w:lineRule="exact"/>
        <w:ind w:left="0" w:right="0"/>
        <w:jc w:val="both"/>
      </w:pPr>
      <w:bookmarkStart w:id="635" w:name="bookmark635"/>
      <w:r>
        <w:rPr>
          <w:color w:val="000000"/>
          <w:spacing w:val="0"/>
          <w:w w:val="100"/>
          <w:position w:val="0"/>
        </w:rPr>
        <w:t>（</w:t>
      </w:r>
      <w:bookmarkEnd w:id="635"/>
      <w:r>
        <w:rPr>
          <w:color w:val="000000"/>
          <w:spacing w:val="0"/>
          <w:w w:val="100"/>
          <w:position w:val="0"/>
        </w:rPr>
        <w:t>1）</w:t>
        <w:tab/>
        <w:t>了解常山北明与收入确认相关的关键内部控制，并评价这些内部控制的设计合理性和运行有效性；</w:t>
      </w:r>
    </w:p>
    <w:p>
      <w:pPr>
        <w:pStyle w:val="Style18"/>
        <w:keepNext w:val="0"/>
        <w:keepLines w:val="0"/>
        <w:widowControl w:val="0"/>
        <w:shd w:val="clear" w:color="auto" w:fill="auto"/>
        <w:tabs>
          <w:tab w:pos="882" w:val="left"/>
        </w:tabs>
        <w:bidi w:val="0"/>
        <w:spacing w:before="0" w:after="0" w:line="322" w:lineRule="exact"/>
        <w:ind w:left="0" w:right="0"/>
        <w:jc w:val="both"/>
      </w:pPr>
      <w:bookmarkStart w:id="636" w:name="bookmark636"/>
      <w:r>
        <w:rPr>
          <w:color w:val="000000"/>
          <w:spacing w:val="0"/>
          <w:w w:val="100"/>
          <w:position w:val="0"/>
        </w:rPr>
        <w:t>（</w:t>
      </w:r>
      <w:bookmarkEnd w:id="636"/>
      <w:r>
        <w:rPr>
          <w:color w:val="000000"/>
          <w:spacing w:val="0"/>
          <w:w w:val="100"/>
          <w:position w:val="0"/>
        </w:rPr>
        <w:t>2）</w:t>
        <w:tab/>
        <w:t>通过对管理层访谈了解收入确认政策，检查主要客户合同相关条款，并分析评价实际执行的收入确认政策是否恰 当；</w:t>
      </w:r>
    </w:p>
    <w:p>
      <w:pPr>
        <w:pStyle w:val="Style18"/>
        <w:keepNext w:val="0"/>
        <w:keepLines w:val="0"/>
        <w:widowControl w:val="0"/>
        <w:shd w:val="clear" w:color="auto" w:fill="auto"/>
        <w:tabs>
          <w:tab w:pos="896" w:val="left"/>
        </w:tabs>
        <w:bidi w:val="0"/>
        <w:spacing w:before="0" w:after="0" w:line="317" w:lineRule="exact"/>
        <w:ind w:left="0" w:right="0"/>
        <w:jc w:val="both"/>
      </w:pPr>
      <w:bookmarkStart w:id="637" w:name="bookmark637"/>
      <w:r>
        <w:rPr>
          <w:color w:val="000000"/>
          <w:spacing w:val="0"/>
          <w:w w:val="100"/>
          <w:position w:val="0"/>
        </w:rPr>
        <w:t>（</w:t>
      </w:r>
      <w:bookmarkEnd w:id="637"/>
      <w:r>
        <w:rPr>
          <w:color w:val="000000"/>
          <w:spacing w:val="0"/>
          <w:w w:val="100"/>
          <w:position w:val="0"/>
        </w:rPr>
        <w:t>3）</w:t>
        <w:tab/>
        <w:t>在抽样的基础上，检查主要收入的支持性文件如销售合同、销售发票、出库单、工程进度确认单、验收报告等资 料，判断公司收入确认是否符合收入准则及企业会计政策的适用要求；</w:t>
      </w:r>
    </w:p>
    <w:p>
      <w:pPr>
        <w:pStyle w:val="Style18"/>
        <w:keepNext w:val="0"/>
        <w:keepLines w:val="0"/>
        <w:widowControl w:val="0"/>
        <w:shd w:val="clear" w:color="auto" w:fill="auto"/>
        <w:tabs>
          <w:tab w:pos="820" w:val="left"/>
        </w:tabs>
        <w:bidi w:val="0"/>
        <w:spacing w:before="0" w:after="0" w:line="314" w:lineRule="exact"/>
        <w:ind w:left="0" w:right="0"/>
        <w:jc w:val="both"/>
      </w:pPr>
      <w:bookmarkStart w:id="638" w:name="bookmark638"/>
      <w:r>
        <w:rPr>
          <w:color w:val="000000"/>
          <w:spacing w:val="0"/>
          <w:w w:val="100"/>
          <w:position w:val="0"/>
        </w:rPr>
        <w:t>（</w:t>
      </w:r>
      <w:bookmarkEnd w:id="638"/>
      <w:r>
        <w:rPr>
          <w:color w:val="000000"/>
          <w:spacing w:val="0"/>
          <w:w w:val="100"/>
          <w:position w:val="0"/>
        </w:rPr>
        <w:t>4）</w:t>
        <w:tab/>
        <w:t>结合收入类型对收入和毛利率情况进行分析性复核，判断本期收入金额及毛利率是否出现异常波动的情况；</w:t>
      </w:r>
    </w:p>
    <w:p>
      <w:pPr>
        <w:pStyle w:val="Style18"/>
        <w:keepNext w:val="0"/>
        <w:keepLines w:val="0"/>
        <w:widowControl w:val="0"/>
        <w:shd w:val="clear" w:color="auto" w:fill="auto"/>
        <w:tabs>
          <w:tab w:pos="820" w:val="left"/>
        </w:tabs>
        <w:bidi w:val="0"/>
        <w:spacing w:before="0" w:after="0" w:line="314" w:lineRule="exact"/>
        <w:ind w:left="0" w:right="0"/>
        <w:jc w:val="both"/>
      </w:pPr>
      <w:bookmarkStart w:id="639" w:name="bookmark639"/>
      <w:r>
        <w:rPr>
          <w:color w:val="000000"/>
          <w:spacing w:val="0"/>
          <w:w w:val="100"/>
          <w:position w:val="0"/>
        </w:rPr>
        <w:t>（</w:t>
      </w:r>
      <w:bookmarkEnd w:id="639"/>
      <w:r>
        <w:rPr>
          <w:color w:val="000000"/>
          <w:spacing w:val="0"/>
          <w:w w:val="100"/>
          <w:position w:val="0"/>
        </w:rPr>
        <w:t>5）</w:t>
        <w:tab/>
        <w:t>对常山北明本期记录的收入交易，我们选取样本对常山北明的重要客户实施函证，对未回函的实施替代测试程序，</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并对客户期后回款进行检查，以确认本期发生的销售额；</w:t>
      </w:r>
    </w:p>
    <w:p>
      <w:pPr>
        <w:pStyle w:val="Style18"/>
        <w:keepNext w:val="0"/>
        <w:keepLines w:val="0"/>
        <w:widowControl w:val="0"/>
        <w:shd w:val="clear" w:color="auto" w:fill="auto"/>
        <w:bidi w:val="0"/>
        <w:spacing w:before="0" w:after="0" w:line="318" w:lineRule="exact"/>
        <w:ind w:left="0" w:right="0" w:firstLine="360"/>
        <w:jc w:val="left"/>
      </w:pPr>
      <w:bookmarkStart w:id="640" w:name="bookmark640"/>
      <w:r>
        <w:rPr>
          <w:color w:val="000000"/>
          <w:spacing w:val="0"/>
          <w:w w:val="100"/>
          <w:position w:val="0"/>
        </w:rPr>
        <w:t>（</w:t>
      </w:r>
      <w:bookmarkEnd w:id="640"/>
      <w:r>
        <w:rPr>
          <w:color w:val="000000"/>
          <w:spacing w:val="0"/>
          <w:w w:val="100"/>
          <w:position w:val="0"/>
        </w:rPr>
        <w:t>6）执行截止性测试程序，关注收入确认的准确性及是否计入恰当的会计期间。</w:t>
      </w:r>
    </w:p>
    <w:p>
      <w:pPr>
        <w:pStyle w:val="Style18"/>
        <w:keepNext w:val="0"/>
        <w:keepLines w:val="0"/>
        <w:widowControl w:val="0"/>
        <w:shd w:val="clear" w:color="auto" w:fill="auto"/>
        <w:tabs>
          <w:tab w:pos="891" w:val="left"/>
        </w:tabs>
        <w:bidi w:val="0"/>
        <w:spacing w:before="0" w:after="0" w:line="318" w:lineRule="exact"/>
        <w:ind w:left="0" w:right="0" w:firstLine="360"/>
        <w:jc w:val="left"/>
      </w:pPr>
      <w:bookmarkStart w:id="641" w:name="bookmark641"/>
      <w:r>
        <w:rPr>
          <w:color w:val="000000"/>
          <w:spacing w:val="0"/>
          <w:w w:val="100"/>
          <w:position w:val="0"/>
        </w:rPr>
        <w:t>（</w:t>
      </w:r>
      <w:bookmarkEnd w:id="641"/>
      <w:r>
        <w:rPr>
          <w:color w:val="000000"/>
          <w:spacing w:val="0"/>
          <w:w w:val="100"/>
          <w:position w:val="0"/>
        </w:rPr>
        <w:t>二）</w:t>
        <w:tab/>
        <w:t>商誉的减值测试</w:t>
      </w:r>
    </w:p>
    <w:p>
      <w:pPr>
        <w:pStyle w:val="Style18"/>
        <w:keepNext w:val="0"/>
        <w:keepLines w:val="0"/>
        <w:widowControl w:val="0"/>
        <w:shd w:val="clear" w:color="auto" w:fill="auto"/>
        <w:tabs>
          <w:tab w:pos="709" w:val="left"/>
        </w:tabs>
        <w:bidi w:val="0"/>
        <w:spacing w:before="0" w:after="0" w:line="318" w:lineRule="exact"/>
        <w:ind w:left="0" w:right="0" w:firstLine="360"/>
        <w:jc w:val="left"/>
      </w:pPr>
      <w:bookmarkStart w:id="642" w:name="bookmark642"/>
      <w:r>
        <w:rPr>
          <w:color w:val="000000"/>
          <w:spacing w:val="0"/>
          <w:w w:val="100"/>
          <w:position w:val="0"/>
        </w:rPr>
        <w:t>1</w:t>
      </w:r>
      <w:bookmarkEnd w:id="642"/>
      <w:r>
        <w:rPr>
          <w:color w:val="000000"/>
          <w:spacing w:val="0"/>
          <w:w w:val="100"/>
          <w:position w:val="0"/>
        </w:rPr>
        <w:t>、</w:t>
        <w:tab/>
        <w:t>事项描述</w:t>
      </w:r>
    </w:p>
    <w:p>
      <w:pPr>
        <w:pStyle w:val="Style18"/>
        <w:keepNext w:val="0"/>
        <w:keepLines w:val="0"/>
        <w:widowControl w:val="0"/>
        <w:shd w:val="clear" w:color="auto" w:fill="auto"/>
        <w:bidi w:val="0"/>
        <w:spacing w:before="0" w:after="0" w:line="318" w:lineRule="exact"/>
        <w:ind w:left="0" w:right="0" w:firstLine="360"/>
        <w:jc w:val="left"/>
      </w:pPr>
      <w:r>
        <w:rPr>
          <w:color w:val="000000"/>
          <w:spacing w:val="0"/>
          <w:w w:val="100"/>
          <w:position w:val="0"/>
        </w:rPr>
        <w:t>截至2021年12月31日，常山北明合并财务报表中商誉的账面余额为</w:t>
      </w:r>
      <w:r>
        <w:rPr>
          <w:color w:val="000000"/>
          <w:spacing w:val="0"/>
          <w:w w:val="100"/>
          <w:position w:val="0"/>
        </w:rPr>
        <w:t>217,224.13</w:t>
      </w:r>
      <w:r>
        <w:rPr>
          <w:color w:val="000000"/>
          <w:spacing w:val="0"/>
          <w:w w:val="100"/>
          <w:position w:val="0"/>
        </w:rPr>
        <w:t>万元，商誉减值准备余额</w:t>
      </w:r>
      <w:r>
        <w:rPr>
          <w:color w:val="000000"/>
          <w:spacing w:val="0"/>
          <w:w w:val="100"/>
          <w:position w:val="0"/>
        </w:rPr>
        <w:t>13,840.14</w:t>
      </w:r>
      <w:r>
        <w:rPr>
          <w:color w:val="000000"/>
          <w:spacing w:val="0"/>
          <w:w w:val="100"/>
          <w:position w:val="0"/>
        </w:rPr>
        <w:t>万元， 相关信息披露详见财务报表附注五26、附注七19描述。管理层确定资产组的可回收金额时对其中涉及的关键假设做出了重大 判断，包括：五年期预算、永续年收入增长率、毛利率及折现率等。由于商誉金额重大，且管理层需要做出重大判断，因此 我们将商誉减值测试确定为关键审计事项。</w:t>
      </w:r>
    </w:p>
    <w:p>
      <w:pPr>
        <w:pStyle w:val="Style18"/>
        <w:keepNext w:val="0"/>
        <w:keepLines w:val="0"/>
        <w:widowControl w:val="0"/>
        <w:shd w:val="clear" w:color="auto" w:fill="auto"/>
        <w:tabs>
          <w:tab w:pos="709" w:val="left"/>
        </w:tabs>
        <w:bidi w:val="0"/>
        <w:spacing w:before="0" w:after="0" w:line="318" w:lineRule="exact"/>
        <w:ind w:left="0" w:right="0" w:firstLine="360"/>
        <w:jc w:val="both"/>
      </w:pPr>
      <w:bookmarkStart w:id="643" w:name="bookmark643"/>
      <w:r>
        <w:rPr>
          <w:color w:val="000000"/>
          <w:spacing w:val="0"/>
          <w:w w:val="100"/>
          <w:position w:val="0"/>
        </w:rPr>
        <w:t>2</w:t>
      </w:r>
      <w:bookmarkEnd w:id="643"/>
      <w:r>
        <w:rPr>
          <w:color w:val="000000"/>
          <w:spacing w:val="0"/>
          <w:w w:val="100"/>
          <w:position w:val="0"/>
        </w:rPr>
        <w:t>、</w:t>
        <w:tab/>
        <w:t>审计应对</w:t>
      </w:r>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我们针对商誉减值测试相关的上述关键审计事项执行的主要审计程序如下：</w:t>
      </w:r>
    </w:p>
    <w:p>
      <w:pPr>
        <w:pStyle w:val="Style18"/>
        <w:keepNext w:val="0"/>
        <w:keepLines w:val="0"/>
        <w:widowControl w:val="0"/>
        <w:shd w:val="clear" w:color="auto" w:fill="auto"/>
        <w:tabs>
          <w:tab w:pos="800" w:val="left"/>
        </w:tabs>
        <w:bidi w:val="0"/>
        <w:spacing w:before="0" w:after="0" w:line="326" w:lineRule="exact"/>
        <w:ind w:left="0" w:right="0" w:firstLine="360"/>
        <w:jc w:val="both"/>
      </w:pPr>
      <w:bookmarkStart w:id="644" w:name="bookmark644"/>
      <w:r>
        <w:rPr>
          <w:color w:val="000000"/>
          <w:spacing w:val="0"/>
          <w:w w:val="100"/>
          <w:position w:val="0"/>
        </w:rPr>
        <w:t>（</w:t>
      </w:r>
      <w:bookmarkEnd w:id="644"/>
      <w:r>
        <w:rPr>
          <w:color w:val="000000"/>
          <w:spacing w:val="0"/>
          <w:w w:val="100"/>
          <w:position w:val="0"/>
        </w:rPr>
        <w:t>1）</w:t>
        <w:tab/>
        <w:t>对常山北明商誉减值测试相关内部控制的设计和执行进行评估。</w:t>
      </w:r>
    </w:p>
    <w:p>
      <w:pPr>
        <w:pStyle w:val="Style18"/>
        <w:keepNext w:val="0"/>
        <w:keepLines w:val="0"/>
        <w:widowControl w:val="0"/>
        <w:shd w:val="clear" w:color="auto" w:fill="auto"/>
        <w:tabs>
          <w:tab w:pos="896" w:val="left"/>
        </w:tabs>
        <w:bidi w:val="0"/>
        <w:spacing w:before="0" w:after="0" w:line="326" w:lineRule="exact"/>
        <w:ind w:left="0" w:right="0" w:firstLine="360"/>
        <w:jc w:val="both"/>
      </w:pPr>
      <w:bookmarkStart w:id="645" w:name="bookmark645"/>
      <w:r>
        <w:rPr>
          <w:color w:val="000000"/>
          <w:spacing w:val="0"/>
          <w:w w:val="100"/>
          <w:position w:val="0"/>
        </w:rPr>
        <w:t>（</w:t>
      </w:r>
      <w:bookmarkEnd w:id="645"/>
      <w:r>
        <w:rPr>
          <w:color w:val="000000"/>
          <w:spacing w:val="0"/>
          <w:w w:val="100"/>
          <w:position w:val="0"/>
        </w:rPr>
        <w:t>2）</w:t>
        <w:tab/>
        <w:t>我们对管理层对商誉减值测试中的关键假设进行评估，包括五年期预算、永续年收入增长率、毛利率及折现率等。 我们也利用内部估值专家评估管理层的商誉减值测试方法的合理性。</w:t>
      </w:r>
    </w:p>
    <w:p>
      <w:pPr>
        <w:pStyle w:val="Style18"/>
        <w:keepNext w:val="0"/>
        <w:keepLines w:val="0"/>
        <w:widowControl w:val="0"/>
        <w:shd w:val="clear" w:color="auto" w:fill="auto"/>
        <w:tabs>
          <w:tab w:pos="800" w:val="left"/>
        </w:tabs>
        <w:bidi w:val="0"/>
        <w:spacing w:before="0" w:after="0" w:line="326" w:lineRule="exact"/>
        <w:ind w:left="0" w:right="0" w:firstLine="360"/>
        <w:jc w:val="both"/>
      </w:pPr>
      <w:bookmarkStart w:id="646" w:name="bookmark646"/>
      <w:r>
        <w:rPr>
          <w:color w:val="000000"/>
          <w:spacing w:val="0"/>
          <w:w w:val="100"/>
          <w:position w:val="0"/>
        </w:rPr>
        <w:t>（</w:t>
      </w:r>
      <w:bookmarkEnd w:id="646"/>
      <w:r>
        <w:rPr>
          <w:color w:val="000000"/>
          <w:spacing w:val="0"/>
          <w:w w:val="100"/>
          <w:position w:val="0"/>
        </w:rPr>
        <w:t>3）</w:t>
        <w:tab/>
        <w:t>我们通过参考行业惯例，评估管理层对包含商誉的相关资产组进行未来现金流量预测时使用的估值方法的适当性；</w:t>
      </w:r>
    </w:p>
    <w:p>
      <w:pPr>
        <w:pStyle w:val="Style18"/>
        <w:keepNext w:val="0"/>
        <w:keepLines w:val="0"/>
        <w:widowControl w:val="0"/>
        <w:shd w:val="clear" w:color="auto" w:fill="auto"/>
        <w:tabs>
          <w:tab w:pos="800" w:val="left"/>
        </w:tabs>
        <w:bidi w:val="0"/>
        <w:spacing w:before="0" w:after="0" w:line="318" w:lineRule="exact"/>
        <w:ind w:left="0" w:right="0" w:firstLine="360"/>
        <w:jc w:val="both"/>
      </w:pPr>
      <w:bookmarkStart w:id="647" w:name="bookmark647"/>
      <w:r>
        <w:rPr>
          <w:color w:val="000000"/>
          <w:spacing w:val="0"/>
          <w:w w:val="100"/>
          <w:position w:val="0"/>
        </w:rPr>
        <w:t>（</w:t>
      </w:r>
      <w:bookmarkEnd w:id="647"/>
      <w:r>
        <w:rPr>
          <w:color w:val="000000"/>
          <w:spacing w:val="0"/>
          <w:w w:val="100"/>
          <w:position w:val="0"/>
        </w:rPr>
        <w:t>4）</w:t>
        <w:tab/>
        <w:t>我们取得管理层聘请的外部评估机构出具的对合并形成的商誉进行减值测试的资产评估报告；</w:t>
      </w:r>
    </w:p>
    <w:p>
      <w:pPr>
        <w:pStyle w:val="Style18"/>
        <w:keepNext w:val="0"/>
        <w:keepLines w:val="0"/>
        <w:widowControl w:val="0"/>
        <w:shd w:val="clear" w:color="auto" w:fill="auto"/>
        <w:tabs>
          <w:tab w:pos="800" w:val="left"/>
        </w:tabs>
        <w:bidi w:val="0"/>
        <w:spacing w:before="0" w:after="0" w:line="318" w:lineRule="exact"/>
        <w:ind w:left="0" w:right="0" w:firstLine="360"/>
        <w:jc w:val="both"/>
      </w:pPr>
      <w:bookmarkStart w:id="648" w:name="bookmark648"/>
      <w:r>
        <w:rPr>
          <w:color w:val="000000"/>
          <w:spacing w:val="0"/>
          <w:w w:val="100"/>
          <w:position w:val="0"/>
        </w:rPr>
        <w:t>（</w:t>
      </w:r>
      <w:bookmarkEnd w:id="648"/>
      <w:r>
        <w:rPr>
          <w:color w:val="000000"/>
          <w:spacing w:val="0"/>
          <w:w w:val="100"/>
          <w:position w:val="0"/>
        </w:rPr>
        <w:t>5）</w:t>
        <w:tab/>
        <w:t>我们检查未来现金流量净现值的计算是否准确。</w:t>
      </w:r>
    </w:p>
    <w:p>
      <w:pPr>
        <w:pStyle w:val="Style18"/>
        <w:keepNext w:val="0"/>
        <w:keepLines w:val="0"/>
        <w:widowControl w:val="0"/>
        <w:shd w:val="clear" w:color="auto" w:fill="auto"/>
        <w:tabs>
          <w:tab w:pos="891" w:val="left"/>
        </w:tabs>
        <w:bidi w:val="0"/>
        <w:spacing w:before="0" w:after="0" w:line="318" w:lineRule="exact"/>
        <w:ind w:left="0" w:right="0" w:firstLine="360"/>
        <w:jc w:val="both"/>
      </w:pPr>
      <w:bookmarkStart w:id="649" w:name="bookmark649"/>
      <w:r>
        <w:rPr>
          <w:color w:val="000000"/>
          <w:spacing w:val="0"/>
          <w:w w:val="100"/>
          <w:position w:val="0"/>
        </w:rPr>
        <w:t>（</w:t>
      </w:r>
      <w:bookmarkEnd w:id="649"/>
      <w:r>
        <w:rPr>
          <w:color w:val="000000"/>
          <w:spacing w:val="0"/>
          <w:w w:val="100"/>
          <w:position w:val="0"/>
        </w:rPr>
        <w:t>三）</w:t>
        <w:tab/>
        <w:t>政府补助</w:t>
      </w:r>
    </w:p>
    <w:p>
      <w:pPr>
        <w:pStyle w:val="Style18"/>
        <w:keepNext w:val="0"/>
        <w:keepLines w:val="0"/>
        <w:widowControl w:val="0"/>
        <w:shd w:val="clear" w:color="auto" w:fill="auto"/>
        <w:tabs>
          <w:tab w:pos="709" w:val="left"/>
        </w:tabs>
        <w:bidi w:val="0"/>
        <w:spacing w:before="0" w:after="0" w:line="318" w:lineRule="exact"/>
        <w:ind w:left="0" w:right="0" w:firstLine="360"/>
        <w:jc w:val="both"/>
      </w:pPr>
      <w:bookmarkStart w:id="650" w:name="bookmark650"/>
      <w:r>
        <w:rPr>
          <w:color w:val="000000"/>
          <w:spacing w:val="0"/>
          <w:w w:val="100"/>
          <w:position w:val="0"/>
        </w:rPr>
        <w:t>1</w:t>
      </w:r>
      <w:bookmarkEnd w:id="650"/>
      <w:r>
        <w:rPr>
          <w:color w:val="000000"/>
          <w:spacing w:val="0"/>
          <w:w w:val="100"/>
          <w:position w:val="0"/>
        </w:rPr>
        <w:t>、</w:t>
        <w:tab/>
        <w:t>事项描述</w:t>
      </w:r>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 xml:space="preserve">根据政府补助准则的规定，常山北明2021年度确认的政府补助为26, </w:t>
      </w:r>
      <w:r>
        <w:rPr>
          <w:color w:val="000000"/>
          <w:spacing w:val="0"/>
          <w:w w:val="100"/>
          <w:position w:val="0"/>
        </w:rPr>
        <w:t xml:space="preserve">692. </w:t>
      </w:r>
      <w:r>
        <w:rPr>
          <w:color w:val="000000"/>
          <w:spacing w:val="0"/>
          <w:w w:val="100"/>
          <w:position w:val="0"/>
        </w:rPr>
        <w:t xml:space="preserve">61万元，计入其他收益的政府补助为24, </w:t>
      </w:r>
      <w:r>
        <w:rPr>
          <w:color w:val="000000"/>
          <w:spacing w:val="0"/>
          <w:w w:val="100"/>
          <w:position w:val="0"/>
        </w:rPr>
        <w:t xml:space="preserve">833. </w:t>
      </w:r>
      <w:r>
        <w:rPr>
          <w:color w:val="000000"/>
          <w:spacing w:val="0"/>
          <w:w w:val="100"/>
          <w:position w:val="0"/>
        </w:rPr>
        <w:t xml:space="preserve">00 万元，影响2021年度损益24, </w:t>
      </w:r>
      <w:r>
        <w:rPr>
          <w:color w:val="000000"/>
          <w:spacing w:val="0"/>
          <w:w w:val="100"/>
          <w:position w:val="0"/>
        </w:rPr>
        <w:t xml:space="preserve">833. </w:t>
      </w:r>
      <w:r>
        <w:rPr>
          <w:color w:val="000000"/>
          <w:spacing w:val="0"/>
          <w:w w:val="100"/>
          <w:position w:val="0"/>
        </w:rPr>
        <w:t xml:space="preserve">00万元，相关信息披露详见财务报表附注五34、附注七36、附注七48、附注七62描述。常 山北明当年利润总额为13, </w:t>
      </w:r>
      <w:r>
        <w:rPr>
          <w:color w:val="000000"/>
          <w:spacing w:val="0"/>
          <w:w w:val="100"/>
          <w:position w:val="0"/>
        </w:rPr>
        <w:t xml:space="preserve">907. </w:t>
      </w:r>
      <w:r>
        <w:rPr>
          <w:color w:val="000000"/>
          <w:spacing w:val="0"/>
          <w:w w:val="100"/>
          <w:position w:val="0"/>
        </w:rPr>
        <w:t>52万元，计入当期损益的政府补助金额对2021年度利润总额影响重大，因此我们将政府补助 列为关键审计事项。</w:t>
      </w:r>
    </w:p>
    <w:p>
      <w:pPr>
        <w:pStyle w:val="Style18"/>
        <w:keepNext w:val="0"/>
        <w:keepLines w:val="0"/>
        <w:widowControl w:val="0"/>
        <w:shd w:val="clear" w:color="auto" w:fill="auto"/>
        <w:tabs>
          <w:tab w:pos="709" w:val="left"/>
        </w:tabs>
        <w:bidi w:val="0"/>
        <w:spacing w:before="0" w:after="0" w:line="318" w:lineRule="exact"/>
        <w:ind w:left="0" w:right="0" w:firstLine="360"/>
        <w:jc w:val="both"/>
      </w:pPr>
      <w:bookmarkStart w:id="651" w:name="bookmark651"/>
      <w:r>
        <w:rPr>
          <w:color w:val="000000"/>
          <w:spacing w:val="0"/>
          <w:w w:val="100"/>
          <w:position w:val="0"/>
        </w:rPr>
        <w:t>2</w:t>
      </w:r>
      <w:bookmarkEnd w:id="651"/>
      <w:r>
        <w:rPr>
          <w:color w:val="000000"/>
          <w:spacing w:val="0"/>
          <w:w w:val="100"/>
          <w:position w:val="0"/>
        </w:rPr>
        <w:t>、</w:t>
        <w:tab/>
        <w:t>审计应对</w:t>
      </w:r>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我们针对政府补助相关的上述关键审计事项执行的主要审计程序如下：</w:t>
      </w:r>
    </w:p>
    <w:p>
      <w:pPr>
        <w:pStyle w:val="Style18"/>
        <w:keepNext w:val="0"/>
        <w:keepLines w:val="0"/>
        <w:widowControl w:val="0"/>
        <w:shd w:val="clear" w:color="auto" w:fill="auto"/>
        <w:tabs>
          <w:tab w:pos="800" w:val="left"/>
        </w:tabs>
        <w:bidi w:val="0"/>
        <w:spacing w:before="0" w:after="0" w:line="322" w:lineRule="exact"/>
        <w:ind w:left="0" w:right="0" w:firstLine="360"/>
        <w:jc w:val="both"/>
      </w:pPr>
      <w:bookmarkStart w:id="652" w:name="bookmark652"/>
      <w:r>
        <w:rPr>
          <w:color w:val="000000"/>
          <w:spacing w:val="0"/>
          <w:w w:val="100"/>
          <w:position w:val="0"/>
        </w:rPr>
        <w:t>（</w:t>
      </w:r>
      <w:bookmarkEnd w:id="652"/>
      <w:r>
        <w:rPr>
          <w:color w:val="000000"/>
          <w:spacing w:val="0"/>
          <w:w w:val="100"/>
          <w:position w:val="0"/>
        </w:rPr>
        <w:t>1）</w:t>
        <w:tab/>
        <w:t>对常山北明政府补助相关内部控制的设计和执行进行了评估；</w:t>
      </w:r>
    </w:p>
    <w:p>
      <w:pPr>
        <w:pStyle w:val="Style18"/>
        <w:keepNext w:val="0"/>
        <w:keepLines w:val="0"/>
        <w:widowControl w:val="0"/>
        <w:shd w:val="clear" w:color="auto" w:fill="auto"/>
        <w:tabs>
          <w:tab w:pos="886" w:val="left"/>
        </w:tabs>
        <w:bidi w:val="0"/>
        <w:spacing w:before="0" w:after="0" w:line="322" w:lineRule="exact"/>
        <w:ind w:left="0" w:right="0" w:firstLine="360"/>
        <w:jc w:val="both"/>
      </w:pPr>
      <w:bookmarkStart w:id="653" w:name="bookmark653"/>
      <w:r>
        <w:rPr>
          <w:color w:val="000000"/>
          <w:spacing w:val="0"/>
          <w:w w:val="100"/>
          <w:position w:val="0"/>
        </w:rPr>
        <w:t>（</w:t>
      </w:r>
      <w:bookmarkEnd w:id="653"/>
      <w:r>
        <w:rPr>
          <w:color w:val="000000"/>
          <w:spacing w:val="0"/>
          <w:w w:val="100"/>
          <w:position w:val="0"/>
        </w:rPr>
        <w:t>2）</w:t>
        <w:tab/>
        <w:t>检查政府拨款文件、收款凭证、银行回单等支持性文件，以评价政府补助的真实性以及是否记录于恰当的会计期 间；</w:t>
      </w:r>
    </w:p>
    <w:p>
      <w:pPr>
        <w:pStyle w:val="Style18"/>
        <w:keepNext w:val="0"/>
        <w:keepLines w:val="0"/>
        <w:widowControl w:val="0"/>
        <w:shd w:val="clear" w:color="auto" w:fill="auto"/>
        <w:tabs>
          <w:tab w:pos="800" w:val="left"/>
        </w:tabs>
        <w:bidi w:val="0"/>
        <w:spacing w:before="0" w:after="0" w:line="322" w:lineRule="exact"/>
        <w:ind w:left="0" w:right="0" w:firstLine="360"/>
        <w:jc w:val="both"/>
      </w:pPr>
      <w:bookmarkStart w:id="654" w:name="bookmark654"/>
      <w:r>
        <w:rPr>
          <w:color w:val="000000"/>
          <w:spacing w:val="0"/>
          <w:w w:val="100"/>
          <w:position w:val="0"/>
        </w:rPr>
        <w:t>（</w:t>
      </w:r>
      <w:bookmarkEnd w:id="654"/>
      <w:r>
        <w:rPr>
          <w:color w:val="000000"/>
          <w:spacing w:val="0"/>
          <w:w w:val="100"/>
          <w:position w:val="0"/>
        </w:rPr>
        <w:t>3）</w:t>
        <w:tab/>
        <w:t>分析补助款项的用途，判断政府补助与资产相关还是与收益相关；</w:t>
      </w:r>
    </w:p>
    <w:p>
      <w:pPr>
        <w:pStyle w:val="Style18"/>
        <w:keepNext w:val="0"/>
        <w:keepLines w:val="0"/>
        <w:widowControl w:val="0"/>
        <w:shd w:val="clear" w:color="auto" w:fill="auto"/>
        <w:tabs>
          <w:tab w:pos="800" w:val="left"/>
        </w:tabs>
        <w:bidi w:val="0"/>
        <w:spacing w:before="0" w:after="0" w:line="318" w:lineRule="exact"/>
        <w:ind w:left="0" w:right="0" w:firstLine="360"/>
        <w:jc w:val="both"/>
      </w:pPr>
      <w:bookmarkStart w:id="655" w:name="bookmark655"/>
      <w:r>
        <w:rPr>
          <w:color w:val="000000"/>
          <w:spacing w:val="0"/>
          <w:w w:val="100"/>
          <w:position w:val="0"/>
        </w:rPr>
        <w:t>（</w:t>
      </w:r>
      <w:bookmarkEnd w:id="655"/>
      <w:r>
        <w:rPr>
          <w:color w:val="000000"/>
          <w:spacing w:val="0"/>
          <w:w w:val="100"/>
          <w:position w:val="0"/>
        </w:rPr>
        <w:t>4）</w:t>
        <w:tab/>
        <w:t>复核常山北明计入递延收益、其他收益的政府补助明细表及摊销计算表，以确认本期结转收益的金额是否正确；</w:t>
      </w:r>
    </w:p>
    <w:p>
      <w:pPr>
        <w:pStyle w:val="Style18"/>
        <w:keepNext w:val="0"/>
        <w:keepLines w:val="0"/>
        <w:widowControl w:val="0"/>
        <w:shd w:val="clear" w:color="auto" w:fill="auto"/>
        <w:tabs>
          <w:tab w:pos="800" w:val="left"/>
        </w:tabs>
        <w:bidi w:val="0"/>
        <w:spacing w:before="0" w:after="0" w:line="318" w:lineRule="exact"/>
        <w:ind w:left="0" w:right="0" w:firstLine="360"/>
        <w:jc w:val="both"/>
      </w:pPr>
      <w:bookmarkStart w:id="656" w:name="bookmark656"/>
      <w:r>
        <w:rPr>
          <w:color w:val="000000"/>
          <w:spacing w:val="0"/>
          <w:w w:val="100"/>
          <w:position w:val="0"/>
        </w:rPr>
        <w:t>（</w:t>
      </w:r>
      <w:bookmarkEnd w:id="656"/>
      <w:r>
        <w:rPr>
          <w:color w:val="000000"/>
          <w:spacing w:val="0"/>
          <w:w w:val="100"/>
          <w:position w:val="0"/>
        </w:rPr>
        <w:t>5）</w:t>
        <w:tab/>
        <w:t>检查常山北明政府补助的列报与披露是否恰当。</w:t>
      </w:r>
    </w:p>
    <w:p>
      <w:pPr>
        <w:pStyle w:val="Style18"/>
        <w:keepNext w:val="0"/>
        <w:keepLines w:val="0"/>
        <w:widowControl w:val="0"/>
        <w:shd w:val="clear" w:color="auto" w:fill="auto"/>
        <w:tabs>
          <w:tab w:pos="776" w:val="left"/>
        </w:tabs>
        <w:bidi w:val="0"/>
        <w:spacing w:before="0" w:after="0" w:line="318" w:lineRule="exact"/>
        <w:ind w:left="0" w:right="0" w:firstLine="360"/>
        <w:jc w:val="both"/>
      </w:pPr>
      <w:bookmarkStart w:id="657" w:name="bookmark657"/>
      <w:r>
        <w:rPr>
          <w:color w:val="000000"/>
          <w:spacing w:val="0"/>
          <w:w w:val="100"/>
          <w:position w:val="0"/>
        </w:rPr>
        <w:t>四</w:t>
      </w:r>
      <w:bookmarkEnd w:id="657"/>
      <w:r>
        <w:rPr>
          <w:color w:val="000000"/>
          <w:spacing w:val="0"/>
          <w:w w:val="100"/>
          <w:position w:val="0"/>
        </w:rPr>
        <w:t>、</w:t>
        <w:tab/>
        <w:t>其他信息</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常山北明管理层（以下简称管理层）对其他信息负责。其他信息包括常山北明2021年年度报告中涵盖的信息，但不包 括财务报表和我们的审计报告。</w:t>
      </w:r>
    </w:p>
    <w:p>
      <w:pPr>
        <w:pStyle w:val="Style18"/>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790" w:val="left"/>
        </w:tabs>
        <w:bidi w:val="0"/>
        <w:spacing w:before="0" w:after="0" w:line="318" w:lineRule="exact"/>
        <w:ind w:left="0" w:right="0" w:firstLine="360"/>
        <w:jc w:val="both"/>
      </w:pPr>
      <w:bookmarkStart w:id="658" w:name="bookmark658"/>
      <w:r>
        <w:rPr>
          <w:color w:val="000000"/>
          <w:spacing w:val="0"/>
          <w:w w:val="100"/>
          <w:position w:val="0"/>
        </w:rPr>
        <w:t>五</w:t>
      </w:r>
      <w:bookmarkEnd w:id="658"/>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r>
        <w:br w:type="page"/>
      </w:r>
    </w:p>
    <w:p>
      <w:pPr>
        <w:pStyle w:val="Style18"/>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在编制财务报表时，管理层负责评估常山北明的持续经营能力，披露与持续经营相关的事项（如适用），并运用持续经 营假设，除非管理层计划清算常山北明、终止运营或别无其他现实的选择。</w:t>
      </w:r>
    </w:p>
    <w:p>
      <w:pPr>
        <w:pStyle w:val="Style18"/>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治理层负责监督常山北明的财务报告过程。</w:t>
      </w:r>
    </w:p>
    <w:p>
      <w:pPr>
        <w:pStyle w:val="Style18"/>
        <w:keepNext w:val="0"/>
        <w:keepLines w:val="0"/>
        <w:widowControl w:val="0"/>
        <w:shd w:val="clear" w:color="auto" w:fill="auto"/>
        <w:bidi w:val="0"/>
        <w:spacing w:before="0" w:after="40" w:line="313" w:lineRule="exact"/>
        <w:ind w:left="0" w:right="0" w:firstLine="360"/>
        <w:jc w:val="both"/>
      </w:pPr>
      <w:bookmarkStart w:id="659" w:name="bookmark659"/>
      <w:r>
        <w:rPr>
          <w:color w:val="000000"/>
          <w:spacing w:val="0"/>
          <w:w w:val="100"/>
          <w:position w:val="0"/>
        </w:rPr>
        <w:t>六</w:t>
      </w:r>
      <w:bookmarkEnd w:id="659"/>
      <w:r>
        <w:rPr>
          <w:color w:val="000000"/>
          <w:spacing w:val="0"/>
          <w:w w:val="100"/>
          <w:position w:val="0"/>
        </w:rPr>
        <w:t>、注册会计师对财务报表审计的责任</w:t>
      </w:r>
    </w:p>
    <w:p>
      <w:pPr>
        <w:pStyle w:val="Style18"/>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878" w:val="left"/>
        </w:tabs>
        <w:bidi w:val="0"/>
        <w:spacing w:before="0" w:after="40" w:line="314" w:lineRule="exact"/>
        <w:ind w:left="0" w:right="0" w:firstLine="360"/>
        <w:jc w:val="both"/>
      </w:pPr>
      <w:bookmarkStart w:id="660" w:name="bookmark660"/>
      <w:r>
        <w:rPr>
          <w:color w:val="000000"/>
          <w:spacing w:val="0"/>
          <w:w w:val="100"/>
          <w:position w:val="0"/>
        </w:rPr>
        <w:t>（</w:t>
      </w:r>
      <w:bookmarkEnd w:id="660"/>
      <w:r>
        <w:rPr>
          <w:color w:val="000000"/>
          <w:spacing w:val="0"/>
          <w:w w:val="100"/>
          <w:position w:val="0"/>
        </w:rPr>
        <w:t>1）</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782" w:val="left"/>
        </w:tabs>
        <w:bidi w:val="0"/>
        <w:spacing w:before="0" w:after="40" w:line="313" w:lineRule="exact"/>
        <w:ind w:left="0" w:right="0" w:firstLine="360"/>
        <w:jc w:val="both"/>
      </w:pPr>
      <w:bookmarkStart w:id="661" w:name="bookmark661"/>
      <w:r>
        <w:rPr>
          <w:color w:val="000000"/>
          <w:spacing w:val="0"/>
          <w:w w:val="100"/>
          <w:position w:val="0"/>
        </w:rPr>
        <w:t>（</w:t>
      </w:r>
      <w:bookmarkEnd w:id="661"/>
      <w:r>
        <w:rPr>
          <w:color w:val="000000"/>
          <w:spacing w:val="0"/>
          <w:w w:val="100"/>
          <w:position w:val="0"/>
        </w:rPr>
        <w:t>2）</w:t>
        <w:tab/>
        <w:t>了解与审计相关的内部控制，以设计恰当的审计程序。</w:t>
      </w:r>
    </w:p>
    <w:p>
      <w:pPr>
        <w:pStyle w:val="Style18"/>
        <w:keepNext w:val="0"/>
        <w:keepLines w:val="0"/>
        <w:widowControl w:val="0"/>
        <w:shd w:val="clear" w:color="auto" w:fill="auto"/>
        <w:tabs>
          <w:tab w:pos="782" w:val="left"/>
        </w:tabs>
        <w:bidi w:val="0"/>
        <w:spacing w:before="0" w:after="40" w:line="313" w:lineRule="exact"/>
        <w:ind w:left="0" w:right="0" w:firstLine="360"/>
        <w:jc w:val="both"/>
      </w:pPr>
      <w:bookmarkStart w:id="662" w:name="bookmark662"/>
      <w:r>
        <w:rPr>
          <w:color w:val="000000"/>
          <w:spacing w:val="0"/>
          <w:w w:val="100"/>
          <w:position w:val="0"/>
        </w:rPr>
        <w:t>（</w:t>
      </w:r>
      <w:bookmarkEnd w:id="662"/>
      <w:r>
        <w:rPr>
          <w:color w:val="000000"/>
          <w:spacing w:val="0"/>
          <w:w w:val="100"/>
          <w:position w:val="0"/>
        </w:rPr>
        <w:t>3）</w:t>
        <w:tab/>
        <w:t>评价管理层选用会计政策的恰当性和作出会计估计及相关披露的合理性。</w:t>
      </w:r>
    </w:p>
    <w:p>
      <w:pPr>
        <w:pStyle w:val="Style18"/>
        <w:keepNext w:val="0"/>
        <w:keepLines w:val="0"/>
        <w:widowControl w:val="0"/>
        <w:shd w:val="clear" w:color="auto" w:fill="auto"/>
        <w:tabs>
          <w:tab w:pos="878" w:val="left"/>
        </w:tabs>
        <w:bidi w:val="0"/>
        <w:spacing w:before="0" w:after="40" w:line="314" w:lineRule="exact"/>
        <w:ind w:left="0" w:right="0" w:firstLine="360"/>
        <w:jc w:val="both"/>
      </w:pPr>
      <w:bookmarkStart w:id="663" w:name="bookmark663"/>
      <w:r>
        <w:rPr>
          <w:color w:val="000000"/>
          <w:spacing w:val="0"/>
          <w:w w:val="100"/>
          <w:position w:val="0"/>
        </w:rPr>
        <w:t>（</w:t>
      </w:r>
      <w:bookmarkEnd w:id="663"/>
      <w:r>
        <w:rPr>
          <w:color w:val="000000"/>
          <w:spacing w:val="0"/>
          <w:w w:val="100"/>
          <w:position w:val="0"/>
        </w:rPr>
        <w:t>4）</w:t>
        <w:tab/>
        <w:t>对管理层使用持续经营假设的恰当性得出结论。同时，根据获取的审计证据，就可能导致对常山北明持续经营能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于截至审计报告日可获得的信息。然而，未来的事项或情况可能导致常山北明不能持续经营。</w:t>
      </w:r>
    </w:p>
    <w:p>
      <w:pPr>
        <w:pStyle w:val="Style18"/>
        <w:keepNext w:val="0"/>
        <w:keepLines w:val="0"/>
        <w:widowControl w:val="0"/>
        <w:shd w:val="clear" w:color="auto" w:fill="auto"/>
        <w:tabs>
          <w:tab w:pos="782" w:val="left"/>
        </w:tabs>
        <w:bidi w:val="0"/>
        <w:spacing w:before="0" w:after="40" w:line="313" w:lineRule="exact"/>
        <w:ind w:left="0" w:right="0" w:firstLine="360"/>
        <w:jc w:val="both"/>
      </w:pPr>
      <w:bookmarkStart w:id="664" w:name="bookmark664"/>
      <w:r>
        <w:rPr>
          <w:color w:val="000000"/>
          <w:spacing w:val="0"/>
          <w:w w:val="100"/>
          <w:position w:val="0"/>
        </w:rPr>
        <w:t>（</w:t>
      </w:r>
      <w:bookmarkEnd w:id="664"/>
      <w:r>
        <w:rPr>
          <w:color w:val="000000"/>
          <w:spacing w:val="0"/>
          <w:w w:val="100"/>
          <w:position w:val="0"/>
        </w:rPr>
        <w:t>5）</w:t>
        <w:tab/>
        <w:t>评价财务报表的总体列报、结构和内容，并评价财务报表是否公允反映相关交易和事项。</w:t>
      </w:r>
    </w:p>
    <w:p>
      <w:pPr>
        <w:pStyle w:val="Style18"/>
        <w:keepNext w:val="0"/>
        <w:keepLines w:val="0"/>
        <w:widowControl w:val="0"/>
        <w:shd w:val="clear" w:color="auto" w:fill="auto"/>
        <w:tabs>
          <w:tab w:pos="873" w:val="left"/>
        </w:tabs>
        <w:bidi w:val="0"/>
        <w:spacing w:before="0" w:after="40" w:line="317" w:lineRule="exact"/>
        <w:ind w:left="0" w:right="0" w:firstLine="360"/>
        <w:jc w:val="both"/>
      </w:pPr>
      <w:bookmarkStart w:id="665" w:name="bookmark665"/>
      <w:r>
        <w:rPr>
          <w:color w:val="000000"/>
          <w:spacing w:val="0"/>
          <w:w w:val="100"/>
          <w:position w:val="0"/>
        </w:rPr>
        <w:t>（</w:t>
      </w:r>
      <w:bookmarkEnd w:id="665"/>
      <w:r>
        <w:rPr>
          <w:color w:val="000000"/>
          <w:spacing w:val="0"/>
          <w:w w:val="100"/>
          <w:position w:val="0"/>
        </w:rPr>
        <w:t>6）</w:t>
        <w:tab/>
        <w:t>就常山北明中实体或业务活动的财务信息获取充分、适当的审计证据，以对财务报表发表审计意见。我们负责指 导、监督和执行集团审计，并对审计意见承担全部责任。</w:t>
      </w:r>
    </w:p>
    <w:p>
      <w:pPr>
        <w:pStyle w:val="Style18"/>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18"/>
        <w:keepNext w:val="0"/>
        <w:keepLines w:val="0"/>
        <w:widowControl w:val="0"/>
        <w:shd w:val="clear" w:color="auto" w:fill="auto"/>
        <w:bidi w:val="0"/>
        <w:spacing w:before="0" w:after="156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bidi w:val="0"/>
        <w:spacing w:before="0" w:after="140" w:line="240" w:lineRule="auto"/>
        <w:ind w:left="0" w:right="0" w:firstLine="360"/>
        <w:jc w:val="both"/>
      </w:pPr>
      <w:r>
        <mc:AlternateContent>
          <mc:Choice Requires="wps">
            <w:drawing>
              <wp:anchor distT="0" distB="0" distL="0" distR="0" simplePos="0" relativeHeight="125829380" behindDoc="0" locked="0" layoutInCell="1" allowOverlap="1">
                <wp:simplePos x="0" y="0"/>
                <wp:positionH relativeFrom="page">
                  <wp:posOffset>4980940</wp:posOffset>
                </wp:positionH>
                <wp:positionV relativeFrom="paragraph">
                  <wp:posOffset>12700</wp:posOffset>
                </wp:positionV>
                <wp:extent cx="1273810" cy="814070"/>
                <wp:wrapSquare wrapText="left"/>
                <wp:docPr id="5" name="Shape 5"/>
                <a:graphic xmlns:a="http://schemas.openxmlformats.org/drawingml/2006/main">
                  <a:graphicData uri="http://schemas.microsoft.com/office/word/2010/wordprocessingShape">
                    <wps:wsp>
                      <wps:cNvSpPr txBox="1"/>
                      <wps:spPr>
                        <a:xfrm>
                          <a:ext cx="1273810" cy="814070"/>
                        </a:xfrm>
                        <a:prstGeom prst="rect"/>
                        <a:noFill/>
                      </wps:spPr>
                      <wps:txbx>
                        <w:txbxContent>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中国注册会计师：秦卫国</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（项目合伙人）</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中国注册会计师：苏阳</w:t>
                            </w:r>
                          </w:p>
                          <w:p>
                            <w:pPr>
                              <w:pStyle w:val="Style1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2022年4月14日</w:t>
                            </w:r>
                          </w:p>
                        </w:txbxContent>
                      </wps:txbx>
                      <wps:bodyPr lIns="0" tIns="0" rIns="0" bIns="0">
                        <a:noAutoFit/>
                      </wps:bodyPr>
                    </wps:wsp>
                  </a:graphicData>
                </a:graphic>
              </wp:anchor>
            </w:drawing>
          </mc:Choice>
          <mc:Fallback>
            <w:pict>
              <v:shape id="_x0000_s1031" type="#_x0000_t202" style="position:absolute;margin-left:392.19999999999999pt;margin-top:1.pt;width:100.3pt;height:64.099999999999994pt;z-index:-125829373;mso-wrap-distance-left:0;mso-wrap-distance-right:0;mso-position-horizontal-relative:page" filled="f" stroked="f">
                <v:textbox inset="0,0,0,0">
                  <w:txbxContent>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中国注册会计师：秦卫国</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（项目合伙人）</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中国注册会计师：苏阳</w:t>
                      </w:r>
                    </w:p>
                    <w:p>
                      <w:pPr>
                        <w:pStyle w:val="Style1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2022年4月14日</w:t>
                      </w:r>
                    </w:p>
                  </w:txbxContent>
                </v:textbox>
                <w10:wrap type="square" side="left" anchorx="page"/>
              </v:shape>
            </w:pict>
          </mc:Fallback>
        </mc:AlternateContent>
      </w:r>
      <w:r>
        <w:rPr>
          <w:color w:val="000000"/>
          <w:spacing w:val="0"/>
          <w:w w:val="100"/>
          <w:position w:val="0"/>
        </w:rPr>
        <w:t>中兴财光华会计师事务所</w:t>
      </w:r>
    </w:p>
    <w:p>
      <w:pPr>
        <w:pStyle w:val="Style18"/>
        <w:keepNext w:val="0"/>
        <w:keepLines w:val="0"/>
        <w:widowControl w:val="0"/>
        <w:shd w:val="clear" w:color="auto" w:fill="auto"/>
        <w:bidi w:val="0"/>
        <w:spacing w:before="0" w:after="480" w:line="240" w:lineRule="auto"/>
        <w:ind w:left="0" w:right="0" w:firstLine="360"/>
        <w:jc w:val="both"/>
      </w:pPr>
      <w:r>
        <w:rPr>
          <w:color w:val="000000"/>
          <w:spacing w:val="0"/>
          <w:w w:val="100"/>
          <w:position w:val="0"/>
        </w:rPr>
        <w:t>（特殊普通合伙）</w:t>
      </w:r>
    </w:p>
    <w:p>
      <w:pPr>
        <w:pStyle w:val="Style18"/>
        <w:keepNext w:val="0"/>
        <w:keepLines w:val="0"/>
        <w:widowControl w:val="0"/>
        <w:shd w:val="clear" w:color="auto" w:fill="auto"/>
        <w:bidi w:val="0"/>
        <w:spacing w:before="0" w:after="40" w:line="240" w:lineRule="auto"/>
        <w:ind w:left="0" w:right="0" w:firstLine="720"/>
        <w:jc w:val="both"/>
      </w:pPr>
      <w:r>
        <w:rPr>
          <w:color w:val="000000"/>
          <w:spacing w:val="0"/>
          <w:w w:val="100"/>
          <w:position w:val="0"/>
        </w:rPr>
        <w:t>中国•北京</w:t>
      </w:r>
      <w:r>
        <w:br w:type="page"/>
      </w:r>
    </w:p>
    <w:p>
      <w:pPr>
        <w:pStyle w:val="Style23"/>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r>
        <w:rPr>
          <w:color w:val="000000"/>
          <w:spacing w:val="0"/>
          <w:w w:val="100"/>
          <w:position w:val="0"/>
          <w:sz w:val="24"/>
          <w:szCs w:val="24"/>
        </w:rPr>
        <w:t>二、财务报表</w:t>
      </w:r>
      <w:bookmarkEnd w:id="666"/>
      <w:bookmarkEnd w:id="667"/>
      <w:bookmarkEnd w:id="66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、合并资产负债表</w:t>
      </w:r>
      <w:bookmarkEnd w:id="669"/>
      <w:bookmarkEnd w:id="670"/>
      <w:bookmarkEnd w:id="67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编制单位：石家庄常山北明科技股份有限公司</w:t>
      </w:r>
    </w:p>
    <w:p>
      <w:pPr>
        <w:pStyle w:val="Style36"/>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2,361,272,662.94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2,338,659,817.95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41,296,556.58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169,459,358.11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2,641,114,739.93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1,794,586,849.40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17,548,202.40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59,274,128.88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1,218,807,624.57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1,091,738,787.17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358,065,384.67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143,751,809.90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3,010,265,138.51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2,417,014,869.83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676,228,492.27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860,616,592.37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85,447,611.55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71,323,279.01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10,410,046,413.42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8,946,425,492.62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24,220,659.96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41,637,211.64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26,502,564.03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30,194,928.13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142,401,269.37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147,272,412.45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2,478,956,971.45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2,498,349,164.85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272,322,391.09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199,681,227.21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39,799,208.37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674,823,914.90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681,208,231.54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104,803,622.97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55,044,590.87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2,033,839,939.13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2,083,666,439.13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30,990,845.70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27,298,465.56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89,306,099.01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74,003,365.07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248,714,394.45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101,528,220.49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6,187,790,796.21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5,948,970,269.29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16,597,837,209.63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3,039,777,853.38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2,736,777,744.84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1,134,614,708.42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493,957,171.87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2,565,391,629.86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1,889,709,271.72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504,208,796.81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385,491,441.81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18,378,284.29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20,835,718.52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180,517,444.28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131,633,440.04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152,185,536.39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151,127,724.09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9,968,422.13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29,968,422.13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1,002,962,416.88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394,811,659.09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54,585,339.19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41,369,967.91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8,657,119,866.04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6,251,601,482.41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631,131,508.49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1,393,445,437.40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10,647,180.73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116,168,675.41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219,864,248.60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1,009,402,422.11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990,806,349.74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1,602,473.33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2,055,483.30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1,768,952,260.07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2,606,171,519.04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10,426,072,126.11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8,857,773,001.45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1,598,616,721.00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2,660,425,232.53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2,653,513,686.44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-16,171,512.65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257,828,715.24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257,828,715.24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1,653,204,190.45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1,522,200,106.78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6,153,903,346.57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6,015,987,716.81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17,861,736.95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21,635,043.65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6,171,765,083.52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6,037,622,760.46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16,597,837,209.63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713740</wp:posOffset>
                </wp:positionH>
                <wp:positionV relativeFrom="margin">
                  <wp:posOffset>2563495</wp:posOffset>
                </wp:positionV>
                <wp:extent cx="1051560" cy="149225"/>
                <wp:wrapTopAndBottom/>
                <wp:docPr id="7" name="Shape 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法定代表人：肖荣智</w:t>
                            </w:r>
                          </w:p>
                        </w:txbxContent>
                      </wps:txbx>
                      <wps:bodyPr wrap="none" lIns="0" tIns="0" rIns="0" bIns="0">
                        <a:noAutoFit/>
                      </wps:bodyPr>
                    </wps:wsp>
                  </a:graphicData>
                </a:graphic>
              </wp:anchor>
            </w:drawing>
          </mc:Choice>
          <mc:Fallback>
            <w:pict>
              <v:shape id="_x0000_s1033" type="#_x0000_t202" style="position:absolute;margin-left:56.200000000000003pt;margin-top:201.84999999999999pt;width:82.799999999999997pt;height:11.75pt;z-index:-125829371;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法定代表人：肖荣智</w:t>
                      </w:r>
                    </w:p>
                  </w:txbxContent>
                </v:textbox>
                <w10:wrap type="topAndBottom" anchorx="page" anchory="margin"/>
              </v:shape>
            </w:pict>
          </mc:Fallback>
        </mc:AlternateContent>
      </w:r>
      <w:r>
        <mc:AlternateContent>
          <mc:Choice Requires="wps">
            <w:drawing>
              <wp:anchor distT="152400" distB="3175" distL="2287270" distR="2513330" simplePos="0" relativeHeight="125829384" behindDoc="0" locked="0" layoutInCell="1" allowOverlap="1">
                <wp:simplePos x="0" y="0"/>
                <wp:positionH relativeFrom="page">
                  <wp:posOffset>2886710</wp:posOffset>
                </wp:positionH>
                <wp:positionV relativeFrom="margin">
                  <wp:posOffset>2563495</wp:posOffset>
                </wp:positionV>
                <wp:extent cx="1511935" cy="146050"/>
                <wp:wrapTopAndBottom/>
                <wp:docPr id="9" name="Shape 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主管会计工作负责人：曹金霞</w:t>
                            </w:r>
                          </w:p>
                        </w:txbxContent>
                      </wps:txbx>
                      <wps:bodyPr wrap="none" lIns="0" tIns="0" rIns="0" bIns="0">
                        <a:noAutoFit/>
                      </wps:bodyPr>
                    </wps:wsp>
                  </a:graphicData>
                </a:graphic>
              </wp:anchor>
            </w:drawing>
          </mc:Choice>
          <mc:Fallback>
            <w:pict>
              <v:shape id="_x0000_s1035" type="#_x0000_t202" style="position:absolute;margin-left:227.30000000000001pt;margin-top:201.84999999999999pt;width:119.05pt;height:11.5pt;z-index:-125829369;mso-wrap-distance-left:180.09999999999999pt;mso-wrap-distance-top:12.pt;mso-wrap-distance-right:197.90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主管会计工作负责人：曹金霞</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5511165</wp:posOffset>
                </wp:positionH>
                <wp:positionV relativeFrom="margin">
                  <wp:posOffset>2563495</wp:posOffset>
                </wp:positionV>
                <wp:extent cx="1286510" cy="149225"/>
                <wp:wrapTopAndBottom/>
                <wp:docPr id="11" name="Shape 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wps:txbx>
                      <wps:bodyPr wrap="none" lIns="0" tIns="0" rIns="0" bIns="0">
                        <a:noAutoFit/>
                      </wps:bodyPr>
                    </wps:wsp>
                  </a:graphicData>
                </a:graphic>
              </wp:anchor>
            </w:drawing>
          </mc:Choice>
          <mc:Fallback>
            <w:pict>
              <v:shape id="_x0000_s1037" type="#_x0000_t202" style="position:absolute;margin-left:433.94999999999999pt;margin-top:201.84999999999999pt;width:101.3pt;height:11.75pt;z-index:-125829367;mso-wrap-distance-left:386.75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v:textbox>
                <w10:wrap type="topAndBottom" anchorx="page" anchory="margin"/>
              </v:shape>
            </w:pict>
          </mc:Fallback>
        </mc:AlternateContent>
      </w: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、母公司资产负债表</w:t>
      </w:r>
      <w:bookmarkEnd w:id="673"/>
      <w:bookmarkEnd w:id="674"/>
      <w:bookmarkEnd w:id="6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1,195,782,549.72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929,114,644.90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512,373,914.64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444,812,614.75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2,600,059.00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20,470,688.73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852,090,554.36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1,071,832,185.38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233,574,178.69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13,254,878.93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2,859,166.67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670,865,616.25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574,129,946.15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65,955,448.37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52,883,250.00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3,533,242,321.03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3,106,498,208.84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3,222,123,596.98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3,214,641,000.37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28,654,928.13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28,654,928.13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142,401,269.37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147,272,412.45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1,887,865,735.63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1,986,743,272.11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236,897,545.18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184,519,333.07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300,986,126.39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307,977,625.31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1,684,617.39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2,406,324.75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34,240,694.32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40,398,065.54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118,225,237.10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101,440,574.10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5,973,079,750.49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6,014,053,535.83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9,506,322,071.52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9,120,551,744.67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1,449,183,852.92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1,290,264,001.41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5,887,342.52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155,168,348.89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182,928,455.52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34,494,851.59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73,257,985.10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1,812,739.04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7,564,018.96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337,663.79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4,834,674.92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58,889,412.81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72,075,710.48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107,137.82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526,905,201.43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376,649,157.15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20,629,055.89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6,895,003.10</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2,951,918,982.90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2,050,356,349.16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631,131,508.49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921,445,437.40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53,258,318.46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219,864,248.60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882,534,038.86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901,031,518.48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1,566,923,865.81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2,042,341,204.48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4,518,842,848.71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4,092,697,553.64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1,598,616,721.00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2,637,401,013.54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2,638,811,805.47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-16,171,512.65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251,585,761.98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516,047,238.94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555,011,415.23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4,987,479,222.81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5,027,854,191.03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9,506,322,071.52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9,120,551,744.67</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、合并利润表</w:t>
      </w:r>
      <w:bookmarkEnd w:id="677"/>
      <w:bookmarkEnd w:id="678"/>
      <w:bookmarkEnd w:id="6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328"/>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9,883,795,591.20</w:t>
            </w: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9,883,795,591.20</w:t>
            </w:r>
          </w:p>
        </w:tc>
      </w:tr>
    </w:tbl>
    <w:p>
      <w:pPr>
        <w:widowControl w:val="0"/>
        <w:spacing w:line="1" w:lineRule="exact"/>
      </w:pPr>
      <w:r>
        <w:br w:type="page"/>
      </w:r>
    </w:p>
    <w:tbl>
      <w:tblPr>
        <w:tblOverlap w:val="never"/>
        <w:jc w:val="center"/>
        <w:tblLayout w:type="fixed"/>
      </w:tblPr>
      <w:tblGrid>
        <w:gridCol w:w="5069"/>
        <w:gridCol w:w="2328"/>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10,855,827,612.61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9,920,153,876.88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9,729,162,824.71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8,903,778,343.11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49,885,528.01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52,175,485.36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267,448,132.38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250,964,348.49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333,076,664.64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287,454,362.63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242,024,038.84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185,743,682.65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234,230,424.03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240,037,654.64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223,000,620.51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231,777,207.41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19,877,462.06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18,871,613.90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249,528,633.13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307,903,868.17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5,223,744.45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10,525,027.38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1,587,598.32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1,331,026.72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-5,887,342.52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-30,197,348.71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-55,351,442.32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-98,932,823.84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-48,824,648.71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-2,845,086.03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3,279,437.83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149,944,970.36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175,286,614.15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25,773,071.74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2,929,276.39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36,642,802.92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55,722,285.95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139,075,239.18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122,493,604.59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9,347,974.83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15,384,166.20</w:t>
            </w:r>
          </w:p>
        </w:tc>
      </w:tr>
    </w:tbl>
    <w:p>
      <w:pPr>
        <w:widowControl w:val="0"/>
        <w:spacing w:line="1" w:lineRule="exact"/>
      </w:pPr>
      <w:r>
        <w:br w:type="page"/>
      </w:r>
    </w:p>
    <w:tbl>
      <w:tblPr>
        <w:tblOverlap w:val="never"/>
        <w:jc w:val="center"/>
        <w:tblLayout w:type="fixed"/>
      </w:tblPr>
      <w:tblGrid>
        <w:gridCol w:w="5069"/>
        <w:gridCol w:w="2328"/>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129,727,264.35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107,109,438.39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129,727,264.35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107,109,438.39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131,004,083.67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101,306,491.87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-1,276,819.32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5,802,946.52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129,727,264.35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107,109,438.39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131,004,083.67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101,306,491.87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-1,276,819.32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5,802,946.52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8"/>
        <w:keepNext w:val="0"/>
        <w:keepLines w:val="0"/>
        <w:widowControl w:val="0"/>
        <w:shd w:val="clear" w:color="auto" w:fill="auto"/>
        <w:tabs>
          <w:tab w:pos="3418" w:val="left"/>
          <w:tab w:pos="7526" w:val="left"/>
        </w:tabs>
        <w:bidi w:val="0"/>
        <w:spacing w:before="0" w:after="0" w:line="240" w:lineRule="auto"/>
        <w:ind w:left="0" w:right="0" w:firstLine="0"/>
        <w:jc w:val="both"/>
      </w:pPr>
      <w:r>
        <w:rPr>
          <w:color w:val="000000"/>
          <w:spacing w:val="0"/>
          <w:w w:val="100"/>
          <w:position w:val="0"/>
        </w:rPr>
        <w:t>法定代表人：肖荣智</w:t>
        <w:tab/>
        <w:t>主管会计工作负责人：曹金霞</w:t>
        <w:tab/>
        <w:t>会计机构负责人：曹金霞</w:t>
      </w:r>
      <w:r>
        <w:br w:type="page"/>
      </w:r>
    </w:p>
    <w:p>
      <w:pPr>
        <w:pStyle w:val="Style27"/>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、母公司利润表</w:t>
      </w:r>
      <w:bookmarkEnd w:id="681"/>
      <w:bookmarkEnd w:id="682"/>
      <w:bookmarkEnd w:id="6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46"/>
        <w:gridCol w:w="2174"/>
        <w:gridCol w:w="229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3,727,143,471.94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3,881,858,906.76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3,689,755,608.22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3,871,692,507.76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26,832,112.41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30,778,053.78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1,988,725.91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2,279,085.38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100,949,091.78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124,540,029.50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28,035.09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134,243,090.50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125,553,284.16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119,845,450.29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133,474,523.32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11,119,484.42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14,480,704.49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221,286,031.67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288,512,645.68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2,445,252.35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4,807,457.04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1180"/>
              <w:jc w:val="left"/>
            </w:pPr>
            <w:r>
              <w:rPr>
                <w:color w:val="000000"/>
                <w:spacing w:val="0"/>
                <w:w w:val="100"/>
                <w:position w:val="0"/>
              </w:rPr>
              <w:t>以摊余成本计量的金融资产终止确认收益（损失 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-5,887,342.52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-916,161.23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-7,260,891.39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-19,575,939.76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-21,688,090.44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-1,589,205.65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3,385,728.49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-23,613,728.61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-11,114,546.96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16,852,136.91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616,560.78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25,632,907.17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36,302,309.15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-32,394,498.87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-46,800,295.33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6,569,677.42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-5,145,858.93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-38,964,176.29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-41,654,436.40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-38,964,176.29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-41,654,436.40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46"/>
        <w:gridCol w:w="2174"/>
        <w:gridCol w:w="229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-38,964,176.29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-41,654,436.40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、合并现金流量表</w:t>
      </w:r>
      <w:bookmarkEnd w:id="685"/>
      <w:bookmarkEnd w:id="686"/>
      <w:bookmarkEnd w:id="6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17"/>
        <w:gridCol w:w="2218"/>
        <w:gridCol w:w="23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9,724,784,022.62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10,569,917,076.00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6,663,162.32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5,707,870.15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122,105,191.64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953,965,891.25</w:t>
            </w: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9,853,552,376.58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11,529,590,837.40</w:t>
            </w:r>
          </w:p>
        </w:tc>
      </w:tr>
    </w:tbl>
    <w:p>
      <w:pPr>
        <w:widowControl w:val="0"/>
        <w:spacing w:line="1" w:lineRule="exact"/>
      </w:pPr>
      <w:r>
        <w:br w:type="page"/>
      </w:r>
    </w:p>
    <w:tbl>
      <w:tblPr>
        <w:tblOverlap w:val="never"/>
        <w:jc w:val="center"/>
        <w:tblLayout w:type="fixed"/>
      </w:tblPr>
      <w:tblGrid>
        <w:gridCol w:w="5117"/>
        <w:gridCol w:w="2218"/>
        <w:gridCol w:w="23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8,013,187,419.29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9,521,658,680.48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597,589,428.76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502,133,166.17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189,706,198.10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187,601,111.37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594,367,486.30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311,220,385.67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9,394,850,532.45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10,522,613,343.69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458,701,844.13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1,006,977,493.71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5,684,165.12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6,677,075.40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1,848,959.30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58,183,851.38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190,517.37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5,075,640.00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12,799,281.79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64,860,926.78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292,164,919.02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306,028,146.46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82,600,400.20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4,600,000.00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11,016,540.00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3,986,821.38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378,752,140.60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321,644,686.46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-365,952,858.81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-256,783,759.68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8,122,000.00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5,897,000.00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8,122,000.00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5,897,000.00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3,761,036,898.35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5,039,068,484.80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148,920,000.00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3,869,158,898.35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5,193,885,484.80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3,618,407,875.96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4,891,191,074.30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237,117,800.99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236,207,260.93</w:t>
            </w:r>
          </w:p>
        </w:tc>
      </w:tr>
    </w:tbl>
    <w:p>
      <w:pPr>
        <w:widowControl w:val="0"/>
        <w:spacing w:line="1" w:lineRule="exact"/>
      </w:pPr>
      <w:r>
        <w:br w:type="page"/>
      </w:r>
    </w:p>
    <w:tbl>
      <w:tblPr>
        <w:tblOverlap w:val="never"/>
        <w:jc w:val="center"/>
        <w:tblLayout w:type="fixed"/>
      </w:tblPr>
      <w:tblGrid>
        <w:gridCol w:w="5117"/>
        <w:gridCol w:w="2218"/>
        <w:gridCol w:w="23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252,024,057.52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289,158,466.04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4,107,549,734.47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5,416,556,801.27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-238,390,836.12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-222,671,316.47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-1,465,220.12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-509,917.57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-147,107,070.92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527,012,499.99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2,089,017,760.59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1,562,005,260.60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1,941,910,689.67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2,089,017,760.59</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、母公司现金流量表</w:t>
      </w:r>
      <w:bookmarkEnd w:id="689"/>
      <w:bookmarkEnd w:id="690"/>
      <w:bookmarkEnd w:id="6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208"/>
        <w:gridCol w:w="23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3,829,437,339.88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3,924,586,170.27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29,342,528.19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890,173,666.39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3,858,779,868.07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4,814,759,836.66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3,094,494,148.47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3,954,271,534.60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128,390,397.98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118,346,412.31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58,198,513.88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46,601,925.95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221,087,289.23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45,993,246.35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3,502,170,349.56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4,165,213,119.21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356,609,518.51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649,546,717.45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4,884,165.12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6,105,206.40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7,706,432.56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8,309,808.06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13,193,973.18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13,811,638.96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9,887,939.42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201,328,682.00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91,582,500.08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12,500,000.00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69"/>
        <w:gridCol w:w="2208"/>
        <w:gridCol w:w="23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101,470,439.50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213,828,682.00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-88,276,466.32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-200,017,043.04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1,817,207,020.00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2,521,789,750.00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148,920,000.00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1,817,207,020.00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2,670,709,750.00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1,768,773,183.91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2,412,729,868.80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129,377,680.02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143,173,806.05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200,253,099.20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266,375,298.62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2,098,403,963.13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2,822,278,973.47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-281,196,943.13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-151,569,223.47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-1,411,582.57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-126,362.62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-14,275,473.51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297,834,088.32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920,703,432.48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622,869,344.16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906,427,958.97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920,703,432.48</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7</w:t>
      </w:r>
      <w:bookmarkEnd w:id="695"/>
      <w:r>
        <w:rPr>
          <w:color w:val="000000"/>
          <w:spacing w:val="0"/>
          <w:w w:val="100"/>
          <w:position w:val="0"/>
        </w:rPr>
        <w:t>、合并所有者权益变动表</w:t>
      </w:r>
      <w:bookmarkEnd w:id="693"/>
      <w:bookmarkEnd w:id="694"/>
      <w:bookmarkEnd w:id="69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8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w:t>
            </w:r>
          </w:p>
        </w:tc>
      </w:tr>
      <w:tr>
        <w:trPr>
          <w:trHeight w:val="283" w:hRule="exact"/>
        </w:trPr>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w:t>
            </w:r>
          </w:p>
        </w:tc>
      </w:tr>
      <w:tr>
        <w:trPr>
          <w:trHeight w:val="6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w:t>
            </w: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right w:val="single" w:sz="4"/>
            </w:tcBorders>
            <w:shd w:val="clear" w:color="auto" w:fill="D3D3D3"/>
            <w:vAlign w:val="bottom"/>
          </w:tcPr>
          <w:p>
            <w:pPr/>
          </w:p>
        </w:tc>
      </w:tr>
      <w:tr>
        <w:trPr>
          <w:trHeight w:val="15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先</w:t>
            </w: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vMerge w:val="restart"/>
            <w:tcBorders>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w:t>
            </w:r>
          </w:p>
        </w:tc>
      </w:tr>
      <w:tr>
        <w:trPr>
          <w:trHeight w:val="317"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w:t>
            </w:r>
          </w:p>
        </w:tc>
      </w:tr>
      <w:tr>
        <w:trPr>
          <w:trHeight w:val="307"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w:t>
            </w:r>
          </w:p>
        </w:tc>
      </w:tr>
      <w:tr>
        <w:trPr>
          <w:trHeight w:val="66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0.46</w:t>
            </w:r>
          </w:p>
        </w:tc>
      </w:tr>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8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一控制下企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616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2,65</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-16,</w:t>
            </w:r>
          </w:p>
          <w:p>
            <w:pPr>
              <w:pStyle w:val="Style20"/>
              <w:keepNext w:val="0"/>
              <w:keepLines w:val="0"/>
              <w:widowControl w:val="0"/>
              <w:shd w:val="clear" w:color="auto" w:fill="auto"/>
              <w:bidi w:val="0"/>
              <w:spacing w:before="0" w:after="0" w:line="360" w:lineRule="auto"/>
              <w:ind w:left="140" w:right="0" w:firstLine="20"/>
              <w:jc w:val="left"/>
            </w:pPr>
            <w:r>
              <w:rPr>
                <w:rFonts w:ascii="Times New Roman" w:eastAsia="Times New Roman" w:hAnsi="Times New Roman" w:cs="Times New Roman"/>
                <w:color w:val="000000"/>
                <w:spacing w:val="0"/>
                <w:w w:val="100"/>
                <w:position w:val="0"/>
              </w:rPr>
              <w:t>171, 512.</w:t>
            </w:r>
          </w:p>
          <w:p>
            <w:pPr>
              <w:pStyle w:val="Style20"/>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0,10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5,98</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7,71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6,03</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2,76</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0.46</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变动金额（减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少以“_”号</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131,</w:t>
            </w:r>
          </w:p>
          <w:p>
            <w:pPr>
              <w:pStyle w:val="Style20"/>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004, 083.</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915,</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73,3</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131,</w:t>
            </w:r>
          </w:p>
          <w:p>
            <w:pPr>
              <w:pStyle w:val="Style20"/>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004, 083.</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131, 004, 083.</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76,8</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129,</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8,12</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86"/>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6,91</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140" w:right="0" w:firstLine="0"/>
              <w:jc w:val="left"/>
            </w:pPr>
            <w:r>
              <w:rPr>
                <w:rFonts w:ascii="Times New Roman" w:eastAsia="Times New Roman" w:hAnsi="Times New Roman" w:cs="Times New Roman"/>
                <w:color w:val="000000"/>
                <w:spacing w:val="0"/>
                <w:w w:val="100"/>
                <w:position w:val="0"/>
              </w:rPr>
              <w:t>-3,7 06,9 41.2</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96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616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2,66 0,42 5,23 2.53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512.</w:t>
            </w:r>
          </w:p>
          <w:p>
            <w:pPr>
              <w:pStyle w:val="Style20"/>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257, 828, 715.</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1,65</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4,19</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6,15</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3,90</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140" w:right="0" w:firstLine="0"/>
              <w:jc w:val="both"/>
            </w:pPr>
            <w:r>
              <w:rPr>
                <w:rFonts w:ascii="Times New Roman" w:eastAsia="Times New Roman" w:hAnsi="Times New Roman" w:cs="Times New Roman"/>
                <w:color w:val="000000"/>
                <w:spacing w:val="0"/>
                <w:w w:val="100"/>
                <w:position w:val="0"/>
              </w:rPr>
              <w:t>6,17 1,76 5,08 3.52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7061"/>
        <w:gridCol w:w="643"/>
        <w:gridCol w:w="65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307" w:lineRule="exact"/>
              <w:ind w:left="0" w:right="0" w:firstLine="0"/>
              <w:jc w:val="left"/>
            </w:pPr>
            <w:r>
              <w:rPr>
                <w:color w:val="000000"/>
                <w:spacing w:val="0"/>
                <w:w w:val="100"/>
                <w:position w:val="0"/>
              </w:rPr>
              <w:t>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 计</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益合</w:t>
            </w:r>
          </w:p>
          <w:p>
            <w:pPr>
              <w:pStyle w:val="Style2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计</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98, 616 ,72 </w:t>
            </w:r>
            <w:r>
              <w:rPr>
                <w:rFonts w:ascii="Times New Roman" w:eastAsia="Times New Roman" w:hAnsi="Times New Roman" w:cs="Times New Roman"/>
                <w:color w:val="000000"/>
                <w:spacing w:val="0"/>
                <w:w w:val="100"/>
                <w:position w:val="0"/>
              </w:rPr>
              <w:t xml:space="preserve">1.0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80"/>
              <w:jc w:val="both"/>
            </w:pPr>
            <w:r>
              <w:rPr>
                <w:rFonts w:ascii="Times New Roman" w:eastAsia="Times New Roman" w:hAnsi="Times New Roman" w:cs="Times New Roman"/>
                <w:color w:val="000000"/>
                <w:spacing w:val="0"/>
                <w:w w:val="100"/>
                <w:position w:val="0"/>
              </w:rPr>
              <w:t xml:space="preserve">-16, </w:t>
            </w:r>
            <w:r>
              <w:rPr>
                <w:rFonts w:ascii="Times New Roman" w:eastAsia="Times New Roman" w:hAnsi="Times New Roman" w:cs="Times New Roman"/>
                <w:color w:val="000000"/>
                <w:spacing w:val="0"/>
                <w:w w:val="100"/>
                <w:position w:val="0"/>
              </w:rPr>
              <w:t>171, 512.</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715.</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1,42 0,89 3,61</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5,91</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2,54</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8,016 ,031.</w:t>
            </w:r>
          </w:p>
          <w:p>
            <w:pPr>
              <w:pStyle w:val="Style20"/>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5,920 ,559, 343.9</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一控制下企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98, 616 ,72</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715.</w:t>
            </w:r>
          </w:p>
          <w:p>
            <w:pPr>
              <w:pStyle w:val="Style20"/>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1,42 0,89 3,61</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8,016 ,031.</w:t>
            </w:r>
          </w:p>
          <w:p>
            <w:pPr>
              <w:pStyle w:val="Style20"/>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5,920 ,559, 343.9</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9,012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63,41</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6.52</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5,802 ,946.</w:t>
            </w:r>
          </w:p>
          <w:p>
            <w:pPr>
              <w:pStyle w:val="Style20"/>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09,43</w:t>
            </w:r>
          </w:p>
          <w:p>
            <w:pPr>
              <w:pStyle w:val="Style20"/>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8.39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5,897 ,000.</w:t>
            </w:r>
          </w:p>
          <w:p>
            <w:pPr>
              <w:pStyle w:val="Style20"/>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5,897 ,000.</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5,897 ,000.</w:t>
            </w:r>
          </w:p>
          <w:p>
            <w:pPr>
              <w:pStyle w:val="Style20"/>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5,897 ,000.</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67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4,056</w:t>
            </w: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7,91</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7,91</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196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98, 616 ,72 </w:t>
            </w:r>
            <w:r>
              <w:rPr>
                <w:rFonts w:ascii="Times New Roman" w:eastAsia="Times New Roman" w:hAnsi="Times New Roman" w:cs="Times New Roman"/>
                <w:color w:val="000000"/>
                <w:spacing w:val="0"/>
                <w:w w:val="100"/>
                <w:position w:val="0"/>
              </w:rPr>
              <w:t xml:space="preserve">1.0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2,65</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3,51</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 </w:t>
            </w:r>
            <w:r>
              <w:rPr>
                <w:rFonts w:ascii="Times New Roman" w:eastAsia="Times New Roman" w:hAnsi="Times New Roman" w:cs="Times New Roman"/>
                <w:color w:val="000000"/>
                <w:spacing w:val="0"/>
                <w:w w:val="100"/>
                <w:position w:val="0"/>
              </w:rPr>
              <w:t>171, 512.</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828,</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1,52</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0,10</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5,043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6,037 ,622, 760.4</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、母公司所有者权益变动表</w:t>
      </w:r>
      <w:bookmarkEnd w:id="697"/>
      <w:bookmarkEnd w:id="698"/>
      <w:bookmarkEnd w:id="70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4"/>
        <w:gridCol w:w="605"/>
        <w:gridCol w:w="605"/>
        <w:gridCol w:w="605"/>
        <w:gridCol w:w="725"/>
        <w:gridCol w:w="730"/>
        <w:gridCol w:w="725"/>
        <w:gridCol w:w="730"/>
        <w:gridCol w:w="725"/>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1,598 ,616, 721.0 0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-16,17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251,58</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5,761.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555,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011,4</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5,027,85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4,191.03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1,598 ,616, 721.0 0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811,80</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-16,17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251,58</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5,761.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555,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011,4</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5,027,85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4,191.03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-1,410, 791.93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64,1</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76.2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-40,374,</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968.22</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64,1</w:t>
            </w:r>
          </w:p>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76.2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-38,964,</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176.29</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46" w:lineRule="auto"/>
              <w:ind w:left="0" w:right="0" w:firstLine="140"/>
              <w:jc w:val="left"/>
            </w:pPr>
            <w:r>
              <w:rPr>
                <w:rFonts w:ascii="Times New Roman" w:eastAsia="Times New Roman" w:hAnsi="Times New Roman" w:cs="Times New Roman"/>
                <w:color w:val="000000"/>
                <w:spacing w:val="0"/>
                <w:w w:val="100"/>
                <w:position w:val="0"/>
              </w:rPr>
              <w:t xml:space="preserve">-1,410, </w:t>
            </w:r>
            <w:r>
              <w:rPr>
                <w:rFonts w:ascii="Times New Roman" w:eastAsia="Times New Roman" w:hAnsi="Times New Roman" w:cs="Times New Roman"/>
                <w:color w:val="000000"/>
                <w:spacing w:val="0"/>
                <w:w w:val="100"/>
                <w:position w:val="0"/>
              </w:rPr>
              <w:t>791.93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-1,410,7</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91.93</w:t>
            </w:r>
          </w:p>
        </w:tc>
      </w:tr>
    </w:tbl>
    <w:p>
      <w:pPr>
        <w:widowControl w:val="0"/>
        <w:spacing w:line="1" w:lineRule="exact"/>
      </w:pPr>
      <w:r>
        <w:br w:type="page"/>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69"/>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-1,410, 791.93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6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721.0</w:t>
            </w:r>
          </w:p>
          <w:p>
            <w:pPr>
              <w:pStyle w:val="Style20"/>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401,01</w:t>
            </w:r>
          </w:p>
          <w:p>
            <w:pPr>
              <w:pStyle w:val="Style20"/>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-16,17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251,58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516, 047, 238.</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4,987,47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9,222.81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2,638,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251,5</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85,76</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596,66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5,851.6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5,069,50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8,627.43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2,638,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251,5</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85,76</w:t>
            </w:r>
          </w:p>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596,66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5,851.6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5,069,50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8,627.43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60"/>
              <w:jc w:val="left"/>
            </w:pPr>
            <w:r>
              <w:rPr>
                <w:rFonts w:ascii="Times New Roman" w:eastAsia="Times New Roman" w:hAnsi="Times New Roman" w:cs="Times New Roman"/>
                <w:color w:val="000000"/>
                <w:spacing w:val="0"/>
                <w:w w:val="100"/>
                <w:position w:val="0"/>
              </w:rPr>
              <w:t>-41,654 ,436.40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-41,654,4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36.40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60"/>
              <w:jc w:val="left"/>
            </w:pPr>
            <w:r>
              <w:rPr>
                <w:rFonts w:ascii="Times New Roman" w:eastAsia="Times New Roman" w:hAnsi="Times New Roman" w:cs="Times New Roman"/>
                <w:color w:val="000000"/>
                <w:spacing w:val="0"/>
                <w:w w:val="100"/>
                <w:position w:val="0"/>
              </w:rPr>
              <w:t>-41,654 ,436.40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-41,654,4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36.40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6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计入所有者</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5,027,85</w:t>
            </w: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998"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8,61</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6,72</w:t>
            </w:r>
          </w:p>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811,8</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4,191.03</w:t>
            </w:r>
          </w:p>
        </w:tc>
      </w:tr>
    </w:tbl>
    <w:p>
      <w:pPr>
        <w:widowControl w:val="0"/>
        <w:spacing w:after="919" w:line="1" w:lineRule="exact"/>
      </w:pPr>
    </w:p>
    <w:p>
      <w:pPr>
        <w:pStyle w:val="Style23"/>
        <w:keepNext/>
        <w:keepLines/>
        <w:widowControl w:val="0"/>
        <w:shd w:val="clear" w:color="auto" w:fill="auto"/>
        <w:bidi w:val="0"/>
        <w:spacing w:before="0" w:after="260" w:line="240" w:lineRule="auto"/>
        <w:ind w:left="0" w:right="0" w:firstLine="0"/>
        <w:jc w:val="left"/>
      </w:pPr>
      <w:bookmarkStart w:id="701" w:name="bookmark701"/>
      <w:bookmarkStart w:id="702" w:name="bookmark702"/>
      <w:bookmarkStart w:id="703" w:name="bookmark703"/>
      <w:r>
        <w:rPr>
          <w:color w:val="000000"/>
          <w:spacing w:val="0"/>
          <w:w w:val="100"/>
          <w:position w:val="0"/>
          <w:sz w:val="24"/>
          <w:szCs w:val="24"/>
        </w:rPr>
        <w:t>三、公司基本情况</w:t>
      </w:r>
      <w:bookmarkEnd w:id="701"/>
      <w:bookmarkEnd w:id="702"/>
      <w:bookmarkEnd w:id="703"/>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石家庄常山北明科技股份有限公司（以下简称“公司”或“本公司”）系经河北省人民政府股份制领导小组办公室“冀 股办[1998]64号”文件批准，由石家庄常山纺织集团有限责任公司作为主发起人，联合河北省宏远国际经贸集团公司、河北 华鑫集团公司、河北宁纺集团有限责任公司和石家庄市星球服装鞋帽联合（集团）公司共同发起设立的股份有限公司。公司 于1998年12月29日在河北省工商行政管理局注册登记正式成立，注册资本3亿元。</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经中国证监会“证监发行字[2000]91号”文件批准，公司于2000年7月6日通过深圳证券交易所交易系统，采用上网定价 的发行方式向社会公开发行人民币普通股</w:t>
      </w:r>
      <w:r>
        <w:rPr>
          <w:color w:val="000000"/>
          <w:spacing w:val="0"/>
          <w:w w:val="100"/>
          <w:position w:val="0"/>
        </w:rPr>
        <w:t>（A</w:t>
      </w:r>
      <w:r>
        <w:rPr>
          <w:color w:val="000000"/>
          <w:spacing w:val="0"/>
          <w:w w:val="100"/>
          <w:position w:val="0"/>
        </w:rPr>
        <w:t>股）1亿股，发行价为每股</w:t>
      </w:r>
      <w:r>
        <w:rPr>
          <w:color w:val="000000"/>
          <w:spacing w:val="0"/>
          <w:w w:val="100"/>
          <w:position w:val="0"/>
        </w:rPr>
        <w:t>6.18</w:t>
      </w:r>
      <w:r>
        <w:rPr>
          <w:color w:val="000000"/>
          <w:spacing w:val="0"/>
          <w:w w:val="100"/>
          <w:position w:val="0"/>
        </w:rPr>
        <w:t xml:space="preserve">元。经深圳证券交易所“深证上2000 </w:t>
      </w:r>
      <w:r>
        <w:rPr>
          <w:color w:val="000000"/>
          <w:spacing w:val="0"/>
          <w:w w:val="100"/>
          <w:position w:val="0"/>
        </w:rPr>
        <w:t>[106]</w:t>
      </w:r>
      <w:r>
        <w:rPr>
          <w:color w:val="000000"/>
          <w:spacing w:val="0"/>
          <w:w w:val="100"/>
          <w:position w:val="0"/>
        </w:rPr>
        <w:t>号” 文批准，本公司的1亿股</w:t>
      </w:r>
      <w:r>
        <w:rPr>
          <w:color w:val="000000"/>
          <w:spacing w:val="0"/>
          <w:w w:val="100"/>
          <w:position w:val="0"/>
        </w:rPr>
        <w:t>A</w:t>
      </w:r>
      <w:r>
        <w:rPr>
          <w:color w:val="000000"/>
          <w:spacing w:val="0"/>
          <w:w w:val="100"/>
          <w:position w:val="0"/>
        </w:rPr>
        <w:t>股股票已于2000年7月24日在深圳证券交易所上市挂牌交易。股票简称“常山北明”，股票代码 “000158”。</w:t>
      </w:r>
    </w:p>
    <w:p>
      <w:pPr>
        <w:pStyle w:val="Style18"/>
        <w:keepNext w:val="0"/>
        <w:keepLines w:val="0"/>
        <w:widowControl w:val="0"/>
        <w:shd w:val="clear" w:color="auto" w:fill="auto"/>
        <w:bidi w:val="0"/>
        <w:spacing w:before="0" w:after="200" w:line="315" w:lineRule="exact"/>
        <w:ind w:left="0" w:right="0"/>
        <w:jc w:val="both"/>
      </w:pPr>
      <w:r>
        <w:rPr>
          <w:color w:val="000000"/>
          <w:spacing w:val="0"/>
          <w:w w:val="100"/>
          <w:position w:val="0"/>
        </w:rPr>
        <w:t>根据公司股东大会决议通过的配股方案，并经中国证监会“证监发行字[2003]91号”文核准，本公司于2003年8月向社 会公众股股东配售普通股30, 000, 000股，每股发行价格为</w:t>
      </w:r>
      <w:r>
        <w:rPr>
          <w:color w:val="000000"/>
          <w:spacing w:val="0"/>
          <w:w w:val="100"/>
          <w:position w:val="0"/>
        </w:rPr>
        <w:t>5.07</w:t>
      </w:r>
      <w:r>
        <w:rPr>
          <w:color w:val="000000"/>
          <w:spacing w:val="0"/>
          <w:w w:val="100"/>
          <w:position w:val="0"/>
        </w:rPr>
        <w:t>元人民币，募集资金净额为</w:t>
      </w:r>
      <w:r>
        <w:rPr>
          <w:color w:val="000000"/>
          <w:spacing w:val="0"/>
          <w:w w:val="100"/>
          <w:position w:val="0"/>
        </w:rPr>
        <w:t>140,968,464.08</w:t>
      </w:r>
      <w:r>
        <w:rPr>
          <w:color w:val="000000"/>
          <w:spacing w:val="0"/>
          <w:w w:val="100"/>
          <w:position w:val="0"/>
        </w:rPr>
        <w:t>元。此次配售社会 公众股后，公司股本总额为43, 000万元人民币，已经河北华安会计师事务所有限公司“冀华会验字</w:t>
      </w:r>
      <w:r>
        <w:rPr>
          <w:color w:val="000000"/>
          <w:spacing w:val="0"/>
          <w:w w:val="100"/>
          <w:position w:val="0"/>
        </w:rPr>
        <w:t xml:space="preserve">[2003] </w:t>
      </w:r>
      <w:r>
        <w:rPr>
          <w:color w:val="000000"/>
          <w:spacing w:val="0"/>
          <w:w w:val="100"/>
          <w:position w:val="0"/>
        </w:rPr>
        <w:t>3004号”验资报 告验证。</w:t>
      </w:r>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2005年12月28日召开的股权分置改革相关股东会议表决通过了公司对价方案即以股权登记日（2006年1月12日）登记在 册的全体流通股股东每持有10股流通股获得非流通股股东支付</w:t>
      </w:r>
      <w:r>
        <w:rPr>
          <w:color w:val="000000"/>
          <w:spacing w:val="0"/>
          <w:w w:val="100"/>
          <w:position w:val="0"/>
        </w:rPr>
        <w:t>3.5</w:t>
      </w:r>
      <w:r>
        <w:rPr>
          <w:color w:val="000000"/>
          <w:spacing w:val="0"/>
          <w:w w:val="100"/>
          <w:position w:val="0"/>
        </w:rPr>
        <w:t>股对价股股份，该方案于2006年1月13日正式实施完毕。</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公司根据2007年第一次临时股东大会决议和修改后章程的规定，申请新增注册资本人民币72, 700, 000元。经中国证券监 督管理委员会“证监发行字（2007） 384号”文核准，公司向江苏开元国际集团轻工业品进出口股份有限公司、中原证券股 份有限公司、长江证券有限责任公司、尹太阳、上海合邦投资有限公司、上海景贤投资有限公司、珠海市华粤投资有限公司、 邱梅芳、东吴证券有限责任公司和安徽安粮国际发展股份有限公司非公开发行人民币普通股</w:t>
      </w:r>
      <w:r>
        <w:rPr>
          <w:color w:val="000000"/>
          <w:spacing w:val="0"/>
          <w:w w:val="100"/>
          <w:position w:val="0"/>
        </w:rPr>
        <w:t>（A</w:t>
      </w:r>
      <w:r>
        <w:rPr>
          <w:color w:val="000000"/>
          <w:spacing w:val="0"/>
          <w:w w:val="100"/>
          <w:position w:val="0"/>
        </w:rPr>
        <w:t>股）72, 700, 000股，每股面 值1</w:t>
      </w:r>
      <w:r>
        <w:rPr>
          <w:color w:val="000000"/>
          <w:spacing w:val="0"/>
          <w:w w:val="100"/>
          <w:position w:val="0"/>
        </w:rPr>
        <w:t>.00</w:t>
      </w:r>
      <w:r>
        <w:rPr>
          <w:color w:val="000000"/>
          <w:spacing w:val="0"/>
          <w:w w:val="100"/>
          <w:position w:val="0"/>
        </w:rPr>
        <w:t>元，每股定向增发价</w:t>
      </w:r>
      <w:r>
        <w:rPr>
          <w:color w:val="000000"/>
          <w:spacing w:val="0"/>
          <w:w w:val="100"/>
          <w:position w:val="0"/>
        </w:rPr>
        <w:t>8.35</w:t>
      </w:r>
      <w:r>
        <w:rPr>
          <w:color w:val="000000"/>
          <w:spacing w:val="0"/>
          <w:w w:val="100"/>
          <w:position w:val="0"/>
        </w:rPr>
        <w:t>元，变更后的注册资本为人民币502, 700, 000元。</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公司根据2007年度股东大会决议和修改后章程的规定，申请新增的注册资本为人民币216,161,000元，公司以2008年2 月1日非公开发行后的总股本50, 270万股计算，按每10股转增</w:t>
      </w:r>
      <w:r>
        <w:rPr>
          <w:color w:val="000000"/>
          <w:spacing w:val="0"/>
          <w:w w:val="100"/>
          <w:position w:val="0"/>
        </w:rPr>
        <w:t>4.3</w:t>
      </w:r>
      <w:r>
        <w:rPr>
          <w:color w:val="000000"/>
          <w:spacing w:val="0"/>
          <w:w w:val="100"/>
          <w:position w:val="0"/>
        </w:rPr>
        <w:t>股的比例，以资本公积向全体股东转增股份总额216,161, 000 股，每股面值1元，共计增加股本216,161,000元。变更后注册资本为人民币718,861,000元。</w:t>
      </w:r>
    </w:p>
    <w:p>
      <w:pPr>
        <w:pStyle w:val="Style18"/>
        <w:keepNext w:val="0"/>
        <w:keepLines w:val="0"/>
        <w:widowControl w:val="0"/>
        <w:shd w:val="clear" w:color="auto" w:fill="auto"/>
        <w:bidi w:val="0"/>
        <w:spacing w:before="0" w:after="200" w:line="313" w:lineRule="exact"/>
        <w:ind w:left="0" w:right="0"/>
        <w:jc w:val="both"/>
      </w:pPr>
      <w:r>
        <w:rPr>
          <w:color w:val="000000"/>
          <w:spacing w:val="0"/>
          <w:w w:val="100"/>
          <w:position w:val="0"/>
        </w:rPr>
        <w:t>公司根据2014年11月26日召开的第五届董事会第十八次会议决议，2014年12月12日召开的2014年第二次临时股东大会 决议和修改后的章程规定，经2015年3月30日中国证券监督管理委员会《关于核准石家庄常山纺织股份有限公司向北京北明 伟业控股有限公司等发行股份购买资产并募集配套资金的批复》（证监许可</w:t>
      </w:r>
      <w:r>
        <w:rPr>
          <w:color w:val="000000"/>
          <w:spacing w:val="0"/>
          <w:w w:val="100"/>
          <w:position w:val="0"/>
        </w:rPr>
        <w:t>[</w:t>
      </w:r>
      <w:r>
        <w:rPr>
          <w:color w:val="000000"/>
          <w:spacing w:val="0"/>
          <w:w w:val="100"/>
          <w:position w:val="0"/>
        </w:rPr>
        <w:t>2015]469号）文件核准，2015年4月28日公司向 北京北明伟业控股有限公司等47名交易对方发行441, 056, 890股人民币普通股，每股面值为人民币</w:t>
      </w:r>
      <w:r>
        <w:rPr>
          <w:color w:val="000000"/>
          <w:spacing w:val="0"/>
          <w:w w:val="100"/>
          <w:position w:val="0"/>
        </w:rPr>
        <w:t>1.00</w:t>
      </w:r>
      <w:r>
        <w:rPr>
          <w:color w:val="000000"/>
          <w:spacing w:val="0"/>
          <w:w w:val="100"/>
          <w:position w:val="0"/>
        </w:rPr>
        <w:t>元，用于购买其持有 的北明软件有限公司100%的股权，发行后的注册资本为人民币1,159,917,890元，已经中兴财光华会计师事务所（特殊普通 合伙）“中兴财光华审验字（2015）第03002号”验资报告验证。2015年7月14日公司募集配套资金非公开发行111,524,388 股人民币普通股，每股面值为人民币1</w:t>
      </w:r>
      <w:r>
        <w:rPr>
          <w:color w:val="000000"/>
          <w:spacing w:val="0"/>
          <w:w w:val="100"/>
          <w:position w:val="0"/>
        </w:rPr>
        <w:t>.00</w:t>
      </w:r>
      <w:r>
        <w:rPr>
          <w:color w:val="000000"/>
          <w:spacing w:val="0"/>
          <w:w w:val="100"/>
          <w:position w:val="0"/>
        </w:rPr>
        <w:t>元，发行后的注册资本为人民币1,271,442,278元，已经中兴财光华会计师事务所 （特殊普通合伙）“中兴财光华审验字（2015）第03003号”验资报告验证。</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公司根据2017年4月28日召开的第六届董事会第十五次会议决议、2017年5月23日召开的2016年度股东大会决议和修改后 </w:t>
      </w:r>
      <w:r>
        <w:rPr>
          <w:color w:val="000000"/>
          <w:spacing w:val="0"/>
          <w:w w:val="100"/>
          <w:position w:val="0"/>
        </w:rPr>
        <w:t>的公司章程规定，公司增加注册资本人民币</w:t>
      </w:r>
      <w:r>
        <w:rPr>
          <w:color w:val="000000"/>
          <w:spacing w:val="0"/>
          <w:w w:val="100"/>
          <w:position w:val="0"/>
        </w:rPr>
        <w:t>381,432,683.00</w:t>
      </w:r>
      <w:r>
        <w:rPr>
          <w:color w:val="000000"/>
          <w:spacing w:val="0"/>
          <w:w w:val="100"/>
          <w:position w:val="0"/>
        </w:rPr>
        <w:t>元，由资本公积转增股本，转增基准日期为2017年7月19日，变 更后注册资本为人民币</w:t>
      </w:r>
      <w:r>
        <w:rPr>
          <w:color w:val="000000"/>
          <w:spacing w:val="0"/>
          <w:w w:val="100"/>
          <w:position w:val="0"/>
        </w:rPr>
        <w:t>1,652,874,961.00</w:t>
      </w:r>
      <w:r>
        <w:rPr>
          <w:color w:val="000000"/>
          <w:spacing w:val="0"/>
          <w:w w:val="100"/>
          <w:position w:val="0"/>
        </w:rPr>
        <w:t>元。本次增资已经中兴财光华会计师事务所（特殊普通合伙）“中兴财光华审验字 （2017）第103008号”验资报告验证。</w:t>
      </w:r>
    </w:p>
    <w:p>
      <w:pPr>
        <w:pStyle w:val="Style18"/>
        <w:keepNext w:val="0"/>
        <w:keepLines w:val="0"/>
        <w:widowControl w:val="0"/>
        <w:shd w:val="clear" w:color="auto" w:fill="auto"/>
        <w:bidi w:val="0"/>
        <w:spacing w:before="0" w:after="200" w:line="314" w:lineRule="exact"/>
        <w:ind w:left="0" w:right="0"/>
        <w:jc w:val="both"/>
      </w:pPr>
      <w:r>
        <w:rPr>
          <w:color w:val="000000"/>
          <w:spacing w:val="0"/>
          <w:w w:val="100"/>
          <w:position w:val="0"/>
        </w:rPr>
        <w:t>公司分别于2018年11月13日和2018年11月29日召开董事会七届三次会议和2018年度第4次临时股东大会，审议通过了《关 于以集中竞价交易方式回购公司股份的议案》。至2019年12月11日，公司办理完毕以集中竞价方式回购股份54, 258, 240股的 注销事宜，回购注销变更后的注册资本为人民币1, 598, 616, 721元。</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因公司发展需要，经第六届董事会第十五次会议和2016年度股东大会审议通过《关于变更公司全称的议案》，公司名称 由“石家庄常山纺织股份有限公司”变更为“石家庄常山北明科技股份有限公司”。公司于2017年8月22日完成了工商变更 登记手续，公司名称由“石家庄常山纺织股份有限公司“变更为“石家庄常山北明科技股份有限公司”。</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本公司第一大股东为石家庄常山纺织集团有限责任公司，截止报告期末持有本公司455, 296, 184股，持股比例28.48%。</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公司在石家庄市工商行政管理局领取统一社会信用代码</w:t>
      </w:r>
      <w:r>
        <w:rPr>
          <w:color w:val="000000"/>
          <w:spacing w:val="0"/>
          <w:w w:val="100"/>
          <w:position w:val="0"/>
        </w:rPr>
        <w:t>91130100700715920E</w:t>
      </w:r>
      <w:r>
        <w:rPr>
          <w:color w:val="000000"/>
          <w:spacing w:val="0"/>
          <w:w w:val="100"/>
          <w:position w:val="0"/>
        </w:rPr>
        <w:t>的企业法人营业执照。</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公司注册地：石家庄市长安区和平东路161号。</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公司总部地址：石家庄市长安区和平东路161号。</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法定代表人：肖荣智。</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注册资本：（人民币）壹拾伍亿玖仟捌佰陆拾壹万陆仟柒佰贰拾壹元整。</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公司经营范围：计算机软件技术开发、技术服务、技术咨询，棉花、办公设备、电子元器件、通信设备、计算机及零配 件、计算机软件、仪器仪表、光伏设备的批发零售；通信设备、计算机零配件的租赁，计算机系统集成；自营和代理各类商 品及技术的进出口业务；天然纤维和人造纤维的纺织品、针织品、服装加工；家用服饰、纺织品、产业用纺织品的设计、开 发、制造（限分支机构经营）、销售；本企业和本企业成员企业生产、科研所需的原辅料、机械设备、仪器仪表、零配件及 相关技术的进出口业务（国家限定公司经营或禁止出口的商品除外）；机电设备（特种设备除外）、新风净化器及配件的生产 （限分支机构经营）、销售；经营本企业的进料加工；化学原料及产品（不含危险化学品及其他前置性行政许可项目）；房屋 租赁。（依法须经批准的项目，经相关部门批准后方可开展经营活动）</w:t>
      </w:r>
    </w:p>
    <w:p>
      <w:pPr>
        <w:pStyle w:val="Style18"/>
        <w:keepNext w:val="0"/>
        <w:keepLines w:val="0"/>
        <w:widowControl w:val="0"/>
        <w:shd w:val="clear" w:color="auto" w:fill="auto"/>
        <w:bidi w:val="0"/>
        <w:spacing w:before="0" w:after="200" w:line="326" w:lineRule="exact"/>
        <w:ind w:left="0" w:right="0"/>
        <w:jc w:val="both"/>
      </w:pPr>
      <w:r>
        <w:rPr>
          <w:color w:val="000000"/>
          <w:spacing w:val="0"/>
          <w:w w:val="100"/>
          <w:position w:val="0"/>
        </w:rPr>
        <w:t>本公司2021年度纳入合并范围的子公司共43户，本年度比上年度增加8户，减少6户，详见本附注八“合并范围的变更” 和本附注九“在其他主体中的权益”。</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本财务报表及财务报表附注业经本公司第八届七次董事会会议于2022年4月14日批准报出。</w:t>
      </w:r>
    </w:p>
    <w:p>
      <w:pPr>
        <w:pStyle w:val="Style23"/>
        <w:keepNext/>
        <w:keepLines/>
        <w:widowControl w:val="0"/>
        <w:shd w:val="clear" w:color="auto" w:fill="auto"/>
        <w:bidi w:val="0"/>
        <w:spacing w:before="0" w:after="3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四</w:t>
      </w:r>
      <w:bookmarkEnd w:id="706"/>
      <w:r>
        <w:rPr>
          <w:color w:val="000000"/>
          <w:spacing w:val="0"/>
          <w:w w:val="100"/>
          <w:position w:val="0"/>
          <w:sz w:val="24"/>
          <w:szCs w:val="24"/>
        </w:rPr>
        <w:t>、财务报表的编制基础</w:t>
      </w:r>
      <w:bookmarkEnd w:id="704"/>
      <w:bookmarkEnd w:id="705"/>
      <w:bookmarkEnd w:id="707"/>
    </w:p>
    <w:p>
      <w:pPr>
        <w:pStyle w:val="Style27"/>
        <w:keepNext/>
        <w:keepLines/>
        <w:widowControl w:val="0"/>
        <w:shd w:val="clear" w:color="auto" w:fill="auto"/>
        <w:bidi w:val="0"/>
        <w:spacing w:before="0" w:after="260" w:line="240" w:lineRule="auto"/>
        <w:ind w:left="0" w:right="0" w:firstLine="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08"/>
      <w:bookmarkEnd w:id="709"/>
      <w:bookmarkEnd w:id="710"/>
    </w:p>
    <w:p>
      <w:pPr>
        <w:pStyle w:val="Style18"/>
        <w:keepNext w:val="0"/>
        <w:keepLines w:val="0"/>
        <w:widowControl w:val="0"/>
        <w:shd w:val="clear" w:color="auto" w:fill="auto"/>
        <w:bidi w:val="0"/>
        <w:spacing w:before="0" w:after="200" w:line="310" w:lineRule="exact"/>
        <w:ind w:left="0" w:right="0"/>
        <w:jc w:val="both"/>
      </w:pPr>
      <w:r>
        <w:rPr>
          <w:color w:val="000000"/>
          <w:spacing w:val="0"/>
          <w:w w:val="100"/>
          <w:position w:val="0"/>
        </w:rPr>
        <w:t>本公司财务报表以持续经营假设为基础，根据实际发生的交易和事项，按照财政部于2006年2月15日及以后颁布的《企 业会计准则</w:t>
      </w:r>
      <w:r>
        <w:rPr>
          <w:color w:val="000000"/>
          <w:spacing w:val="0"/>
          <w:w w:val="100"/>
          <w:position w:val="0"/>
        </w:rPr>
        <w:t>一一</w:t>
      </w:r>
      <w:r>
        <w:rPr>
          <w:color w:val="000000"/>
          <w:spacing w:val="0"/>
          <w:w w:val="100"/>
          <w:position w:val="0"/>
        </w:rPr>
        <w:t>基本准则》和各项具体会计准则、企业会计准则应用指南、企业会计准则解释及其他相关规定（以下合称“企 业会计准则”），以及中国证券监督管理委员会《公开发行证券的公司信息披露编报规则第15号</w:t>
      </w:r>
      <w:r>
        <w:rPr>
          <w:color w:val="000000"/>
          <w:spacing w:val="0"/>
          <w:w w:val="100"/>
          <w:position w:val="0"/>
        </w:rPr>
        <w:t>一一</w:t>
      </w:r>
      <w:r>
        <w:rPr>
          <w:color w:val="000000"/>
          <w:spacing w:val="0"/>
          <w:w w:val="100"/>
          <w:position w:val="0"/>
        </w:rPr>
        <w:t>财务报告的一般规定》 （2014年修订）的披露规定编制。</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7"/>
        <w:keepNext/>
        <w:keepLines/>
        <w:widowControl w:val="0"/>
        <w:shd w:val="clear" w:color="auto" w:fill="auto"/>
        <w:bidi w:val="0"/>
        <w:spacing w:before="0" w:after="260" w:line="240" w:lineRule="auto"/>
        <w:ind w:left="0" w:right="0" w:firstLine="0"/>
        <w:jc w:val="left"/>
      </w:pPr>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711"/>
      <w:bookmarkEnd w:id="712"/>
      <w:bookmarkEnd w:id="713"/>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公司自本报告期末至少12个月内具备持续经营能力，无影响持续经营能力的重大事项。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五</w:t>
      </w:r>
      <w:bookmarkEnd w:id="716"/>
      <w:r>
        <w:rPr>
          <w:color w:val="000000"/>
          <w:spacing w:val="0"/>
          <w:w w:val="100"/>
          <w:position w:val="0"/>
          <w:sz w:val="24"/>
          <w:szCs w:val="24"/>
        </w:rPr>
        <w:t>、重要会计政策及会计估计</w:t>
      </w:r>
      <w:bookmarkEnd w:id="714"/>
      <w:bookmarkEnd w:id="715"/>
      <w:bookmarkEnd w:id="717"/>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具体会计政策和会计估计提示：</w:t>
      </w:r>
    </w:p>
    <w:p>
      <w:pPr>
        <w:pStyle w:val="Style27"/>
        <w:keepNext/>
        <w:keepLines/>
        <w:widowControl w:val="0"/>
        <w:shd w:val="clear" w:color="auto" w:fill="auto"/>
        <w:tabs>
          <w:tab w:pos="36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18"/>
        <w:keepNext w:val="0"/>
        <w:keepLines w:val="0"/>
        <w:widowControl w:val="0"/>
        <w:shd w:val="clear" w:color="auto" w:fill="auto"/>
        <w:bidi w:val="0"/>
        <w:spacing w:before="0" w:after="360" w:line="326" w:lineRule="exact"/>
        <w:ind w:left="0" w:right="0"/>
        <w:jc w:val="both"/>
      </w:pPr>
      <w:r>
        <w:rPr>
          <w:color w:val="000000"/>
          <w:spacing w:val="0"/>
          <w:w w:val="100"/>
          <w:position w:val="0"/>
        </w:rPr>
        <w:t>本财务报表符合企业会计准则的要求，真实、完整地反映了本公司2021年12月31日的合并及公司的财务状况以及2021 年度合并及公司的经营成果和现金流量。</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18"/>
        <w:keepNext w:val="0"/>
        <w:keepLines w:val="0"/>
        <w:widowControl w:val="0"/>
        <w:shd w:val="clear" w:color="auto" w:fill="auto"/>
        <w:bidi w:val="0"/>
        <w:spacing w:before="0" w:after="360" w:line="293"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即每年自1月1日起至12月31日止。</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营业周期</w:t>
      </w:r>
      <w:bookmarkEnd w:id="726"/>
      <w:bookmarkEnd w:id="727"/>
      <w:bookmarkEnd w:id="729"/>
    </w:p>
    <w:p>
      <w:pPr>
        <w:pStyle w:val="Style18"/>
        <w:keepNext w:val="0"/>
        <w:keepLines w:val="0"/>
        <w:widowControl w:val="0"/>
        <w:shd w:val="clear" w:color="auto" w:fill="auto"/>
        <w:bidi w:val="0"/>
        <w:spacing w:before="0" w:after="360" w:line="322" w:lineRule="exact"/>
        <w:ind w:left="0" w:right="0"/>
        <w:jc w:val="both"/>
      </w:pPr>
      <w:r>
        <w:rPr>
          <w:color w:val="000000"/>
          <w:spacing w:val="0"/>
          <w:w w:val="100"/>
          <w:position w:val="0"/>
        </w:rPr>
        <w:t>正常营业周期是指本公司从购买用于加工的资产起至实现现金或现金等价物的期间。本公司以12个月作为一个营业周 期，并以其作为资产和负债的流动性划分标准。</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t>记账本位币</w:t>
      </w:r>
      <w:bookmarkEnd w:id="730"/>
      <w:bookmarkEnd w:id="731"/>
      <w:bookmarkEnd w:id="733"/>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本公司以人民币为记账本位币。</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w:t>
        <w:tab/>
        <w:t>同一控制下和非同一控制下企业合并的会计处理方法</w:t>
      </w:r>
      <w:bookmarkEnd w:id="734"/>
      <w:bookmarkEnd w:id="735"/>
      <w:bookmarkEnd w:id="737"/>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8"/>
        <w:keepNext w:val="0"/>
        <w:keepLines w:val="0"/>
        <w:widowControl w:val="0"/>
        <w:shd w:val="clear" w:color="auto" w:fill="auto"/>
        <w:tabs>
          <w:tab w:pos="820" w:val="left"/>
        </w:tabs>
        <w:bidi w:val="0"/>
        <w:spacing w:before="0" w:after="0" w:line="314" w:lineRule="exact"/>
        <w:ind w:left="0" w:right="0"/>
        <w:jc w:val="both"/>
      </w:pPr>
      <w:bookmarkStart w:id="738" w:name="bookmark738"/>
      <w:r>
        <w:rPr>
          <w:color w:val="000000"/>
          <w:spacing w:val="0"/>
          <w:w w:val="100"/>
          <w:position w:val="0"/>
        </w:rPr>
        <w:t>（</w:t>
      </w:r>
      <w:bookmarkEnd w:id="738"/>
      <w:r>
        <w:rPr>
          <w:color w:val="000000"/>
          <w:spacing w:val="0"/>
          <w:w w:val="100"/>
          <w:position w:val="0"/>
        </w:rPr>
        <w:t>1）</w:t>
        <w:tab/>
        <w:t>同一控制下企业合并</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合并方为进行企业合并发生的各项直接费用，于发生时计入当期损益。</w:t>
      </w:r>
    </w:p>
    <w:p>
      <w:pPr>
        <w:pStyle w:val="Style18"/>
        <w:keepNext w:val="0"/>
        <w:keepLines w:val="0"/>
        <w:widowControl w:val="0"/>
        <w:shd w:val="clear" w:color="auto" w:fill="auto"/>
        <w:tabs>
          <w:tab w:pos="820" w:val="left"/>
        </w:tabs>
        <w:bidi w:val="0"/>
        <w:spacing w:before="0" w:after="0" w:line="314" w:lineRule="exact"/>
        <w:ind w:left="0" w:right="0"/>
        <w:jc w:val="both"/>
      </w:pPr>
      <w:bookmarkStart w:id="739" w:name="bookmark739"/>
      <w:r>
        <w:rPr>
          <w:color w:val="000000"/>
          <w:spacing w:val="0"/>
          <w:w w:val="100"/>
          <w:position w:val="0"/>
        </w:rPr>
        <w:t>（</w:t>
      </w:r>
      <w:bookmarkEnd w:id="739"/>
      <w:r>
        <w:rPr>
          <w:color w:val="000000"/>
          <w:spacing w:val="0"/>
          <w:w w:val="100"/>
          <w:position w:val="0"/>
        </w:rPr>
        <w:t>2）</w:t>
        <w:tab/>
        <w:t>非同一控制下企业合并</w:t>
      </w:r>
    </w:p>
    <w:p>
      <w:pPr>
        <w:pStyle w:val="Style1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w:t>
      </w:r>
      <w:r>
        <w:rPr>
          <w:color w:val="000000"/>
          <w:spacing w:val="0"/>
          <w:w w:val="100"/>
          <w:position w:val="0"/>
        </w:rPr>
        <w:t>金额。所涉及的或有对价按其在购买日的公允价值计入合并成本，购买日后12个月内出现对购买日已存在情况的新的或进一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购买方取得被购买方的可抵扣暂时性差异，在购买日因不符合递延所得税资产确认条件而未予确认的，在购买日后12 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通过多次交易分步实现的非同一控制下企业合并，根据《财政部关于印发企业会计准则解释第5号的通知》（财会〔2012〕 19号）和《企业会计准则第33号</w:t>
      </w:r>
      <w:r>
        <w:rPr>
          <w:color w:val="000000"/>
          <w:spacing w:val="0"/>
          <w:w w:val="100"/>
          <w:position w:val="0"/>
        </w:rPr>
        <w:t>一一</w:t>
      </w:r>
      <w:r>
        <w:rPr>
          <w:color w:val="000000"/>
          <w:spacing w:val="0"/>
          <w:w w:val="100"/>
          <w:position w:val="0"/>
        </w:rPr>
        <w:t>合并财务报表》第五十一条关于“一揽子交易”的判断标准，判断该多次交易是否属于 “一揽子交易”。属于“一揽子交易”的，参考本部分前面各段描述及本附注“长期股权投资”进行会计处理；不属于“一 揽子交易”的，区分个别财务报表和合并财务报表进行相关会计处理：</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7"/>
        <w:keepNext/>
        <w:keepLines/>
        <w:widowControl w:val="0"/>
        <w:shd w:val="clear" w:color="auto" w:fill="auto"/>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、合并财务报表的编制方法</w:t>
      </w:r>
      <w:bookmarkEnd w:id="740"/>
      <w:bookmarkEnd w:id="741"/>
      <w:bookmarkEnd w:id="743"/>
    </w:p>
    <w:p>
      <w:pPr>
        <w:pStyle w:val="Style18"/>
        <w:keepNext w:val="0"/>
        <w:keepLines w:val="0"/>
        <w:widowControl w:val="0"/>
        <w:shd w:val="clear" w:color="auto" w:fill="auto"/>
        <w:bidi w:val="0"/>
        <w:spacing w:before="0" w:after="0" w:line="312" w:lineRule="exact"/>
        <w:ind w:left="0" w:right="0" w:firstLine="280"/>
        <w:jc w:val="both"/>
      </w:pPr>
      <w:bookmarkStart w:id="744" w:name="bookmark744"/>
      <w:r>
        <w:rPr>
          <w:color w:val="000000"/>
          <w:spacing w:val="0"/>
          <w:w w:val="100"/>
          <w:position w:val="0"/>
        </w:rPr>
        <w:t>（</w:t>
      </w:r>
      <w:bookmarkEnd w:id="744"/>
      <w:r>
        <w:rPr>
          <w:color w:val="000000"/>
          <w:spacing w:val="0"/>
          <w:w w:val="100"/>
          <w:position w:val="0"/>
        </w:rPr>
        <w:t>1）合并财务报表范围的确定原则</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一旦相关事实和情况的变化导致上述控制定义涉及的相关要素发生了变化，本公司将进行重新评估。</w:t>
      </w:r>
    </w:p>
    <w:p>
      <w:pPr>
        <w:pStyle w:val="Style18"/>
        <w:keepNext w:val="0"/>
        <w:keepLines w:val="0"/>
        <w:widowControl w:val="0"/>
        <w:shd w:val="clear" w:color="auto" w:fill="auto"/>
        <w:bidi w:val="0"/>
        <w:spacing w:before="0" w:after="0" w:line="312" w:lineRule="exact"/>
        <w:ind w:left="0" w:right="0"/>
        <w:jc w:val="both"/>
      </w:pPr>
      <w:bookmarkStart w:id="745" w:name="bookmark745"/>
      <w:r>
        <w:rPr>
          <w:color w:val="000000"/>
          <w:spacing w:val="0"/>
          <w:w w:val="100"/>
          <w:position w:val="0"/>
        </w:rPr>
        <w:t>（</w:t>
      </w:r>
      <w:bookmarkEnd w:id="745"/>
      <w:r>
        <w:rPr>
          <w:color w:val="000000"/>
          <w:spacing w:val="0"/>
          <w:w w:val="100"/>
          <w:position w:val="0"/>
        </w:rPr>
        <w:t>2）合并财务报表编制的方法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w:t>
      </w:r>
      <w:r>
        <w:rPr>
          <w:color w:val="000000"/>
          <w:spacing w:val="0"/>
          <w:w w:val="100"/>
          <w:position w:val="0"/>
        </w:rPr>
        <w:t>股东权益。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净负债或净资产导致的变动以外，其余一并转为当期投资收益）。其后，对该部分剩余股权按照《企业会计准则第2号</w:t>
      </w:r>
      <w:r>
        <w:rPr>
          <w:color w:val="000000"/>
          <w:spacing w:val="0"/>
          <w:w w:val="100"/>
          <w:position w:val="0"/>
        </w:rPr>
        <w:t>一一</w:t>
      </w:r>
      <w:r>
        <w:rPr>
          <w:color w:val="000000"/>
          <w:spacing w:val="0"/>
          <w:w w:val="100"/>
          <w:position w:val="0"/>
        </w:rPr>
        <w:t>长 期股权投资》或《企业会计准则第22号</w:t>
      </w:r>
      <w:r>
        <w:rPr>
          <w:color w:val="000000"/>
          <w:spacing w:val="0"/>
          <w:w w:val="100"/>
          <w:position w:val="0"/>
        </w:rPr>
        <w:t>一一</w:t>
      </w:r>
      <w:r>
        <w:rPr>
          <w:color w:val="000000"/>
          <w:spacing w:val="0"/>
          <w:w w:val="100"/>
          <w:position w:val="0"/>
        </w:rPr>
        <w:t>金融工具确认和计量》等相关规定进行后续计量，详见本附注五、19“长期股权 投资”或本附注五、9 “金融工具”。</w:t>
      </w:r>
    </w:p>
    <w:p>
      <w:pPr>
        <w:pStyle w:val="Style18"/>
        <w:keepNext w:val="0"/>
        <w:keepLines w:val="0"/>
        <w:widowControl w:val="0"/>
        <w:shd w:val="clear" w:color="auto" w:fill="auto"/>
        <w:bidi w:val="0"/>
        <w:spacing w:before="0" w:after="360" w:line="311"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部分处置对子公司的长期股权投资”（详见本附注五、19、（2）④）和“因处置部分股权投资或其他原因丧失了对原有子公 司的控制权”（详见前段）适用的原则进行会计处理。处置对子公司股权投资直至丧失控制权的各项交易属于一揽子交易的，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27"/>
        <w:keepNext/>
        <w:keepLines/>
        <w:widowControl w:val="0"/>
        <w:shd w:val="clear" w:color="auto" w:fill="auto"/>
        <w:tabs>
          <w:tab w:pos="319"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w:t>
        <w:tab/>
        <w:t>现金及现金等价物的确定标准</w:t>
      </w:r>
      <w:bookmarkEnd w:id="746"/>
      <w:bookmarkEnd w:id="747"/>
      <w:bookmarkEnd w:id="749"/>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7"/>
        <w:keepNext/>
        <w:keepLines/>
        <w:widowControl w:val="0"/>
        <w:shd w:val="clear" w:color="auto" w:fill="auto"/>
        <w:tabs>
          <w:tab w:pos="319"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8</w:t>
      </w:r>
      <w:bookmarkEnd w:id="752"/>
      <w:r>
        <w:rPr>
          <w:color w:val="000000"/>
          <w:spacing w:val="0"/>
          <w:w w:val="100"/>
          <w:position w:val="0"/>
        </w:rPr>
        <w:t>、</w:t>
        <w:tab/>
        <w:t>外币业务和外币报表折算</w:t>
      </w:r>
      <w:bookmarkEnd w:id="750"/>
      <w:bookmarkEnd w:id="751"/>
      <w:bookmarkEnd w:id="753"/>
    </w:p>
    <w:p>
      <w:pPr>
        <w:pStyle w:val="Style18"/>
        <w:keepNext w:val="0"/>
        <w:keepLines w:val="0"/>
        <w:widowControl w:val="0"/>
        <w:shd w:val="clear" w:color="auto" w:fill="auto"/>
        <w:tabs>
          <w:tab w:pos="760" w:val="left"/>
        </w:tabs>
        <w:bidi w:val="0"/>
        <w:spacing w:before="0" w:after="0" w:line="312" w:lineRule="exact"/>
        <w:ind w:left="0" w:right="0"/>
        <w:jc w:val="left"/>
      </w:pPr>
      <w:bookmarkStart w:id="754" w:name="bookmark754"/>
      <w:r>
        <w:rPr>
          <w:color w:val="000000"/>
          <w:spacing w:val="0"/>
          <w:w w:val="100"/>
          <w:position w:val="0"/>
        </w:rPr>
        <w:t>（</w:t>
      </w:r>
      <w:bookmarkEnd w:id="754"/>
      <w:r>
        <w:rPr>
          <w:color w:val="000000"/>
          <w:spacing w:val="0"/>
          <w:w w:val="100"/>
          <w:position w:val="0"/>
        </w:rPr>
        <w:t>1）</w:t>
        <w:tab/>
        <w:t>外币交易的折算方法</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18"/>
        <w:keepNext w:val="0"/>
        <w:keepLines w:val="0"/>
        <w:widowControl w:val="0"/>
        <w:shd w:val="clear" w:color="auto" w:fill="auto"/>
        <w:tabs>
          <w:tab w:pos="760" w:val="left"/>
        </w:tabs>
        <w:bidi w:val="0"/>
        <w:spacing w:before="0" w:after="0" w:line="312" w:lineRule="exact"/>
        <w:ind w:left="0" w:right="0"/>
        <w:jc w:val="both"/>
      </w:pPr>
      <w:bookmarkStart w:id="755" w:name="bookmark755"/>
      <w:r>
        <w:rPr>
          <w:color w:val="000000"/>
          <w:spacing w:val="0"/>
          <w:w w:val="100"/>
          <w:position w:val="0"/>
        </w:rPr>
        <w:t>（</w:t>
      </w:r>
      <w:bookmarkEnd w:id="755"/>
      <w:r>
        <w:rPr>
          <w:color w:val="000000"/>
          <w:spacing w:val="0"/>
          <w:w w:val="100"/>
          <w:position w:val="0"/>
        </w:rPr>
        <w:t>2）</w:t>
        <w:tab/>
        <w:t>对于外币货币性项目和外币非货币性项目的折算方法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8"/>
        <w:keepNext w:val="0"/>
        <w:keepLines w:val="0"/>
        <w:widowControl w:val="0"/>
        <w:shd w:val="clear" w:color="auto" w:fill="auto"/>
        <w:tabs>
          <w:tab w:pos="760" w:val="left"/>
        </w:tabs>
        <w:bidi w:val="0"/>
        <w:spacing w:before="0" w:after="0" w:line="312" w:lineRule="exact"/>
        <w:ind w:left="0" w:right="0"/>
        <w:jc w:val="both"/>
      </w:pPr>
      <w:bookmarkStart w:id="756" w:name="bookmark756"/>
      <w:r>
        <w:rPr>
          <w:color w:val="000000"/>
          <w:spacing w:val="0"/>
          <w:w w:val="100"/>
          <w:position w:val="0"/>
        </w:rPr>
        <w:t>（</w:t>
      </w:r>
      <w:bookmarkEnd w:id="756"/>
      <w:r>
        <w:rPr>
          <w:color w:val="000000"/>
          <w:spacing w:val="0"/>
          <w:w w:val="100"/>
          <w:position w:val="0"/>
        </w:rPr>
        <w:t>3）</w:t>
        <w:tab/>
        <w:t>外币财务报表的折算方法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w:t>
      </w:r>
      <w:r>
        <w:rPr>
          <w:color w:val="000000"/>
          <w:spacing w:val="0"/>
          <w:w w:val="100"/>
          <w:position w:val="0"/>
        </w:rPr>
        <w:t>部或按处置该境外经营的比例转入处置当期损益。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年初数和上年实际数按照上年财务报表折算后的数额列示。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18"/>
        <w:keepNext w:val="0"/>
        <w:keepLines w:val="0"/>
        <w:widowControl w:val="0"/>
        <w:shd w:val="clear" w:color="auto" w:fill="auto"/>
        <w:bidi w:val="0"/>
        <w:spacing w:before="0" w:after="360" w:line="311"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7"/>
        <w:keepNext/>
        <w:keepLines/>
        <w:widowControl w:val="0"/>
        <w:shd w:val="clear" w:color="auto" w:fill="auto"/>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9</w:t>
      </w:r>
      <w:bookmarkEnd w:id="759"/>
      <w:r>
        <w:rPr>
          <w:color w:val="000000"/>
          <w:spacing w:val="0"/>
          <w:w w:val="100"/>
          <w:position w:val="0"/>
        </w:rPr>
        <w:t>、金融工具</w:t>
      </w:r>
      <w:bookmarkEnd w:id="757"/>
      <w:bookmarkEnd w:id="758"/>
      <w:bookmarkEnd w:id="760"/>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18"/>
        <w:keepNext w:val="0"/>
        <w:keepLines w:val="0"/>
        <w:widowControl w:val="0"/>
        <w:shd w:val="clear" w:color="auto" w:fill="auto"/>
        <w:bidi w:val="0"/>
        <w:spacing w:before="0" w:after="0" w:line="312" w:lineRule="exact"/>
        <w:ind w:left="0" w:right="0" w:firstLine="280"/>
        <w:jc w:val="both"/>
      </w:pPr>
      <w:bookmarkStart w:id="761" w:name="bookmark761"/>
      <w:r>
        <w:rPr>
          <w:color w:val="000000"/>
          <w:spacing w:val="0"/>
          <w:w w:val="100"/>
          <w:position w:val="0"/>
        </w:rPr>
        <w:t>（</w:t>
      </w:r>
      <w:bookmarkEnd w:id="761"/>
      <w:r>
        <w:rPr>
          <w:color w:val="000000"/>
          <w:spacing w:val="0"/>
          <w:w w:val="100"/>
          <w:position w:val="0"/>
        </w:rPr>
        <w:t>1）债务工具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18"/>
        <w:keepNext w:val="0"/>
        <w:keepLines w:val="0"/>
        <w:widowControl w:val="0"/>
        <w:numPr>
          <w:ilvl w:val="0"/>
          <w:numId w:val="7"/>
        </w:numPr>
        <w:shd w:val="clear" w:color="auto" w:fill="auto"/>
        <w:tabs>
          <w:tab w:pos="668" w:val="left"/>
        </w:tabs>
        <w:bidi w:val="0"/>
        <w:spacing w:before="0" w:after="0" w:line="312" w:lineRule="exact"/>
        <w:ind w:left="0" w:right="0"/>
        <w:jc w:val="both"/>
      </w:pPr>
      <w:bookmarkStart w:id="762" w:name="bookmark762"/>
      <w:bookmarkEnd w:id="762"/>
      <w:r>
        <w:rPr>
          <w:color w:val="000000"/>
          <w:spacing w:val="0"/>
          <w:w w:val="100"/>
          <w:position w:val="0"/>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Style18"/>
        <w:keepNext w:val="0"/>
        <w:keepLines w:val="0"/>
        <w:widowControl w:val="0"/>
        <w:numPr>
          <w:ilvl w:val="0"/>
          <w:numId w:val="7"/>
        </w:numPr>
        <w:shd w:val="clear" w:color="auto" w:fill="auto"/>
        <w:tabs>
          <w:tab w:pos="668" w:val="left"/>
        </w:tabs>
        <w:bidi w:val="0"/>
        <w:spacing w:before="0" w:after="0" w:line="312" w:lineRule="exact"/>
        <w:ind w:left="0" w:right="0"/>
        <w:jc w:val="both"/>
      </w:pPr>
      <w:bookmarkStart w:id="763" w:name="bookmark763"/>
      <w:bookmarkEnd w:id="763"/>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损益。此类金融资产终止确认时，累计计入其他综合收益的公允价值变动将结转计入当期损益。此类金融资产列示为其他债 权投资。</w:t>
      </w:r>
    </w:p>
    <w:p>
      <w:pPr>
        <w:pStyle w:val="Style18"/>
        <w:keepNext w:val="0"/>
        <w:keepLines w:val="0"/>
        <w:widowControl w:val="0"/>
        <w:numPr>
          <w:ilvl w:val="0"/>
          <w:numId w:val="7"/>
        </w:numPr>
        <w:shd w:val="clear" w:color="auto" w:fill="auto"/>
        <w:tabs>
          <w:tab w:pos="668" w:val="left"/>
        </w:tabs>
        <w:bidi w:val="0"/>
        <w:spacing w:before="0" w:after="0" w:line="312" w:lineRule="exact"/>
        <w:ind w:left="0" w:right="0"/>
        <w:jc w:val="both"/>
      </w:pPr>
      <w:bookmarkStart w:id="764" w:name="bookmark764"/>
      <w:bookmarkEnd w:id="764"/>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列示为交易性金融资产或其他非流动金融资产。</w:t>
      </w:r>
    </w:p>
    <w:p>
      <w:pPr>
        <w:pStyle w:val="Style18"/>
        <w:keepNext w:val="0"/>
        <w:keepLines w:val="0"/>
        <w:widowControl w:val="0"/>
        <w:shd w:val="clear" w:color="auto" w:fill="auto"/>
        <w:bidi w:val="0"/>
        <w:spacing w:before="0" w:after="0" w:line="312" w:lineRule="exact"/>
        <w:ind w:left="0" w:right="0"/>
        <w:jc w:val="both"/>
      </w:pPr>
      <w:bookmarkStart w:id="765" w:name="bookmark765"/>
      <w:r>
        <w:rPr>
          <w:color w:val="000000"/>
          <w:spacing w:val="0"/>
          <w:w w:val="100"/>
          <w:position w:val="0"/>
        </w:rPr>
        <w:t>（</w:t>
      </w:r>
      <w:bookmarkEnd w:id="765"/>
      <w:r>
        <w:rPr>
          <w:color w:val="000000"/>
          <w:spacing w:val="0"/>
          <w:w w:val="100"/>
          <w:position w:val="0"/>
        </w:rPr>
        <w:t>2）权益工具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股利收入计入当期损益。其他权益工具投资不计提减值准备，终止确认时，之前计入其他综合收益的累计利得或损失从其他 综合收益转出，计入留存收益。</w:t>
      </w:r>
    </w:p>
    <w:p>
      <w:pPr>
        <w:pStyle w:val="Style18"/>
        <w:keepNext w:val="0"/>
        <w:keepLines w:val="0"/>
        <w:widowControl w:val="0"/>
        <w:shd w:val="clear" w:color="auto" w:fill="auto"/>
        <w:bidi w:val="0"/>
        <w:spacing w:before="0" w:after="0" w:line="312" w:lineRule="exact"/>
        <w:ind w:left="0" w:right="0"/>
        <w:jc w:val="left"/>
      </w:pPr>
      <w:bookmarkStart w:id="766" w:name="bookmark766"/>
      <w:r>
        <w:rPr>
          <w:color w:val="000000"/>
          <w:spacing w:val="0"/>
          <w:w w:val="100"/>
          <w:position w:val="0"/>
        </w:rPr>
        <w:t>（</w:t>
      </w:r>
      <w:bookmarkEnd w:id="766"/>
      <w:r>
        <w:rPr>
          <w:color w:val="000000"/>
          <w:spacing w:val="0"/>
          <w:w w:val="100"/>
          <w:position w:val="0"/>
        </w:rPr>
        <w:t>3）金融负债</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金融负债于初始确认时分类为以公允价值计量且其变动计入当期损益的金融负债及其他金融负债。</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本公司其他金融负债主要包括短期借款、长期借款、长期应付款、应付债券等。对于此类金融负债，采用实际利率法， 按照摊余成本进行后续计量。</w:t>
      </w:r>
    </w:p>
    <w:p>
      <w:pPr>
        <w:pStyle w:val="Style18"/>
        <w:keepNext w:val="0"/>
        <w:keepLines w:val="0"/>
        <w:widowControl w:val="0"/>
        <w:shd w:val="clear" w:color="auto" w:fill="auto"/>
        <w:tabs>
          <w:tab w:pos="686" w:val="left"/>
        </w:tabs>
        <w:bidi w:val="0"/>
        <w:spacing w:before="0" w:after="0" w:line="312" w:lineRule="exact"/>
        <w:ind w:left="0" w:right="0" w:firstLine="280"/>
        <w:jc w:val="both"/>
      </w:pPr>
      <w:bookmarkStart w:id="767" w:name="bookmark767"/>
      <w:r>
        <w:rPr>
          <w:color w:val="000000"/>
          <w:spacing w:val="0"/>
          <w:w w:val="100"/>
          <w:position w:val="0"/>
        </w:rPr>
        <w:t>（</w:t>
      </w:r>
      <w:bookmarkEnd w:id="767"/>
      <w:r>
        <w:rPr>
          <w:color w:val="000000"/>
          <w:spacing w:val="0"/>
          <w:w w:val="100"/>
          <w:position w:val="0"/>
        </w:rPr>
        <w:t>4）</w:t>
        <w:tab/>
        <w:t>金融资产和金融负债的终止确认</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金融资产满足下列条件之一的，予以终止确认：</w:t>
      </w:r>
    </w:p>
    <w:p>
      <w:pPr>
        <w:pStyle w:val="Style18"/>
        <w:keepNext w:val="0"/>
        <w:keepLines w:val="0"/>
        <w:widowControl w:val="0"/>
        <w:numPr>
          <w:ilvl w:val="0"/>
          <w:numId w:val="9"/>
        </w:numPr>
        <w:shd w:val="clear" w:color="auto" w:fill="auto"/>
        <w:tabs>
          <w:tab w:pos="718" w:val="left"/>
        </w:tabs>
        <w:bidi w:val="0"/>
        <w:spacing w:before="0" w:after="0" w:line="312" w:lineRule="exact"/>
        <w:ind w:left="0" w:right="0"/>
        <w:jc w:val="both"/>
      </w:pPr>
      <w:bookmarkStart w:id="768" w:name="bookmark768"/>
      <w:bookmarkEnd w:id="768"/>
      <w:r>
        <w:rPr>
          <w:color w:val="000000"/>
          <w:spacing w:val="0"/>
          <w:w w:val="100"/>
          <w:position w:val="0"/>
        </w:rPr>
        <w:t>收取该金融资产现金流量的合同权利终止；</w:t>
      </w:r>
    </w:p>
    <w:p>
      <w:pPr>
        <w:pStyle w:val="Style18"/>
        <w:keepNext w:val="0"/>
        <w:keepLines w:val="0"/>
        <w:widowControl w:val="0"/>
        <w:numPr>
          <w:ilvl w:val="0"/>
          <w:numId w:val="9"/>
        </w:numPr>
        <w:shd w:val="clear" w:color="auto" w:fill="auto"/>
        <w:tabs>
          <w:tab w:pos="718" w:val="left"/>
        </w:tabs>
        <w:bidi w:val="0"/>
        <w:spacing w:before="0" w:after="0" w:line="312" w:lineRule="exact"/>
        <w:ind w:left="0" w:right="0"/>
        <w:jc w:val="both"/>
      </w:pPr>
      <w:bookmarkStart w:id="769" w:name="bookmark769"/>
      <w:bookmarkEnd w:id="769"/>
      <w:r>
        <w:rPr>
          <w:color w:val="000000"/>
          <w:spacing w:val="0"/>
          <w:w w:val="100"/>
          <w:position w:val="0"/>
        </w:rPr>
        <w:t>该金融资产已转移，且本公司将金融资产所有权上几乎所有的风险和报酬转移给转入方；</w:t>
      </w:r>
    </w:p>
    <w:p>
      <w:pPr>
        <w:pStyle w:val="Style18"/>
        <w:keepNext w:val="0"/>
        <w:keepLines w:val="0"/>
        <w:widowControl w:val="0"/>
        <w:numPr>
          <w:ilvl w:val="0"/>
          <w:numId w:val="9"/>
        </w:numPr>
        <w:shd w:val="clear" w:color="auto" w:fill="auto"/>
        <w:tabs>
          <w:tab w:pos="689" w:val="left"/>
        </w:tabs>
        <w:bidi w:val="0"/>
        <w:spacing w:before="0" w:after="0" w:line="312" w:lineRule="exact"/>
        <w:ind w:left="0" w:right="0"/>
        <w:jc w:val="both"/>
      </w:pPr>
      <w:bookmarkStart w:id="770" w:name="bookmark770"/>
      <w:bookmarkEnd w:id="770"/>
      <w:r>
        <w:rPr>
          <w:color w:val="000000"/>
          <w:spacing w:val="0"/>
          <w:w w:val="100"/>
          <w:position w:val="0"/>
        </w:rPr>
        <w:t>该金融资产已转移，虽然本公司既没有转移也没有保留金融资产所有权上几乎所有的风险和报酬，但是放弃了对该金 融资产的控制。</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18"/>
        <w:keepNext w:val="0"/>
        <w:keepLines w:val="0"/>
        <w:widowControl w:val="0"/>
        <w:shd w:val="clear" w:color="auto" w:fill="auto"/>
        <w:tabs>
          <w:tab w:pos="686" w:val="left"/>
        </w:tabs>
        <w:bidi w:val="0"/>
        <w:spacing w:before="0" w:after="0" w:line="312" w:lineRule="exact"/>
        <w:ind w:left="0" w:right="0" w:firstLine="280"/>
        <w:jc w:val="both"/>
      </w:pPr>
      <w:bookmarkStart w:id="771" w:name="bookmark771"/>
      <w:r>
        <w:rPr>
          <w:color w:val="000000"/>
          <w:spacing w:val="0"/>
          <w:w w:val="100"/>
          <w:position w:val="0"/>
        </w:rPr>
        <w:t>（</w:t>
      </w:r>
      <w:bookmarkEnd w:id="771"/>
      <w:r>
        <w:rPr>
          <w:color w:val="000000"/>
          <w:spacing w:val="0"/>
          <w:w w:val="100"/>
          <w:position w:val="0"/>
        </w:rPr>
        <w:t>5）</w:t>
        <w:tab/>
        <w:t>金融工具的减值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18"/>
        <w:keepNext w:val="0"/>
        <w:keepLines w:val="0"/>
        <w:widowControl w:val="0"/>
        <w:numPr>
          <w:ilvl w:val="0"/>
          <w:numId w:val="11"/>
        </w:numPr>
        <w:shd w:val="clear" w:color="auto" w:fill="auto"/>
        <w:tabs>
          <w:tab w:pos="718" w:val="left"/>
        </w:tabs>
        <w:bidi w:val="0"/>
        <w:spacing w:before="0" w:after="0" w:line="312" w:lineRule="exact"/>
        <w:ind w:left="0" w:right="0"/>
        <w:jc w:val="both"/>
      </w:pPr>
      <w:bookmarkStart w:id="772" w:name="bookmark772"/>
      <w:bookmarkEnd w:id="772"/>
      <w:r>
        <w:rPr>
          <w:color w:val="000000"/>
          <w:spacing w:val="0"/>
          <w:w w:val="100"/>
          <w:position w:val="0"/>
        </w:rPr>
        <w:t>对于金融资产，信用损失为本公司应收取的合同现金流量与预期收取的现金流量之间差额的现值；</w:t>
      </w:r>
    </w:p>
    <w:p>
      <w:pPr>
        <w:pStyle w:val="Style18"/>
        <w:keepNext w:val="0"/>
        <w:keepLines w:val="0"/>
        <w:widowControl w:val="0"/>
        <w:numPr>
          <w:ilvl w:val="0"/>
          <w:numId w:val="11"/>
        </w:numPr>
        <w:shd w:val="clear" w:color="auto" w:fill="auto"/>
        <w:tabs>
          <w:tab w:pos="718" w:val="left"/>
        </w:tabs>
        <w:bidi w:val="0"/>
        <w:spacing w:before="0" w:after="0" w:line="312" w:lineRule="exact"/>
        <w:ind w:left="0" w:right="0"/>
        <w:jc w:val="both"/>
      </w:pPr>
      <w:bookmarkStart w:id="773" w:name="bookmark773"/>
      <w:bookmarkEnd w:id="773"/>
      <w:r>
        <w:rPr>
          <w:color w:val="000000"/>
          <w:spacing w:val="0"/>
          <w:w w:val="100"/>
          <w:position w:val="0"/>
        </w:rPr>
        <w:t>对于租赁应收款项，信用损失为本公司应收取的合同现金流量与预期收取的现金流量之间差额的现值；</w:t>
      </w:r>
    </w:p>
    <w:p>
      <w:pPr>
        <w:pStyle w:val="Style18"/>
        <w:keepNext w:val="0"/>
        <w:keepLines w:val="0"/>
        <w:widowControl w:val="0"/>
        <w:numPr>
          <w:ilvl w:val="0"/>
          <w:numId w:val="11"/>
        </w:numPr>
        <w:shd w:val="clear" w:color="auto" w:fill="auto"/>
        <w:tabs>
          <w:tab w:pos="689" w:val="left"/>
        </w:tabs>
        <w:bidi w:val="0"/>
        <w:spacing w:before="0" w:after="0" w:line="312" w:lineRule="exact"/>
        <w:ind w:left="0" w:right="0"/>
        <w:jc w:val="both"/>
      </w:pPr>
      <w:bookmarkStart w:id="774" w:name="bookmark774"/>
      <w:bookmarkEnd w:id="774"/>
      <w:r>
        <w:rPr>
          <w:color w:val="000000"/>
          <w:spacing w:val="0"/>
          <w:w w:val="100"/>
          <w:position w:val="0"/>
        </w:rPr>
        <w:t>对于未提用的贷款承诺，信用损失为在贷款承诺持有人提用相应贷款的情况下，本公司应收取的合同现金流量与预期 收取的现金流量之间差额的现值。本公司对贷款承诺预期信用损失的估计，与其对该贷款承诺提用情况的预期保持一致；</w:t>
      </w:r>
    </w:p>
    <w:p>
      <w:pPr>
        <w:pStyle w:val="Style18"/>
        <w:keepNext w:val="0"/>
        <w:keepLines w:val="0"/>
        <w:widowControl w:val="0"/>
        <w:numPr>
          <w:ilvl w:val="0"/>
          <w:numId w:val="11"/>
        </w:numPr>
        <w:shd w:val="clear" w:color="auto" w:fill="auto"/>
        <w:tabs>
          <w:tab w:pos="679" w:val="left"/>
        </w:tabs>
        <w:bidi w:val="0"/>
        <w:spacing w:before="0" w:after="0" w:line="312" w:lineRule="exact"/>
        <w:ind w:left="0" w:right="0"/>
        <w:jc w:val="both"/>
      </w:pPr>
      <w:bookmarkStart w:id="775" w:name="bookmark775"/>
      <w:bookmarkEnd w:id="775"/>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18"/>
        <w:keepNext w:val="0"/>
        <w:keepLines w:val="0"/>
        <w:widowControl w:val="0"/>
        <w:numPr>
          <w:ilvl w:val="0"/>
          <w:numId w:val="11"/>
        </w:numPr>
        <w:shd w:val="clear" w:color="auto" w:fill="auto"/>
        <w:tabs>
          <w:tab w:pos="694" w:val="left"/>
        </w:tabs>
        <w:bidi w:val="0"/>
        <w:spacing w:before="0" w:after="0" w:line="312" w:lineRule="exact"/>
        <w:ind w:left="0" w:right="0"/>
        <w:jc w:val="both"/>
      </w:pPr>
      <w:bookmarkStart w:id="776" w:name="bookmark776"/>
      <w:bookmarkEnd w:id="776"/>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第一阶段，按照该金融工具未来12个月内的预期信用损失计量损失准备；信用风险自初始确认后已显著增加但尚未发生信用 减值的，处于第二阶段，按照该金融工具整个存续期的预期信用损失计量损失准备；自初始确认后已经发生信用减值的，处 于第三阶段，按照该金融工具整个存续期的预期信用损失计量损失准备。处于第一阶段和第二阶段的金融工具，按照其账面 余额和实际利率计算利息收入；处于第三阶段的金融工具，按照其摊余成本和实际利率计算确定利息收入。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损失准备的增加或转回，作为减值损失或利得，计入当期损益。对于持有的以公允价值计量且其变动计入其他综合收益 的债务工具，减值损失或利得计入当期损益的同时调整其他综合收益。</w:t>
      </w:r>
      <w:r>
        <w:br w:type="page"/>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A、</w:t>
      </w:r>
      <w:r>
        <w:rPr>
          <w:color w:val="000000"/>
          <w:spacing w:val="0"/>
          <w:w w:val="100"/>
          <w:position w:val="0"/>
        </w:rPr>
        <w:t>对于应收票据和应收账款，无论是否存在重大融资成分，本公司均按照整个存续期的预期信用损失计量损失准备。</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当单项应收票据和应收账款无法以合理成本取得评估预期信用损失的信息时，本公司依据信用风险特征，将应收票据和 应收账款划分为若干组合，在组合基础上计算预期信用损失。</w:t>
      </w:r>
    </w:p>
    <w:p>
      <w:pPr>
        <w:pStyle w:val="Style18"/>
        <w:keepNext w:val="0"/>
        <w:keepLines w:val="0"/>
        <w:widowControl w:val="0"/>
        <w:shd w:val="clear" w:color="auto" w:fill="auto"/>
        <w:bidi w:val="0"/>
        <w:spacing w:before="0" w:after="40" w:line="311" w:lineRule="exact"/>
        <w:ind w:left="0" w:right="0" w:firstLine="360"/>
        <w:jc w:val="both"/>
      </w:pPr>
      <w:r>
        <w:rPr>
          <w:color w:val="000000"/>
          <w:spacing w:val="0"/>
          <w:w w:val="100"/>
          <w:position w:val="0"/>
        </w:rPr>
        <w:t>对于划分为组合1的应收票据，本公司参考历史信用损失经验，结合当前状况以及对未来经济状况的预测，通过违约风 险敞口和整个存续期预期信用损失率，该组合预期信用损失为0%。对于划分为组合2的应收票据，本公司参考历史信用损失 经验，结合当前状况以及对未来经济状况的预测，通过违约风险敞口和整个存续期预期信用损失率，计算预期信用损失。确 定组合的依据如下：</w:t>
      </w:r>
    </w:p>
    <w:tbl>
      <w:tblPr>
        <w:tblOverlap w:val="never"/>
        <w:jc w:val="center"/>
        <w:tblLayout w:type="fixed"/>
      </w:tblPr>
      <w:tblGrid>
        <w:gridCol w:w="3413"/>
        <w:gridCol w:w="615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以银行承兑汇票划分组合</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以商业承兑汇票划分组合</w:t>
            </w:r>
          </w:p>
        </w:tc>
      </w:tr>
    </w:tbl>
    <w:p>
      <w:pPr>
        <w:pStyle w:val="Style25"/>
        <w:keepNext w:val="0"/>
        <w:keepLines w:val="0"/>
        <w:widowControl w:val="0"/>
        <w:shd w:val="clear" w:color="auto" w:fill="auto"/>
        <w:bidi w:val="0"/>
        <w:spacing w:before="0" w:after="0" w:line="311" w:lineRule="exact"/>
        <w:ind w:left="0" w:right="0" w:firstLine="0"/>
        <w:jc w:val="distribute"/>
      </w:pPr>
      <w:r>
        <w:rPr>
          <w:color w:val="000000"/>
          <w:spacing w:val="0"/>
          <w:w w:val="100"/>
          <w:position w:val="0"/>
        </w:rPr>
        <w:t>对于划分为组合1的应收账款，本公司参考历史信用损失经验，结合当前状况以及对未来经济状况的预测，编制应收账 款账龄与整个存续期预期信用损失率对照表，计算预期信用损失。对于划分为组合2的应收账款，本公司参考历史信用损失 经验，结合当前状况以及对未来经济状况的预测，编制应收账款账龄与整个存续期预期信用损失率对照表，计算预期信用损 失。对于划分为组合3的应收账款，本公司参考历史信用损失经验，结合当前状况以及对未来经济状况的预测，通过违约风 险敞口和整个存续期预期信用损失率，该组合预期信用损失为0%。确定应收账款组合的依据如下：</w:t>
      </w:r>
    </w:p>
    <w:p>
      <w:pPr>
        <w:widowControl w:val="0"/>
        <w:spacing w:line="1" w:lineRule="exact"/>
      </w:pPr>
    </w:p>
    <w:tbl>
      <w:tblPr>
        <w:tblOverlap w:val="never"/>
        <w:jc w:val="center"/>
        <w:tblLayout w:type="fixed"/>
      </w:tblPr>
      <w:tblGrid>
        <w:gridCol w:w="3989"/>
        <w:gridCol w:w="558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纺织业务以应收款项的账龄为信用风险特征划分组合</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软件业务以应收款项的账龄为信用风险特征划分组合</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合并范围内关联方及单独测试未减值应收款项组合</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B、</w:t>
      </w:r>
      <w:r>
        <w:rPr>
          <w:color w:val="000000"/>
          <w:spacing w:val="0"/>
          <w:w w:val="100"/>
          <w:position w:val="0"/>
        </w:rPr>
        <w:t>当单项其他应收款无法以合理成本取得评估预期信用损失的信息时，本公司依据信用风险特征将其他应收款划分为 若干组合，在组合基础上计算预期信用损失。确定组合的依据如下：</w:t>
      </w:r>
    </w:p>
    <w:p>
      <w:pPr>
        <w:widowControl w:val="0"/>
        <w:spacing w:line="1" w:lineRule="exact"/>
      </w:pPr>
    </w:p>
    <w:tbl>
      <w:tblPr>
        <w:tblOverlap w:val="never"/>
        <w:jc w:val="center"/>
        <w:tblLayout w:type="fixed"/>
      </w:tblPr>
      <w:tblGrid>
        <w:gridCol w:w="3590"/>
        <w:gridCol w:w="5981"/>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纺织业务押金、往来及其他应收款项</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软件业务押金、往来及其他应收款项</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合并范围内关联方及单独测试未减值应收款项组合</w:t>
            </w:r>
          </w:p>
        </w:tc>
      </w:tr>
    </w:tbl>
    <w:p>
      <w:pPr>
        <w:pStyle w:val="Style25"/>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对于划分为组合1的其他应收款，本公司参考历史信用损失经验，结合当前状况以及对未来经济状况的预测，通过违约 风险敞口和未来12个月内或整个存续期预期信用损失率，计算预期信用损失。对于划分为组合2的其他应收款，本公司参考 历史信用损失经验，结合当前状况以及对未来经济状况的预测，通过违约风险敞口和未来12个月内或整个存续期预期信用损 失率，计算预期信用损失。对于划分为组合3的其他应收款，本公司参考历史信用损失经验，结合当前状况以及对未来经济 状况的预测，通过违约风险敞口和未来12个月内或整个存续期预期信用损失率，该组合预期信用损失为0%。</w:t>
      </w:r>
    </w:p>
    <w:p>
      <w:pPr>
        <w:widowControl w:val="0"/>
        <w:spacing w:line="1" w:lineRule="exact"/>
      </w:pP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C、</w:t>
      </w:r>
      <w:r>
        <w:rPr>
          <w:color w:val="000000"/>
          <w:spacing w:val="0"/>
          <w:w w:val="100"/>
          <w:position w:val="0"/>
        </w:rPr>
        <w:t>当单项长期应收款无法以合理成本取得评估预期信用损失的信息时，本公司依据信用风险特征将长期应收款划分为 若干组合，在组合基础上计算预期信用损失。确定组合的依据如下：</w:t>
      </w:r>
    </w:p>
    <w:tbl>
      <w:tblPr>
        <w:tblOverlap w:val="never"/>
        <w:jc w:val="center"/>
        <w:tblLayout w:type="fixed"/>
      </w:tblPr>
      <w:tblGrid>
        <w:gridCol w:w="3590"/>
        <w:gridCol w:w="5981"/>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应收项目建设款项</w:t>
            </w:r>
          </w:p>
        </w:tc>
      </w:tr>
    </w:tbl>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对于划分为组合的长期应收款，本公司参考历史信用损失经验，结合当前状况以及对未来经济状况的预测，通过违约风 险敞口和未来12个月内或整个存续期预期信用损失率，该组合预期信用损失为0%。</w:t>
      </w:r>
    </w:p>
    <w:p>
      <w:pPr>
        <w:pStyle w:val="Style18"/>
        <w:keepNext w:val="0"/>
        <w:keepLines w:val="0"/>
        <w:widowControl w:val="0"/>
        <w:shd w:val="clear" w:color="auto" w:fill="auto"/>
        <w:tabs>
          <w:tab w:pos="763" w:val="left"/>
        </w:tabs>
        <w:bidi w:val="0"/>
        <w:spacing w:before="0" w:after="0" w:line="312" w:lineRule="exact"/>
        <w:ind w:left="0" w:right="0" w:firstLine="360"/>
        <w:jc w:val="both"/>
      </w:pPr>
      <w:bookmarkStart w:id="777" w:name="bookmark777"/>
      <w:r>
        <w:rPr>
          <w:color w:val="000000"/>
          <w:spacing w:val="0"/>
          <w:w w:val="100"/>
          <w:position w:val="0"/>
        </w:rPr>
        <w:t>（</w:t>
      </w:r>
      <w:bookmarkEnd w:id="777"/>
      <w:r>
        <w:rPr>
          <w:color w:val="000000"/>
          <w:spacing w:val="0"/>
          <w:w w:val="100"/>
          <w:position w:val="0"/>
        </w:rPr>
        <w:t>6）</w:t>
        <w:tab/>
        <w:t>金融资产和金融负债的抵销</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18"/>
        <w:keepNext w:val="0"/>
        <w:keepLines w:val="0"/>
        <w:widowControl w:val="0"/>
        <w:shd w:val="clear" w:color="auto" w:fill="auto"/>
        <w:tabs>
          <w:tab w:pos="763" w:val="left"/>
        </w:tabs>
        <w:bidi w:val="0"/>
        <w:spacing w:before="0" w:after="0" w:line="312" w:lineRule="exact"/>
        <w:ind w:left="0" w:right="0" w:firstLine="360"/>
        <w:jc w:val="both"/>
      </w:pPr>
      <w:bookmarkStart w:id="778" w:name="bookmark778"/>
      <w:r>
        <w:rPr>
          <w:color w:val="000000"/>
          <w:spacing w:val="0"/>
          <w:w w:val="100"/>
          <w:position w:val="0"/>
        </w:rPr>
        <w:t>（</w:t>
      </w:r>
      <w:bookmarkEnd w:id="778"/>
      <w:r>
        <w:rPr>
          <w:color w:val="000000"/>
          <w:spacing w:val="0"/>
          <w:w w:val="100"/>
          <w:position w:val="0"/>
        </w:rPr>
        <w:t>7）</w:t>
        <w:tab/>
        <w:t>金融工具的公允价值确定</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 xml:space="preserve">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w:t>
      </w:r>
      <w:r>
        <w:rPr>
          <w:color w:val="000000"/>
          <w:spacing w:val="0"/>
          <w:w w:val="100"/>
          <w:position w:val="0"/>
        </w:rPr>
        <w:t>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27"/>
        <w:keepNext/>
        <w:keepLines/>
        <w:widowControl w:val="0"/>
        <w:shd w:val="clear" w:color="auto" w:fill="auto"/>
        <w:tabs>
          <w:tab w:pos="474" w:val="left"/>
        </w:tabs>
        <w:bidi w:val="0"/>
        <w:spacing w:before="0" w:after="28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779"/>
      <w:bookmarkEnd w:id="780"/>
      <w:bookmarkEnd w:id="782"/>
    </w:p>
    <w:p>
      <w:pPr>
        <w:pStyle w:val="Style18"/>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本公司对应收票据的预期信用损失的确定方法及会计处理方法详见本附注五、9 “金融工具”。</w:t>
      </w:r>
    </w:p>
    <w:p>
      <w:pPr>
        <w:pStyle w:val="Style27"/>
        <w:keepNext/>
        <w:keepLines/>
        <w:widowControl w:val="0"/>
        <w:shd w:val="clear" w:color="auto" w:fill="auto"/>
        <w:tabs>
          <w:tab w:pos="474"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783"/>
      <w:bookmarkEnd w:id="784"/>
      <w:bookmarkEnd w:id="786"/>
    </w:p>
    <w:p>
      <w:pPr>
        <w:pStyle w:val="Style18"/>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本公司对应收账款的预期信用损失的确定方法及会计处理方法详见本附注五、9 “金融工具”。</w:t>
      </w:r>
    </w:p>
    <w:p>
      <w:pPr>
        <w:pStyle w:val="Style27"/>
        <w:keepNext/>
        <w:keepLines/>
        <w:widowControl w:val="0"/>
        <w:shd w:val="clear" w:color="auto" w:fill="auto"/>
        <w:tabs>
          <w:tab w:pos="474" w:val="left"/>
        </w:tabs>
        <w:bidi w:val="0"/>
        <w:spacing w:before="0" w:after="28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787"/>
      <w:bookmarkEnd w:id="788"/>
      <w:bookmarkEnd w:id="790"/>
    </w:p>
    <w:p>
      <w:pPr>
        <w:pStyle w:val="Style18"/>
        <w:keepNext w:val="0"/>
        <w:keepLines w:val="0"/>
        <w:widowControl w:val="0"/>
        <w:shd w:val="clear" w:color="auto" w:fill="auto"/>
        <w:bidi w:val="0"/>
        <w:spacing w:before="0" w:after="360" w:line="298" w:lineRule="exact"/>
        <w:ind w:left="0" w:right="0" w:firstLine="360"/>
        <w:jc w:val="both"/>
      </w:pPr>
      <w:r>
        <w:rPr>
          <w:color w:val="000000"/>
          <w:spacing w:val="0"/>
          <w:w w:val="100"/>
          <w:position w:val="0"/>
        </w:rPr>
        <w:t>应收款项融资反映资产负债表日以公允价值计量且其变动计入其他综合收益的应收票据和应收账款等。会计处理方法参 见本附注五、9 “金融工具”中划分为以公允价值计量且其变动计入其他综合收益的金融资产相关处理。</w:t>
      </w:r>
    </w:p>
    <w:p>
      <w:pPr>
        <w:pStyle w:val="Style27"/>
        <w:keepNext/>
        <w:keepLines/>
        <w:widowControl w:val="0"/>
        <w:shd w:val="clear" w:color="auto" w:fill="auto"/>
        <w:tabs>
          <w:tab w:pos="474" w:val="left"/>
        </w:tabs>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791"/>
      <w:bookmarkEnd w:id="792"/>
      <w:bookmarkEnd w:id="794"/>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本公司对其他应收款的预期信用损失的确定方法及会计处理方法详见本附注五、9 “金融工具”。</w:t>
      </w:r>
    </w:p>
    <w:p>
      <w:pPr>
        <w:pStyle w:val="Style27"/>
        <w:keepNext/>
        <w:keepLines/>
        <w:widowControl w:val="0"/>
        <w:shd w:val="clear" w:color="auto" w:fill="auto"/>
        <w:tabs>
          <w:tab w:pos="474"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795"/>
      <w:bookmarkEnd w:id="796"/>
      <w:bookmarkEnd w:id="798"/>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799" w:name="bookmark799"/>
      <w:r>
        <w:rPr>
          <w:color w:val="000000"/>
          <w:spacing w:val="0"/>
          <w:w w:val="100"/>
          <w:position w:val="0"/>
        </w:rPr>
        <w:t>（</w:t>
      </w:r>
      <w:bookmarkEnd w:id="799"/>
      <w:r>
        <w:rPr>
          <w:color w:val="000000"/>
          <w:spacing w:val="0"/>
          <w:w w:val="100"/>
          <w:position w:val="0"/>
        </w:rPr>
        <w:t>1）</w:t>
        <w:tab/>
        <w:t>存货的分类</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本公司存货分原材料、在产品、周转材料、库存商品、委托加工材料、合同履约成本等。</w:t>
      </w:r>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800" w:name="bookmark800"/>
      <w:r>
        <w:rPr>
          <w:color w:val="000000"/>
          <w:spacing w:val="0"/>
          <w:w w:val="100"/>
          <w:position w:val="0"/>
        </w:rPr>
        <w:t>（</w:t>
      </w:r>
      <w:bookmarkEnd w:id="800"/>
      <w:r>
        <w:rPr>
          <w:color w:val="000000"/>
          <w:spacing w:val="0"/>
          <w:w w:val="100"/>
          <w:position w:val="0"/>
        </w:rPr>
        <w:t>2）</w:t>
        <w:tab/>
        <w:t>存货取得和发出的计价方法</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本公司存货取得时按实际成本计价。原料、在产品、库存商品、发出商品等发出时采用加权平均法计价，材料按计划成 本计价，材料成本差异按上月余额法计算结转。</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北明软件有限公司存货发出时，采取先进先出法确定其发生的实际成本。</w:t>
      </w:r>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801" w:name="bookmark801"/>
      <w:r>
        <w:rPr>
          <w:color w:val="000000"/>
          <w:spacing w:val="0"/>
          <w:w w:val="100"/>
          <w:position w:val="0"/>
        </w:rPr>
        <w:t>（</w:t>
      </w:r>
      <w:bookmarkEnd w:id="801"/>
      <w:r>
        <w:rPr>
          <w:color w:val="000000"/>
          <w:spacing w:val="0"/>
          <w:w w:val="100"/>
          <w:position w:val="0"/>
        </w:rPr>
        <w:t>3）</w:t>
        <w:tab/>
        <w:t>存货跌价准备计提方法</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802" w:name="bookmark802"/>
      <w:r>
        <w:rPr>
          <w:color w:val="000000"/>
          <w:spacing w:val="0"/>
          <w:w w:val="100"/>
          <w:position w:val="0"/>
        </w:rPr>
        <w:t>（</w:t>
      </w:r>
      <w:bookmarkEnd w:id="802"/>
      <w:r>
        <w:rPr>
          <w:color w:val="000000"/>
          <w:spacing w:val="0"/>
          <w:w w:val="100"/>
          <w:position w:val="0"/>
        </w:rPr>
        <w:t>4）</w:t>
        <w:tab/>
        <w:t>存货可变现净值的确认方法</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803" w:name="bookmark803"/>
      <w:r>
        <w:rPr>
          <w:color w:val="000000"/>
          <w:spacing w:val="0"/>
          <w:w w:val="100"/>
          <w:position w:val="0"/>
        </w:rPr>
        <w:t>（</w:t>
      </w:r>
      <w:bookmarkEnd w:id="803"/>
      <w:r>
        <w:rPr>
          <w:color w:val="000000"/>
          <w:spacing w:val="0"/>
          <w:w w:val="100"/>
          <w:position w:val="0"/>
        </w:rPr>
        <w:t>5）</w:t>
        <w:tab/>
        <w:t>本公司存货盘存制度采用永续盘存制</w:t>
      </w:r>
    </w:p>
    <w:p>
      <w:pPr>
        <w:pStyle w:val="Style18"/>
        <w:keepNext w:val="0"/>
        <w:keepLines w:val="0"/>
        <w:widowControl w:val="0"/>
        <w:shd w:val="clear" w:color="auto" w:fill="auto"/>
        <w:tabs>
          <w:tab w:pos="800" w:val="left"/>
        </w:tabs>
        <w:bidi w:val="0"/>
        <w:spacing w:before="0" w:after="0" w:line="310" w:lineRule="exact"/>
        <w:ind w:left="0" w:right="0" w:firstLine="360"/>
        <w:jc w:val="both"/>
      </w:pPr>
      <w:bookmarkStart w:id="804" w:name="bookmark804"/>
      <w:r>
        <w:rPr>
          <w:color w:val="000000"/>
          <w:spacing w:val="0"/>
          <w:w w:val="100"/>
          <w:position w:val="0"/>
        </w:rPr>
        <w:t>（</w:t>
      </w:r>
      <w:bookmarkEnd w:id="804"/>
      <w:r>
        <w:rPr>
          <w:color w:val="000000"/>
          <w:spacing w:val="0"/>
          <w:w w:val="100"/>
          <w:position w:val="0"/>
        </w:rPr>
        <w:t>6）</w:t>
        <w:tab/>
        <w:t>低值易耗品和包装物的摊销方法</w:t>
      </w:r>
    </w:p>
    <w:p>
      <w:pPr>
        <w:pStyle w:val="Style18"/>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低值易耗品在领用时采用一次摊销法摊销；包装物在领用时采用一次摊销法摊销。</w:t>
      </w:r>
    </w:p>
    <w:p>
      <w:pPr>
        <w:pStyle w:val="Style27"/>
        <w:keepNext/>
        <w:keepLines/>
        <w:widowControl w:val="0"/>
        <w:shd w:val="clear" w:color="auto" w:fill="auto"/>
        <w:tabs>
          <w:tab w:pos="506"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05"/>
      <w:bookmarkEnd w:id="806"/>
      <w:bookmarkEnd w:id="808"/>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本公司根据履行履约义务与客户付款之间的关系在资产负债表中列示合同资产或合同负债。合同资产是本公司已向客户 转让商品而有权收取对价的权利，且该权利取决于时间流逝之外的其他因素。合同负债是本公司已收或应收客户对价而应向 客户转让商品的义务。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合同资产按照预期信用损失法计提减值准备。无论是否包含重大融资成分，本公司在资产负债表日均按照整个存续期内 预期信用损失的金额计量其损失准备，如果该预期信用损失大于当前合同资产减值准备的账面金额，将其差额确认为减值损 失，反之则确认为减值利得。实际发生信用损失，认定相关合同资产无法收回，经批准予以核销。</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资产负债表日，对于不同合同下的合同资产、合同负债，分别列示。对于同一合同下的合同资产、合同负债，以净额列 示，净额为借方余额的，根据其流动性分别列示为合同资产或其他非流动资产，已计提减值准备的，减去合同资产减值准备 的期末余额后列示；净额为贷方余额的，根据其流动性列示为合同负债或其他非流动负债。</w:t>
      </w:r>
    </w:p>
    <w:p>
      <w:pPr>
        <w:pStyle w:val="Style27"/>
        <w:keepNext/>
        <w:keepLines/>
        <w:widowControl w:val="0"/>
        <w:shd w:val="clear" w:color="auto" w:fill="auto"/>
        <w:tabs>
          <w:tab w:pos="506"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09"/>
      <w:bookmarkEnd w:id="810"/>
      <w:bookmarkEnd w:id="812"/>
    </w:p>
    <w:p>
      <w:pPr>
        <w:pStyle w:val="Style18"/>
        <w:keepNext w:val="0"/>
        <w:keepLines w:val="0"/>
        <w:widowControl w:val="0"/>
        <w:shd w:val="clear" w:color="auto" w:fill="auto"/>
        <w:tabs>
          <w:tab w:pos="688" w:val="left"/>
        </w:tabs>
        <w:bidi w:val="0"/>
        <w:spacing w:before="0" w:after="0" w:line="312" w:lineRule="exact"/>
        <w:ind w:left="0" w:right="0" w:firstLine="280"/>
        <w:jc w:val="both"/>
      </w:pPr>
      <w:bookmarkStart w:id="813" w:name="bookmark813"/>
      <w:r>
        <w:rPr>
          <w:color w:val="000000"/>
          <w:spacing w:val="0"/>
          <w:w w:val="100"/>
          <w:position w:val="0"/>
        </w:rPr>
        <w:t>（</w:t>
      </w:r>
      <w:bookmarkEnd w:id="813"/>
      <w:r>
        <w:rPr>
          <w:color w:val="000000"/>
          <w:spacing w:val="0"/>
          <w:w w:val="100"/>
          <w:position w:val="0"/>
        </w:rPr>
        <w:t>1）</w:t>
        <w:tab/>
        <w:t>合同履约成本</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本公司对于为履行合同发生的成本，不属于存货、固定资产或无形资产等相关准则规范范围且同时满足下列条件的作为 合同履约成本确认为一项资产：</w:t>
      </w:r>
    </w:p>
    <w:p>
      <w:pPr>
        <w:pStyle w:val="Style18"/>
        <w:keepNext w:val="0"/>
        <w:keepLines w:val="0"/>
        <w:widowControl w:val="0"/>
        <w:numPr>
          <w:ilvl w:val="0"/>
          <w:numId w:val="13"/>
        </w:numPr>
        <w:shd w:val="clear" w:color="auto" w:fill="auto"/>
        <w:tabs>
          <w:tab w:pos="696" w:val="left"/>
        </w:tabs>
        <w:bidi w:val="0"/>
        <w:spacing w:before="0" w:after="0" w:line="318" w:lineRule="exact"/>
        <w:ind w:left="0" w:right="0"/>
        <w:jc w:val="both"/>
      </w:pPr>
      <w:bookmarkStart w:id="814" w:name="bookmark814"/>
      <w:bookmarkEnd w:id="814"/>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8"/>
        <w:keepNext w:val="0"/>
        <w:keepLines w:val="0"/>
        <w:widowControl w:val="0"/>
        <w:numPr>
          <w:ilvl w:val="0"/>
          <w:numId w:val="13"/>
        </w:numPr>
        <w:shd w:val="clear" w:color="auto" w:fill="auto"/>
        <w:tabs>
          <w:tab w:pos="721" w:val="left"/>
        </w:tabs>
        <w:bidi w:val="0"/>
        <w:spacing w:before="0" w:after="0" w:line="318" w:lineRule="exact"/>
        <w:ind w:left="0" w:right="0"/>
        <w:jc w:val="both"/>
      </w:pPr>
      <w:bookmarkStart w:id="815" w:name="bookmark815"/>
      <w:bookmarkEnd w:id="815"/>
      <w:r>
        <w:rPr>
          <w:color w:val="000000"/>
          <w:spacing w:val="0"/>
          <w:w w:val="100"/>
          <w:position w:val="0"/>
        </w:rPr>
        <w:t>该成本增加了企业未来用于履行履约义务的资源。</w:t>
      </w:r>
    </w:p>
    <w:p>
      <w:pPr>
        <w:pStyle w:val="Style18"/>
        <w:keepNext w:val="0"/>
        <w:keepLines w:val="0"/>
        <w:widowControl w:val="0"/>
        <w:numPr>
          <w:ilvl w:val="0"/>
          <w:numId w:val="13"/>
        </w:numPr>
        <w:shd w:val="clear" w:color="auto" w:fill="auto"/>
        <w:tabs>
          <w:tab w:pos="721" w:val="left"/>
        </w:tabs>
        <w:bidi w:val="0"/>
        <w:spacing w:before="0" w:after="0" w:line="318" w:lineRule="exact"/>
        <w:ind w:left="0" w:right="0"/>
        <w:jc w:val="both"/>
      </w:pPr>
      <w:bookmarkStart w:id="816" w:name="bookmark816"/>
      <w:bookmarkEnd w:id="816"/>
      <w:r>
        <w:rPr>
          <w:color w:val="000000"/>
          <w:spacing w:val="0"/>
          <w:w w:val="100"/>
          <w:position w:val="0"/>
        </w:rPr>
        <w:t>该成本预期能够收回该资产根据其初始确认时摊销期限是否超过一个正常营业周期在存货或其他非流动资产中列报。</w:t>
      </w:r>
    </w:p>
    <w:p>
      <w:pPr>
        <w:pStyle w:val="Style18"/>
        <w:keepNext w:val="0"/>
        <w:keepLines w:val="0"/>
        <w:widowControl w:val="0"/>
        <w:shd w:val="clear" w:color="auto" w:fill="auto"/>
        <w:tabs>
          <w:tab w:pos="688" w:val="left"/>
        </w:tabs>
        <w:bidi w:val="0"/>
        <w:spacing w:before="0" w:after="0" w:line="318" w:lineRule="exact"/>
        <w:ind w:left="0" w:right="0" w:firstLine="280"/>
        <w:jc w:val="left"/>
      </w:pPr>
      <w:bookmarkStart w:id="817" w:name="bookmark817"/>
      <w:r>
        <w:rPr>
          <w:color w:val="000000"/>
          <w:spacing w:val="0"/>
          <w:w w:val="100"/>
          <w:position w:val="0"/>
        </w:rPr>
        <w:t>（</w:t>
      </w:r>
      <w:bookmarkEnd w:id="817"/>
      <w:r>
        <w:rPr>
          <w:color w:val="000000"/>
          <w:spacing w:val="0"/>
          <w:w w:val="100"/>
          <w:position w:val="0"/>
        </w:rPr>
        <w:t>2）</w:t>
        <w:tab/>
        <w:t>合同取得成本</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8"/>
        <w:keepNext w:val="0"/>
        <w:keepLines w:val="0"/>
        <w:widowControl w:val="0"/>
        <w:shd w:val="clear" w:color="auto" w:fill="auto"/>
        <w:tabs>
          <w:tab w:pos="768" w:val="left"/>
        </w:tabs>
        <w:bidi w:val="0"/>
        <w:spacing w:before="0" w:after="0" w:line="318" w:lineRule="exact"/>
        <w:ind w:left="0" w:right="0" w:firstLine="280"/>
        <w:jc w:val="both"/>
      </w:pPr>
      <w:bookmarkStart w:id="818" w:name="bookmark818"/>
      <w:r>
        <w:rPr>
          <w:color w:val="000000"/>
          <w:spacing w:val="0"/>
          <w:w w:val="100"/>
          <w:position w:val="0"/>
        </w:rPr>
        <w:t>（</w:t>
      </w:r>
      <w:bookmarkEnd w:id="818"/>
      <w:r>
        <w:rPr>
          <w:color w:val="000000"/>
          <w:spacing w:val="0"/>
          <w:w w:val="100"/>
          <w:position w:val="0"/>
        </w:rPr>
        <w:t>3）</w:t>
        <w:tab/>
        <w:t>合同成本摊销：上述与合同成本有关的资产，采用与该资产相关的商品或服务收入确认相同的基础，在履约义务履 行的时点或按照履约义务的履约进度进行摊销，计入当期损益。</w:t>
      </w:r>
    </w:p>
    <w:p>
      <w:pPr>
        <w:pStyle w:val="Style18"/>
        <w:keepNext w:val="0"/>
        <w:keepLines w:val="0"/>
        <w:widowControl w:val="0"/>
        <w:shd w:val="clear" w:color="auto" w:fill="auto"/>
        <w:tabs>
          <w:tab w:pos="773" w:val="left"/>
        </w:tabs>
        <w:bidi w:val="0"/>
        <w:spacing w:before="0" w:after="360" w:line="318" w:lineRule="exact"/>
        <w:ind w:left="0" w:right="0" w:firstLine="280"/>
        <w:jc w:val="both"/>
      </w:pPr>
      <w:bookmarkStart w:id="819" w:name="bookmark819"/>
      <w:r>
        <w:rPr>
          <w:color w:val="000000"/>
          <w:spacing w:val="0"/>
          <w:w w:val="100"/>
          <w:position w:val="0"/>
        </w:rPr>
        <w:t>（</w:t>
      </w:r>
      <w:bookmarkEnd w:id="819"/>
      <w:r>
        <w:rPr>
          <w:color w:val="000000"/>
          <w:spacing w:val="0"/>
          <w:w w:val="100"/>
          <w:position w:val="0"/>
        </w:rPr>
        <w:t>4）</w:t>
        <w:tab/>
        <w:t>合同成本减值：上述与合同成本有关的资产，账面价值高于本公司因转让与该资产相关的商品预期能够取得剩余对 价与为转让该相关商品估计将要发生的成本的差额的，超出部分应当计提减值准备，并确认为资产减值损失。计提减值准备 后，如果以前期间减值的因素发生变化，使得上述两项差额高于该资产账面价值的，转回原已计提的资产减值准备，并计入 当期损益，但转回后的资产账面价值不超过假定不计提减值准备情况下该资产在转回日的账面价值。</w:t>
      </w:r>
    </w:p>
    <w:p>
      <w:pPr>
        <w:pStyle w:val="Style27"/>
        <w:keepNext/>
        <w:keepLines/>
        <w:widowControl w:val="0"/>
        <w:shd w:val="clear" w:color="auto" w:fill="auto"/>
        <w:tabs>
          <w:tab w:pos="506"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20"/>
      <w:bookmarkEnd w:id="821"/>
      <w:bookmarkEnd w:id="82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本公司将通过出售（包括具有商业实质的非货币性资产交换，下同）而非持续使用一项非流动资产或处置组收回其账面 价值，并同时满足以下两个条件的，划分为持有待售类别：（1）某项非流动资产或处置组根据类似交易中出售此类资产或处 置组的惯例，在当前状况下即可立即出售；（2）本公司已经就出售计划作出决议且获得确定的购买承诺，预计出售将在一年 内完成。（有关规定要求相关权力机构或者监管部门批准后方可出售的，已经获得批准。）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本公司将专为转售而取得的非流动资产或处置组，在取得日满足“预计出售将在一年内完成”的规定条件，且短期（通 常为3个月）内很可能满足持有待售类别的其他划分条件的，在取得日划分为持有待售类别。</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据处置组中适用《企业会计准则第42号</w:t>
      </w:r>
      <w:r>
        <w:rPr>
          <w:color w:val="000000"/>
          <w:spacing w:val="0"/>
          <w:w w:val="100"/>
          <w:position w:val="0"/>
        </w:rPr>
        <w:t>一一</w:t>
      </w:r>
      <w:r>
        <w:rPr>
          <w:color w:val="000000"/>
          <w:spacing w:val="0"/>
          <w:w w:val="100"/>
          <w:position w:val="0"/>
        </w:rPr>
        <w:t>持有待售的非流动资产、处置组和终止经营》计量规定的各项非流动资产账面价 值所占比重，按比例抵减其账面价值。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后续资产负债表日持有待售的非流动资产公允价值减去出售费用后的净额增加的，以前减记的金额予以恢复，并在划分 </w:t>
      </w:r>
      <w:r>
        <w:rPr>
          <w:color w:val="000000"/>
          <w:spacing w:val="0"/>
          <w:w w:val="100"/>
          <w:position w:val="0"/>
        </w:rPr>
        <w:t>为持有待售类别后确认的资产减值损失金额内转回，转回金额计入当期损益。划分为持有待售类别前确认的资产减值损失不 转回。持有待售的处置组以前减记的金额应当予以恢复，并在划分为持有待售类别后适用《企业会计准则第42号</w:t>
      </w:r>
      <w:r>
        <w:rPr>
          <w:color w:val="000000"/>
          <w:spacing w:val="0"/>
          <w:w w:val="100"/>
          <w:position w:val="0"/>
        </w:rPr>
        <w:t>一一</w:t>
      </w:r>
      <w:r>
        <w:rPr>
          <w:color w:val="000000"/>
          <w:spacing w:val="0"/>
          <w:w w:val="100"/>
          <w:position w:val="0"/>
        </w:rPr>
        <w:t>持有待 售的非流动资产、处置组和终止经营》计量规定的非流动资产确认的资产减值损失金额内转回，转回金额计入当期损益。已 抵减的商誉账面价值，以及适用《企业会计准则第42号</w:t>
      </w:r>
      <w:r>
        <w:rPr>
          <w:color w:val="000000"/>
          <w:spacing w:val="0"/>
          <w:w w:val="100"/>
          <w:position w:val="0"/>
        </w:rPr>
        <w:t>一一</w:t>
      </w:r>
      <w:r>
        <w:rPr>
          <w:color w:val="000000"/>
          <w:spacing w:val="0"/>
          <w:w w:val="100"/>
          <w:position w:val="0"/>
        </w:rPr>
        <w:t>持有待售的非流动资产、处置组和终止经营》计量规定的非流动 资产在划分为持有待售类别前确认的资产减值损失不得转回。</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非流动资产或处置组因不再满足持有待售类别的划分条件时，本公司不再将其继续划分为持有待售类别或非流动资产从 持有待售的处置组中移除，并按照以下两者孰低计量：（1）划分为持有待售类别前的账面价值，按照假定不划分为持有待售 类别情况下本应确认的折旧、摊销或减值等进行调整后的金额；（2）可收回金额。</w:t>
      </w:r>
    </w:p>
    <w:p>
      <w:pPr>
        <w:pStyle w:val="Style18"/>
        <w:keepNext w:val="0"/>
        <w:keepLines w:val="0"/>
        <w:widowControl w:val="0"/>
        <w:shd w:val="clear" w:color="auto" w:fill="auto"/>
        <w:bidi w:val="0"/>
        <w:spacing w:before="0" w:after="360" w:line="311" w:lineRule="exact"/>
        <w:ind w:left="0" w:right="0" w:firstLine="360"/>
        <w:jc w:val="left"/>
      </w:pPr>
      <w:r>
        <w:rPr>
          <w:color w:val="000000"/>
          <w:spacing w:val="0"/>
          <w:w w:val="100"/>
          <w:position w:val="0"/>
        </w:rPr>
        <w:t>终止确认持有待售的非流动资产或处置组时，本公司将尚未确认的利得或损失计入当期损益。</w:t>
      </w:r>
    </w:p>
    <w:p>
      <w:pPr>
        <w:pStyle w:val="Style27"/>
        <w:keepNext/>
        <w:keepLines/>
        <w:widowControl w:val="0"/>
        <w:shd w:val="clear" w:color="auto" w:fill="auto"/>
        <w:tabs>
          <w:tab w:pos="414"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24"/>
      <w:bookmarkEnd w:id="825"/>
      <w:bookmarkEnd w:id="827"/>
    </w:p>
    <w:p>
      <w:pPr>
        <w:pStyle w:val="Style18"/>
        <w:keepNext w:val="0"/>
        <w:keepLines w:val="0"/>
        <w:widowControl w:val="0"/>
        <w:shd w:val="clear" w:color="auto" w:fill="auto"/>
        <w:bidi w:val="0"/>
        <w:spacing w:before="0" w:after="360" w:line="311" w:lineRule="exact"/>
        <w:ind w:left="0" w:right="0" w:firstLine="360"/>
        <w:jc w:val="left"/>
      </w:pPr>
      <w:r>
        <w:rPr>
          <w:color w:val="000000"/>
          <w:spacing w:val="0"/>
          <w:w w:val="100"/>
          <w:position w:val="0"/>
        </w:rPr>
        <w:t>本公司对长期应收款的预期信用损失的确定方法及会计处理方法详见本附注五、9 “金融工具”</w:t>
      </w:r>
    </w:p>
    <w:p>
      <w:pPr>
        <w:pStyle w:val="Style27"/>
        <w:keepNext/>
        <w:keepLines/>
        <w:widowControl w:val="0"/>
        <w:shd w:val="clear" w:color="auto" w:fill="auto"/>
        <w:tabs>
          <w:tab w:pos="414"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28"/>
      <w:bookmarkEnd w:id="829"/>
      <w:bookmarkEnd w:id="831"/>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注五、9 “金融工具”</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8"/>
        <w:keepNext w:val="0"/>
        <w:keepLines w:val="0"/>
        <w:widowControl w:val="0"/>
        <w:shd w:val="clear" w:color="auto" w:fill="auto"/>
        <w:bidi w:val="0"/>
        <w:spacing w:before="0" w:after="0" w:line="311" w:lineRule="exact"/>
        <w:ind w:left="0" w:right="0" w:firstLine="360"/>
        <w:jc w:val="both"/>
      </w:pPr>
      <w:bookmarkStart w:id="832" w:name="bookmark832"/>
      <w:r>
        <w:rPr>
          <w:color w:val="000000"/>
          <w:spacing w:val="0"/>
          <w:w w:val="100"/>
          <w:position w:val="0"/>
        </w:rPr>
        <w:t>（</w:t>
      </w:r>
      <w:bookmarkEnd w:id="832"/>
      <w:r>
        <w:rPr>
          <w:color w:val="000000"/>
          <w:spacing w:val="0"/>
          <w:w w:val="100"/>
          <w:position w:val="0"/>
        </w:rPr>
        <w:t>1）投资成本的确定</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18"/>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控制的，长期股权投资成本为按照《企业会计准则第22号</w:t>
      </w:r>
      <w:r>
        <w:rPr>
          <w:color w:val="000000"/>
          <w:spacing w:val="0"/>
          <w:w w:val="100"/>
          <w:position w:val="0"/>
        </w:rPr>
        <w:t>一一</w:t>
      </w:r>
      <w:r>
        <w:rPr>
          <w:color w:val="000000"/>
          <w:spacing w:val="0"/>
          <w:w w:val="100"/>
          <w:position w:val="0"/>
        </w:rPr>
        <w:t>金融工具确认和计量》确定的原持有股权投资的公允价值加上 新增投资成本之和。</w:t>
      </w:r>
    </w:p>
    <w:p>
      <w:pPr>
        <w:pStyle w:val="Style18"/>
        <w:keepNext w:val="0"/>
        <w:keepLines w:val="0"/>
        <w:widowControl w:val="0"/>
        <w:shd w:val="clear" w:color="auto" w:fill="auto"/>
        <w:bidi w:val="0"/>
        <w:spacing w:before="0" w:after="0" w:line="312" w:lineRule="exact"/>
        <w:ind w:left="0" w:right="0"/>
        <w:jc w:val="both"/>
      </w:pPr>
      <w:bookmarkStart w:id="833" w:name="bookmark833"/>
      <w:r>
        <w:rPr>
          <w:color w:val="000000"/>
          <w:spacing w:val="0"/>
          <w:w w:val="100"/>
          <w:position w:val="0"/>
        </w:rPr>
        <w:t>（</w:t>
      </w:r>
      <w:bookmarkEnd w:id="833"/>
      <w:r>
        <w:rPr>
          <w:color w:val="000000"/>
          <w:spacing w:val="0"/>
          <w:w w:val="100"/>
          <w:position w:val="0"/>
        </w:rPr>
        <w:t>2）后续计量及损益确认方法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8"/>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4" w:name="bookmark834"/>
      <w:bookmarkEnd w:id="834"/>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8"/>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5" w:name="bookmark835"/>
      <w:bookmarkEnd w:id="835"/>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营企业及合营企业购入的资产构成业务的，按《企业会计准则第20号</w:t>
      </w:r>
      <w:r>
        <w:rPr>
          <w:color w:val="000000"/>
          <w:spacing w:val="0"/>
          <w:w w:val="100"/>
          <w:position w:val="0"/>
        </w:rPr>
        <w:t>一一</w:t>
      </w:r>
      <w:r>
        <w:rPr>
          <w:color w:val="000000"/>
          <w:spacing w:val="0"/>
          <w:w w:val="100"/>
          <w:position w:val="0"/>
        </w:rPr>
        <w:t>企业合并》的规定进行会计处理，全额确认与交易 相关的利得或损失。</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8"/>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6" w:name="bookmark836"/>
      <w:bookmarkEnd w:id="836"/>
      <w:r>
        <w:rPr>
          <w:color w:val="000000"/>
          <w:spacing w:val="0"/>
          <w:w w:val="100"/>
          <w:position w:val="0"/>
        </w:rPr>
        <w:t>收购少数股权</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8"/>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7" w:name="bookmark837"/>
      <w:bookmarkEnd w:id="837"/>
      <w:r>
        <w:rPr>
          <w:color w:val="000000"/>
          <w:spacing w:val="0"/>
          <w:w w:val="100"/>
          <w:position w:val="0"/>
        </w:rPr>
        <w:t>处置长期股权投资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附注五、6、（2）“合并财务报表编制的方法”中所述的相关会计政策处理。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7"/>
        <w:keepNext/>
        <w:keepLines/>
        <w:widowControl w:val="0"/>
        <w:shd w:val="clear" w:color="auto" w:fill="auto"/>
        <w:tabs>
          <w:tab w:pos="444"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838"/>
      <w:bookmarkEnd w:id="839"/>
      <w:bookmarkEnd w:id="841"/>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投资性房地产是指为赚取租金或资本增值，或两者兼有而持有的房地产。本公司投资性房地产包括已出租的土地使用权、 持有并准备增值后转让的土地使用权、已出租的建筑物。</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本公司投资性房地产按照取得时的成本进行初始计量，与投资性房地产有关的后续支出，如果与该资产有关的经济利益 很可能流入且其成本能可靠地计量，则计入投资性房地产成本，其他后续支出，在发生时计入当期损益。</w:t>
      </w:r>
    </w:p>
    <w:p>
      <w:pPr>
        <w:pStyle w:val="Style18"/>
        <w:keepNext w:val="0"/>
        <w:keepLines w:val="0"/>
        <w:widowControl w:val="0"/>
        <w:shd w:val="clear" w:color="auto" w:fill="auto"/>
        <w:bidi w:val="0"/>
        <w:spacing w:before="0" w:after="360" w:line="310" w:lineRule="exact"/>
        <w:ind w:left="0" w:right="0"/>
        <w:jc w:val="left"/>
      </w:pPr>
      <w:r>
        <w:rPr>
          <w:color w:val="000000"/>
          <w:spacing w:val="0"/>
          <w:w w:val="100"/>
          <w:position w:val="0"/>
        </w:rPr>
        <w:t>本公司投资性房地产采用成本模式进行后续计量，并按照固定资产或无形资产的有关规定，按期计提折旧或摊销。</w:t>
      </w:r>
    </w:p>
    <w:p>
      <w:pPr>
        <w:pStyle w:val="Style27"/>
        <w:keepNext/>
        <w:keepLines/>
        <w:widowControl w:val="0"/>
        <w:shd w:val="clear" w:color="auto" w:fill="auto"/>
        <w:tabs>
          <w:tab w:pos="444"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842"/>
      <w:bookmarkEnd w:id="843"/>
      <w:bookmarkEnd w:id="845"/>
    </w:p>
    <w:p>
      <w:pPr>
        <w:pStyle w:val="Style27"/>
        <w:keepNext/>
        <w:keepLines/>
        <w:widowControl w:val="0"/>
        <w:shd w:val="clear" w:color="auto" w:fill="auto"/>
        <w:tabs>
          <w:tab w:pos="449" w:val="left"/>
        </w:tabs>
        <w:bidi w:val="0"/>
        <w:spacing w:before="0" w:after="280" w:line="240" w:lineRule="auto"/>
        <w:ind w:left="0" w:right="0" w:firstLine="0"/>
        <w:jc w:val="left"/>
      </w:pPr>
      <w:bookmarkStart w:id="842" w:name="bookmark842"/>
      <w:bookmarkStart w:id="843" w:name="bookmark843"/>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42"/>
      <w:bookmarkEnd w:id="843"/>
      <w:bookmarkEnd w:id="847"/>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本公司固定资产是指为生产商品、提供劳务、出租或经营管理而持有的，使用寿命超过一个会计年度的有形资产。与该 固定资产有关的经济利益很可能流入企业，并且该固定资产的成本能够可靠地计量时，固定资产才能予以确认。</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本公司固定资产按照取得时的实际成本进行初始计量。</w:t>
      </w:r>
    </w:p>
    <w:p>
      <w:pPr>
        <w:pStyle w:val="Style27"/>
        <w:keepNext/>
        <w:keepLines/>
        <w:widowControl w:val="0"/>
        <w:shd w:val="clear" w:color="auto" w:fill="auto"/>
        <w:tabs>
          <w:tab w:pos="449" w:val="left"/>
        </w:tabs>
        <w:bidi w:val="0"/>
        <w:spacing w:before="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48"/>
      <w:bookmarkEnd w:id="849"/>
      <w:bookmarkEnd w:id="851"/>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p>
      <w:pPr>
        <w:widowControl w:val="0"/>
        <w:spacing w:line="1" w:lineRule="exact"/>
      </w:pP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15-40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6.47-2.43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8-28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11.88-3.39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11.88-7.92</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19.00-5.28</w:t>
            </w:r>
          </w:p>
        </w:tc>
      </w:tr>
    </w:tbl>
    <w:p>
      <w:pPr>
        <w:pStyle w:val="Style25"/>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动资产时停止计提折旧。在不考虑减值准备的情况下，按固定资产类别、预计使用寿命和预计残值，本公司确定各类固定资 产的年折旧率如下：</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其中，已计提减值准备的固定资产，还应扣除已计提的固定资产减值准备累计金额计算确定折旧率。</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每年年度终了，本公司对固定资产的使用寿命、预计净残值和折旧方法进行复核。使用寿命预计数与原先估计数有差异 的，调整固定资产使用寿命；预计净残值预计数与原先估计数有差异的，调整预计净残值。</w:t>
      </w:r>
    </w:p>
    <w:p>
      <w:pPr>
        <w:pStyle w:val="Style27"/>
        <w:keepNext/>
        <w:keepLines/>
        <w:widowControl w:val="0"/>
        <w:numPr>
          <w:ilvl w:val="0"/>
          <w:numId w:val="17"/>
        </w:numPr>
        <w:shd w:val="clear" w:color="auto" w:fill="auto"/>
        <w:bidi w:val="0"/>
        <w:spacing w:before="0" w:after="28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融资租入固定资产的认定依据、计价和折旧方法</w:t>
      </w:r>
      <w:bookmarkEnd w:id="852"/>
      <w:bookmarkEnd w:id="853"/>
      <w:bookmarkEnd w:id="855"/>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本公司对融资租入固定资产的认定依据、计价和折旧方法详见本附注五、</w:t>
      </w:r>
      <w:r>
        <w:rPr>
          <w:rFonts w:ascii="Times New Roman" w:eastAsia="Times New Roman" w:hAnsi="Times New Roman" w:cs="Times New Roman"/>
          <w:color w:val="000000"/>
          <w:spacing w:val="0"/>
          <w:w w:val="100"/>
          <w:position w:val="0"/>
        </w:rPr>
        <w:t xml:space="preserve">24 </w:t>
      </w:r>
      <w:r>
        <w:rPr>
          <w:color w:val="000000"/>
          <w:spacing w:val="0"/>
          <w:w w:val="100"/>
          <w:position w:val="0"/>
        </w:rPr>
        <w:t>“使用权资产”</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856"/>
      <w:bookmarkEnd w:id="857"/>
      <w:bookmarkEnd w:id="859"/>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在建工程在达到预定可使用状态时转入固定资产。</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860"/>
      <w:bookmarkEnd w:id="861"/>
      <w:bookmarkEnd w:id="863"/>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8"/>
        <w:keepNext w:val="0"/>
        <w:keepLines w:val="0"/>
        <w:widowControl w:val="0"/>
        <w:shd w:val="clear" w:color="auto" w:fill="auto"/>
        <w:bidi w:val="0"/>
        <w:spacing w:before="0" w:after="360" w:line="311" w:lineRule="exact"/>
        <w:ind w:left="0" w:right="0"/>
        <w:jc w:val="both"/>
      </w:pPr>
      <w:r>
        <w:rPr>
          <w:color w:val="000000"/>
          <w:spacing w:val="0"/>
          <w:w w:val="100"/>
          <w:position w:val="0"/>
        </w:rPr>
        <w:t>如果符合资本化条件的资产在购建或生产过程中发生非正常中断、并且中断时间连续超过3个月的，暂停借款费用的资 本化，直至资产的购建或生产活动重新开始。</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4</w:t>
      </w:r>
      <w:r>
        <w:rPr>
          <w:color w:val="000000"/>
          <w:spacing w:val="0"/>
          <w:w w:val="100"/>
          <w:position w:val="0"/>
        </w:rPr>
        <w:t>、</w:t>
        <w:tab/>
        <w:t>使用权资产</w:t>
      </w:r>
      <w:bookmarkEnd w:id="864"/>
      <w:bookmarkEnd w:id="865"/>
      <w:bookmarkEnd w:id="867"/>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租赁或者包含租赁。除非合同条款和条件发生变化，本公司不重新评估合同是否为租赁或者包含租赁。</w:t>
      </w:r>
    </w:p>
    <w:p>
      <w:pPr>
        <w:pStyle w:val="Style18"/>
        <w:keepNext w:val="0"/>
        <w:keepLines w:val="0"/>
        <w:widowControl w:val="0"/>
        <w:numPr>
          <w:ilvl w:val="0"/>
          <w:numId w:val="19"/>
        </w:numPr>
        <w:shd w:val="clear" w:color="auto" w:fill="auto"/>
        <w:bidi w:val="0"/>
        <w:spacing w:before="0" w:after="0" w:line="317" w:lineRule="exact"/>
        <w:ind w:left="0" w:right="0"/>
        <w:jc w:val="both"/>
      </w:pPr>
      <w:bookmarkStart w:id="868" w:name="bookmark868"/>
      <w:bookmarkEnd w:id="868"/>
      <w:r>
        <w:rPr>
          <w:color w:val="000000"/>
          <w:spacing w:val="0"/>
          <w:w w:val="100"/>
          <w:position w:val="0"/>
        </w:rPr>
        <w:t>本公司作为承租人</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合同中同时包含多项单独租赁的，将合同予以分拆，分别各项单独租赁进行会计处理。合同中同时包含租赁和非租赁部 </w:t>
      </w:r>
      <w:r>
        <w:rPr>
          <w:color w:val="000000"/>
          <w:spacing w:val="0"/>
          <w:w w:val="100"/>
          <w:position w:val="0"/>
        </w:rPr>
        <w:t>分的，将租赁和非租赁部分进行分拆，按照各租赁部分单独价格及非租赁部分的单独价格之和的相对比例分摊合同对价。租 赁期是本公司有权使用租赁资产且不可撤销的期间。</w:t>
      </w:r>
    </w:p>
    <w:p>
      <w:pPr>
        <w:pStyle w:val="Style18"/>
        <w:keepNext w:val="0"/>
        <w:keepLines w:val="0"/>
        <w:widowControl w:val="0"/>
        <w:numPr>
          <w:ilvl w:val="0"/>
          <w:numId w:val="21"/>
        </w:numPr>
        <w:shd w:val="clear" w:color="auto" w:fill="auto"/>
        <w:tabs>
          <w:tab w:pos="690" w:val="left"/>
        </w:tabs>
        <w:bidi w:val="0"/>
        <w:spacing w:before="0" w:after="0" w:line="313" w:lineRule="exact"/>
        <w:ind w:left="0" w:right="0" w:firstLine="360"/>
        <w:jc w:val="both"/>
      </w:pPr>
      <w:bookmarkStart w:id="869" w:name="bookmark869"/>
      <w:bookmarkEnd w:id="869"/>
      <w:r>
        <w:rPr>
          <w:color w:val="000000"/>
          <w:spacing w:val="0"/>
          <w:w w:val="100"/>
          <w:position w:val="0"/>
        </w:rPr>
        <w:t>使用权资产</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使用权资产是指本公司可在租赁期内使用租赁资产的权利。本公司租赁资产的类别主要包括房屋建筑物。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在租赁期开始日，本公司按照成本对使用权资产进行初始计量，包括：</w:t>
      </w:r>
      <w:r>
        <w:rPr>
          <w:color w:val="000000"/>
          <w:spacing w:val="0"/>
          <w:w w:val="100"/>
          <w:position w:val="0"/>
        </w:rPr>
        <w:t>A.</w:t>
      </w:r>
      <w:r>
        <w:rPr>
          <w:color w:val="000000"/>
          <w:spacing w:val="0"/>
          <w:w w:val="100"/>
          <w:position w:val="0"/>
        </w:rPr>
        <w:t>租赁负债的初始计量金额</w:t>
      </w:r>
      <w:r>
        <w:rPr>
          <w:color w:val="000000"/>
          <w:spacing w:val="0"/>
          <w:w w:val="100"/>
          <w:position w:val="0"/>
        </w:rPr>
        <w:t>；B.</w:t>
      </w:r>
      <w:r>
        <w:rPr>
          <w:color w:val="000000"/>
          <w:spacing w:val="0"/>
          <w:w w:val="100"/>
          <w:position w:val="0"/>
        </w:rPr>
        <w:t>在租赁期开始日 或之前支付的租赁付款额，存在租赁激励的，扣除已享受的租赁激励相关金额；</w:t>
      </w:r>
      <w:r>
        <w:rPr>
          <w:color w:val="000000"/>
          <w:spacing w:val="0"/>
          <w:w w:val="100"/>
          <w:position w:val="0"/>
        </w:rPr>
        <w:t>C.</w:t>
      </w:r>
      <w:r>
        <w:rPr>
          <w:color w:val="000000"/>
          <w:spacing w:val="0"/>
          <w:w w:val="100"/>
          <w:position w:val="0"/>
        </w:rPr>
        <w:t>发生的初始直接费用；</w:t>
      </w:r>
      <w:r>
        <w:rPr>
          <w:color w:val="000000"/>
          <w:spacing w:val="0"/>
          <w:w w:val="100"/>
          <w:position w:val="0"/>
        </w:rPr>
        <w:t>D.</w:t>
      </w:r>
      <w:r>
        <w:rPr>
          <w:color w:val="000000"/>
          <w:spacing w:val="0"/>
          <w:w w:val="100"/>
          <w:position w:val="0"/>
        </w:rPr>
        <w:t>为拆卸及移除租 赁资产、复原租赁资产所在场地或将租赁资产恢复至租赁条款约定状态预计将发生的成本，但属于为生产存货而发生的，适 用《企业会计准则第1号</w:t>
      </w:r>
      <w:r>
        <w:rPr>
          <w:color w:val="000000"/>
          <w:spacing w:val="0"/>
          <w:w w:val="100"/>
          <w:position w:val="0"/>
        </w:rPr>
        <w:t>一一</w:t>
      </w:r>
      <w:r>
        <w:rPr>
          <w:color w:val="000000"/>
          <w:spacing w:val="0"/>
          <w:w w:val="100"/>
          <w:position w:val="0"/>
        </w:rPr>
        <w:t>存货》</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在租赁期开始日后，本公司采用成本模式对使用权资产进行后续计量，根据与使用权资产有关的经济利益的预期实现方 式作出决定，以直线法对使用权资产计提折旧，并对已识别的减值损失进行会计处理。本公司按照租赁准则有关规定重新计 量租赁负债的，相应调整使用权资产的账面价值。</w:t>
      </w:r>
    </w:p>
    <w:p>
      <w:pPr>
        <w:pStyle w:val="Style18"/>
        <w:keepNext w:val="0"/>
        <w:keepLines w:val="0"/>
        <w:widowControl w:val="0"/>
        <w:numPr>
          <w:ilvl w:val="0"/>
          <w:numId w:val="21"/>
        </w:numPr>
        <w:shd w:val="clear" w:color="auto" w:fill="auto"/>
        <w:tabs>
          <w:tab w:pos="690" w:val="left"/>
        </w:tabs>
        <w:bidi w:val="0"/>
        <w:spacing w:before="0" w:after="0" w:line="313" w:lineRule="exact"/>
        <w:ind w:left="0" w:right="0" w:firstLine="360"/>
        <w:jc w:val="both"/>
      </w:pPr>
      <w:bookmarkStart w:id="870" w:name="bookmark870"/>
      <w:bookmarkEnd w:id="870"/>
      <w:r>
        <w:rPr>
          <w:color w:val="000000"/>
          <w:spacing w:val="0"/>
          <w:w w:val="100"/>
          <w:position w:val="0"/>
        </w:rPr>
        <w:t>租赁负债</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租赁负债反映本公司尚未支付的租赁付款额的现值。本公司按照租赁期开始日尚未支付的租赁付款额的现值对租赁负债 进行初始计量。</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租赁付款额，是指本公司向出租人支付的与在租赁期内使用租赁资产的权利相关的款项，包括：</w:t>
      </w:r>
      <w:r>
        <w:rPr>
          <w:color w:val="000000"/>
          <w:spacing w:val="0"/>
          <w:w w:val="100"/>
          <w:position w:val="0"/>
        </w:rPr>
        <w:t>A.</w:t>
      </w:r>
      <w:r>
        <w:rPr>
          <w:color w:val="000000"/>
          <w:spacing w:val="0"/>
          <w:w w:val="100"/>
          <w:position w:val="0"/>
        </w:rPr>
        <w:t>固定付款额及实质固 定付款额，存在租赁激励的，扣除租赁激励相关金额</w:t>
      </w:r>
      <w:r>
        <w:rPr>
          <w:color w:val="000000"/>
          <w:spacing w:val="0"/>
          <w:w w:val="100"/>
          <w:position w:val="0"/>
        </w:rPr>
        <w:t>；B.</w:t>
      </w:r>
      <w:r>
        <w:rPr>
          <w:color w:val="000000"/>
          <w:spacing w:val="0"/>
          <w:w w:val="100"/>
          <w:position w:val="0"/>
        </w:rPr>
        <w:t>取决于指数或比率的可变租赁付款额，该款项在初始计量时根据租 赁期开始日的指数或比率确定；</w:t>
      </w:r>
      <w:r>
        <w:rPr>
          <w:color w:val="000000"/>
          <w:spacing w:val="0"/>
          <w:w w:val="100"/>
          <w:position w:val="0"/>
        </w:rPr>
        <w:t>C.</w:t>
      </w:r>
      <w:r>
        <w:rPr>
          <w:color w:val="000000"/>
          <w:spacing w:val="0"/>
          <w:w w:val="100"/>
          <w:position w:val="0"/>
        </w:rPr>
        <w:t>本公司合理确定将行使购买选择权时，购买选择权的行权价格；</w:t>
      </w:r>
      <w:r>
        <w:rPr>
          <w:color w:val="000000"/>
          <w:spacing w:val="0"/>
          <w:w w:val="100"/>
          <w:position w:val="0"/>
        </w:rPr>
        <w:t>D.</w:t>
      </w:r>
      <w:r>
        <w:rPr>
          <w:color w:val="000000"/>
          <w:spacing w:val="0"/>
          <w:w w:val="100"/>
          <w:position w:val="0"/>
        </w:rPr>
        <w:t>租赁期反映出本公司将 行使终止租赁选择权时，行使终止租赁选择权需支付的款项</w:t>
      </w:r>
      <w:r>
        <w:rPr>
          <w:color w:val="000000"/>
          <w:spacing w:val="0"/>
          <w:w w:val="100"/>
          <w:position w:val="0"/>
        </w:rPr>
        <w:t>；E.</w:t>
      </w:r>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在计算租赁付款额的现值时，本公司采用租赁内含利率作为折现率；无法确定租赁内含利率时，采用增量借款利率作为 折现率，以同期银行贷款利率为基础，考虑相关因素调整得出增量借款利率。</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本公司按照固定的周期性利率计算租赁负债在租赁期内各期间的利息费用，并计入当期损益，但应当资本化的计入相关 资产成本。</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当购买选择权、续租选择权、终止租赁选择权的评估结果发生变化，续租选择权、终止租赁选择权实际行使情况与原评 估结果不一致，根据担保余值预计的应付金额发生变动，用于确定租赁付款额的指数或比率发生变动，或者实质固定付款额 发生变动时，重新计量租赁负债。</w:t>
      </w:r>
    </w:p>
    <w:p>
      <w:pPr>
        <w:pStyle w:val="Style18"/>
        <w:keepNext w:val="0"/>
        <w:keepLines w:val="0"/>
        <w:widowControl w:val="0"/>
        <w:numPr>
          <w:ilvl w:val="0"/>
          <w:numId w:val="21"/>
        </w:numPr>
        <w:shd w:val="clear" w:color="auto" w:fill="auto"/>
        <w:tabs>
          <w:tab w:pos="690" w:val="left"/>
        </w:tabs>
        <w:bidi w:val="0"/>
        <w:spacing w:before="0" w:after="0" w:line="313" w:lineRule="exact"/>
        <w:ind w:left="0" w:right="0" w:firstLine="360"/>
        <w:jc w:val="both"/>
      </w:pPr>
      <w:bookmarkStart w:id="871" w:name="bookmark871"/>
      <w:bookmarkEnd w:id="871"/>
      <w:r>
        <w:rPr>
          <w:color w:val="000000"/>
          <w:spacing w:val="0"/>
          <w:w w:val="100"/>
          <w:position w:val="0"/>
        </w:rPr>
        <w:t>租赁的变更</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当租赁变更通过增加一项或多项租赁资产的使用权而扩大了租赁范围，且增加的对价与租赁范围扩大部分的单独价格按 该合同情况调整后的金额相当时，该租赁变更作为一项单独租赁进行会计处理。未作为单独租赁进行会计处理的，分摊变更 后合同的对价，重新确定租赁期，重新计量租赁负债。</w:t>
      </w:r>
    </w:p>
    <w:p>
      <w:pPr>
        <w:pStyle w:val="Style18"/>
        <w:keepNext w:val="0"/>
        <w:keepLines w:val="0"/>
        <w:widowControl w:val="0"/>
        <w:numPr>
          <w:ilvl w:val="0"/>
          <w:numId w:val="21"/>
        </w:numPr>
        <w:shd w:val="clear" w:color="auto" w:fill="auto"/>
        <w:tabs>
          <w:tab w:pos="690" w:val="left"/>
        </w:tabs>
        <w:bidi w:val="0"/>
        <w:spacing w:before="0" w:after="0" w:line="313" w:lineRule="exact"/>
        <w:ind w:left="0" w:right="0" w:firstLine="360"/>
        <w:jc w:val="both"/>
      </w:pPr>
      <w:bookmarkStart w:id="872" w:name="bookmark872"/>
      <w:bookmarkEnd w:id="872"/>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本公司将在租赁期开始日租赁期不超过12个月，且不包含购买选择权的租赁认定为短期租赁；将单项租赁资产为全新资 产时价值不超过40, </w:t>
      </w:r>
      <w:r>
        <w:rPr>
          <w:color w:val="000000"/>
          <w:spacing w:val="0"/>
          <w:w w:val="100"/>
          <w:position w:val="0"/>
        </w:rPr>
        <w:t xml:space="preserve">000. </w:t>
      </w:r>
      <w:r>
        <w:rPr>
          <w:color w:val="000000"/>
          <w:spacing w:val="0"/>
          <w:w w:val="100"/>
          <w:position w:val="0"/>
        </w:rPr>
        <w:t>00元的租赁认定为低价值资产租赁。本公司转租或预期转租租赁资产的，原租赁不认定为低价值资 产租赁。本公司对短期租赁和低价值资产租赁选择不确认使用权资产和租赁负债，将租赁付款额在租赁期内各个期间按照直 线法或其他系统合理的方法计入相关的资产成本或当期损益。</w:t>
      </w:r>
    </w:p>
    <w:p>
      <w:pPr>
        <w:pStyle w:val="Style18"/>
        <w:keepNext w:val="0"/>
        <w:keepLines w:val="0"/>
        <w:widowControl w:val="0"/>
        <w:numPr>
          <w:ilvl w:val="0"/>
          <w:numId w:val="21"/>
        </w:numPr>
        <w:shd w:val="clear" w:color="auto" w:fill="auto"/>
        <w:tabs>
          <w:tab w:pos="690" w:val="left"/>
        </w:tabs>
        <w:bidi w:val="0"/>
        <w:spacing w:before="0" w:after="0" w:line="313" w:lineRule="exact"/>
        <w:ind w:left="0" w:right="0" w:firstLine="360"/>
        <w:jc w:val="both"/>
      </w:pPr>
      <w:bookmarkStart w:id="873" w:name="bookmark873"/>
      <w:bookmarkEnd w:id="873"/>
      <w:r>
        <w:rPr>
          <w:color w:val="000000"/>
          <w:spacing w:val="0"/>
          <w:w w:val="100"/>
          <w:position w:val="0"/>
        </w:rPr>
        <w:t>售后租回交易</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对于售后租回交易，本公司按照《企业会计准则第14号</w:t>
      </w:r>
      <w:r>
        <w:rPr>
          <w:color w:val="000000"/>
          <w:spacing w:val="0"/>
          <w:w w:val="100"/>
          <w:position w:val="0"/>
        </w:rPr>
        <w:t>一一</w:t>
      </w:r>
      <w:r>
        <w:rPr>
          <w:color w:val="000000"/>
          <w:spacing w:val="0"/>
          <w:w w:val="100"/>
          <w:position w:val="0"/>
        </w:rPr>
        <w:t>收入》的规定，评估确定售后租回交易中的资产转让是否属 于销售，属于销售的，按原资产账面价值中与租回获得的使用权有关的部分，计量售后租回所形成的使用权资产，并仅就转 让至出租人的权利确认相关利得或损失；不属于销售的，继续确认被转让资产，同时确认一项与转让收入等额的金融负债。</w:t>
      </w:r>
    </w:p>
    <w:p>
      <w:pPr>
        <w:pStyle w:val="Style18"/>
        <w:keepNext w:val="0"/>
        <w:keepLines w:val="0"/>
        <w:widowControl w:val="0"/>
        <w:shd w:val="clear" w:color="auto" w:fill="auto"/>
        <w:bidi w:val="0"/>
        <w:spacing w:before="0" w:after="0" w:line="313" w:lineRule="exact"/>
        <w:ind w:left="0" w:right="0" w:firstLine="360"/>
        <w:jc w:val="both"/>
      </w:pPr>
      <w:bookmarkStart w:id="874" w:name="bookmark874"/>
      <w:r>
        <w:rPr>
          <w:color w:val="000000"/>
          <w:spacing w:val="0"/>
          <w:w w:val="100"/>
          <w:position w:val="0"/>
        </w:rPr>
        <w:t>（</w:t>
      </w:r>
      <w:bookmarkEnd w:id="874"/>
      <w:r>
        <w:rPr>
          <w:color w:val="000000"/>
          <w:spacing w:val="0"/>
          <w:w w:val="100"/>
          <w:position w:val="0"/>
        </w:rPr>
        <w:t>2）本公司作为出租人</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本公司在租赁开始日将租赁分为融资租赁和经营租赁，实质上转移了与租赁资产所有权有关的几乎全部风险和报酬的租 赁为融资租赁，此外为经营租赁。本公司作为转租出租人时，基于原租赁产生的使用权资产对转租赁进行分类。</w:t>
      </w:r>
    </w:p>
    <w:p>
      <w:pPr>
        <w:pStyle w:val="Style1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①融资租赁</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在租赁期开始日，本公司对融资租赁确认应收融资租赁款，并终止确认融资租赁资产。对应收融资租赁款进行初始计量 时，以租赁投资净额作为应收融资租赁款的入账价值。租赁投资净额为未担保余值和租赁期开始日尚未收到的租赁收款额按 </w:t>
      </w:r>
      <w:r>
        <w:rPr>
          <w:color w:val="000000"/>
          <w:spacing w:val="0"/>
          <w:w w:val="100"/>
          <w:position w:val="0"/>
        </w:rPr>
        <w:t>照租赁内含利率折现的现值之和。</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租赁收款额，是指本公司因让渡在租赁期内使用租赁资产的权利而应向承租人收取的款项，包括：</w:t>
      </w:r>
      <w:r>
        <w:rPr>
          <w:color w:val="000000"/>
          <w:spacing w:val="0"/>
          <w:w w:val="100"/>
          <w:position w:val="0"/>
        </w:rPr>
        <w:t>A.</w:t>
      </w:r>
      <w:r>
        <w:rPr>
          <w:color w:val="000000"/>
          <w:spacing w:val="0"/>
          <w:w w:val="100"/>
          <w:position w:val="0"/>
        </w:rPr>
        <w:t>承租人需支付的固 定付款额及实质固定付款额，存在租赁激励的，扣除租赁激励相关金额</w:t>
      </w:r>
      <w:r>
        <w:rPr>
          <w:color w:val="000000"/>
          <w:spacing w:val="0"/>
          <w:w w:val="100"/>
          <w:position w:val="0"/>
        </w:rPr>
        <w:t>；B.</w:t>
      </w:r>
      <w:r>
        <w:rPr>
          <w:color w:val="000000"/>
          <w:spacing w:val="0"/>
          <w:w w:val="100"/>
          <w:position w:val="0"/>
        </w:rPr>
        <w:t>取决于指数或比率的可变租赁付款额；</w:t>
      </w:r>
      <w:r>
        <w:rPr>
          <w:color w:val="000000"/>
          <w:spacing w:val="0"/>
          <w:w w:val="100"/>
          <w:position w:val="0"/>
        </w:rPr>
        <w:t>C.</w:t>
      </w:r>
      <w:r>
        <w:rPr>
          <w:color w:val="000000"/>
          <w:spacing w:val="0"/>
          <w:w w:val="100"/>
          <w:position w:val="0"/>
        </w:rPr>
        <w:t>购买选 择权的行权价格，前提是合理确定承租人将行使该选择权；</w:t>
      </w:r>
      <w:r>
        <w:rPr>
          <w:color w:val="000000"/>
          <w:spacing w:val="0"/>
          <w:w w:val="100"/>
          <w:position w:val="0"/>
        </w:rPr>
        <w:t>D.</w:t>
      </w:r>
      <w:r>
        <w:rPr>
          <w:color w:val="000000"/>
          <w:spacing w:val="0"/>
          <w:w w:val="100"/>
          <w:position w:val="0"/>
        </w:rPr>
        <w:t>承租人行使终止租赁选择权需支付的款项，前提是租赁期反映 出承租人将行使终止租赁选择权；</w:t>
      </w:r>
      <w:r>
        <w:rPr>
          <w:color w:val="000000"/>
          <w:spacing w:val="0"/>
          <w:w w:val="100"/>
          <w:position w:val="0"/>
        </w:rPr>
        <w:t>E.</w:t>
      </w:r>
      <w:r>
        <w:rPr>
          <w:color w:val="000000"/>
          <w:spacing w:val="0"/>
          <w:w w:val="100"/>
          <w:position w:val="0"/>
        </w:rPr>
        <w:t>由承租人、与承租人有关的一方以及有经济能力履行担保义务的独立第三方向本公司提 供的担保余值。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本公司按照固定的周期性利率计算并确认租赁期内各个期间的利息收入。本公司取得的未纳入租赁投资净额计量的可变 租赁付款额在实际发生时计入当期损益。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②经营租赁</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租赁期内各个期间，本公司采用直线法，将经营租赁的租赁收款额确认为租金收入。未计入租赁收款额的可变租赁付款 额在实际发生时计入当期损益。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8"/>
        <w:keepNext w:val="0"/>
        <w:keepLines w:val="0"/>
        <w:widowControl w:val="0"/>
        <w:shd w:val="clear" w:color="auto" w:fill="auto"/>
        <w:bidi w:val="0"/>
        <w:spacing w:before="0" w:after="0" w:line="315" w:lineRule="exact"/>
        <w:ind w:left="0" w:right="0" w:firstLine="280"/>
        <w:jc w:val="both"/>
      </w:pPr>
      <w:bookmarkStart w:id="875" w:name="bookmark875"/>
      <w:r>
        <w:rPr>
          <w:color w:val="000000"/>
          <w:spacing w:val="0"/>
          <w:w w:val="100"/>
          <w:position w:val="0"/>
        </w:rPr>
        <w:t>（</w:t>
      </w:r>
      <w:bookmarkEnd w:id="875"/>
      <w:r>
        <w:rPr>
          <w:color w:val="000000"/>
          <w:spacing w:val="0"/>
          <w:w w:val="100"/>
          <w:position w:val="0"/>
        </w:rPr>
        <w:t>3）售后租回交易</w:t>
      </w:r>
    </w:p>
    <w:p>
      <w:pPr>
        <w:pStyle w:val="Style18"/>
        <w:keepNext w:val="0"/>
        <w:keepLines w:val="0"/>
        <w:widowControl w:val="0"/>
        <w:shd w:val="clear" w:color="auto" w:fill="auto"/>
        <w:bidi w:val="0"/>
        <w:spacing w:before="0" w:after="360" w:line="315" w:lineRule="exact"/>
        <w:ind w:left="0" w:right="0"/>
        <w:jc w:val="both"/>
      </w:pPr>
      <w:r>
        <w:rPr>
          <w:color w:val="000000"/>
          <w:spacing w:val="0"/>
          <w:w w:val="100"/>
          <w:position w:val="0"/>
        </w:rPr>
        <w:t>对于售后租回交易，本公司按照《企业会计准则第14号</w:t>
      </w:r>
      <w:r>
        <w:rPr>
          <w:color w:val="000000"/>
          <w:spacing w:val="0"/>
          <w:w w:val="100"/>
          <w:position w:val="0"/>
        </w:rPr>
        <w:t>一一</w:t>
      </w:r>
      <w:r>
        <w:rPr>
          <w:color w:val="000000"/>
          <w:spacing w:val="0"/>
          <w:w w:val="100"/>
          <w:position w:val="0"/>
        </w:rPr>
        <w:t>收入》的规定，评估确定售后租回交易中的资产转让是否属 于销售，属于销售的，根据适用的会计准则对资产购买和资产处置进行会计处理；不属于销售的，不确认被转让资产，但确 认一项与转让收入等额的金融资产。</w:t>
      </w:r>
    </w:p>
    <w:p>
      <w:pPr>
        <w:pStyle w:val="Style27"/>
        <w:keepNext/>
        <w:keepLines/>
        <w:widowControl w:val="0"/>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76"/>
      <w:bookmarkEnd w:id="877"/>
      <w:bookmarkEnd w:id="879"/>
    </w:p>
    <w:p>
      <w:pPr>
        <w:pStyle w:val="Style27"/>
        <w:keepNext/>
        <w:keepLines/>
        <w:widowControl w:val="0"/>
        <w:shd w:val="clear" w:color="auto" w:fill="auto"/>
        <w:bidi w:val="0"/>
        <w:spacing w:before="0" w:after="260" w:line="240" w:lineRule="auto"/>
        <w:ind w:left="0" w:right="0" w:firstLine="0"/>
        <w:jc w:val="left"/>
      </w:pPr>
      <w:bookmarkStart w:id="876" w:name="bookmark876"/>
      <w:bookmarkStart w:id="877" w:name="bookmark877"/>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6"/>
      <w:bookmarkEnd w:id="877"/>
      <w:bookmarkEnd w:id="881"/>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1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使用寿命不确定的判断依据：</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本公司将无法预见该资产为公司带来经济利益的期限，或使用期限不确定等无形资产确定为使用寿命不确定的无形资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使用寿命有限的无形资产使用寿命估计：</w:t>
      </w:r>
    </w:p>
    <w:p>
      <w:pPr>
        <w:pStyle w:val="Style18"/>
        <w:keepNext w:val="0"/>
        <w:keepLines w:val="0"/>
        <w:widowControl w:val="0"/>
        <w:shd w:val="clear" w:color="auto" w:fill="auto"/>
        <w:bidi w:val="0"/>
        <w:spacing w:before="0" w:after="40" w:line="313" w:lineRule="exact"/>
        <w:ind w:left="0" w:right="0"/>
        <w:jc w:val="left"/>
      </w:pPr>
      <w:r>
        <w:rPr>
          <w:color w:val="000000"/>
          <w:spacing w:val="0"/>
          <w:w w:val="100"/>
          <w:position w:val="0"/>
        </w:rPr>
        <w:t>本公司对使用寿命有限的无形资产，估计其使用寿命时通常考虑以下因素：①运用该资产生产的产品通常的寿命周期、 可获得的类似资产使用寿命的信息；②技术、工艺等方面的现阶段情况及对未来发展趋势的估计；③以该资产生产的产品或 提供劳务的市场需求情况；④现在或潜在的竞争者预期采取的行动；⑤为维持该资产带来经济利益能力的预期维护支出，以 及公司预计支付有关支出的能力；⑥对该资产控制期限的相关法律规定或类似限制，如特许使用期、租赁期等；⑦与公司持 有其他资产使用寿命的关联性等。</w:t>
      </w:r>
    </w:p>
    <w:tbl>
      <w:tblPr>
        <w:tblOverlap w:val="never"/>
        <w:jc w:val="center"/>
        <w:tblLayout w:type="fixed"/>
      </w:tblPr>
      <w:tblGrid>
        <w:gridCol w:w="2227"/>
        <w:gridCol w:w="2482"/>
        <w:gridCol w:w="4862"/>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本公司于每年年度终了，对使用寿命有限的无形资产的使用寿命及摊销方法进行复核，与以前估计不同的，调整原先估</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计数，并按会计估计变更处理。</w:t>
      </w:r>
    </w:p>
    <w:p>
      <w:pPr>
        <w:pStyle w:val="Style18"/>
        <w:keepNext w:val="0"/>
        <w:keepLines w:val="0"/>
        <w:widowControl w:val="0"/>
        <w:shd w:val="clear" w:color="auto" w:fill="auto"/>
        <w:bidi w:val="0"/>
        <w:spacing w:before="0" w:after="360" w:line="311" w:lineRule="exact"/>
        <w:ind w:left="0" w:right="0"/>
        <w:jc w:val="both"/>
      </w:pPr>
      <w:r>
        <w:rPr>
          <w:color w:val="000000"/>
          <w:spacing w:val="0"/>
          <w:w w:val="100"/>
          <w:position w:val="0"/>
        </w:rPr>
        <w:t>本公司期末预计某项无形资产已经不能给企业带来未来经济利益的，将该项无形资产的账面价值全部转入当期损益。</w:t>
      </w:r>
    </w:p>
    <w:p>
      <w:pPr>
        <w:pStyle w:val="Style27"/>
        <w:keepNext/>
        <w:keepLines/>
        <w:widowControl w:val="0"/>
        <w:shd w:val="clear" w:color="auto" w:fill="auto"/>
        <w:bidi w:val="0"/>
        <w:spacing w:before="0" w:after="28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2"/>
      <w:bookmarkEnd w:id="883"/>
      <w:bookmarkEnd w:id="885"/>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内部研究开发项目的研究阶段和开发阶段具体标准，以及开发阶段支出符合资本化条件的具体标准。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内部研究开发项目研究阶段的支出，于发生时计入当期损益。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开发阶段的支出，同时满足下列条件的，确认为无形资产：（1）完成该无形资产以使其能够使用或出售在技术上具有可 行性；（2）具有完成该无形资产并使用或出售的意图；（3）无形资产产生经济利益的方式，包括能够证明运用该无形资产生 产的产品存在市场或无形资产自身存在市场，无形资产将在内部使用的，能证明其有用性；（4）有足够的技术、财务资源和 其他资源支持，以完成该无形资产的开发，并有能力使用或出售该无形资产；（5）归属于该无形资产开发阶段的支出能够可 靠地计量。</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27"/>
        <w:keepNext/>
        <w:keepLines/>
        <w:widowControl w:val="0"/>
        <w:shd w:val="clear" w:color="auto" w:fill="auto"/>
        <w:tabs>
          <w:tab w:pos="439"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886"/>
      <w:bookmarkEnd w:id="887"/>
      <w:bookmarkEnd w:id="889"/>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对于固定资产、在建工程、使用权资产、使用寿命有限的无形资产、以成本模式计量的投资性房地产及对子公司、合营 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8"/>
        <w:keepNext w:val="0"/>
        <w:keepLines w:val="0"/>
        <w:widowControl w:val="0"/>
        <w:shd w:val="clear" w:color="auto" w:fill="auto"/>
        <w:bidi w:val="0"/>
        <w:spacing w:before="0" w:after="360" w:line="311" w:lineRule="exact"/>
        <w:ind w:left="0" w:right="0"/>
        <w:jc w:val="both"/>
      </w:pPr>
      <w:r>
        <w:rPr>
          <w:color w:val="000000"/>
          <w:spacing w:val="0"/>
          <w:w w:val="100"/>
          <w:position w:val="0"/>
        </w:rPr>
        <w:t>上述资产减值损失一经确认，以后期间不予转回价值得以恢复的部分。</w:t>
      </w:r>
    </w:p>
    <w:p>
      <w:pPr>
        <w:pStyle w:val="Style27"/>
        <w:keepNext/>
        <w:keepLines/>
        <w:widowControl w:val="0"/>
        <w:shd w:val="clear" w:color="auto" w:fill="auto"/>
        <w:tabs>
          <w:tab w:pos="439"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890"/>
      <w:bookmarkEnd w:id="891"/>
      <w:bookmarkEnd w:id="893"/>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27"/>
        <w:keepNext/>
        <w:keepLines/>
        <w:widowControl w:val="0"/>
        <w:shd w:val="clear" w:color="auto" w:fill="auto"/>
        <w:tabs>
          <w:tab w:pos="439"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894"/>
      <w:bookmarkEnd w:id="895"/>
      <w:bookmarkEnd w:id="897"/>
    </w:p>
    <w:p>
      <w:pPr>
        <w:pStyle w:val="Style18"/>
        <w:keepNext w:val="0"/>
        <w:keepLines w:val="0"/>
        <w:widowControl w:val="0"/>
        <w:shd w:val="clear" w:color="auto" w:fill="auto"/>
        <w:bidi w:val="0"/>
        <w:spacing w:before="0" w:after="280" w:line="311" w:lineRule="exact"/>
        <w:ind w:left="0" w:right="0" w:firstLine="0"/>
        <w:jc w:val="left"/>
      </w:pPr>
      <w:r>
        <w:rPr>
          <w:color w:val="000000"/>
          <w:spacing w:val="0"/>
          <w:w w:val="100"/>
          <w:position w:val="0"/>
        </w:rPr>
        <w:t>本公司对合同负债的确定方法详见本附注五、15 “合同资产”。</w:t>
      </w:r>
    </w:p>
    <w:p>
      <w:pPr>
        <w:pStyle w:val="Style27"/>
        <w:keepNext/>
        <w:keepLines/>
        <w:widowControl w:val="0"/>
        <w:shd w:val="clear" w:color="auto" w:fill="auto"/>
        <w:tabs>
          <w:tab w:pos="483" w:val="left"/>
        </w:tabs>
        <w:bidi w:val="0"/>
        <w:spacing w:before="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898"/>
      <w:bookmarkEnd w:id="899"/>
      <w:bookmarkEnd w:id="901"/>
    </w:p>
    <w:p>
      <w:pPr>
        <w:pStyle w:val="Style27"/>
        <w:keepNext/>
        <w:keepLines/>
        <w:widowControl w:val="0"/>
        <w:shd w:val="clear" w:color="auto" w:fill="auto"/>
        <w:tabs>
          <w:tab w:pos="488" w:val="left"/>
        </w:tabs>
        <w:bidi w:val="0"/>
        <w:spacing w:before="0" w:after="280" w:line="240" w:lineRule="auto"/>
        <w:ind w:left="0" w:right="0" w:firstLine="0"/>
        <w:jc w:val="left"/>
      </w:pPr>
      <w:bookmarkStart w:id="898" w:name="bookmark898"/>
      <w:bookmarkStart w:id="899" w:name="bookmark899"/>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8"/>
      <w:bookmarkEnd w:id="899"/>
      <w:bookmarkEnd w:id="90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本公司职工薪酬主要包括短期职工薪酬、离职后福利、辞退福利以及其他长期职工福利。</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27"/>
        <w:keepNext/>
        <w:keepLines/>
        <w:widowControl w:val="0"/>
        <w:shd w:val="clear" w:color="auto" w:fill="auto"/>
        <w:tabs>
          <w:tab w:pos="488"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4"/>
      <w:bookmarkEnd w:id="905"/>
      <w:bookmarkEnd w:id="907"/>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27"/>
        <w:keepNext/>
        <w:keepLines/>
        <w:widowControl w:val="0"/>
        <w:shd w:val="clear" w:color="auto" w:fill="auto"/>
        <w:tabs>
          <w:tab w:pos="488"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8"/>
      <w:bookmarkEnd w:id="909"/>
      <w:bookmarkEnd w:id="911"/>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27"/>
        <w:keepNext/>
        <w:keepLines/>
        <w:widowControl w:val="0"/>
        <w:shd w:val="clear" w:color="auto" w:fill="auto"/>
        <w:tabs>
          <w:tab w:pos="488"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2"/>
      <w:bookmarkEnd w:id="913"/>
      <w:bookmarkEnd w:id="915"/>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3</w:t>
      </w:r>
      <w:bookmarkEnd w:id="918"/>
      <w:r>
        <w:rPr>
          <w:rFonts w:ascii="Times New Roman" w:eastAsia="Times New Roman" w:hAnsi="Times New Roman" w:cs="Times New Roman"/>
          <w:color w:val="000000"/>
          <w:spacing w:val="0"/>
          <w:w w:val="100"/>
          <w:position w:val="0"/>
        </w:rPr>
        <w:t>0</w:t>
      </w:r>
      <w:r>
        <w:rPr>
          <w:color w:val="000000"/>
          <w:spacing w:val="0"/>
          <w:w w:val="100"/>
          <w:position w:val="0"/>
        </w:rPr>
        <w:t>、</w:t>
        <w:tab/>
        <w:t>租赁负债</w:t>
      </w:r>
      <w:bookmarkEnd w:id="916"/>
      <w:bookmarkEnd w:id="917"/>
      <w:bookmarkEnd w:id="919"/>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本公司对租赁负债的确定方法详见本附注五、24 “使用权资产”。</w:t>
      </w:r>
    </w:p>
    <w:p>
      <w:pPr>
        <w:pStyle w:val="Style27"/>
        <w:keepNext/>
        <w:keepLines/>
        <w:widowControl w:val="0"/>
        <w:shd w:val="clear" w:color="auto" w:fill="auto"/>
        <w:tabs>
          <w:tab w:pos="483" w:val="left"/>
        </w:tabs>
        <w:bidi w:val="0"/>
        <w:spacing w:before="0" w:after="28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920"/>
      <w:bookmarkEnd w:id="921"/>
      <w:bookmarkEnd w:id="923"/>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如果与或有事项相关的义务同时符合以下条件，本公司将其确认为预计负债：</w:t>
      </w:r>
    </w:p>
    <w:p>
      <w:pPr>
        <w:pStyle w:val="Style18"/>
        <w:keepNext w:val="0"/>
        <w:keepLines w:val="0"/>
        <w:widowControl w:val="0"/>
        <w:shd w:val="clear" w:color="auto" w:fill="auto"/>
        <w:tabs>
          <w:tab w:pos="820" w:val="left"/>
        </w:tabs>
        <w:bidi w:val="0"/>
        <w:spacing w:before="0" w:after="0" w:line="312" w:lineRule="exact"/>
        <w:ind w:left="0" w:right="0"/>
        <w:jc w:val="both"/>
      </w:pPr>
      <w:bookmarkStart w:id="924" w:name="bookmark924"/>
      <w:r>
        <w:rPr>
          <w:color w:val="000000"/>
          <w:spacing w:val="0"/>
          <w:w w:val="100"/>
          <w:position w:val="0"/>
        </w:rPr>
        <w:t>（</w:t>
      </w:r>
      <w:bookmarkEnd w:id="924"/>
      <w:r>
        <w:rPr>
          <w:color w:val="000000"/>
          <w:spacing w:val="0"/>
          <w:w w:val="100"/>
          <w:position w:val="0"/>
        </w:rPr>
        <w:t>1）</w:t>
        <w:tab/>
        <w:t>该义务是本公司承担的现时义务；</w:t>
      </w:r>
    </w:p>
    <w:p>
      <w:pPr>
        <w:pStyle w:val="Style18"/>
        <w:keepNext w:val="0"/>
        <w:keepLines w:val="0"/>
        <w:widowControl w:val="0"/>
        <w:shd w:val="clear" w:color="auto" w:fill="auto"/>
        <w:tabs>
          <w:tab w:pos="820" w:val="left"/>
        </w:tabs>
        <w:bidi w:val="0"/>
        <w:spacing w:before="0" w:after="0" w:line="312" w:lineRule="exact"/>
        <w:ind w:left="0" w:right="0"/>
        <w:jc w:val="both"/>
      </w:pPr>
      <w:bookmarkStart w:id="925" w:name="bookmark925"/>
      <w:r>
        <w:rPr>
          <w:color w:val="000000"/>
          <w:spacing w:val="0"/>
          <w:w w:val="100"/>
          <w:position w:val="0"/>
        </w:rPr>
        <w:t>（</w:t>
      </w:r>
      <w:bookmarkEnd w:id="925"/>
      <w:r>
        <w:rPr>
          <w:color w:val="000000"/>
          <w:spacing w:val="0"/>
          <w:w w:val="100"/>
          <w:position w:val="0"/>
        </w:rPr>
        <w:t>2）</w:t>
        <w:tab/>
        <w:t>该义务的履行很可能导致经济利益流出本公司；</w:t>
      </w:r>
    </w:p>
    <w:p>
      <w:pPr>
        <w:pStyle w:val="Style18"/>
        <w:keepNext w:val="0"/>
        <w:keepLines w:val="0"/>
        <w:widowControl w:val="0"/>
        <w:shd w:val="clear" w:color="auto" w:fill="auto"/>
        <w:tabs>
          <w:tab w:pos="820" w:val="left"/>
        </w:tabs>
        <w:bidi w:val="0"/>
        <w:spacing w:before="0" w:after="0" w:line="312" w:lineRule="exact"/>
        <w:ind w:left="0" w:right="0"/>
        <w:jc w:val="both"/>
      </w:pPr>
      <w:bookmarkStart w:id="926" w:name="bookmark926"/>
      <w:r>
        <w:rPr>
          <w:color w:val="000000"/>
          <w:spacing w:val="0"/>
          <w:w w:val="100"/>
          <w:position w:val="0"/>
        </w:rPr>
        <w:t>（</w:t>
      </w:r>
      <w:bookmarkEnd w:id="926"/>
      <w:r>
        <w:rPr>
          <w:color w:val="000000"/>
          <w:spacing w:val="0"/>
          <w:w w:val="100"/>
          <w:position w:val="0"/>
        </w:rPr>
        <w:t>3）</w:t>
        <w:tab/>
        <w:t>该义务的金额能够可靠地计量。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预计负债按照履行相关现时义务所需支出的最佳估计数进行初始计量，综合考虑与或有事项有关的风险、不确定性和货 币时间价值等因素。货币时间价值影响重大的，通过对相关未来现金流出进行折现后确定最佳估计数。</w:t>
      </w:r>
    </w:p>
    <w:p>
      <w:pPr>
        <w:pStyle w:val="Style18"/>
        <w:keepNext w:val="0"/>
        <w:keepLines w:val="0"/>
        <w:widowControl w:val="0"/>
        <w:shd w:val="clear" w:color="auto" w:fill="auto"/>
        <w:bidi w:val="0"/>
        <w:spacing w:before="0" w:after="280" w:line="312"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27"/>
        <w:keepNext/>
        <w:keepLines/>
        <w:widowControl w:val="0"/>
        <w:shd w:val="clear" w:color="auto" w:fill="auto"/>
        <w:tabs>
          <w:tab w:pos="468"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927"/>
      <w:bookmarkEnd w:id="928"/>
      <w:bookmarkEnd w:id="930"/>
    </w:p>
    <w:p>
      <w:pPr>
        <w:pStyle w:val="Style18"/>
        <w:keepNext w:val="0"/>
        <w:keepLines w:val="0"/>
        <w:widowControl w:val="0"/>
        <w:shd w:val="clear" w:color="auto" w:fill="auto"/>
        <w:tabs>
          <w:tab w:pos="805" w:val="left"/>
        </w:tabs>
        <w:bidi w:val="0"/>
        <w:spacing w:before="0" w:after="0" w:line="312" w:lineRule="exact"/>
        <w:ind w:left="0" w:right="0"/>
        <w:jc w:val="both"/>
      </w:pPr>
      <w:bookmarkStart w:id="931" w:name="bookmark931"/>
      <w:r>
        <w:rPr>
          <w:color w:val="000000"/>
          <w:spacing w:val="0"/>
          <w:w w:val="100"/>
          <w:position w:val="0"/>
        </w:rPr>
        <w:t>（</w:t>
      </w:r>
      <w:bookmarkEnd w:id="931"/>
      <w:r>
        <w:rPr>
          <w:color w:val="000000"/>
          <w:spacing w:val="0"/>
          <w:w w:val="100"/>
          <w:position w:val="0"/>
        </w:rPr>
        <w:t>1）</w:t>
        <w:tab/>
        <w:t>股份支付的种类</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本公司股份支付分为以权益结算的股份支付和以现金结算的股份支付。</w:t>
      </w:r>
    </w:p>
    <w:p>
      <w:pPr>
        <w:pStyle w:val="Style18"/>
        <w:keepNext w:val="0"/>
        <w:keepLines w:val="0"/>
        <w:widowControl w:val="0"/>
        <w:shd w:val="clear" w:color="auto" w:fill="auto"/>
        <w:tabs>
          <w:tab w:pos="805" w:val="left"/>
        </w:tabs>
        <w:bidi w:val="0"/>
        <w:spacing w:before="0" w:after="0" w:line="312" w:lineRule="exact"/>
        <w:ind w:left="0" w:right="0"/>
        <w:jc w:val="both"/>
      </w:pPr>
      <w:bookmarkStart w:id="932" w:name="bookmark932"/>
      <w:r>
        <w:rPr>
          <w:color w:val="000000"/>
          <w:spacing w:val="0"/>
          <w:w w:val="100"/>
          <w:position w:val="0"/>
        </w:rPr>
        <w:t>（</w:t>
      </w:r>
      <w:bookmarkEnd w:id="932"/>
      <w:r>
        <w:rPr>
          <w:color w:val="000000"/>
          <w:spacing w:val="0"/>
          <w:w w:val="100"/>
          <w:position w:val="0"/>
        </w:rPr>
        <w:t>2）</w:t>
        <w:tab/>
        <w:t>权益工具公允价值的确定方法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w:t>
      </w:r>
    </w:p>
    <w:p>
      <w:pPr>
        <w:pStyle w:val="Style18"/>
        <w:keepNext w:val="0"/>
        <w:keepLines w:val="0"/>
        <w:widowControl w:val="0"/>
        <w:shd w:val="clear" w:color="auto" w:fill="auto"/>
        <w:tabs>
          <w:tab w:pos="805" w:val="left"/>
        </w:tabs>
        <w:bidi w:val="0"/>
        <w:spacing w:before="0" w:after="0" w:line="312" w:lineRule="exact"/>
        <w:ind w:left="0" w:right="0"/>
        <w:jc w:val="both"/>
      </w:pPr>
      <w:bookmarkStart w:id="933" w:name="bookmark933"/>
      <w:r>
        <w:rPr>
          <w:color w:val="000000"/>
          <w:spacing w:val="0"/>
          <w:w w:val="100"/>
          <w:position w:val="0"/>
        </w:rPr>
        <w:t>（</w:t>
      </w:r>
      <w:bookmarkEnd w:id="933"/>
      <w:r>
        <w:rPr>
          <w:color w:val="000000"/>
          <w:spacing w:val="0"/>
          <w:w w:val="100"/>
          <w:position w:val="0"/>
        </w:rPr>
        <w:t>3）</w:t>
        <w:tab/>
        <w:t>确认可行权权益工具最佳估计的依据</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27"/>
        <w:keepNext/>
        <w:keepLines/>
        <w:widowControl w:val="0"/>
        <w:shd w:val="clear" w:color="auto" w:fill="auto"/>
        <w:tabs>
          <w:tab w:pos="468"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934"/>
      <w:bookmarkEnd w:id="935"/>
      <w:bookmarkEnd w:id="937"/>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pStyle w:val="Style18"/>
        <w:keepNext w:val="0"/>
        <w:keepLines w:val="0"/>
        <w:widowControl w:val="0"/>
        <w:shd w:val="clear" w:color="auto" w:fill="auto"/>
        <w:tabs>
          <w:tab w:pos="805" w:val="left"/>
        </w:tabs>
        <w:bidi w:val="0"/>
        <w:spacing w:before="0" w:after="0" w:line="312" w:lineRule="exact"/>
        <w:ind w:left="0" w:right="0"/>
        <w:jc w:val="both"/>
      </w:pPr>
      <w:bookmarkStart w:id="938" w:name="bookmark938"/>
      <w:r>
        <w:rPr>
          <w:color w:val="000000"/>
          <w:spacing w:val="0"/>
          <w:w w:val="100"/>
          <w:position w:val="0"/>
        </w:rPr>
        <w:t>（</w:t>
      </w:r>
      <w:bookmarkEnd w:id="938"/>
      <w:r>
        <w:rPr>
          <w:color w:val="000000"/>
          <w:spacing w:val="0"/>
          <w:w w:val="100"/>
          <w:position w:val="0"/>
        </w:rPr>
        <w:t>1）</w:t>
        <w:tab/>
        <w:t>一般原则</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收入是本公司在日常活动中形成的、会导致股东权益增加且与股东投入资本无关的经济利益的总流入。本公司在履行了 合同中的履约义务，即在客户取得相关商品或服务（简称商品）的控制权时确认收入。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合同中包含两项或多项履约义务的，本公司在合同开始日，按照各单项履约义务所承诺商品的单独售价的相对比例，将 交易价格分摊至各单项履约义务，按照分摊至各单项履约义务的交易价格计量收入。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交易价格是本公司因向客户转让商品而预期有权收取的对价金额，不包括代第三方收取的款项。本公司确认的交易价格 不超过在相关不确定性消除时累计已确认收入极可能不会发生重大转回的金额。合同中存在重大融资成分的，本公司按照假 定客户在取得商品控制权时即以现金支付的应付金额确定交易价格，该交易价格与合同承诺的对价之间的差额，在合同期间 内采用实际利率法摊销。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满足下列条件之一时，属于在某一时段内履行履约义务，否则，属于在某一时点履行履约义务：①客户在本公司履约的 同时即取得并消耗本公司履约所带来的经济利益；②客户能够控制本公司履约过程中在建的商品；③本公司履约过程中所产 出的商品具有不可替代用途，且本公司在整个合同期间内有权就累计至今已完成的履约部分收取款项。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对于在某一时段内履行的履约义务，本公司在该时段内按照履约进度确认收入。履约进度不能合理确定时，本公司已经 发生的成本预计能够得到补偿的，按照已经发生的成本金额确认收入，直到履约进度能够合理确定为止。对于在某一时点履 行的履约义务，本公司在客户取得相关商品控制权时点确认收入。</w:t>
      </w:r>
    </w:p>
    <w:p>
      <w:pPr>
        <w:pStyle w:val="Style18"/>
        <w:keepNext w:val="0"/>
        <w:keepLines w:val="0"/>
        <w:widowControl w:val="0"/>
        <w:shd w:val="clear" w:color="auto" w:fill="auto"/>
        <w:tabs>
          <w:tab w:pos="805" w:val="left"/>
        </w:tabs>
        <w:bidi w:val="0"/>
        <w:spacing w:before="0" w:after="0" w:line="312" w:lineRule="exact"/>
        <w:ind w:left="0" w:right="0"/>
        <w:jc w:val="both"/>
      </w:pPr>
      <w:bookmarkStart w:id="939" w:name="bookmark939"/>
      <w:r>
        <w:rPr>
          <w:color w:val="000000"/>
          <w:spacing w:val="0"/>
          <w:w w:val="100"/>
          <w:position w:val="0"/>
        </w:rPr>
        <w:t>（</w:t>
      </w:r>
      <w:bookmarkEnd w:id="939"/>
      <w:r>
        <w:rPr>
          <w:color w:val="000000"/>
          <w:spacing w:val="0"/>
          <w:w w:val="100"/>
          <w:position w:val="0"/>
        </w:rPr>
        <w:t>2）</w:t>
        <w:tab/>
        <w:t>具体会计政策</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商品销售收入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本公司除北明软件外公司商品销售收入分为内销销售收入和外销销售收入，内销销售收入确认的具体原则为：本公司按 照合同约定商品已发出，并取得货权转移的凭证，已收讫全部或部分货款或预计可收回货款时作为控制权转移时点确认收入； 外销销售收入确认的具体原则为：取得商品出运运单，并向银行办理完毕交单手续作为控制权转移时点确认收入。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北明软件商品销售收入分为系统集成及行业解决方案和代理产品增值销售，系统集成及行业解决方案收入确认原则为北 明软件按照合同约定将外购商品、软件产品所有权转移给购货方，并且安装调试完毕取得购货方的验收报告时作为控制权转 移时点确认收入；代理产品增值销售收入确认原则为北明软件按照合同约定将代理产品交付购货方，并取得买方收货验收单 或安装调试验收报告时作为控制权转移时点确认收入。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北明软件与客户签订的定制软件开发及其他服务合同，基于合同条款及适用于合同的法律规定，公司可选择在某一时段 内确认收入或者某一时点确认收入。当客户能够控制公司履约过程中在建的商品或者公司履约过程中所产出的商品具有不可 替代用途，且公司在整个合同期间内有权就累计至今已完成的履约部分收取款项时，公司选择在某一时段内确认收入。否则， 公司选择在某一时点确认收入。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提供劳务收入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本公司对外提供的劳务，根据已完成劳务的进度在一段时间内确认收入，已完成劳务的进度按照已发生的成本占预计总 </w:t>
      </w:r>
      <w:r>
        <w:rPr>
          <w:color w:val="000000"/>
          <w:spacing w:val="0"/>
          <w:w w:val="100"/>
          <w:position w:val="0"/>
        </w:rPr>
        <w:t>成本的比例确定。资产负债表日，本公司对已完成劳务的进度进行重新估计，以使其能够反映履约情况的变化。</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本公司按照已完成劳务的进度确认收入时，对于已经取得无条件收款权的部分，确认为应收账款，其余部分确认为合同 资产，并对应收账款、合同资产以预期信用损失为基础确认损失准备；如果本公司已收或应收合同价款超过已完成的劳务进 度，则将超过部分确认为合同负债。本公司对于同一合同下的合同资产和合同负债以净额列示。</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tabs>
          <w:tab w:pos="440"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940"/>
      <w:bookmarkEnd w:id="941"/>
      <w:bookmarkEnd w:id="943"/>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当本公司能够满足政府补助所附条件，且能够收到政府补助时，才能确认政府补助。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政府补助分为与资产相关的政府补助和与收益相关的政府补助。与资产相关的政府补助，是指公司取得的、用于购建或 以其他方式形成长期资产的政府补助。与收益相关的政府补助，是指除与资产相关的政府补助之外的政府补助。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与收益相关的政府补助，采用总额法，用于补偿公司已发生的相关成本费用或损失时，直接计入当期损益；用于补偿以 后期间的相关成本费用或损失时，确认为递延收益，并在确认相关成本费用或损失的期间，计入当期损益。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27"/>
        <w:keepNext/>
        <w:keepLines/>
        <w:widowControl w:val="0"/>
        <w:shd w:val="clear" w:color="auto" w:fill="auto"/>
        <w:tabs>
          <w:tab w:pos="440"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4"/>
      <w:bookmarkEnd w:id="945"/>
      <w:bookmarkEnd w:id="947"/>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w:t>
      </w:r>
      <w:r>
        <w:rPr>
          <w:color w:val="000000"/>
          <w:spacing w:val="0"/>
          <w:w w:val="100"/>
          <w:position w:val="0"/>
        </w:rPr>
        <w:t>额为限，确认其他可抵扣暂时性差异产生的递延所得税资产。</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7"/>
        <w:keepNext/>
        <w:keepLines/>
        <w:widowControl w:val="0"/>
        <w:shd w:val="clear" w:color="auto" w:fill="auto"/>
        <w:tabs>
          <w:tab w:pos="483" w:val="left"/>
        </w:tabs>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948"/>
      <w:bookmarkEnd w:id="949"/>
      <w:bookmarkEnd w:id="951"/>
    </w:p>
    <w:p>
      <w:pPr>
        <w:pStyle w:val="Style27"/>
        <w:keepNext/>
        <w:keepLines/>
        <w:widowControl w:val="0"/>
        <w:shd w:val="clear" w:color="auto" w:fill="auto"/>
        <w:tabs>
          <w:tab w:pos="488" w:val="left"/>
        </w:tabs>
        <w:bidi w:val="0"/>
        <w:spacing w:before="0" w:after="280" w:line="240" w:lineRule="auto"/>
        <w:ind w:left="0" w:right="0" w:firstLine="0"/>
        <w:jc w:val="left"/>
      </w:pPr>
      <w:bookmarkStart w:id="948" w:name="bookmark948"/>
      <w:bookmarkStart w:id="949" w:name="bookmark949"/>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8"/>
      <w:bookmarkEnd w:id="949"/>
      <w:bookmarkEnd w:id="953"/>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经营租赁的会计处理方法详见本附注五、24 “使用权资产”。</w:t>
      </w:r>
    </w:p>
    <w:p>
      <w:pPr>
        <w:pStyle w:val="Style27"/>
        <w:keepNext/>
        <w:keepLines/>
        <w:widowControl w:val="0"/>
        <w:shd w:val="clear" w:color="auto" w:fill="auto"/>
        <w:tabs>
          <w:tab w:pos="488" w:val="left"/>
        </w:tabs>
        <w:bidi w:val="0"/>
        <w:spacing w:before="0" w:after="28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4"/>
      <w:bookmarkEnd w:id="955"/>
      <w:bookmarkEnd w:id="957"/>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融资租赁的会计处理方法详见本附注五、24 “使用权资产”。</w:t>
      </w:r>
    </w:p>
    <w:p>
      <w:pPr>
        <w:pStyle w:val="Style27"/>
        <w:keepNext/>
        <w:keepLines/>
        <w:widowControl w:val="0"/>
        <w:shd w:val="clear" w:color="auto" w:fill="auto"/>
        <w:tabs>
          <w:tab w:pos="483" w:val="left"/>
        </w:tabs>
        <w:bidi w:val="0"/>
        <w:spacing w:before="0" w:after="2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其他重要的会计政策和会计估计</w:t>
      </w:r>
      <w:bookmarkEnd w:id="958"/>
      <w:bookmarkEnd w:id="959"/>
      <w:bookmarkEnd w:id="961"/>
    </w:p>
    <w:p>
      <w:pPr>
        <w:pStyle w:val="Style18"/>
        <w:keepNext w:val="0"/>
        <w:keepLines w:val="0"/>
        <w:widowControl w:val="0"/>
        <w:shd w:val="clear" w:color="auto" w:fill="auto"/>
        <w:bidi w:val="0"/>
        <w:spacing w:before="0" w:after="360" w:line="307" w:lineRule="exact"/>
        <w:ind w:left="0" w:right="0"/>
        <w:jc w:val="both"/>
      </w:pPr>
      <w:r>
        <w:rPr>
          <w:color w:val="000000"/>
          <w:spacing w:val="0"/>
          <w:w w:val="100"/>
          <w:position w:val="0"/>
        </w:rPr>
        <w:t>无</w:t>
      </w:r>
    </w:p>
    <w:p>
      <w:pPr>
        <w:pStyle w:val="Style27"/>
        <w:keepNext/>
        <w:keepLines/>
        <w:widowControl w:val="0"/>
        <w:shd w:val="clear" w:color="auto" w:fill="auto"/>
        <w:tabs>
          <w:tab w:pos="483" w:val="left"/>
        </w:tabs>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962"/>
      <w:bookmarkEnd w:id="963"/>
      <w:bookmarkEnd w:id="965"/>
    </w:p>
    <w:p>
      <w:pPr>
        <w:pStyle w:val="Style27"/>
        <w:keepNext/>
        <w:keepLines/>
        <w:widowControl w:val="0"/>
        <w:shd w:val="clear" w:color="auto" w:fill="auto"/>
        <w:bidi w:val="0"/>
        <w:spacing w:before="0" w:line="240" w:lineRule="auto"/>
        <w:ind w:left="0" w:right="0" w:firstLine="0"/>
        <w:jc w:val="left"/>
      </w:pPr>
      <w:bookmarkStart w:id="962" w:name="bookmark962"/>
      <w:bookmarkStart w:id="963" w:name="bookmark963"/>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2"/>
      <w:bookmarkEnd w:id="963"/>
      <w:bookmarkEnd w:id="96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日发布了修订后 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号一租赁》（财 会</w:t>
            </w:r>
            <w:r>
              <w:rPr>
                <w:rFonts w:ascii="Times New Roman" w:eastAsia="Times New Roman" w:hAnsi="Times New Roman" w:cs="Times New Roman"/>
                <w:color w:val="000000"/>
                <w:spacing w:val="0"/>
                <w:w w:val="100"/>
                <w:position w:val="0"/>
              </w:rPr>
              <w:t>[2018]35</w:t>
            </w:r>
            <w:r>
              <w:rPr>
                <w:color w:val="000000"/>
                <w:spacing w:val="0"/>
                <w:w w:val="100"/>
                <w:position w:val="0"/>
              </w:rPr>
              <w:t>号）（以下简称“新租赁准 贝『，），本公司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新租赁准则。根据新租赁准则的相关规 定，本公司对于首次执行本准则的累积 影响数，调整首次执行本准则当年年初 留存收益及财务报表其他相关项目金 额，不调整可比期间信息。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公司董事会七届二十一次会议批准了 该会计政策变更。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执行新租赁准则对2021年期初报表项目影响如下:</w:t>
      </w:r>
    </w:p>
    <w:tbl>
      <w:tblPr>
        <w:tblOverlap w:val="never"/>
        <w:jc w:val="center"/>
        <w:tblLayout w:type="fixed"/>
      </w:tblPr>
      <w:tblGrid>
        <w:gridCol w:w="3667"/>
        <w:gridCol w:w="2947"/>
        <w:gridCol w:w="2957"/>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2021年1月1日</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55, 134, </w:t>
            </w:r>
            <w:r>
              <w:rPr>
                <w:color w:val="000000"/>
                <w:spacing w:val="0"/>
                <w:w w:val="100"/>
                <w:position w:val="0"/>
              </w:rPr>
              <w:t xml:space="preserve">395. </w:t>
            </w:r>
            <w:r>
              <w:rPr>
                <w:color w:val="000000"/>
                <w:spacing w:val="0"/>
                <w:w w:val="100"/>
                <w:position w:val="0"/>
              </w:rPr>
              <w:t>16</w:t>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1,091,738, </w:t>
            </w:r>
            <w:r>
              <w:rPr>
                <w:color w:val="000000"/>
                <w:spacing w:val="0"/>
                <w:w w:val="100"/>
                <w:position w:val="0"/>
              </w:rPr>
              <w:t xml:space="preserve">787.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1,086, </w:t>
            </w:r>
            <w:r>
              <w:rPr>
                <w:color w:val="000000"/>
                <w:spacing w:val="0"/>
                <w:w w:val="100"/>
                <w:position w:val="0"/>
              </w:rPr>
              <w:t>247,570.87</w:t>
            </w:r>
          </w:p>
        </w:tc>
      </w:tr>
    </w:tbl>
    <w:p>
      <w:pPr>
        <w:widowControl w:val="0"/>
        <w:spacing w:line="1" w:lineRule="exact"/>
      </w:pPr>
      <w:r>
        <w:br w:type="page"/>
      </w:r>
    </w:p>
    <w:tbl>
      <w:tblPr>
        <w:tblOverlap w:val="never"/>
        <w:jc w:val="center"/>
        <w:tblLayout w:type="fixed"/>
      </w:tblPr>
      <w:tblGrid>
        <w:gridCol w:w="3667"/>
        <w:gridCol w:w="2947"/>
        <w:gridCol w:w="2957"/>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394,811,659.09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420,390,524. </w:t>
            </w:r>
            <w:r>
              <w:rPr>
                <w:color w:val="000000"/>
                <w:spacing w:val="0"/>
                <w:w w:val="100"/>
                <w:position w:val="0"/>
              </w:rPr>
              <w:t>42</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064,313.53</w:t>
            </w:r>
          </w:p>
        </w:tc>
      </w:tr>
    </w:tbl>
    <w:p>
      <w:pPr>
        <w:widowControl w:val="0"/>
        <w:spacing w:after="299" w:line="1" w:lineRule="exact"/>
      </w:pPr>
    </w:p>
    <w:p>
      <w:pPr>
        <w:pStyle w:val="Style27"/>
        <w:keepNext/>
        <w:keepLines/>
        <w:widowControl w:val="0"/>
        <w:numPr>
          <w:ilvl w:val="0"/>
          <w:numId w:val="19"/>
        </w:numPr>
        <w:shd w:val="clear" w:color="auto" w:fill="auto"/>
        <w:tabs>
          <w:tab w:pos="488" w:val="left"/>
        </w:tabs>
        <w:bidi w:val="0"/>
        <w:spacing w:before="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重要会计估计变更</w:t>
      </w:r>
      <w:bookmarkEnd w:id="968"/>
      <w:bookmarkEnd w:id="969"/>
      <w:bookmarkEnd w:id="97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7"/>
        <w:keepNext/>
        <w:keepLines/>
        <w:widowControl w:val="0"/>
        <w:numPr>
          <w:ilvl w:val="0"/>
          <w:numId w:val="19"/>
        </w:numPr>
        <w:shd w:val="clear" w:color="auto" w:fill="auto"/>
        <w:tabs>
          <w:tab w:pos="488" w:val="left"/>
        </w:tabs>
        <w:bidi w:val="0"/>
        <w:spacing w:before="0" w:line="240" w:lineRule="auto"/>
        <w:ind w:left="0" w:right="0" w:firstLine="0"/>
        <w:jc w:val="left"/>
      </w:pPr>
      <w:bookmarkStart w:id="972" w:name="bookmark972"/>
      <w:bookmarkStart w:id="973" w:name="bookmark973"/>
      <w:bookmarkStart w:id="974" w:name="bookmark974"/>
      <w:bookmarkStart w:id="975" w:name="bookmark975"/>
      <w:bookmarkEnd w:id="97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72"/>
      <w:bookmarkEnd w:id="973"/>
      <w:bookmarkEnd w:id="97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2314"/>
        <w:gridCol w:w="2203"/>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2,338,659,817.95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2,338,659,817.95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169,459,358.11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169,459,358.11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1,794,586,849.40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1,794,586,849.40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59,274,128.88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1,091,738,787.17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1,086,247,570.87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-5,491,216.30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143,751,809.90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143,751,809.90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2,417,014,869.83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2,417,014,869.83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860,616,592.37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860,616,592.37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9"/>
        <w:gridCol w:w="2314"/>
        <w:gridCol w:w="2203"/>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71,323,279.01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71,323,279.01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8,946,425,492.62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8,940,934,276.32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-5,491,216.30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24,220,659.96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24,220,659.96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26,502,564.03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26,502,564.03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2,498,349,164.85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2,498,349,164.85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199,681,227.21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199,681,227.21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55,134,395.16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55,134,395.16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681,208,231.54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681,208,231.54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55,044,590.87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55,044,590.87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2,083,666,439.13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2,083,666,439.13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27,298,465.56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27,298,465.56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74,003,365.07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74,003,365.07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101,528,220.49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101,528,220.49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5,948,970,269.29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6,004,104,664.45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55,134,395.16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14,945,038,940.77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49,643,178.86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2,736,777,744.84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2,736,777,744.84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493,957,171.87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493,957,171.87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1,889,709,271.72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1,889,709,271.72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9"/>
        <w:gridCol w:w="2314"/>
        <w:gridCol w:w="2203"/>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385,491,441.81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385,491,441.81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20,835,718.52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20,835,718.52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131,633,440.04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131,633,440.04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151,127,724.09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151,127,724.09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29,968,422.13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394,811,659.09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420,390,524.42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25,578,865.33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41,369,967.91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41,369,967.91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6,251,601,482.41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6,277,180,347.74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25,578,865.33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1,393,445,437.40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1,393,445,437.40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24,064,313.53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24,064,313.53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990,806,349.74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990,806,349.74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2,055,483.30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2,055,483.30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2,606,171,519.04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2,630,235,832.57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24,064,313.53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8,857,773,001.45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8,907,416,180.31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49,643,178.86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9"/>
        <w:gridCol w:w="2314"/>
        <w:gridCol w:w="2203"/>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2,653,513,686.44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2,653,513,686.44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257,828,715.24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257,828,715.24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1,522,200,106.78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1,522,200,106.78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6,015,987,716.81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6,015,987,716.81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21,635,043.65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21,635,043.65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6,037,622,760.46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6,037,622,760.46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14,945,038,940.77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49,643,178.86</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日起执行上述新租赁准则，并对财务报 表相关项目做出调整。</w:t>
      </w:r>
    </w:p>
    <w:p>
      <w:pPr>
        <w:pStyle w:val="Style18"/>
        <w:keepNext w:val="0"/>
        <w:keepLines w:val="0"/>
        <w:widowControl w:val="0"/>
        <w:shd w:val="clear" w:color="auto" w:fill="auto"/>
        <w:bidi w:val="0"/>
        <w:spacing w:before="0" w:after="120" w:line="331" w:lineRule="exact"/>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2294"/>
        <w:gridCol w:w="2222"/>
        <w:gridCol w:w="19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929,114,644.90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929,114,644.90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444,812,614.75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444,812,614.75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20,470,688.73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20,470,688.73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1,071,832,185.38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1,071,832,185.38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13,254,878.93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13,254,878.93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574,129,946.15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574,129,946.15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52,883,250.00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52,883,250.00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25"/>
        <w:gridCol w:w="2294"/>
        <w:gridCol w:w="2222"/>
        <w:gridCol w:w="19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3,106,498,208.84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3,106,498,208.84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3,214,641,000.37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3,214,641,000.37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28,654,928.13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28,654,928.13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1,986,743,272.11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1,986,743,272.11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184,519,333.07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184,519,333.07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307,977,625.31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307,977,625.31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2,406,324.75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2,406,324.75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40,398,065.54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40,398,065.54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101,440,574.10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101,440,574.10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6,014,053,535.83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6,014,053,535.83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1,290,264,001.41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1,290,264,001.41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5,887,342.52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182,928,455.52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182,928,455.52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73,257,985.10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73,257,985.10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7,564,018.96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7,564,018.96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4,834,674.92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4,834,674.92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72,075,710.48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72,075,710.48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25"/>
        <w:gridCol w:w="2294"/>
        <w:gridCol w:w="2222"/>
        <w:gridCol w:w="19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376,649,157.15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376,649,157.15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6,895,003.10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6,895,003.10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2,050,356,349.16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2,050,356,349.16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921,445,437.40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921,445,437.40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901,031,518.48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901,031,518.48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2,042,341,204.48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2,042,341,204.48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4,092,697,553.64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4,092,697,553.64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2,638,811,805.47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2,638,811,805.47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555,011,415.23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555,011,415.23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5,027,854,191.03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5,027,854,191.03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tabs>
          <w:tab w:pos="488" w:val="left"/>
        </w:tabs>
        <w:bidi w:val="0"/>
        <w:spacing w:before="0" w:after="40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shd w:val="clear" w:color="auto" w:fill="FFFFFF"/>
        </w:rPr>
        <w:t>（</w:t>
      </w:r>
      <w:bookmarkEnd w:id="97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6"/>
      <w:bookmarkEnd w:id="977"/>
      <w:bookmarkEnd w:id="979"/>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2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sz w:val="24"/>
          <w:szCs w:val="24"/>
        </w:rPr>
        <w:t>六</w:t>
      </w:r>
      <w:bookmarkEnd w:id="982"/>
      <w:r>
        <w:rPr>
          <w:color w:val="000000"/>
          <w:spacing w:val="0"/>
          <w:w w:val="100"/>
          <w:position w:val="0"/>
          <w:sz w:val="24"/>
          <w:szCs w:val="24"/>
        </w:rPr>
        <w:t>、税项</w:t>
      </w:r>
      <w:bookmarkEnd w:id="980"/>
      <w:bookmarkEnd w:id="981"/>
      <w:bookmarkEnd w:id="983"/>
    </w:p>
    <w:p>
      <w:pPr>
        <w:pStyle w:val="Style27"/>
        <w:keepNext/>
        <w:keepLines/>
        <w:widowControl w:val="0"/>
        <w:shd w:val="clear" w:color="auto" w:fill="auto"/>
        <w:bidi w:val="0"/>
        <w:spacing w:before="0" w:after="320" w:line="240" w:lineRule="auto"/>
        <w:ind w:left="0" w:right="0" w:firstLine="0"/>
        <w:jc w:val="left"/>
      </w:pPr>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4"/>
      <w:bookmarkEnd w:id="985"/>
      <w:bookmarkEnd w:id="986"/>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青岛北明智慧城市科技有限公司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北明天时智能技术（北京）有限公司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北明天时能源科技（滨州）有限公司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北京北明数科信息技术有限公司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南宁北明数科信息技术有限公司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深圳北明数科信息技术有限公司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合并报表范围内其他公司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87"/>
      <w:bookmarkEnd w:id="988"/>
      <w:bookmarkEnd w:id="989"/>
    </w:p>
    <w:p>
      <w:pPr>
        <w:pStyle w:val="Style1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（1）增值税</w:t>
      </w:r>
    </w:p>
    <w:p>
      <w:pPr>
        <w:pStyle w:val="Style18"/>
        <w:keepNext w:val="0"/>
        <w:keepLines w:val="0"/>
        <w:widowControl w:val="0"/>
        <w:shd w:val="clear" w:color="auto" w:fill="auto"/>
        <w:bidi w:val="0"/>
        <w:spacing w:before="0" w:after="120" w:line="311" w:lineRule="exact"/>
        <w:ind w:left="0" w:right="0" w:firstLine="360"/>
        <w:jc w:val="both"/>
      </w:pPr>
      <w:r>
        <w:rPr>
          <w:color w:val="000000"/>
          <w:spacing w:val="0"/>
          <w:w w:val="100"/>
          <w:position w:val="0"/>
        </w:rPr>
        <w:t>根据《财政部、国家税务总局关于软件产品增值税政策的通知》（财税[2011]100号）文规定、《财政部、国家税务总局 关于财政性资金、行政事业性收费、政府性基金有关企业所得税政策问题的通知》（财税[2008]151号）、《国务院关于印发进 一步鼓励软件产业和集成电路产业发展若干政策的通知》（国发2011（4）号）文规定，本公司子公司北明软件有限公司、北 明云智（武汉）网软有限公司、珠海市震星信息技术有限公司、广州市龙泰信息技术有限公司、北京北明正实科技有限公司、 北明成功软件（山东）有限公司、北明天时能源科技（北京）有限公司、索科维尔（北京）软件系统有限公司、北明明润（北 京）科技有限公司、北京金实盈信科技有限公司、北京北明数科信息技术有限公司等共11家软件企业，享受增值税实际税负 超过3%的部分即征即退的优惠政策。</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（2）企业所得税</w:t>
      </w:r>
    </w:p>
    <w:p>
      <w:pPr>
        <w:pStyle w:val="Style18"/>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子公司北明软件有限公司依据《财政部税务总局发展改革委工业和信息化部关于促进集成电路产业和软件产业高质量发 展企业所得税政策的公告》（财政部税务总局发展改革委工业和信息化部公告2020年第45号）第四条国家鼓励的重点集成电 路设计企业和软件企业，自获利年度起，第一年至第五年免征企业所得税，接续年度减按10%的税率征收企业所得税。</w:t>
      </w:r>
    </w:p>
    <w:p>
      <w:pPr>
        <w:pStyle w:val="Style18"/>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子公司北京北明正实科技有限公司于2021年12月21日取得北京市科学技术委员会、北京财政局、国家税务总局北京市税 务局三家联合颁发的证书</w:t>
      </w:r>
      <w:r>
        <w:rPr>
          <w:color w:val="000000"/>
          <w:spacing w:val="0"/>
          <w:w w:val="100"/>
          <w:position w:val="0"/>
        </w:rPr>
        <w:t>GR20211100679</w:t>
      </w:r>
      <w:r>
        <w:rPr>
          <w:color w:val="000000"/>
          <w:spacing w:val="0"/>
          <w:w w:val="100"/>
          <w:position w:val="0"/>
        </w:rPr>
        <w:t>1号高新技术认定证书，根据《中华人民共和国企业所得税法》及其实施条例的相关 规定，子公司自2021年至2023年减按15%税率缴纳企业所得税的税收优惠政策。</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子公司北明天时能源科技（北京）有限公司于2020年7月31日由北京市科学技术委员会、北京市财政局、国家税务总局 北京市税务局共同认定为高新技术企业，己取得高新技术企业证书，证书编号为</w:t>
      </w:r>
      <w:r>
        <w:rPr>
          <w:color w:val="000000"/>
          <w:spacing w:val="0"/>
          <w:w w:val="100"/>
          <w:position w:val="0"/>
        </w:rPr>
        <w:t>GR202011000395,</w:t>
      </w:r>
      <w:r>
        <w:rPr>
          <w:color w:val="000000"/>
          <w:spacing w:val="0"/>
          <w:w w:val="100"/>
          <w:position w:val="0"/>
        </w:rPr>
        <w:t>根据《中华人民共和国企 业所得税法》及其实施条例的相关规定，子公司自2020年至2023年减按15%税率缴纳企业所得税。</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子公司北明明润（北京）科技有限公司于2020年12月2日取得北京科学技术委员会、北京市财政局、国家税务总局北京 市税务局三家家联合颁发的证书</w:t>
      </w:r>
      <w:r>
        <w:rPr>
          <w:color w:val="000000"/>
          <w:spacing w:val="0"/>
          <w:w w:val="100"/>
          <w:position w:val="0"/>
        </w:rPr>
        <w:t>GR2202011009771</w:t>
      </w:r>
      <w:r>
        <w:rPr>
          <w:color w:val="000000"/>
          <w:spacing w:val="0"/>
          <w:w w:val="100"/>
          <w:position w:val="0"/>
        </w:rPr>
        <w:t>号高新技术企业认定书，根据《中华人民共和国企业所得税法》及其实施 条例的相关规定，子公司自2020年至2022年减按15%税率缴纳企业所得税的税收优惠政策。</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子公司北明成功软件（山东）有限公司于2021年12月8日取得山东省科学技厅、山东省财政厅、国家税务总局山东省税 务局三家联合颁发的证书</w:t>
      </w:r>
      <w:r>
        <w:rPr>
          <w:color w:val="000000"/>
          <w:spacing w:val="0"/>
          <w:w w:val="100"/>
          <w:position w:val="0"/>
        </w:rPr>
        <w:t>GR202137003449</w:t>
      </w:r>
      <w:r>
        <w:rPr>
          <w:color w:val="000000"/>
          <w:spacing w:val="0"/>
          <w:w w:val="100"/>
          <w:position w:val="0"/>
        </w:rPr>
        <w:t>号高新技术企业证书，根据《中华人民共和国企业所得税法》及其实施条例的相关 规定，子公司自2021年开始三年内企业所得税率为15%。</w:t>
      </w:r>
    </w:p>
    <w:p>
      <w:pPr>
        <w:pStyle w:val="Style18"/>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子公司北京金实盈信科技有限公司于2019年12月2日经北京市科学技术委员会、北京市财政局、国家税务总局北京市税 务局批准取得</w:t>
      </w:r>
      <w:r>
        <w:rPr>
          <w:color w:val="000000"/>
          <w:spacing w:val="0"/>
          <w:w w:val="100"/>
          <w:position w:val="0"/>
        </w:rPr>
        <w:t>GR201911003669</w:t>
      </w:r>
      <w:r>
        <w:rPr>
          <w:color w:val="000000"/>
          <w:spacing w:val="0"/>
          <w:w w:val="100"/>
          <w:position w:val="0"/>
        </w:rPr>
        <w:t>号高新技术企业证书，子公司自2019年至2021年三年内企业所得税率为15%。</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子公司北京北明数科信息技术有限公司于2020年10月21日经北京市科学技术委员会、北京市财政局、国家税务总局北京 市税务局批准取得</w:t>
      </w:r>
      <w:r>
        <w:rPr>
          <w:color w:val="000000"/>
          <w:spacing w:val="0"/>
          <w:w w:val="100"/>
          <w:position w:val="0"/>
        </w:rPr>
        <w:t>GR202011001568</w:t>
      </w:r>
      <w:r>
        <w:rPr>
          <w:color w:val="000000"/>
          <w:spacing w:val="0"/>
          <w:w w:val="100"/>
          <w:position w:val="0"/>
        </w:rPr>
        <w:t>号高新技术企业证书，自2020至2022年三年内企业所得税率为15%。</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子公司珠海市震星信息技术有限公司、青岛北明智慧城市科技有限公司、北明天时智能技术（北京）有限公司、北明天 时能源科技（滨州）有限公司、南宁北明数科信息技术有限公司、深圳北明数科信息技术有限公司根据财政部、索科维尔（北 京）软件系统有限公司依据税务总局《关于实施小微企业普惠性税收减免政策的通知》（财税[2019]13号文）规定，对同时 符合年度应纳税所得额不超过300万元、从业人数不超过300人、资产总额不超过5000万元等三个条件的小微企业，年应纳税 所得额不超过100万元的部分，减按25%计入应纳税所得额，按20%的税率缴纳企业所得税；对年应纳税所得额超过100万元但 不超过300万元的部分，减按50%计入应纳税所得额，按20%的税率缴纳企业所得税。根据《财政部税务总局关于实施小微企 业和个体工商户所得税优惠政策的公告》（2021年第12号）政策要点规定，对小型微利企业年应纳税所得额不超过100万元的 部分，在《财政部、税务总局关于实施小微企业普惠性税收减免政策的通知》（财税〔2019〕13号）第二条规定的优惠政策 基础上，再减半征收企业所得税，本期享受上述税收优惠政策。</w:t>
      </w:r>
    </w:p>
    <w:p>
      <w:pPr>
        <w:pStyle w:val="Style1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 本报告期，公司收到软件增值税退税款共计</w:t>
      </w:r>
      <w:r>
        <w:rPr>
          <w:rFonts w:ascii="Times New Roman" w:eastAsia="Times New Roman" w:hAnsi="Times New Roman" w:cs="Times New Roman"/>
          <w:color w:val="000000"/>
          <w:spacing w:val="0"/>
          <w:w w:val="100"/>
          <w:position w:val="0"/>
        </w:rPr>
        <w:t>6,417,805.86</w:t>
      </w:r>
      <w:r>
        <w:rPr>
          <w:color w:val="000000"/>
          <w:spacing w:val="0"/>
          <w:w w:val="100"/>
          <w:position w:val="0"/>
        </w:rPr>
        <w:t>元，影响利润总额增加</w:t>
      </w:r>
      <w:r>
        <w:rPr>
          <w:rFonts w:ascii="Times New Roman" w:eastAsia="Times New Roman" w:hAnsi="Times New Roman" w:cs="Times New Roman"/>
          <w:color w:val="000000"/>
          <w:spacing w:val="0"/>
          <w:w w:val="100"/>
          <w:position w:val="0"/>
        </w:rPr>
        <w:t>6,417,805.86</w:t>
      </w:r>
      <w:r>
        <w:rPr>
          <w:color w:val="000000"/>
          <w:spacing w:val="0"/>
          <w:w w:val="100"/>
          <w:position w:val="0"/>
        </w:rPr>
        <w:t>元。</w:t>
      </w:r>
      <w:r>
        <w:br w:type="page"/>
      </w:r>
    </w:p>
    <w:p>
      <w:pPr>
        <w:pStyle w:val="Style23"/>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sz w:val="24"/>
          <w:szCs w:val="24"/>
        </w:rPr>
        <w:t>七</w:t>
      </w:r>
      <w:bookmarkEnd w:id="992"/>
      <w:r>
        <w:rPr>
          <w:color w:val="000000"/>
          <w:spacing w:val="0"/>
          <w:w w:val="100"/>
          <w:position w:val="0"/>
          <w:sz w:val="24"/>
          <w:szCs w:val="24"/>
        </w:rPr>
        <w:t>、合并财务报表项目注释</w:t>
      </w:r>
      <w:bookmarkEnd w:id="990"/>
      <w:bookmarkEnd w:id="991"/>
      <w:bookmarkEnd w:id="993"/>
    </w:p>
    <w:p>
      <w:pPr>
        <w:pStyle w:val="Style27"/>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94"/>
      <w:bookmarkEnd w:id="995"/>
      <w:bookmarkEnd w:id="9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1,095,962.32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939,731.68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1,940,814,727.35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2,089,322,708.91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419,361,973.27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248,397,377.36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2,361,272,662.94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2,338,659,817.95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07" w:lineRule="exact"/>
        <w:ind w:left="0" w:right="0"/>
        <w:jc w:val="left"/>
      </w:pPr>
      <w:r>
        <w:rPr>
          <w:color w:val="000000"/>
          <w:spacing w:val="0"/>
          <w:w w:val="100"/>
          <w:position w:val="0"/>
        </w:rPr>
        <w:t xml:space="preserve">其他货币资金中使用受到限制的存款为票据保证金165, 622, </w:t>
      </w:r>
      <w:r>
        <w:rPr>
          <w:color w:val="000000"/>
          <w:spacing w:val="0"/>
          <w:w w:val="100"/>
          <w:position w:val="0"/>
        </w:rPr>
        <w:t xml:space="preserve">279. </w:t>
      </w:r>
      <w:r>
        <w:rPr>
          <w:color w:val="000000"/>
          <w:spacing w:val="0"/>
          <w:w w:val="100"/>
          <w:position w:val="0"/>
        </w:rPr>
        <w:t xml:space="preserve">81元、农民工工资保证金875, </w:t>
      </w:r>
      <w:r>
        <w:rPr>
          <w:color w:val="000000"/>
          <w:spacing w:val="0"/>
          <w:w w:val="100"/>
          <w:position w:val="0"/>
        </w:rPr>
        <w:t xml:space="preserve">621. </w:t>
      </w:r>
      <w:r>
        <w:rPr>
          <w:color w:val="000000"/>
          <w:spacing w:val="0"/>
          <w:w w:val="100"/>
          <w:position w:val="0"/>
        </w:rPr>
        <w:t xml:space="preserve">50元、保函保证金 41, 999, </w:t>
      </w:r>
      <w:r>
        <w:rPr>
          <w:color w:val="000000"/>
          <w:spacing w:val="0"/>
          <w:w w:val="100"/>
          <w:position w:val="0"/>
        </w:rPr>
        <w:t xml:space="preserve">577. </w:t>
      </w:r>
      <w:r>
        <w:rPr>
          <w:color w:val="000000"/>
          <w:spacing w:val="0"/>
          <w:w w:val="100"/>
          <w:position w:val="0"/>
        </w:rPr>
        <w:t xml:space="preserve">96元，存单质押210, 864, </w:t>
      </w:r>
      <w:r>
        <w:rPr>
          <w:color w:val="000000"/>
          <w:spacing w:val="0"/>
          <w:w w:val="100"/>
          <w:position w:val="0"/>
        </w:rPr>
        <w:t xml:space="preserve">494. </w:t>
      </w:r>
      <w:r>
        <w:rPr>
          <w:color w:val="000000"/>
          <w:spacing w:val="0"/>
          <w:w w:val="100"/>
          <w:position w:val="0"/>
        </w:rPr>
        <w:t>00元。</w:t>
      </w:r>
    </w:p>
    <w:p>
      <w:pPr>
        <w:pStyle w:val="Style27"/>
        <w:keepNext/>
        <w:keepLines/>
        <w:widowControl w:val="0"/>
        <w:shd w:val="clear" w:color="auto" w:fill="auto"/>
        <w:bidi w:val="0"/>
        <w:spacing w:before="0" w:line="240" w:lineRule="auto"/>
        <w:ind w:left="0" w:right="0" w:firstLine="0"/>
        <w:jc w:val="left"/>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97"/>
      <w:bookmarkEnd w:id="998"/>
      <w:bookmarkEnd w:id="999"/>
    </w:p>
    <w:p>
      <w:pPr>
        <w:pStyle w:val="Style27"/>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7" w:name="bookmark997"/>
      <w:bookmarkStart w:id="998" w:name="bookmark998"/>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1"/>
      <w:bookmarkEnd w:id="997"/>
      <w:bookmarkEnd w:id="9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41,281,556.58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150,259,358.11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41,296,556.58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169,459,358.11</w:t>
            </w:r>
          </w:p>
        </w:tc>
      </w:tr>
    </w:tbl>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26"/>
        <w:gridCol w:w="802"/>
        <w:gridCol w:w="79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41,530, 741.02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99.96</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249,18</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41,281,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6,356.2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906,998.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9,358.1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41,530, 741.02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99.96</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249,18</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41,281,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6,356.2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906,998.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150,25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9,358.1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r>
    </w:tbl>
    <w:p>
      <w:pPr>
        <w:spacing w:lineRule="exact" w:line="1"/>
        <w:rPr>
          <w:sz w:val="2"/>
          <w:szCs w:val="2"/>
        </w:rPr>
      </w:pPr>
      <w:r>
        <w:br w:type="page"/>
      </w:r>
    </w:p>
    <w:p>
      <w:pPr>
        <w:pStyle w:val="Style36"/>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249,184.44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18"/>
        <w:gridCol w:w="2246"/>
        <w:gridCol w:w="2026"/>
        <w:gridCol w:w="178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计提比例</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41,530,741.02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249,184.44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本公司对应收票据，无论是否存在重大融资成分，均按照整个存续期的预期信用损失计量损失准备。</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2021年12月31日，本公司按照整个存续期预期信用损失计量银行承兑汇票坏账准备，本公司所持有的银行承兑汇票不存 在重大信用风险，不会因银行或其他出票人违约而产生重大损失，该组合预期信用损失为0。</w:t>
      </w:r>
    </w:p>
    <w:p>
      <w:pPr>
        <w:pStyle w:val="Style27"/>
        <w:keepNext/>
        <w:keepLines/>
        <w:widowControl w:val="0"/>
        <w:numPr>
          <w:ilvl w:val="0"/>
          <w:numId w:val="23"/>
        </w:numPr>
        <w:shd w:val="clear" w:color="auto" w:fill="auto"/>
        <w:bidi w:val="0"/>
        <w:spacing w:before="0" w:after="32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本期计提、收回或转回的坏账准备情况</w:t>
      </w:r>
      <w:bookmarkEnd w:id="1002"/>
      <w:bookmarkEnd w:id="1003"/>
      <w:bookmarkEnd w:id="1005"/>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469"/>
        <w:gridCol w:w="1440"/>
        <w:gridCol w:w="1349"/>
        <w:gridCol w:w="1200"/>
        <w:gridCol w:w="1094"/>
        <w:gridCol w:w="11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906,998.13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4,324.68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662,138.37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249,184.44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906,998.13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4,324.68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662,138.37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249,184.44</w:t>
            </w:r>
          </w:p>
        </w:tc>
      </w:tr>
    </w:tbl>
    <w:p>
      <w:pPr>
        <w:pStyle w:val="Style18"/>
        <w:keepNext w:val="0"/>
        <w:keepLines w:val="0"/>
        <w:widowControl w:val="0"/>
        <w:shd w:val="clear" w:color="auto" w:fill="auto"/>
        <w:bidi w:val="0"/>
        <w:spacing w:before="0" w:after="320" w:line="346" w:lineRule="exact"/>
        <w:ind w:left="0" w:right="0" w:firstLine="0"/>
        <w:jc w:val="left"/>
      </w:pPr>
      <w:r>
        <w:rPr>
          <w:color w:val="000000"/>
          <w:spacing w:val="0"/>
          <w:w w:val="100"/>
          <w:position w:val="0"/>
        </w:rPr>
        <w:t>其中本期坏账准备收回或转回金额重要的: 口适用”不适用</w:t>
      </w:r>
    </w:p>
    <w:p>
      <w:pPr>
        <w:pStyle w:val="Style27"/>
        <w:keepNext/>
        <w:keepLines/>
        <w:widowControl w:val="0"/>
        <w:numPr>
          <w:ilvl w:val="0"/>
          <w:numId w:val="23"/>
        </w:numPr>
        <w:shd w:val="clear" w:color="auto" w:fill="auto"/>
        <w:bidi w:val="0"/>
        <w:spacing w:before="0" w:after="46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期末公司已背书或贴现且在资产负债表日尚未到期的应收票据</w:t>
      </w:r>
      <w:bookmarkEnd w:id="1006"/>
      <w:bookmarkEnd w:id="1007"/>
      <w:bookmarkEnd w:id="10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15"/>
        <w:gridCol w:w="2822"/>
        <w:gridCol w:w="244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25,625,454.67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1,230,741.50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26,856,196.17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3</w:t>
      </w:r>
      <w:bookmarkEnd w:id="1012"/>
      <w:r>
        <w:rPr>
          <w:color w:val="000000"/>
          <w:spacing w:val="0"/>
          <w:w w:val="100"/>
          <w:position w:val="0"/>
        </w:rPr>
        <w:t>、应收账款</w:t>
      </w:r>
      <w:bookmarkEnd w:id="1010"/>
      <w:bookmarkEnd w:id="1011"/>
      <w:bookmarkEnd w:id="1013"/>
    </w:p>
    <w:p>
      <w:pPr>
        <w:pStyle w:val="Style27"/>
        <w:keepNext/>
        <w:keepLines/>
        <w:widowControl w:val="0"/>
        <w:numPr>
          <w:ilvl w:val="0"/>
          <w:numId w:val="25"/>
        </w:numPr>
        <w:shd w:val="clear" w:color="auto" w:fill="auto"/>
        <w:bidi w:val="0"/>
        <w:spacing w:before="0" w:line="240" w:lineRule="auto"/>
        <w:ind w:left="0" w:right="0" w:firstLine="0"/>
        <w:jc w:val="left"/>
      </w:pPr>
      <w:bookmarkStart w:id="1010" w:name="bookmark1010"/>
      <w:bookmarkStart w:id="1011" w:name="bookmark1011"/>
      <w:bookmarkStart w:id="1014" w:name="bookmark1014"/>
      <w:bookmarkStart w:id="1015" w:name="bookmark1015"/>
      <w:bookmarkEnd w:id="1014"/>
      <w:r>
        <w:rPr>
          <w:color w:val="000000"/>
          <w:spacing w:val="0"/>
          <w:w w:val="100"/>
          <w:position w:val="0"/>
        </w:rPr>
        <w:t>应收账款分类披露</w:t>
      </w:r>
      <w:bookmarkEnd w:id="1010"/>
      <w:bookmarkEnd w:id="1011"/>
      <w:bookmarkEnd w:id="10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87"/>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87"/>
        <w:gridCol w:w="94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9,197,7</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9,197,7</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37,694, 582.03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37,694,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2,874,3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78,234.</w:t>
            </w:r>
          </w:p>
          <w:p>
            <w:pPr>
              <w:pStyle w:val="Style20"/>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99.68</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233,26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3,494.8</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2,641,1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2,005,4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87,711.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210,90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0,862.4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1,794,58</w:t>
            </w:r>
          </w:p>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6,849.40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2,883,5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75,956.</w:t>
            </w:r>
          </w:p>
          <w:p>
            <w:pPr>
              <w:pStyle w:val="Style20"/>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242,46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1,216.5</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2,641,1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2,043,1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82,293.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248,59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5,444.5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1,794,58</w:t>
            </w:r>
          </w:p>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6,849.40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9,197,721.77</w:t>
      </w:r>
      <w:r>
        <w:rPr>
          <w:color w:val="000000"/>
          <w:spacing w:val="0"/>
          <w:w w:val="100"/>
          <w:position w:val="0"/>
        </w:rPr>
        <w:t>元</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2,999,376.00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2,999,376.00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993,500.00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993,500.00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823,012.77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823,012.77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288,720.00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288,720.00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3,955,658.00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3,955,658.00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9,197,721.77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9,197,721.77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233,263,494.80</w:t>
      </w:r>
      <w:r>
        <w:rPr>
          <w:color w:val="000000"/>
          <w:spacing w:val="0"/>
          <w:w w:val="100"/>
          <w:position w:val="0"/>
        </w:rPr>
        <w:t>元</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2366"/>
        <w:gridCol w:w="2208"/>
        <w:gridCol w:w="218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14,690,029.96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587,601.20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1,895,800.64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113,748.04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2,595,351.20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389,302.68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3,016,370.66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1,206,548.26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2,082,687,258.23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20,826,872.58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114,242,567.72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5,712,128.39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281,735,680.58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28,173,568.06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10.00%</w:t>
            </w:r>
          </w:p>
        </w:tc>
      </w:tr>
    </w:tbl>
    <w:p>
      <w:pPr>
        <w:widowControl w:val="0"/>
        <w:spacing w:line="1" w:lineRule="exact"/>
      </w:pPr>
      <w:r>
        <w:br w:type="page"/>
      </w:r>
    </w:p>
    <w:tbl>
      <w:tblPr>
        <w:tblOverlap w:val="never"/>
        <w:jc w:val="center"/>
        <w:tblLayout w:type="fixed"/>
      </w:tblPr>
      <w:tblGrid>
        <w:gridCol w:w="2813"/>
        <w:gridCol w:w="2366"/>
        <w:gridCol w:w="2208"/>
        <w:gridCol w:w="218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193,962,338.11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58,188,701.43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102,744,739.87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51,372,369.94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50,577,217.72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40,461,774.18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26,230,880.04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26,230,880.04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2,874,378,234.73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233,263,494.80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2,211,619,855.91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pPr>
            <w:r>
              <w:rPr>
                <w:rFonts w:ascii="Times New Roman" w:eastAsia="Times New Roman" w:hAnsi="Times New Roman" w:cs="Times New Roman"/>
                <w:color w:val="000000"/>
                <w:spacing w:val="0"/>
                <w:w w:val="100"/>
                <w:position w:val="0"/>
              </w:rPr>
              <w:t>283,631,481.22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pPr>
            <w:r>
              <w:rPr>
                <w:rFonts w:ascii="Times New Roman" w:eastAsia="Times New Roman" w:hAnsi="Times New Roman" w:cs="Times New Roman"/>
                <w:color w:val="000000"/>
                <w:spacing w:val="0"/>
                <w:w w:val="100"/>
                <w:position w:val="0"/>
              </w:rPr>
              <w:t>196,557,689.31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pPr>
            <w:r>
              <w:rPr>
                <w:rFonts w:ascii="Times New Roman" w:eastAsia="Times New Roman" w:hAnsi="Times New Roman" w:cs="Times New Roman"/>
                <w:color w:val="000000"/>
                <w:spacing w:val="0"/>
                <w:w w:val="100"/>
                <w:position w:val="0"/>
              </w:rPr>
              <w:t>191,766,930.06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80" w:right="0" w:firstLine="0"/>
              <w:jc w:val="left"/>
            </w:pPr>
            <w:r>
              <w:rPr>
                <w:rFonts w:ascii="Times New Roman" w:eastAsia="Times New Roman" w:hAnsi="Times New Roman" w:cs="Times New Roman"/>
                <w:color w:val="000000"/>
                <w:spacing w:val="0"/>
                <w:w w:val="100"/>
                <w:position w:val="0"/>
              </w:rPr>
              <w:t>108,334,490.52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51,586,758.03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31,845,681.51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2,883,575,956.50</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行业信息披露》中软件与信息技术服务业的披露要求</w:t>
      </w:r>
    </w:p>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6"/>
      <w:bookmarkEnd w:id="1017"/>
      <w:bookmarkEnd w:id="101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248,595,444.52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35,057,099.56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10,039,760.62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30,841,173.26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310,393.63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242,461,216.57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248,595,444.52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35,057,099.56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10,039,760.62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30,841,173.26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310,393.63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242,461,216.57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本公司对应收账款，无论是否存在重大融资成分，均按照整个存续期的预期信用损失计量损失准备。</w:t>
      </w:r>
      <w:r>
        <w:br w:type="page"/>
      </w:r>
    </w:p>
    <w:p>
      <w:pPr>
        <w:pStyle w:val="Style27"/>
        <w:keepNext/>
        <w:keepLines/>
        <w:widowControl w:val="0"/>
        <w:shd w:val="clear" w:color="auto" w:fill="auto"/>
        <w:bidi w:val="0"/>
        <w:spacing w:before="0" w:line="240" w:lineRule="auto"/>
        <w:ind w:left="0" w:right="0" w:firstLine="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0"/>
      <w:bookmarkEnd w:id="1021"/>
      <w:bookmarkEnd w:id="10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30,841,173.26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2"/>
        <w:gridCol w:w="1397"/>
        <w:gridCol w:w="1560"/>
        <w:gridCol w:w="1454"/>
        <w:gridCol w:w="1498"/>
        <w:gridCol w:w="22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款项是否由关联交易产生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1,867,073.32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1,748,759.77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1,185,196.55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1,152,534.56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1,068,030.10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1,044,723.16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1,005,989.16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17,602,982.58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30,841,173.26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8"/>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 xml:space="preserve">以上209笔应收款项总计人民币30, </w:t>
      </w:r>
      <w:r>
        <w:rPr>
          <w:color w:val="000000"/>
          <w:spacing w:val="0"/>
          <w:w w:val="100"/>
          <w:position w:val="0"/>
        </w:rPr>
        <w:t>841,173.26</w:t>
      </w:r>
      <w:r>
        <w:rPr>
          <w:color w:val="000000"/>
          <w:spacing w:val="0"/>
          <w:w w:val="100"/>
          <w:position w:val="0"/>
        </w:rPr>
        <w:t>元，均为历史形成，账龄基本上都在5年以上，公司尝试多种渠道催收后 仍然无果，且有些单位已注销，经公司相关部门核实，确实无法收回，因此对上述款项予以核销。</w:t>
      </w:r>
    </w:p>
    <w:p>
      <w:pPr>
        <w:pStyle w:val="Style27"/>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4"/>
      <w:bookmarkEnd w:id="1025"/>
      <w:bookmarkEnd w:id="10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174"/>
        <w:gridCol w:w="1891"/>
        <w:gridCol w:w="178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占应收账款期末余额</w:t>
            </w:r>
          </w:p>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302,614,093.48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3,026,140.93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154,097,507.32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1,632,662.01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北京金山云网络技术有限公司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86,549,826.90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865,498.27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北京字跳网络技术有限公司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83,737,330.00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837,373.30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廊坊市廊控智慧城市建设运营管理有限公司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65,308,896.26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653,088.96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692,307,653.96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color w:val="000000"/>
          <w:spacing w:val="0"/>
          <w:w w:val="100"/>
          <w:position w:val="0"/>
        </w:rPr>
        <w:t>、应收款项融资</w:t>
      </w:r>
      <w:bookmarkEnd w:id="1028"/>
      <w:bookmarkEnd w:id="1029"/>
      <w:bookmarkEnd w:id="10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17,548,202.40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59,274,128.88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17,548,202.40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59,274,128.88</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本公司部分子公司视日常资金管理的需要将一部分银行承兑汇票进行贴现和背书转让，并基于已将几乎所有的风险和报 酬转移给相关交易对手之情况终止确认已贴现或背书的应收票据，故该公司将其账面剩余的银行承兑汇票分类为以公允价值 计量且其变动计入其他综合收益的金融资产。</w:t>
      </w:r>
    </w:p>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360" w:line="341" w:lineRule="exact"/>
        <w:ind w:left="0" w:right="0"/>
        <w:jc w:val="left"/>
      </w:pPr>
      <w:r>
        <w:rPr>
          <w:color w:val="000000"/>
          <w:spacing w:val="0"/>
          <w:w w:val="100"/>
          <w:position w:val="0"/>
        </w:rPr>
        <w:t>2021年12月31日，本公司按照整个存续期预期信用损失计量以公允价值计量且其变动计入其他综合收益的应收票据的坏 账准备。本公司认为所持有的银行承兑汇票不存在重大的信用风险，不会因银行违约而产生重大损失，因此未计提坏账准备。 其他说明：</w:t>
      </w:r>
    </w:p>
    <w:p>
      <w:pPr>
        <w:pStyle w:val="Style27"/>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5</w:t>
      </w:r>
      <w:bookmarkEnd w:id="1034"/>
      <w:r>
        <w:rPr>
          <w:color w:val="000000"/>
          <w:spacing w:val="0"/>
          <w:w w:val="100"/>
          <w:position w:val="0"/>
        </w:rPr>
        <w:t>、预付款项</w:t>
      </w:r>
      <w:bookmarkEnd w:id="1032"/>
      <w:bookmarkEnd w:id="1033"/>
      <w:bookmarkEnd w:id="1035"/>
    </w:p>
    <w:p>
      <w:pPr>
        <w:pStyle w:val="Style27"/>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2"/>
      <w:bookmarkEnd w:id="1033"/>
      <w:bookmarkEnd w:id="1037"/>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722"/>
        <w:gridCol w:w="1709"/>
        <w:gridCol w:w="1694"/>
        <w:gridCol w:w="1800"/>
        <w:gridCol w:w="165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1,159,338,487.36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1,038,308,311.75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35,058,420.63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27,971,810.46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11,250,615.52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5,169,519.15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13,160,101.06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14,797,929.51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1,218,807,624.57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1,086,247,570.87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4397"/>
        <w:gridCol w:w="1699"/>
        <w:gridCol w:w="3475"/>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广州市司立威信息科技有限公司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6,142,947.92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未达到结算条件</w:t>
            </w:r>
          </w:p>
        </w:tc>
      </w:tr>
      <w:tr>
        <w:trPr>
          <w:trHeight w:val="15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威图电子机械技术（上海）有限公司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1,998,464.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因项目执行过程中供货方与收货方因质量等 方面存在纠纷，未能达成一致，故形成了账 龄较长的预付及合同负债（两者金额金额基 本相同，形成损失金额较小），上述事项，公 司正在积极处理当中。</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8, </w:t>
            </w:r>
            <w:r>
              <w:rPr>
                <w:color w:val="000000"/>
                <w:spacing w:val="0"/>
                <w:w w:val="100"/>
                <w:position w:val="0"/>
              </w:rPr>
              <w:t xml:space="preserve">141,412. </w:t>
            </w:r>
            <w:r>
              <w:rPr>
                <w:color w:val="000000"/>
                <w:spacing w:val="0"/>
                <w:w w:val="100"/>
                <w:position w:val="0"/>
              </w:rPr>
              <w:t>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8"/>
      <w:bookmarkEnd w:id="1039"/>
      <w:bookmarkEnd w:id="1041"/>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 xml:space="preserve">本报告期按预付对象归集的期末余额前五名预付账款汇总金额210, 532, </w:t>
      </w:r>
      <w:r>
        <w:rPr>
          <w:color w:val="000000"/>
          <w:spacing w:val="0"/>
          <w:w w:val="100"/>
          <w:position w:val="0"/>
        </w:rPr>
        <w:t xml:space="preserve">656. </w:t>
      </w:r>
      <w:r>
        <w:rPr>
          <w:color w:val="000000"/>
          <w:spacing w:val="0"/>
          <w:w w:val="100"/>
          <w:position w:val="0"/>
        </w:rPr>
        <w:t>61元，占预付账款期末余额合计数的比例</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17. </w:t>
      </w:r>
      <w:r>
        <w:rPr>
          <w:color w:val="000000"/>
          <w:spacing w:val="0"/>
          <w:w w:val="100"/>
          <w:position w:val="0"/>
        </w:rPr>
        <w:t>27%。</w:t>
      </w:r>
    </w:p>
    <w:p>
      <w:pPr>
        <w:pStyle w:val="Style27"/>
        <w:keepNext/>
        <w:keepLines/>
        <w:widowControl w:val="0"/>
        <w:shd w:val="clear" w:color="auto" w:fill="auto"/>
        <w:bidi w:val="0"/>
        <w:spacing w:before="0" w:after="10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6</w:t>
      </w:r>
      <w:bookmarkEnd w:id="1044"/>
      <w:r>
        <w:rPr>
          <w:color w:val="000000"/>
          <w:spacing w:val="0"/>
          <w:w w:val="100"/>
          <w:position w:val="0"/>
        </w:rPr>
        <w:t>、其他应收款</w:t>
      </w:r>
      <w:bookmarkEnd w:id="1042"/>
      <w:bookmarkEnd w:id="1043"/>
      <w:bookmarkEnd w:id="10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2"/>
        <w:gridCol w:w="2683"/>
        <w:gridCol w:w="237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355,206,218.00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143,751,809.90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358,065,384.67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143,751,809.90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46"/>
      <w:bookmarkEnd w:id="1047"/>
      <w:bookmarkEnd w:id="1049"/>
    </w:p>
    <w:p>
      <w:pPr>
        <w:pStyle w:val="Style27"/>
        <w:keepNext/>
        <w:keepLines/>
        <w:widowControl w:val="0"/>
        <w:shd w:val="clear" w:color="auto" w:fill="auto"/>
        <w:bidi w:val="0"/>
        <w:spacing w:before="0" w:after="100" w:line="240" w:lineRule="auto"/>
        <w:ind w:left="0" w:right="0" w:firstLine="0"/>
        <w:jc w:val="left"/>
      </w:pPr>
      <w:bookmarkStart w:id="1046" w:name="bookmark1046"/>
      <w:bookmarkStart w:id="1047" w:name="bookmark1047"/>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color w:val="000000"/>
          <w:spacing w:val="0"/>
          <w:w w:val="100"/>
          <w:position w:val="0"/>
        </w:rPr>
        <w:t>）其他应收款按款项性质分类情况</w:t>
      </w:r>
      <w:bookmarkEnd w:id="1046"/>
      <w:bookmarkEnd w:id="1047"/>
      <w:bookmarkEnd w:id="105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2774"/>
        <w:gridCol w:w="27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20,839,560.97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25,548,847.42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65,891,230.02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60,927,791.50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81,564,543.21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80,769,051.04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32,030,343.82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16,633,913.16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6,489,470.00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11,275,640.00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应收企业搬迁补助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406,815,148.02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195,155,243.12</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color w:val="000000"/>
          <w:spacing w:val="0"/>
          <w:w w:val="100"/>
          <w:position w:val="0"/>
        </w:rPr>
        <w:t>）坏账准备计提情况</w:t>
      </w:r>
      <w:bookmarkEnd w:id="1052"/>
      <w:bookmarkEnd w:id="1053"/>
      <w:bookmarkEnd w:id="10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67"/>
        <w:gridCol w:w="1694"/>
        <w:gridCol w:w="2040"/>
        <w:gridCol w:w="2054"/>
        <w:gridCol w:w="132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43,956,261.70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7,447,171.52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51,403,433.22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8,314,296.21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8,314,296.21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650,008.96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650,008.96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7,447,171.52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7,447,171.52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11,618.93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11,618.93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51,608,930.02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51,608,930.02</w:t>
            </w:r>
          </w:p>
        </w:tc>
      </w:tr>
    </w:tbl>
    <w:p>
      <w:pPr>
        <w:spacing w:lineRule="exact" w:line="1"/>
        <w:rPr>
          <w:sz w:val="2"/>
          <w:szCs w:val="2"/>
        </w:rPr>
      </w:pPr>
      <w:r>
        <w:br w:type="page"/>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本公司参考历史信用损失经验，结合当前状况以及对未来经济状况的预测，通过违约风险敞口和未来12个月内或整个存续期 预期信用损失率，该定期存款预期信用损失为0%。</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合并范围变化为期末不再合并北京枫调理顺科技发展有限公司而减少3, </w:t>
      </w:r>
      <w:r>
        <w:rPr>
          <w:color w:val="000000"/>
          <w:spacing w:val="0"/>
          <w:w w:val="100"/>
          <w:position w:val="0"/>
        </w:rPr>
        <w:t xml:space="preserve">438. </w:t>
      </w:r>
      <w:r>
        <w:rPr>
          <w:color w:val="000000"/>
          <w:spacing w:val="0"/>
          <w:w w:val="100"/>
          <w:position w:val="0"/>
        </w:rPr>
        <w:t xml:space="preserve">93元，不再合并北京天时前程工程技术有限公司 而减少8, </w:t>
      </w:r>
      <w:r>
        <w:rPr>
          <w:color w:val="000000"/>
          <w:spacing w:val="0"/>
          <w:w w:val="100"/>
          <w:position w:val="0"/>
        </w:rPr>
        <w:t xml:space="preserve">180. </w:t>
      </w:r>
      <w:r>
        <w:rPr>
          <w:color w:val="000000"/>
          <w:spacing w:val="0"/>
          <w:w w:val="100"/>
          <w:position w:val="0"/>
        </w:rPr>
        <w:t>00元，合计共减少</w:t>
      </w:r>
      <w:r>
        <w:rPr>
          <w:color w:val="000000"/>
          <w:spacing w:val="0"/>
          <w:w w:val="100"/>
          <w:position w:val="0"/>
        </w:rPr>
        <w:t>11,618.93</w:t>
      </w:r>
      <w:r>
        <w:rPr>
          <w:color w:val="000000"/>
          <w:spacing w:val="0"/>
          <w:w w:val="100"/>
          <w:position w:val="0"/>
        </w:rPr>
        <w:t>元。</w:t>
      </w:r>
    </w:p>
    <w:p>
      <w:pPr>
        <w:pStyle w:val="Style1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85"/>
        <w:gridCol w:w="4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288,012,766.32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10,026,980.72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26,956,844.05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81,818,556.93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19,775,461.37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21,588,748.09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40,454,347.47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406,815,148.02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color w:val="000000"/>
          <w:spacing w:val="0"/>
          <w:w w:val="100"/>
          <w:position w:val="0"/>
        </w:rPr>
        <w:t>）本期计提、收回或转回的坏账准备情况</w:t>
      </w:r>
      <w:bookmarkEnd w:id="1056"/>
      <w:bookmarkEnd w:id="1057"/>
      <w:bookmarkEnd w:id="1059"/>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7"/>
        <w:gridCol w:w="1440"/>
        <w:gridCol w:w="1229"/>
        <w:gridCol w:w="1200"/>
        <w:gridCol w:w="1200"/>
        <w:gridCol w:w="1094"/>
        <w:gridCol w:w="13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51,403,433.22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8,314,296.21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650,008.96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7,447,171.52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11,618.93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51,608,930.02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51,403,433.22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8,314,296.21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650,008.96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7,447,171.52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11,618.93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51,608,930.02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color w:val="000000"/>
          <w:spacing w:val="0"/>
          <w:w w:val="100"/>
          <w:position w:val="0"/>
        </w:rPr>
        <w:t>）本期实际核销的其他应收款情况</w:t>
      </w:r>
      <w:bookmarkEnd w:id="1060"/>
      <w:bookmarkEnd w:id="1061"/>
      <w:bookmarkEnd w:id="10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7,447,171.52</w:t>
            </w:r>
          </w:p>
        </w:tc>
      </w:tr>
    </w:tbl>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051" w:bottom="1427" w:left="1072" w:header="0" w:footer="3" w:gutter="0"/>
          <w:cols w:space="720"/>
          <w:noEndnote/>
          <w:rtlGutter w:val="0"/>
          <w:docGrid w:linePitch="360"/>
        </w:sectPr>
      </w:pPr>
      <w:r>
        <w:rPr>
          <w:color w:val="000000"/>
          <w:spacing w:val="0"/>
          <w:w w:val="100"/>
          <w:position w:val="0"/>
        </w:rPr>
        <w:t>其中重要的其他应收款核销情况:</w:t>
      </w:r>
    </w:p>
    <w:p>
      <w:pPr>
        <w:widowControl w:val="0"/>
        <w:spacing w:after="219" w:line="1" w:lineRule="exact"/>
      </w:pPr>
    </w:p>
    <w:tbl>
      <w:tblPr>
        <w:tblOverlap w:val="never"/>
        <w:jc w:val="center"/>
        <w:tblLayout w:type="fixed"/>
      </w:tblPr>
      <w:tblGrid>
        <w:gridCol w:w="1598"/>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491,447.00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258,701.72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257,782.80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董事会审议批准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7,447,171.52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300" w:line="317" w:lineRule="exact"/>
        <w:ind w:left="0" w:right="0"/>
        <w:jc w:val="left"/>
      </w:pPr>
      <w:r>
        <w:rPr>
          <w:color w:val="000000"/>
          <w:spacing w:val="0"/>
          <w:w w:val="100"/>
          <w:position w:val="0"/>
        </w:rPr>
        <w:t>以上6笔其他应收款总计人民币</w:t>
      </w:r>
      <w:r>
        <w:rPr>
          <w:color w:val="000000"/>
          <w:spacing w:val="0"/>
          <w:w w:val="100"/>
          <w:position w:val="0"/>
        </w:rPr>
        <w:t>744.72</w:t>
      </w:r>
      <w:r>
        <w:rPr>
          <w:color w:val="000000"/>
          <w:spacing w:val="0"/>
          <w:w w:val="100"/>
          <w:position w:val="0"/>
        </w:rPr>
        <w:t>万元，均为历史形成，账龄基本上都在5年以上，公司尝试多种渠道催收后仍然无 果，且有些单位已注销，经公司相关部门核实，确实无法回收，因此对上述款项予以核销。</w:t>
      </w:r>
    </w:p>
    <w:p>
      <w:pPr>
        <w:pStyle w:val="Style27"/>
        <w:keepNext/>
        <w:keepLines/>
        <w:widowControl w:val="0"/>
        <w:shd w:val="clear" w:color="auto" w:fill="auto"/>
        <w:bidi w:val="0"/>
        <w:spacing w:before="0" w:after="30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5</w:t>
      </w:r>
      <w:bookmarkEnd w:id="1066"/>
      <w:r>
        <w:rPr>
          <w:color w:val="000000"/>
          <w:spacing w:val="0"/>
          <w:w w:val="100"/>
          <w:position w:val="0"/>
        </w:rPr>
        <w:t>）按欠款方归集的期末余额前五名的其他应收款情况</w:t>
      </w:r>
      <w:bookmarkEnd w:id="1064"/>
      <w:bookmarkEnd w:id="1065"/>
      <w:bookmarkEnd w:id="106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石家庄市土地储 备中心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应收企业搬迁补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65,891,230.02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26,356,492.00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中铁一局集团第 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18,695,327.68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747,813.11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云南省公安厅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8,804,322.56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个月；</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2,490,983.23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黑龙江省医疗保 障局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47,980.00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298,188,880.26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29,643,268.34</w:t>
            </w:r>
          </w:p>
        </w:tc>
      </w:tr>
    </w:tbl>
    <w:p>
      <w:pPr>
        <w:widowControl w:val="0"/>
        <w:spacing w:after="179" w:line="1" w:lineRule="exact"/>
      </w:pPr>
    </w:p>
    <w:p>
      <w:pPr>
        <w:pStyle w:val="Style27"/>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6</w:t>
      </w:r>
      <w:bookmarkEnd w:id="1070"/>
      <w:r>
        <w:rPr>
          <w:color w:val="000000"/>
          <w:spacing w:val="0"/>
          <w:w w:val="100"/>
          <w:position w:val="0"/>
        </w:rPr>
        <w:t>）涉及政府补助的应收款项</w:t>
      </w:r>
      <w:bookmarkEnd w:id="1068"/>
      <w:bookmarkEnd w:id="1069"/>
      <w:bookmarkEnd w:id="10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2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石家庄市土地储备中 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土地补偿金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预计</w:t>
            </w:r>
            <w:r>
              <w:rPr>
                <w:rFonts w:ascii="Times New Roman" w:eastAsia="Times New Roman" w:hAnsi="Times New Roman" w:cs="Times New Roman"/>
                <w:color w:val="000000"/>
                <w:spacing w:val="0"/>
                <w:w w:val="100"/>
                <w:position w:val="0"/>
              </w:rPr>
              <w:t>2022</w:t>
            </w:r>
            <w:r>
              <w:rPr>
                <w:color w:val="000000"/>
                <w:spacing w:val="0"/>
                <w:w w:val="100"/>
                <w:position w:val="0"/>
              </w:rPr>
              <w:t>年收到；依 据与储备中心签订的 《企、事业单位国有</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土地使用权收购（回） 合同》</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、存货</w:t>
      </w:r>
      <w:bookmarkEnd w:id="1072"/>
      <w:bookmarkEnd w:id="1073"/>
      <w:bookmarkEnd w:id="107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6"/>
      <w:bookmarkEnd w:id="1077"/>
      <w:bookmarkEnd w:id="10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2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424,137,408.51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424,137,408.51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423,333,085.17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423,333,085.17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32,672,959.00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32,672,959.00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20,484,374.56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20,484,374.56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1,303,726,659.</w:t>
            </w:r>
          </w:p>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42,319,200.81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1,261,407,458.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1,096,488,341.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18,714,854.73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1,077,773,486.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280,965,500.69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280,965,500.69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144,190,908.73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144,190,908.73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1,007,513,327.</w:t>
            </w:r>
          </w:p>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1,007,513,327.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749,333,840.29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749,333,840.29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3,568,483.72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3,568,483.72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1,899,174.67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1,899,174.67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3,052,584,339.</w:t>
            </w:r>
          </w:p>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42,319,200.81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3,010,265,138.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2,435,729,724.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18,714,854.73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2,417,014,869.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80"/>
      <w:bookmarkEnd w:id="1081"/>
      <w:bookmarkEnd w:id="10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411"/>
        <w:gridCol w:w="1320"/>
        <w:gridCol w:w="1214"/>
        <w:gridCol w:w="1214"/>
        <w:gridCol w:w="1066"/>
        <w:gridCol w:w="129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18,714,854.73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26,032,256.14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2,427,910.06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42,319,200.81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18,714,854.73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26,032,256.14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2,427,910.06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42,319,200.81</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存货跌价准备计提依据及本年转回或转销原因</w:t>
      </w:r>
    </w:p>
    <w:tbl>
      <w:tblPr>
        <w:tblOverlap w:val="never"/>
        <w:jc w:val="center"/>
        <w:tblLayout w:type="fixed"/>
      </w:tblPr>
      <w:tblGrid>
        <w:gridCol w:w="1003"/>
        <w:gridCol w:w="3360"/>
        <w:gridCol w:w="2626"/>
        <w:gridCol w:w="262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本年转销存货跌价准备的原因</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期末存货成本高于其可变现净值的，计提存 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销售</w:t>
            </w:r>
          </w:p>
        </w:tc>
      </w:tr>
    </w:tbl>
    <w:p>
      <w:pPr>
        <w:widowControl w:val="0"/>
        <w:spacing w:after="619" w:line="1" w:lineRule="exact"/>
      </w:pPr>
    </w:p>
    <w:p>
      <w:pPr>
        <w:pStyle w:val="Style27"/>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8</w:t>
      </w:r>
      <w:bookmarkEnd w:id="1086"/>
      <w:r>
        <w:rPr>
          <w:color w:val="000000"/>
          <w:spacing w:val="0"/>
          <w:w w:val="100"/>
          <w:position w:val="0"/>
        </w:rPr>
        <w:t>、合同资产</w:t>
      </w:r>
      <w:bookmarkEnd w:id="1084"/>
      <w:bookmarkEnd w:id="1085"/>
      <w:bookmarkEnd w:id="1087"/>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87"/>
        <w:gridCol w:w="1426"/>
        <w:gridCol w:w="1286"/>
        <w:gridCol w:w="1368"/>
        <w:gridCol w:w="1334"/>
        <w:gridCol w:w="1349"/>
        <w:gridCol w:w="142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720,507,008.20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44,278,515.93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676,228,492.27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881,869,811.10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21,253,218.73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860,616,592.37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720,507,008.20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44,278,515.93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676,228,492.27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881,869,811.10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21,253,218.73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860,616,592.37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3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合同资产无论是否存在重大融资成分，本公司均按照整个存续期的预期信用损失计量损失准备。</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24"/>
        <w:gridCol w:w="1757"/>
        <w:gridCol w:w="1426"/>
        <w:gridCol w:w="1459"/>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23,074,067.70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48,770.50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23,074,067.70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48,770.50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7"/>
        <w:keepNext/>
        <w:keepLines/>
        <w:widowControl w:val="0"/>
        <w:shd w:val="clear" w:color="auto" w:fill="auto"/>
        <w:bidi w:val="0"/>
        <w:spacing w:before="0" w:after="4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9</w:t>
      </w:r>
      <w:bookmarkEnd w:id="1090"/>
      <w:r>
        <w:rPr>
          <w:color w:val="000000"/>
          <w:spacing w:val="0"/>
          <w:w w:val="100"/>
          <w:position w:val="0"/>
        </w:rPr>
        <w:t>、其他流动资产</w:t>
      </w:r>
      <w:bookmarkEnd w:id="1088"/>
      <w:bookmarkEnd w:id="1089"/>
      <w:bookmarkEnd w:id="1091"/>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646"/>
        <w:gridCol w:w="2491"/>
        <w:gridCol w:w="244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超缴企业所得税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1,380,716.42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1,823,846.21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rPr>
              <w:t>/</w:t>
            </w:r>
            <w:r>
              <w:rPr>
                <w:color w:val="000000"/>
                <w:spacing w:val="0"/>
                <w:w w:val="100"/>
                <w:position w:val="0"/>
              </w:rPr>
              <w:t>待认证进项税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84,066,895.13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69,499,432.80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85,447,611.55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71,323,279.01</w:t>
            </w:r>
          </w:p>
        </w:tc>
      </w:tr>
    </w:tbl>
    <w:p>
      <w:pPr>
        <w:widowControl w:val="0"/>
        <w:spacing w:after="239" w:line="1" w:lineRule="exact"/>
      </w:pPr>
    </w:p>
    <w:p>
      <w:pPr>
        <w:pStyle w:val="Style27"/>
        <w:keepNext/>
        <w:keepLines/>
        <w:widowControl w:val="0"/>
        <w:shd w:val="clear" w:color="auto" w:fill="auto"/>
        <w:bidi w:val="0"/>
        <w:spacing w:before="0" w:after="24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bookmarkEnd w:id="1094"/>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092"/>
      <w:bookmarkEnd w:id="1093"/>
      <w:bookmarkEnd w:id="1095"/>
    </w:p>
    <w:p>
      <w:pPr>
        <w:pStyle w:val="Style27"/>
        <w:keepNext/>
        <w:keepLines/>
        <w:widowControl w:val="0"/>
        <w:shd w:val="clear" w:color="auto" w:fill="auto"/>
        <w:bidi w:val="0"/>
        <w:spacing w:before="0" w:after="40" w:line="240" w:lineRule="auto"/>
        <w:ind w:left="0" w:right="0" w:firstLine="0"/>
        <w:jc w:val="left"/>
      </w:pPr>
      <w:bookmarkStart w:id="1092" w:name="bookmark1092"/>
      <w:bookmarkStart w:id="1093" w:name="bookmark1093"/>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92"/>
      <w:bookmarkEnd w:id="1093"/>
      <w:bookmarkEnd w:id="10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325"/>
        <w:gridCol w:w="1171"/>
        <w:gridCol w:w="1277"/>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舞钢项目建设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24,220,659.96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24,220,659.96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102"/>
        <w:gridCol w:w="2098"/>
        <w:gridCol w:w="181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说明：本期末将舞钢项目建设应收款列示于其他非流动资产项目中。</w:t>
      </w:r>
    </w:p>
    <w:p>
      <w:pPr>
        <w:pStyle w:val="Style27"/>
        <w:keepNext/>
        <w:keepLines/>
        <w:widowControl w:val="0"/>
        <w:shd w:val="clear" w:color="auto" w:fill="auto"/>
        <w:bidi w:val="0"/>
        <w:spacing w:before="0" w:after="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98"/>
      <w:bookmarkEnd w:id="1099"/>
      <w:bookmarkEnd w:id="11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797"/>
        <w:gridCol w:w="802"/>
        <w:gridCol w:w="797"/>
        <w:gridCol w:w="797"/>
        <w:gridCol w:w="797"/>
        <w:gridCol w:w="802"/>
        <w:gridCol w:w="797"/>
        <w:gridCol w:w="797"/>
        <w:gridCol w:w="797"/>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北京国 智云鼎 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16,271,</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2,703,0</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18,974,</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162.60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全面智 能</w:t>
            </w:r>
            <w:r>
              <w:rPr>
                <w:rFonts w:ascii="Times New Roman" w:eastAsia="Times New Roman" w:hAnsi="Times New Roman" w:cs="Times New Roman"/>
                <w:color w:val="000000"/>
                <w:spacing w:val="0"/>
                <w:w w:val="100"/>
                <w:position w:val="0"/>
              </w:rPr>
              <w:t>（</w:t>
            </w:r>
            <w:r>
              <w:rPr>
                <w:color w:val="000000"/>
                <w:spacing w:val="0"/>
                <w:w w:val="100"/>
                <w:position w:val="0"/>
              </w:rPr>
              <w:t>厦 门</w:t>
            </w:r>
            <w:r>
              <w:rPr>
                <w:rFonts w:ascii="Times New Roman" w:eastAsia="Times New Roman" w:hAnsi="Times New Roman" w:cs="Times New Roman"/>
                <w:color w:val="000000"/>
                <w:spacing w:val="0"/>
                <w:w w:val="100"/>
                <w:position w:val="0"/>
              </w:rPr>
              <w:t>）</w:t>
            </w:r>
            <w:r>
              <w:rPr>
                <w:color w:val="000000"/>
                <w:spacing w:val="0"/>
                <w:w w:val="100"/>
                <w:position w:val="0"/>
              </w:rPr>
              <w:t>科 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10,231,</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3,100,0</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200" w:right="0" w:hanging="60"/>
              <w:jc w:val="both"/>
            </w:pPr>
            <w:r>
              <w:rPr>
                <w:rFonts w:ascii="Times New Roman" w:eastAsia="Times New Roman" w:hAnsi="Times New Roman" w:cs="Times New Roman"/>
                <w:color w:val="000000"/>
                <w:spacing w:val="0"/>
                <w:w w:val="100"/>
                <w:position w:val="0"/>
              </w:rPr>
              <w:t xml:space="preserve">-4,192, </w:t>
            </w:r>
            <w:r>
              <w:rPr>
                <w:rFonts w:ascii="Times New Roman" w:eastAsia="Times New Roman" w:hAnsi="Times New Roman" w:cs="Times New Roman"/>
                <w:color w:val="000000"/>
                <w:spacing w:val="0"/>
                <w:w w:val="100"/>
                <w:position w:val="0"/>
              </w:rPr>
              <w:t>342.64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445,69</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9,584,7</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77.80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供销冷 链物流 </w:t>
            </w:r>
            <w:r>
              <w:rPr>
                <w:rFonts w:ascii="Times New Roman" w:eastAsia="Times New Roman" w:hAnsi="Times New Roman" w:cs="Times New Roman"/>
                <w:color w:val="000000"/>
                <w:spacing w:val="0"/>
                <w:w w:val="100"/>
                <w:position w:val="0"/>
              </w:rPr>
              <w:t>（</w:t>
            </w:r>
            <w:r>
              <w:rPr>
                <w:color w:val="000000"/>
                <w:spacing w:val="0"/>
                <w:w w:val="100"/>
                <w:position w:val="0"/>
              </w:rPr>
              <w:t>石家 庄</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96.53</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北京枫</w:t>
            </w:r>
          </w:p>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调理顺</w:t>
            </w:r>
          </w:p>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科技发</w:t>
            </w:r>
          </w:p>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3,076,7</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402,16</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2,249,1</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5,728,1</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14.99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盐城市 苏鸿数 字科技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2,450,0</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2,450,0</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26,502, 564.03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1,587,5</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847,86</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2,249,1</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41,637,</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211.64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26,502, 564.03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1,587,5</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847,86</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2,249,1</w:t>
            </w:r>
          </w:p>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41,637,</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1、联营企业情况详见附注九、3、“在合营安排或联营企业中的权益”。</w:t>
      </w:r>
    </w:p>
    <w:p>
      <w:pPr>
        <w:pStyle w:val="Style27"/>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02"/>
      <w:bookmarkEnd w:id="1103"/>
      <w:bookmarkEnd w:id="11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87"/>
        <w:gridCol w:w="2698"/>
        <w:gridCol w:w="24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河北国信投资控股集团股份有限公司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283,445.00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283,445.00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紫光创新投资有限公司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2,437,983.13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2,437,983.13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25,933,500.00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北京未名雅集文化传播中心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30,194,928.13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30,194,928.13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214"/>
        <w:gridCol w:w="1320"/>
        <w:gridCol w:w="974"/>
        <w:gridCol w:w="1277"/>
        <w:gridCol w:w="1843"/>
        <w:gridCol w:w="120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 益转入留存 收益的金额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指定为以公允价值计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量且其变动计入其他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其他综合收</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益转入留存</w:t>
            </w:r>
          </w:p>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收益的原因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河北国信投资控股 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非交易性权益工具投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紫光创新投资有限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非交易性权益工具投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河北银行股份有限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4,884,165.12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45,672,303.32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非交易性权益工具投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北京未名雅集文化 传播中心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非交易性权益工具投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北京北明兆业科技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非交易性权益工具投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公司持有对以上五家公司的股权投资属于非交易性权益工具投资，因此公司将其指定为以公允价值计量且其变动计入 其他综合收益的权益工具投资。</w:t>
      </w:r>
    </w:p>
    <w:p>
      <w:pPr>
        <w:pStyle w:val="Style27"/>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06"/>
      <w:bookmarkEnd w:id="1107"/>
      <w:bookmarkEnd w:id="1109"/>
    </w:p>
    <w:p>
      <w:pPr>
        <w:pStyle w:val="Style27"/>
        <w:keepNext/>
        <w:keepLines/>
        <w:widowControl w:val="0"/>
        <w:shd w:val="clear" w:color="auto" w:fill="auto"/>
        <w:bidi w:val="0"/>
        <w:spacing w:before="0" w:after="260" w:line="240" w:lineRule="auto"/>
        <w:ind w:left="0" w:right="0" w:firstLine="0"/>
        <w:jc w:val="both"/>
      </w:pPr>
      <w:bookmarkStart w:id="1106" w:name="bookmark1106"/>
      <w:bookmarkStart w:id="1107" w:name="bookmark1107"/>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6"/>
      <w:bookmarkEnd w:id="1107"/>
      <w:bookmarkEnd w:id="1111"/>
    </w:p>
    <w:p>
      <w:pPr>
        <w:pStyle w:val="Style1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”适用口不适用</w:t>
      </w:r>
      <w:r>
        <w:br w:type="page"/>
      </w:r>
    </w:p>
    <w:tbl>
      <w:tblPr>
        <w:tblOverlap w:val="never"/>
        <w:jc w:val="center"/>
        <w:tblLayout w:type="fixed"/>
      </w:tblPr>
      <w:tblGrid>
        <w:gridCol w:w="3230"/>
        <w:gridCol w:w="1709"/>
        <w:gridCol w:w="1579"/>
        <w:gridCol w:w="1512"/>
        <w:gridCol w:w="154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200,529,768.12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200,529,768.12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53,257,355.67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53,257,355.67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4,871,143.08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4,871,143.08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58,128,498.75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58,128,498.75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142,401,269.37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142,401,269.37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147,272,412.45</w:t>
            </w:r>
          </w:p>
        </w:tc>
      </w:tr>
    </w:tbl>
    <w:p>
      <w:pPr>
        <w:widowControl w:val="0"/>
        <w:spacing w:after="299" w:line="1" w:lineRule="exact"/>
      </w:pPr>
    </w:p>
    <w:p>
      <w:pPr>
        <w:pStyle w:val="Style27"/>
        <w:keepNext/>
        <w:keepLines/>
        <w:widowControl w:val="0"/>
        <w:numPr>
          <w:ilvl w:val="0"/>
          <w:numId w:val="27"/>
        </w:numPr>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采用公允价值计量模式的投资性房地产</w:t>
      </w:r>
      <w:bookmarkEnd w:id="1112"/>
      <w:bookmarkEnd w:id="1113"/>
      <w:bookmarkEnd w:id="1115"/>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16"/>
      <w:bookmarkEnd w:id="1117"/>
      <w:bookmarkEnd w:id="11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2,224,025,245.32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2,492,910,172.75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254,931,726.13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5,438,992.10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2,478,956,971.45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2,498,349,164.85</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0"/>
      <w:bookmarkEnd w:id="1121"/>
      <w:bookmarkEnd w:id="112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531"/>
        <w:gridCol w:w="1546"/>
        <w:gridCol w:w="1320"/>
        <w:gridCol w:w="1382"/>
        <w:gridCol w:w="14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1,474,330,292.40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1,907,310,092.26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19,885,832.83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255,799,255.69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3,657,325,473.18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1,042,513.25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42,046,538.09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817,278.33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138,878,230.85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182,784,560.52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1,042,513.25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552,637.17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817,278.33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98,871,877.83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101,284,306.58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41,493,900.92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40,006,353.02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81,500,253.94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312,136,243.46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2,258,971.34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26,204,988.12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340,600,202.92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312,136,243.46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2,258,971.34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26,160,292.42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340,555,507.22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）改扩建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44,695.70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44,695.70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1,475,372,805.65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1,637,220,386.89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18,444,139.82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368,472,498.42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3,499,509,830.78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249,035,101.60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781,861,182.14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11,358,337.45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122,150,400.72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1,164,405,021.91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47,770,271.59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104,242,074.02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43,178,305.66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196,657,264.64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47,770,271.59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104,242,074.02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1,466,613.37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43,178,305.66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196,657,264.64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76,479,295.02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2,020,255.96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7,086,423.18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85,585,974.16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76,479,295.02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2,020,255.96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7,078,451.30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85,578,002.28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296,805,373.19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809,623,961.14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10,804,694.86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158,242,283.20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1,275,476,312.39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10,278.52</w:t>
            </w:r>
          </w:p>
        </w:tc>
      </w:tr>
    </w:tbl>
    <w:p>
      <w:pPr>
        <w:spacing w:lineRule="exact" w:line="1"/>
        <w:rPr>
          <w:sz w:val="2"/>
          <w:szCs w:val="2"/>
        </w:rPr>
      </w:pPr>
      <w:r>
        <w:br w:type="page"/>
      </w:r>
    </w:p>
    <w:tbl>
      <w:tblPr>
        <w:tblOverlap w:val="never"/>
        <w:jc w:val="center"/>
        <w:tblLayout w:type="fixed"/>
      </w:tblPr>
      <w:tblGrid>
        <w:gridCol w:w="2299"/>
        <w:gridCol w:w="1531"/>
        <w:gridCol w:w="1546"/>
        <w:gridCol w:w="1320"/>
        <w:gridCol w:w="1382"/>
        <w:gridCol w:w="14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6,639.07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8,273.07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1,178,567,432.46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827,596,425.75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7,637,810.96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210,223,576.15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2,224,025,245.32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1,225,295,190.80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1,125,448,910.12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8,525,861.38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133,640,210.45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2,492,910,172.75</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23"/>
      <w:bookmarkEnd w:id="1124"/>
      <w:bookmarkEnd w:id="11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部分房产建筑物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358,450,288.47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公司以账面原值</w:t>
      </w:r>
      <w:r>
        <w:rPr>
          <w:color w:val="000000"/>
          <w:spacing w:val="0"/>
          <w:w w:val="100"/>
          <w:position w:val="0"/>
        </w:rPr>
        <w:t>237,457,097.40</w:t>
      </w:r>
      <w:r>
        <w:rPr>
          <w:color w:val="000000"/>
          <w:spacing w:val="0"/>
          <w:w w:val="100"/>
          <w:position w:val="0"/>
        </w:rPr>
        <w:t xml:space="preserve">元、累计折旧62, 223, </w:t>
      </w:r>
      <w:r>
        <w:rPr>
          <w:color w:val="000000"/>
          <w:spacing w:val="0"/>
          <w:w w:val="100"/>
          <w:position w:val="0"/>
        </w:rPr>
        <w:t xml:space="preserve">204. </w:t>
      </w:r>
      <w:r>
        <w:rPr>
          <w:color w:val="000000"/>
          <w:spacing w:val="0"/>
          <w:w w:val="100"/>
          <w:position w:val="0"/>
        </w:rPr>
        <w:t>12元、净额</w:t>
      </w:r>
      <w:r>
        <w:rPr>
          <w:color w:val="000000"/>
          <w:spacing w:val="0"/>
          <w:w w:val="100"/>
          <w:position w:val="0"/>
        </w:rPr>
        <w:t>175,233,893.28</w:t>
      </w:r>
      <w:r>
        <w:rPr>
          <w:color w:val="000000"/>
          <w:spacing w:val="0"/>
          <w:w w:val="100"/>
          <w:position w:val="0"/>
        </w:rPr>
        <w:t>元的房屋建筑物和账面原 值</w:t>
      </w:r>
      <w:r>
        <w:rPr>
          <w:color w:val="000000"/>
          <w:spacing w:val="0"/>
          <w:w w:val="100"/>
          <w:position w:val="0"/>
        </w:rPr>
        <w:t>166,278,224.79</w:t>
      </w:r>
      <w:r>
        <w:rPr>
          <w:color w:val="000000"/>
          <w:spacing w:val="0"/>
          <w:w w:val="100"/>
          <w:position w:val="0"/>
        </w:rPr>
        <w:t xml:space="preserve">元、累计折旧27, 158, </w:t>
      </w:r>
      <w:r>
        <w:rPr>
          <w:color w:val="000000"/>
          <w:spacing w:val="0"/>
          <w:w w:val="100"/>
          <w:position w:val="0"/>
        </w:rPr>
        <w:t xml:space="preserve">406. </w:t>
      </w:r>
      <w:r>
        <w:rPr>
          <w:color w:val="000000"/>
          <w:spacing w:val="0"/>
          <w:w w:val="100"/>
          <w:position w:val="0"/>
        </w:rPr>
        <w:t>24元、净额</w:t>
      </w:r>
      <w:r>
        <w:rPr>
          <w:color w:val="000000"/>
          <w:spacing w:val="0"/>
          <w:w w:val="100"/>
          <w:position w:val="0"/>
        </w:rPr>
        <w:t>139,119,818.55</w:t>
      </w:r>
      <w:r>
        <w:rPr>
          <w:color w:val="000000"/>
          <w:spacing w:val="0"/>
          <w:w w:val="100"/>
          <w:position w:val="0"/>
        </w:rPr>
        <w:t xml:space="preserve">元的机器设备及账面原值59, 450, </w:t>
      </w:r>
      <w:r>
        <w:rPr>
          <w:color w:val="000000"/>
          <w:spacing w:val="0"/>
          <w:w w:val="100"/>
          <w:position w:val="0"/>
        </w:rPr>
        <w:t xml:space="preserve">000. </w:t>
      </w:r>
      <w:r>
        <w:rPr>
          <w:color w:val="000000"/>
          <w:spacing w:val="0"/>
          <w:w w:val="100"/>
          <w:position w:val="0"/>
        </w:rPr>
        <w:t xml:space="preserve">00元、 累计摊销16, 645, </w:t>
      </w:r>
      <w:r>
        <w:rPr>
          <w:color w:val="000000"/>
          <w:spacing w:val="0"/>
          <w:w w:val="100"/>
          <w:position w:val="0"/>
        </w:rPr>
        <w:t xml:space="preserve">999. </w:t>
      </w:r>
      <w:r>
        <w:rPr>
          <w:color w:val="000000"/>
          <w:spacing w:val="0"/>
          <w:w w:val="100"/>
          <w:position w:val="0"/>
        </w:rPr>
        <w:t xml:space="preserve">52元、净额42, 804, </w:t>
      </w:r>
      <w:r>
        <w:rPr>
          <w:color w:val="000000"/>
          <w:spacing w:val="0"/>
          <w:w w:val="100"/>
          <w:position w:val="0"/>
        </w:rPr>
        <w:t xml:space="preserve">000. </w:t>
      </w:r>
      <w:r>
        <w:rPr>
          <w:color w:val="000000"/>
          <w:spacing w:val="0"/>
          <w:w w:val="100"/>
          <w:position w:val="0"/>
        </w:rPr>
        <w:t xml:space="preserve">48元的土地抵押向大华银行香港分行贷款19, 206, </w:t>
      </w:r>
      <w:r>
        <w:rPr>
          <w:color w:val="000000"/>
          <w:spacing w:val="0"/>
          <w:w w:val="100"/>
          <w:position w:val="0"/>
        </w:rPr>
        <w:t xml:space="preserve">666. </w:t>
      </w:r>
      <w:r>
        <w:rPr>
          <w:color w:val="000000"/>
          <w:spacing w:val="0"/>
          <w:w w:val="100"/>
          <w:position w:val="0"/>
        </w:rPr>
        <w:t xml:space="preserve">67美元、大华银行广州 分行贷款192, 000, </w:t>
      </w:r>
      <w:r>
        <w:rPr>
          <w:color w:val="000000"/>
          <w:spacing w:val="0"/>
          <w:w w:val="100"/>
          <w:position w:val="0"/>
        </w:rPr>
        <w:t xml:space="preserve">000. </w:t>
      </w:r>
      <w:r>
        <w:rPr>
          <w:color w:val="000000"/>
          <w:spacing w:val="0"/>
          <w:w w:val="100"/>
          <w:position w:val="0"/>
        </w:rPr>
        <w:t xml:space="preserve">00元人民币，期末折合人民币314, </w:t>
      </w:r>
      <w:r>
        <w:rPr>
          <w:color w:val="000000"/>
          <w:spacing w:val="0"/>
          <w:w w:val="100"/>
          <w:position w:val="0"/>
        </w:rPr>
        <w:t xml:space="preserve">455,944. </w:t>
      </w:r>
      <w:r>
        <w:rPr>
          <w:color w:val="000000"/>
          <w:spacing w:val="0"/>
          <w:w w:val="100"/>
          <w:position w:val="0"/>
        </w:rPr>
        <w:t>69元。</w:t>
      </w:r>
    </w:p>
    <w:p>
      <w:pPr>
        <w:pStyle w:val="Style27"/>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27"/>
      <w:bookmarkEnd w:id="1128"/>
      <w:bookmarkEnd w:id="11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254,931,726.13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5,438,992.10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254,931,726.13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5,438,992.10</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31"/>
      <w:bookmarkEnd w:id="1132"/>
      <w:bookmarkEnd w:id="1134"/>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272,322,391.09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199,681,227.21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272,322,391.09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199,681,227.21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5"/>
      <w:bookmarkEnd w:id="1136"/>
      <w:bookmarkEnd w:id="1137"/>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853"/>
        <w:gridCol w:w="1349"/>
        <w:gridCol w:w="1171"/>
        <w:gridCol w:w="1363"/>
        <w:gridCol w:w="1411"/>
        <w:gridCol w:w="1051"/>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常山云数据中心项目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130,704,609.51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130,704,609.51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113,494,908.14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113,494,908.14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智能物流仓库项目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32,841,524.81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32,841,524.81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23,177,404.68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23,177,404.68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仓储和分拣中心项目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54,529,903.34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54,529,903.34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27,956,628.92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27,956,628.92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纺织智能制造项目一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18,821,507.52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18,821,507.52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18,025,047.34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18,025,047.34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r>
              <w:rPr>
                <w:rFonts w:ascii="Times New Roman" w:eastAsia="Times New Roman" w:hAnsi="Times New Roman" w:cs="Times New Roman"/>
                <w:color w:val="000000"/>
                <w:spacing w:val="0"/>
                <w:w w:val="100"/>
                <w:position w:val="0"/>
              </w:rPr>
              <w:t>EMC</w:t>
            </w:r>
            <w:r>
              <w:rPr>
                <w:color w:val="000000"/>
                <w:spacing w:val="0"/>
                <w:w w:val="100"/>
                <w:position w:val="0"/>
              </w:rPr>
              <w:t>能源管理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18,642,976.47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18,642,976.47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5,683,045.99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5,683,045.99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腾讯工业互联网粤港 澳大湾区基地建设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9,478,848.15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9,478,848.15</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腾讯云（重庆）工业 互联网基地、北明数 科西南总部项目建设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15,411,830.26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15,411,830.26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腾讯云（辽宁）工业 互联网基地项目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617,526.66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617,526.66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752,512.52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752,512.52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1,865,343.99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1,865,343.99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272,322,391.09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272,322,391.09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199,681,227.21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199,681,227.21</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38"/>
      <w:bookmarkEnd w:id="1139"/>
      <w:bookmarkEnd w:id="114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项目</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160" w:right="0" w:firstLine="0"/>
              <w:jc w:val="both"/>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35,087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130,70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31,443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6,987,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据中</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心项</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 物流 仓库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23,177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,404.6</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9,664,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32,841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,524.8</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82.10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3,361,</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0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仓储 和分 拣中 心项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84,100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27,956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,628.9</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26,573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,274.4</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54,529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,903.3</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64.84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项目 进行 中</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80" w:after="80" w:line="240" w:lineRule="auto"/>
              <w:ind w:left="0" w:right="0" w:firstLine="0"/>
              <w:jc w:val="left"/>
            </w:pPr>
            <w:r>
              <w:rPr>
                <w:rFonts w:ascii="Times New Roman" w:eastAsia="Times New Roman" w:hAnsi="Times New Roman" w:cs="Times New Roman"/>
                <w:color w:val="000000"/>
                <w:spacing w:val="0"/>
                <w:w w:val="100"/>
                <w:position w:val="0"/>
              </w:rPr>
              <w:t>5,043,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纺织</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制造</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一期</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22,877 </w:t>
            </w:r>
            <w:r>
              <w:rPr>
                <w:rFonts w:ascii="Times New Roman" w:eastAsia="Times New Roman" w:hAnsi="Times New Roman" w:cs="Times New Roman"/>
                <w:color w:val="000000"/>
                <w:spacing w:val="0"/>
                <w:w w:val="100"/>
                <w:position w:val="0"/>
              </w:rPr>
              <w:t xml:space="preserve">,200.0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18,025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,047.3</w:t>
            </w:r>
          </w:p>
          <w:p>
            <w:pPr>
              <w:pStyle w:val="Style20"/>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796,46</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18,821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,507.5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82.27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 进行 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吉林</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EMC</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能源</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45,813 ,000.0 0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rPr>
              <w:t>5,683, 045.99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13,587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,231.2</w:t>
            </w:r>
          </w:p>
          <w:p>
            <w:pPr>
              <w:pStyle w:val="Style20"/>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140"/>
              <w:jc w:val="both"/>
            </w:pPr>
            <w:r>
              <w:rPr>
                <w:rFonts w:ascii="Times New Roman" w:eastAsia="Times New Roman" w:hAnsi="Times New Roman" w:cs="Times New Roman"/>
                <w:color w:val="000000"/>
                <w:spacing w:val="0"/>
                <w:w w:val="100"/>
                <w:position w:val="0"/>
              </w:rPr>
              <w:t>18,642 ,976.4</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40.69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 进行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腾讯 工业 互联 网粤 港澳 大湾 区基 地建 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9,478,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50,224 ,387.6 8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59,703 ,235.8 3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75.57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 已完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腾讯 云（重 庆）工 业互 联网 基地、 北明 数科 西南 总部 项目 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62,000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15,411 ,830.2 6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15,411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,830.2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项目 进行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2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腾讯 云（辽 宁）工 业互 联网 基地</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49,500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617,52</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617,52</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 进行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983,29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0,200.</w:t>
            </w:r>
          </w:p>
          <w:p>
            <w:pPr>
              <w:pStyle w:val="Style20"/>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197,81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5,883.</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151,96</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2,824.</w:t>
            </w:r>
          </w:p>
          <w:p>
            <w:pPr>
              <w:pStyle w:val="Style20"/>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78,208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,829.3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271,56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9,878.</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39,954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,092.8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11,557 ,590.5</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2"/>
      <w:bookmarkEnd w:id="1143"/>
      <w:bookmarkEnd w:id="11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tabs>
          <w:tab w:pos="440" w:val="left"/>
        </w:tabs>
        <w:bidi w:val="0"/>
        <w:spacing w:before="0" w:after="0" w:line="322" w:lineRule="exact"/>
        <w:ind w:left="0" w:right="0" w:firstLine="0"/>
        <w:jc w:val="left"/>
      </w:pPr>
      <w:bookmarkStart w:id="1146" w:name="bookmark1146"/>
      <w:r>
        <w:rPr>
          <w:color w:val="000000"/>
          <w:spacing w:val="0"/>
          <w:w w:val="100"/>
          <w:position w:val="0"/>
        </w:rPr>
        <w:t>（</w:t>
      </w:r>
      <w:bookmarkEnd w:id="1146"/>
      <w:r>
        <w:rPr>
          <w:color w:val="000000"/>
          <w:spacing w:val="0"/>
          <w:w w:val="100"/>
          <w:position w:val="0"/>
        </w:rPr>
        <w:t>1）</w:t>
        <w:tab/>
        <w:t>本期在建工程中用于确定资本化金额的资本化利率</w:t>
      </w:r>
      <w:r>
        <w:rPr>
          <w:color w:val="000000"/>
          <w:spacing w:val="0"/>
          <w:w w:val="100"/>
          <w:position w:val="0"/>
        </w:rPr>
        <w:t xml:space="preserve">4. </w:t>
      </w:r>
      <w:r>
        <w:rPr>
          <w:color w:val="000000"/>
          <w:spacing w:val="0"/>
          <w:w w:val="100"/>
          <w:position w:val="0"/>
        </w:rPr>
        <w:t>91%。</w:t>
      </w:r>
    </w:p>
    <w:p>
      <w:pPr>
        <w:pStyle w:val="Style18"/>
        <w:keepNext w:val="0"/>
        <w:keepLines w:val="0"/>
        <w:widowControl w:val="0"/>
        <w:shd w:val="clear" w:color="auto" w:fill="auto"/>
        <w:tabs>
          <w:tab w:pos="536" w:val="left"/>
        </w:tabs>
        <w:bidi w:val="0"/>
        <w:spacing w:before="0" w:after="380" w:line="322" w:lineRule="exact"/>
        <w:ind w:left="0" w:right="0" w:firstLine="0"/>
        <w:jc w:val="left"/>
      </w:pPr>
      <w:bookmarkStart w:id="1147" w:name="bookmark1147"/>
      <w:r>
        <w:rPr>
          <w:color w:val="000000"/>
          <w:spacing w:val="0"/>
          <w:w w:val="100"/>
          <w:position w:val="0"/>
        </w:rPr>
        <w:t>（</w:t>
      </w:r>
      <w:bookmarkEnd w:id="1147"/>
      <w:r>
        <w:rPr>
          <w:color w:val="000000"/>
          <w:spacing w:val="0"/>
          <w:w w:val="100"/>
          <w:position w:val="0"/>
        </w:rPr>
        <w:t>2）</w:t>
        <w:tab/>
        <w:t>在建工程——智能物流仓库项目期后用于对外出资，截止报告出具日公司已完成对联营企业供销冷链物流（石家庄） 有限公司的增资。</w:t>
      </w:r>
    </w:p>
    <w:p>
      <w:pPr>
        <w:pStyle w:val="Style27"/>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、使用权资产</w:t>
      </w:r>
      <w:bookmarkEnd w:id="1148"/>
      <w:bookmarkEnd w:id="1149"/>
      <w:bookmarkEnd w:id="11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81"/>
        <w:gridCol w:w="2803"/>
        <w:gridCol w:w="26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55,134,395.16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55,134,395.16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14,253,035.25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14,253,035.25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456,539.49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456,539.49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68,930,890.92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68,930,890.92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29,242,601.79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29,242,601.79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29,242,601.79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29,242,601.79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110,919.24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29,131,682.55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29,131,682.55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39,799,208.37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39,799,208.37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55,134,395.16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55,134,395.16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152"/>
      <w:bookmarkEnd w:id="1153"/>
      <w:bookmarkEnd w:id="1155"/>
    </w:p>
    <w:p>
      <w:pPr>
        <w:pStyle w:val="Style27"/>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2"/>
      <w:bookmarkEnd w:id="1153"/>
      <w:bookmarkEnd w:id="11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专有技术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397,673,606.</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458,432,732.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57,504,926.1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9,550,355.55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927,808,120.</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42,755,658.4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7,040,480.63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501,580.39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50,297,719.5</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501,580.39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501,580.39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42,755,658.4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7,040,480.63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49,796,139.1</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1,991,769.90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1,991,769.90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1,991,769.90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1,991,769.90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397,673,606.</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499,196,621.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64,545,406.7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10,051,935.9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976,114,070.</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53,265,320.2</w:t>
            </w:r>
          </w:p>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131,883,876.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41,279,769.7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3,367,780.29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234,443,246.</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8,092,763.52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42,775,010.7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3,074,867.22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880,409.44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54,823,050.8</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8,092,763.52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42,775,010.7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3,074,867.22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880,409.44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54,823,050.8</w:t>
            </w:r>
          </w:p>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132,784.64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132,784.64</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132,784.64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132,784.64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61,358,083.7</w:t>
            </w:r>
          </w:p>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174,526,102.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44,354,636.9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4,248,189.73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289,133,512.</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406,642.82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11,750,000.0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12,156,642.8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406,642.82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11,750,000.0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12,156,642.8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四、账面价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336,315,522.</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324,263,876.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8,440,769.80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5,803,746.21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674,823,914.</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344,408,286.</w:t>
            </w:r>
          </w:p>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326,142,213.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4,475,156.39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6,182,575.26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681,208,231.</w:t>
            </w:r>
          </w:p>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7.38%</w:t>
      </w:r>
      <w:r>
        <w:rPr>
          <w:color w:val="000000"/>
          <w:spacing w:val="0"/>
          <w:w w:val="100"/>
          <w:position w:val="0"/>
        </w:rPr>
        <w:t>。</w:t>
      </w:r>
    </w:p>
    <w:p>
      <w:pPr>
        <w:widowControl w:val="0"/>
        <w:spacing w:after="259" w:line="1" w:lineRule="exact"/>
      </w:pPr>
    </w:p>
    <w:p>
      <w:pPr>
        <w:pStyle w:val="Style27"/>
        <w:keepNext/>
        <w:keepLines/>
        <w:widowControl w:val="0"/>
        <w:shd w:val="clear" w:color="auto" w:fill="auto"/>
        <w:bidi w:val="0"/>
        <w:spacing w:before="0" w:after="12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157"/>
      <w:bookmarkEnd w:id="1158"/>
      <w:bookmarkEnd w:id="11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智慧城市 行业解决 方案建设 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1,500,000.</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城市管理 中的智能 视频分析 技术和示 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1,530,593.</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1,530,593.</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w:t>
            </w: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面向诉讼 全流程的 一体化便 民服务技 术及装备 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6,817,788.</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4,325,592.</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11,143,381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28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检察办案 质量保障、 办案监督 风险评估、 办案过程 控制模型 与辅助决 策技术研 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3,974,412.</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3,938,912.</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7,913,324.</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北明纠纷 多元化解 </w:t>
            </w:r>
            <w:r>
              <w:rPr>
                <w:rFonts w:ascii="Times New Roman" w:eastAsia="Times New Roman" w:hAnsi="Times New Roman" w:cs="Times New Roman"/>
                <w:color w:val="000000"/>
                <w:spacing w:val="0"/>
                <w:w w:val="100"/>
                <w:position w:val="0"/>
              </w:rPr>
              <w:t>SaaS</w:t>
            </w:r>
            <w:r>
              <w:rPr>
                <w:color w:val="000000"/>
                <w:spacing w:val="0"/>
                <w:w w:val="100"/>
                <w:position w:val="0"/>
              </w:rPr>
              <w:t>化平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2,646,476.</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2,646,476.</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“套路贷”</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虚假诉讼</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智能预警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2,403,418.</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2,403,418.</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检察院党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政综合工</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1,230,671.</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1,230,671.</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市域社会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风险研判</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1,895,711.</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1,895,711.</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公共安全 风险防控 与应急技 术装备重 点课题研 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571,135.12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902,408.66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1,473,543.</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78</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应急物资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储备管理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7,040,480.</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7,040,480.</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城市码应</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用平台项</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5,320,000.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5,320,000.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城市一网 通软件系 统平台项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教育区校 一体化管 理平台和 应用开发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28,254,869</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28,254,869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区块链电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子证照平</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9,096,865.</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9,096,865.</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02</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营商助企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3,800,000.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3,800,000.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大数据处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理工具软</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4,974,297.</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4,974,297.</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综合交通 一体化平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5,007,643.</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5,007,643.</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智慧供热 统一服务 平台</w:t>
            </w:r>
            <w:r>
              <w:rPr>
                <w:rFonts w:ascii="Times New Roman" w:eastAsia="Times New Roman" w:hAnsi="Times New Roman" w:cs="Times New Roman"/>
                <w:color w:val="000000"/>
                <w:spacing w:val="0"/>
                <w:w w:val="100"/>
                <w:position w:val="0"/>
              </w:rPr>
              <w:t>2.0</w:t>
            </w:r>
            <w:r>
              <w:rPr>
                <w:color w:val="000000"/>
                <w:spacing w:val="0"/>
                <w:w w:val="100"/>
                <w:position w:val="0"/>
              </w:rPr>
              <w:t>研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2,978,655.</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2,978,655.</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智慧供热 二次网控 制系统</w:t>
            </w:r>
            <w:r>
              <w:rPr>
                <w:rFonts w:ascii="Times New Roman" w:eastAsia="Times New Roman" w:hAnsi="Times New Roman" w:cs="Times New Roman"/>
                <w:color w:val="000000"/>
                <w:spacing w:val="0"/>
                <w:w w:val="100"/>
                <w:position w:val="0"/>
              </w:rPr>
              <w:t xml:space="preserve">2.0 </w:t>
            </w:r>
            <w:r>
              <w:rPr>
                <w:color w:val="000000"/>
                <w:spacing w:val="0"/>
                <w:w w:val="100"/>
                <w:position w:val="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2,015,846.</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2,015,846.</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换热站差</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异化管控</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系统</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2,506,769.</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2,506,769.</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智慧供热 政府监管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2,384,333.</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2,384,333.</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智慧供热 综合管控 平台</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4,316,439.</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4,316,439.</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w:t>
            </w: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热网流式</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数据处理</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3,786,610.</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3,786,610.</w:t>
            </w:r>
          </w:p>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97</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边缘计算 智能网关 嵌入系统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3,636,820.</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3,636,820.</w:t>
            </w:r>
          </w:p>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明润</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年研发票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据</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4,522,683.</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213,607.40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4,736,290.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档案影像 平台</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4,041,459.</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4,041,459.</w:t>
            </w:r>
          </w:p>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人民调解</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培训管理</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1,991,769.</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1,991,769.</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ALM</w:t>
            </w:r>
            <w:r>
              <w:rPr>
                <w:color w:val="000000"/>
                <w:spacing w:val="0"/>
                <w:w w:val="100"/>
                <w:position w:val="0"/>
              </w:rPr>
              <w:t>资产 负债管理 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1,252,370.</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1,252,370.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FTP</w:t>
            </w:r>
            <w:r>
              <w:rPr>
                <w:color w:val="000000"/>
                <w:spacing w:val="0"/>
                <w:w w:val="100"/>
                <w:position w:val="0"/>
              </w:rPr>
              <w:t>收入 模拟测算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1,254,426.</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1,254,426.</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客户关系</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定价系统</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1,301,837.</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1,301,837.</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资产评估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1,325,024.</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1,325,024.</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北明数科 一体化数 智平台研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5,257,978.</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5,257,978.</w:t>
            </w:r>
          </w:p>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北明数科 一网统管 综合指挥 调度平台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3,349,795.</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3,349,795.</w:t>
            </w:r>
          </w:p>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SK</w:t>
            </w:r>
            <w:r>
              <w:rPr>
                <w:color w:val="000000"/>
                <w:spacing w:val="0"/>
                <w:w w:val="100"/>
                <w:position w:val="0"/>
              </w:rPr>
              <w:t>数字中 台研发项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9,033,844.</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3,798,212.</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12,832,057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55,044,590</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99,555,171</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49,796,139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104,803,62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161"/>
      <w:bookmarkEnd w:id="1162"/>
      <w:bookmarkEnd w:id="1164"/>
    </w:p>
    <w:p>
      <w:pPr>
        <w:pStyle w:val="Style27"/>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61"/>
      <w:bookmarkEnd w:id="1162"/>
      <w:bookmarkEnd w:id="11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1574"/>
        <w:gridCol w:w="1051"/>
        <w:gridCol w:w="677"/>
        <w:gridCol w:w="960"/>
        <w:gridCol w:w="614"/>
        <w:gridCol w:w="148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1,613,779,392.82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1,613,779,392.82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296,181.57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4,210,455.31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4,210,455.31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12,667,247.45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12,667,247.45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17,288,664.84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17,288,664.84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184,243,605.71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184,243,605.71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38,595,589.90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38,595,589.90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105,513,512.02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105,513,512.02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37,903,438.01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37,903,438.01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157,743,254.50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157,743,254.50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2,172,241,342.13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2,172,241,342.13</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66"/>
      <w:bookmarkEnd w:id="1167"/>
      <w:bookmarkEnd w:id="11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440"/>
        <w:gridCol w:w="1392"/>
        <w:gridCol w:w="782"/>
        <w:gridCol w:w="778"/>
        <w:gridCol w:w="739"/>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46,591,901.28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26,617,100.00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73,209,001.28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4,210,455.31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4,210,455.31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17,288,664.84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17,288,664.84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10,845,500.00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23,209,400.00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34,054,900.00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9,342,200.00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296,181.57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88,574,903.00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49,826,500.00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138,401,403.00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2021年12月31日，公司对商誉进行减值测试。包含商誉的资产组的可收回金额是依据管理层批准的五年期预算，采用预</w:t>
      </w:r>
    </w:p>
    <w:p>
      <w:pPr>
        <w:pStyle w:val="Style1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计未来现金流量折现方法计算。超过该五年期的未来现金流量采用估计的永续年增长率作出推算。各资产组采用预计未来现</w:t>
      </w: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金流量折现方法的关键假设:</w:t>
      </w:r>
    </w:p>
    <w:tbl>
      <w:tblPr>
        <w:tblOverlap w:val="never"/>
        <w:jc w:val="center"/>
        <w:tblLayout w:type="fixed"/>
      </w:tblPr>
      <w:tblGrid>
        <w:gridCol w:w="1896"/>
        <w:gridCol w:w="1118"/>
        <w:gridCol w:w="1118"/>
        <w:gridCol w:w="1118"/>
        <w:gridCol w:w="1114"/>
        <w:gridCol w:w="1118"/>
        <w:gridCol w:w="1118"/>
        <w:gridCol w:w="1128"/>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北明软件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天时能源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北明成功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北明正实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索科维尔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明润科技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金实盈信</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永续年增长率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11.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管理层根据该等假设分析各资产组的可收回金额，认为收购索科维尔形成的商誉存在减值迹象，需要计提减值准备。</w:t>
      </w:r>
    </w:p>
    <w:p>
      <w:pPr>
        <w:pStyle w:val="Style18"/>
        <w:keepNext w:val="0"/>
        <w:keepLines w:val="0"/>
        <w:widowControl w:val="0"/>
        <w:shd w:val="clear" w:color="auto" w:fill="auto"/>
        <w:bidi w:val="0"/>
        <w:spacing w:before="0" w:after="0" w:line="319" w:lineRule="exact"/>
        <w:ind w:left="0" w:right="0"/>
        <w:jc w:val="left"/>
      </w:pPr>
      <w:r>
        <w:rPr>
          <w:color w:val="000000"/>
          <w:spacing w:val="0"/>
          <w:w w:val="100"/>
          <w:position w:val="0"/>
        </w:rPr>
        <w:t xml:space="preserve">为谨慎起见，公司聘请中联资产评估集团有限公司对收购上述各公司股权所形成的包含商誉的相关资产组在评估基准日 2021年12月31日的预计未来现金流量的现值进行了评估，并分别出具了《资产评估报告》（中联评报字【2022】第1087号、 中联评报字【2022】第1089号、中联评报字【2022】第1091号、中联评报字【2022】第1088号、中联评报字【2022】第1090 号、中联评报字【2022】第1092号、中联评报字【2022】第1093号）。根据《资产评估报告》所载评估结果，索科维尔减值: </w:t>
      </w:r>
      <w:r>
        <w:rPr>
          <w:color w:val="000000"/>
          <w:spacing w:val="0"/>
          <w:w w:val="100"/>
          <w:position w:val="0"/>
        </w:rPr>
        <w:t>2,661.71</w:t>
      </w:r>
      <w:r>
        <w:rPr>
          <w:color w:val="000000"/>
          <w:spacing w:val="0"/>
          <w:w w:val="100"/>
          <w:position w:val="0"/>
        </w:rPr>
        <w:t>万元，金实盈信减值</w:t>
      </w:r>
      <w:r>
        <w:rPr>
          <w:color w:val="000000"/>
          <w:spacing w:val="0"/>
          <w:w w:val="100"/>
          <w:position w:val="0"/>
        </w:rPr>
        <w:t>2,320.94</w:t>
      </w:r>
      <w:r>
        <w:rPr>
          <w:color w:val="000000"/>
          <w:spacing w:val="0"/>
          <w:w w:val="100"/>
          <w:position w:val="0"/>
        </w:rPr>
        <w:t>万元；其他资产组（含商誉）评估结果均高于账面价值，无需计提减值准备。 商誉减值测试的影响</w:t>
      </w:r>
    </w:p>
    <w:p>
      <w:pPr>
        <w:pStyle w:val="Style18"/>
        <w:keepNext w:val="0"/>
        <w:keepLines w:val="0"/>
        <w:widowControl w:val="0"/>
        <w:shd w:val="clear" w:color="auto" w:fill="auto"/>
        <w:bidi w:val="0"/>
        <w:spacing w:before="0" w:after="340" w:line="319"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169"/>
      <w:bookmarkEnd w:id="1170"/>
      <w:bookmarkEnd w:id="117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27,141,783.18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10,321,631.11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6,472,568.59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30,990,845.70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143,198.05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消防维保系统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13,484.33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13,484.33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27,298,465.56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10,321,631.11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6,629,250.97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30,990,845.70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3"/>
      <w:bookmarkEnd w:id="1174"/>
      <w:bookmarkEnd w:id="1176"/>
    </w:p>
    <w:p>
      <w:pPr>
        <w:pStyle w:val="Style27"/>
        <w:keepNext/>
        <w:keepLines/>
        <w:widowControl w:val="0"/>
        <w:shd w:val="clear" w:color="auto" w:fill="auto"/>
        <w:bidi w:val="0"/>
        <w:spacing w:before="0" w:after="340" w:line="240" w:lineRule="auto"/>
        <w:ind w:left="0" w:right="0" w:firstLine="0"/>
        <w:jc w:val="left"/>
      </w:pPr>
      <w:bookmarkStart w:id="1173" w:name="bookmark1173"/>
      <w:bookmarkStart w:id="1174" w:name="bookmark1174"/>
      <w:bookmarkStart w:id="1177" w:name="bookmark1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3"/>
      <w:bookmarkEnd w:id="1174"/>
      <w:bookmarkEnd w:id="1177"/>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765"/>
        <w:gridCol w:w="1771"/>
        <w:gridCol w:w="1757"/>
        <w:gridCol w:w="1680"/>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86,749,682.03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17,243,239.46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40,341,855.14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7,925,550.44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48,963,218.08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9,690,819.47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16,295,962.98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3,385,239.34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21,020,592.85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4,818,310.12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29,668,868.32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4,348,850.57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27,106,926.97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4,026,487.97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292,541,969.37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47,771,271.85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289,677,079.67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50,370,676.69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其他权益工具损益变动计量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21,562,016.87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5,390,504.22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21,562,016.87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5,390,504.22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衍生负债公允价值变动计量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4,497,856.52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1,124,464.13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1,471,835.63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2,320,910.32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502,600,484.49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89,306,099.01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405,595,814.02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74,003,365.07</w:t>
            </w:r>
          </w:p>
        </w:tc>
      </w:tr>
    </w:tbl>
    <w:p>
      <w:pPr>
        <w:spacing w:lineRule="exact" w:line="1"/>
        <w:rPr>
          <w:sz w:val="2"/>
          <w:szCs w:val="2"/>
        </w:rPr>
      </w:pPr>
      <w:r>
        <w:br w:type="page"/>
      </w:r>
    </w:p>
    <w:p>
      <w:pPr>
        <w:pStyle w:val="Style27"/>
        <w:keepNext/>
        <w:keepLines/>
        <w:widowControl w:val="0"/>
        <w:shd w:val="clear" w:color="auto" w:fill="auto"/>
        <w:bidi w:val="0"/>
        <w:spacing w:before="0" w:after="160" w:line="240" w:lineRule="auto"/>
        <w:ind w:left="0" w:right="0" w:firstLine="0"/>
        <w:jc w:val="left"/>
      </w:pPr>
      <w:bookmarkStart w:id="1178" w:name="bookmark1178"/>
      <w:bookmarkStart w:id="1179" w:name="bookmark1179"/>
      <w:bookmarkStart w:id="1180" w:name="bookmark11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8"/>
      <w:bookmarkEnd w:id="1179"/>
      <w:bookmarkEnd w:id="11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10,683,191.53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1,602,473.33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13,833,223.81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10,683,191.53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1,602,473.33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13,833,223.81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r>
    </w:tbl>
    <w:p>
      <w:pPr>
        <w:widowControl w:val="0"/>
        <w:spacing w:after="259" w:line="1" w:lineRule="exact"/>
      </w:pPr>
    </w:p>
    <w:p>
      <w:pPr>
        <w:pStyle w:val="Style27"/>
        <w:keepNext/>
        <w:keepLines/>
        <w:widowControl w:val="0"/>
        <w:shd w:val="clear" w:color="auto" w:fill="auto"/>
        <w:bidi w:val="0"/>
        <w:spacing w:before="0" w:after="12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81"/>
      <w:bookmarkEnd w:id="1182"/>
      <w:bookmarkEnd w:id="1184"/>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89,306,099.01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74,003,365.07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1,602,473.33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r>
    </w:tbl>
    <w:p>
      <w:pPr>
        <w:widowControl w:val="0"/>
        <w:spacing w:after="259" w:line="1" w:lineRule="exact"/>
      </w:pPr>
    </w:p>
    <w:p>
      <w:pPr>
        <w:pStyle w:val="Style27"/>
        <w:keepNext/>
        <w:keepLines/>
        <w:widowControl w:val="0"/>
        <w:shd w:val="clear" w:color="auto" w:fill="auto"/>
        <w:bidi w:val="0"/>
        <w:spacing w:before="0" w:after="2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85"/>
      <w:bookmarkEnd w:id="1186"/>
      <w:bookmarkEnd w:id="11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98"/>
        <w:gridCol w:w="2966"/>
        <w:gridCol w:w="272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2,210,954.91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15,441,020.35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256,252,621.74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203,490,780.62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258,463,576.65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218,931,800.97</w:t>
            </w:r>
          </w:p>
        </w:tc>
      </w:tr>
    </w:tbl>
    <w:p>
      <w:pPr>
        <w:widowControl w:val="0"/>
        <w:spacing w:after="259" w:line="1" w:lineRule="exact"/>
      </w:pPr>
    </w:p>
    <w:p>
      <w:pPr>
        <w:pStyle w:val="Style27"/>
        <w:keepNext/>
        <w:keepLines/>
        <w:widowControl w:val="0"/>
        <w:shd w:val="clear" w:color="auto" w:fill="auto"/>
        <w:bidi w:val="0"/>
        <w:spacing w:before="0" w:after="26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89"/>
      <w:bookmarkEnd w:id="1190"/>
      <w:bookmarkEnd w:id="11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3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2,654,939.74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48,484,829.24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48,583,996.34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11,938,966.99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13,413,437.32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41,419,994.94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42,833,256.90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78,460,485.79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78,287,372.09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18,996,889.71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5,784,358.89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4,919,379.71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4,919,379.71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5,539,151.76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5,539,151.76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125,273.67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1,474,887.87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46,367,649.93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256,252,621.74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203,490,780.62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193"/>
      <w:bookmarkEnd w:id="1194"/>
      <w:bookmarkEnd w:id="11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382"/>
        <w:gridCol w:w="946"/>
        <w:gridCol w:w="1440"/>
        <w:gridCol w:w="1411"/>
        <w:gridCol w:w="989"/>
        <w:gridCol w:w="134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51,125,237.10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51,125,237.10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101,440,574.10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101,440,574.10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87,646.39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舞钢项目建设应收款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130,489,157.35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130,489,157.35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248,714,394.45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248,714,394.45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101,528,220.49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101,528,220.49</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197"/>
      <w:bookmarkEnd w:id="1198"/>
      <w:bookmarkEnd w:id="1200"/>
    </w:p>
    <w:p>
      <w:pPr>
        <w:pStyle w:val="Style27"/>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97"/>
      <w:bookmarkEnd w:id="1198"/>
      <w:bookmarkEnd w:id="12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2,516,994,467.05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2,264,521,452.20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464,117,828.55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5,983,386.33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8,138,464.09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3,039,777,853.38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2,736,777,744.84</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期末保证借款见“十二、5、（3）关联担保情况”</w:t>
      </w:r>
    </w:p>
    <w:p>
      <w:pPr>
        <w:pStyle w:val="Style27"/>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202"/>
      <w:bookmarkEnd w:id="1203"/>
      <w:bookmarkEnd w:id="12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5,887,342.52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4,497,856.54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5,887,342.52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19" w:lineRule="exact"/>
        <w:ind w:left="0" w:right="0"/>
        <w:jc w:val="both"/>
      </w:pPr>
      <w:r>
        <w:rPr>
          <w:color w:val="000000"/>
          <w:spacing w:val="0"/>
          <w:w w:val="100"/>
          <w:position w:val="0"/>
        </w:rPr>
        <w:t>为锁定融资成本，公司2020年3月就向大华银行有限公司香港分行借入的美元借款，与大华银行（中国）有限公司广州 分行开展了货币掉期和利率掉期业务，公司采用大华银行（中国）有限公司广州分行出具的估值报告作为其期末公允价值的 确定依据。</w:t>
      </w:r>
    </w:p>
    <w:p>
      <w:pPr>
        <w:pStyle w:val="Style27"/>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206"/>
      <w:bookmarkEnd w:id="1207"/>
      <w:bookmarkEnd w:id="1209"/>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830,980,800.00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250,234,002.53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303,633,908.42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243,723,169.34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1,134,614,708.42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493,957,171.87</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after="34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10"/>
      <w:bookmarkEnd w:id="1211"/>
      <w:bookmarkEnd w:id="1213"/>
    </w:p>
    <w:p>
      <w:pPr>
        <w:pStyle w:val="Style27"/>
        <w:keepNext/>
        <w:keepLines/>
        <w:widowControl w:val="0"/>
        <w:shd w:val="clear" w:color="auto" w:fill="auto"/>
        <w:bidi w:val="0"/>
        <w:spacing w:before="0" w:after="340" w:line="240" w:lineRule="auto"/>
        <w:ind w:left="0" w:right="0" w:firstLine="0"/>
        <w:jc w:val="both"/>
      </w:pPr>
      <w:bookmarkStart w:id="1210" w:name="bookmark1210"/>
      <w:bookmarkStart w:id="1211" w:name="bookmark1211"/>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0"/>
      <w:bookmarkEnd w:id="1211"/>
      <w:bookmarkEnd w:id="12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2,147,621,625.79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1,612,806,805.37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245,587,492.70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177,618,442.59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91,599,074.80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55,847,438.01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80,583,436.57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43,436,585.75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2,565,391,629.86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1,889,709,271.72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215" w:name="bookmark1215"/>
      <w:bookmarkStart w:id="1216" w:name="bookmark1216"/>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5"/>
      <w:bookmarkEnd w:id="1216"/>
      <w:bookmarkEnd w:id="1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西藏国路安科技股份有限公司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28,059,444.38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上海新业锅炉销售有限公司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20,044,247.79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成都九洲电子信息系统股份有限公司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17,321,000.11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河南润龙电子科技有限公司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9,662,720.09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75,087,412.37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218"/>
      <w:bookmarkEnd w:id="1219"/>
      <w:bookmarkEnd w:id="1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504,208,796.81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385,491,441.81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504,208,796.81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385,491,441.81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22"/>
      <w:bookmarkEnd w:id="1223"/>
      <w:bookmarkEnd w:id="1225"/>
    </w:p>
    <w:p>
      <w:pPr>
        <w:pStyle w:val="Style2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22"/>
      <w:bookmarkEnd w:id="1223"/>
      <w:bookmarkEnd w:id="12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1680"/>
        <w:gridCol w:w="1622"/>
        <w:gridCol w:w="1512"/>
        <w:gridCol w:w="14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20,410,832.44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601,752,206.79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605,820,811.63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16,342,227.60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424,886.08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64,070,682.44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62,459,511.83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2,036,056.69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6,384,780.00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6,384,780.00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20,835,718.52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672,207,669.23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674,665,103.46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18,378,284.29</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27"/>
      <w:bookmarkEnd w:id="1228"/>
      <w:bookmarkEnd w:id="12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1738"/>
        <w:gridCol w:w="1651"/>
        <w:gridCol w:w="1498"/>
        <w:gridCol w:w="141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16,797,803.44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498,986,779.84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502,909,370.99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12,875,212.29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16,059,621.90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16,059,621.90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1,398,226.26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37,595,578.39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37,720,039.55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1,273,765.10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1,340,187.34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35,182,516.11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35,314,013.22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1,208,690.23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21,572.15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1,306,008.26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1,286,323.96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41,256.45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36,466.77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1,107,054.02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1,119,702.37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23,818.42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979,564.69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40,765,659.17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41,029,580.05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715,643.81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1,235,238.05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8,344,567.49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8,102,199.14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1,477,606.40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20,410,832.44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601,752,206.79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605,820,811.63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16,342,227.60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30"/>
      <w:bookmarkEnd w:id="1231"/>
      <w:bookmarkEnd w:id="12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412,729.59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61,753,882.71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60,194,384.01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1,972,228.29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2,316,799.73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2,265,127.82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63,828.40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424,886.08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64,070,682.44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62,459,511.83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2,036,056.69</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34"/>
      <w:bookmarkEnd w:id="1235"/>
      <w:bookmarkEnd w:id="12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147,476,691.25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110,877,079.81</w:t>
            </w:r>
          </w:p>
        </w:tc>
      </w:tr>
    </w:tbl>
    <w:p>
      <w:pPr>
        <w:spacing w:lineRule="exact" w:line="1"/>
        <w:rPr>
          <w:sz w:val="2"/>
          <w:szCs w:val="2"/>
        </w:rPr>
      </w:pPr>
      <w:r>
        <w:br w:type="page"/>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24,229,497.58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14,597,456.82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5,164,591.35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863,240.32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952,337.49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681,130.00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690,812.17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507,746.33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131,959.50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2,212,212.54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636,846.99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1,831,338.46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1,217,670.61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40,056.62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180,517,444.28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131,633,440.04</w:t>
            </w:r>
          </w:p>
        </w:tc>
      </w:tr>
    </w:tbl>
    <w:p>
      <w:pPr>
        <w:widowControl w:val="0"/>
        <w:spacing w:after="199" w:line="1" w:lineRule="exact"/>
      </w:pPr>
    </w:p>
    <w:p>
      <w:pPr>
        <w:pStyle w:val="Style27"/>
        <w:keepNext/>
        <w:keepLines/>
        <w:widowControl w:val="0"/>
        <w:shd w:val="clear" w:color="auto" w:fill="auto"/>
        <w:bidi w:val="0"/>
        <w:spacing w:before="0" w:after="10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38"/>
      <w:bookmarkEnd w:id="1239"/>
      <w:bookmarkEnd w:id="124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9,968,422.13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142,217,114.26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121,159,301.96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152,185,536.39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151,127,724.09</w:t>
            </w:r>
          </w:p>
        </w:tc>
      </w:tr>
    </w:tbl>
    <w:p>
      <w:pPr>
        <w:widowControl w:val="0"/>
        <w:spacing w:after="199" w:line="1" w:lineRule="exact"/>
      </w:pPr>
    </w:p>
    <w:p>
      <w:pPr>
        <w:pStyle w:val="Style27"/>
        <w:keepNext/>
        <w:keepLines/>
        <w:widowControl w:val="0"/>
        <w:shd w:val="clear" w:color="auto" w:fill="auto"/>
        <w:bidi w:val="0"/>
        <w:spacing w:before="0" w:after="100" w:line="240" w:lineRule="auto"/>
        <w:ind w:left="0" w:right="0" w:firstLine="0"/>
        <w:jc w:val="both"/>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42"/>
      <w:bookmarkEnd w:id="1243"/>
      <w:bookmarkEnd w:id="124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9,968,422.13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9,968,422.13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说明：其中</w:t>
      </w:r>
      <w:r>
        <w:rPr>
          <w:color w:val="000000"/>
          <w:spacing w:val="0"/>
          <w:w w:val="100"/>
          <w:position w:val="0"/>
        </w:rPr>
        <w:t>468,422.13</w:t>
      </w:r>
      <w:r>
        <w:rPr>
          <w:color w:val="000000"/>
          <w:spacing w:val="0"/>
          <w:w w:val="100"/>
          <w:position w:val="0"/>
        </w:rPr>
        <w:t>元系股东尚未领取形成；</w:t>
      </w:r>
      <w:r>
        <w:rPr>
          <w:rFonts w:ascii="Times New Roman" w:eastAsia="Times New Roman" w:hAnsi="Times New Roman" w:cs="Times New Roman"/>
          <w:color w:val="000000"/>
          <w:spacing w:val="0"/>
          <w:w w:val="100"/>
          <w:position w:val="0"/>
        </w:rPr>
        <w:t>9,500,000.00</w:t>
      </w:r>
      <w:r>
        <w:rPr>
          <w:color w:val="000000"/>
          <w:spacing w:val="0"/>
          <w:w w:val="100"/>
          <w:position w:val="0"/>
        </w:rPr>
        <w:t>元系非同一控制下合并北明天时能源科技（北京）有限公司分 配原股东股利尚未支付的部分。</w:t>
      </w:r>
    </w:p>
    <w:p>
      <w:pPr>
        <w:pStyle w:val="Style27"/>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45"/>
      <w:bookmarkEnd w:id="1246"/>
      <w:bookmarkEnd w:id="1247"/>
    </w:p>
    <w:p>
      <w:pPr>
        <w:pStyle w:val="Style27"/>
        <w:keepNext/>
        <w:keepLines/>
        <w:widowControl w:val="0"/>
        <w:shd w:val="clear" w:color="auto" w:fill="auto"/>
        <w:bidi w:val="0"/>
        <w:spacing w:before="0" w:after="100" w:line="240" w:lineRule="auto"/>
        <w:ind w:left="0" w:right="0" w:firstLine="0"/>
        <w:jc w:val="left"/>
      </w:pPr>
      <w:bookmarkStart w:id="1245" w:name="bookmark1245"/>
      <w:bookmarkStart w:id="1246" w:name="bookmark1246"/>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color w:val="000000"/>
          <w:spacing w:val="0"/>
          <w:w w:val="100"/>
          <w:position w:val="0"/>
        </w:rPr>
        <w:t>）按款项性质列示其他应付款</w:t>
      </w:r>
      <w:bookmarkEnd w:id="1245"/>
      <w:bookmarkEnd w:id="1246"/>
      <w:bookmarkEnd w:id="12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78,472,800.38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58,201,812.53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23,677,769.95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24,069,190.63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4,461,597.49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7,175,580.93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子公司股权收购款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预提费用（包含售后服务费）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35,563,046.44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31,670,817.87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142,217,114.26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121,159,301.96</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50"/>
      <w:bookmarkEnd w:id="1251"/>
      <w:bookmarkEnd w:id="12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2,365,042.00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广州中长康达信息技术有限公司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2,213,000.00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4,578,042.00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54"/>
      <w:bookmarkEnd w:id="1255"/>
      <w:bookmarkEnd w:id="12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10"/>
        <w:gridCol w:w="3077"/>
        <w:gridCol w:w="27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772,974,436.20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180,627,735.20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204,066,752.83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212,437,890.79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24,579,299.39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25,578,865.33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1,341,928.46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1,746,033.10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1,002,962,416.88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420,390,524.42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258"/>
      <w:bookmarkEnd w:id="1259"/>
      <w:bookmarkEnd w:id="12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54,585,339.19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41,369,967.91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54,585,339.19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41,369,967.91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262"/>
      <w:bookmarkEnd w:id="1263"/>
      <w:bookmarkEnd w:id="1265"/>
    </w:p>
    <w:p>
      <w:pPr>
        <w:pStyle w:val="Style27"/>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62"/>
      <w:bookmarkEnd w:id="1263"/>
      <w:bookmarkEnd w:id="12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314,455,944.69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342,073,172.60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1,089,650,000.00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1,232,000,000.00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-772,974,436.20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-180,627,735.20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631,131,508.49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1,393,445,437.40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79" w:line="1" w:lineRule="exact"/>
      </w:pP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1、公司以账面原值</w:t>
      </w:r>
      <w:r>
        <w:rPr>
          <w:color w:val="000000"/>
          <w:spacing w:val="0"/>
          <w:w w:val="100"/>
          <w:position w:val="0"/>
        </w:rPr>
        <w:t>237,457,097.40</w:t>
      </w:r>
      <w:r>
        <w:rPr>
          <w:color w:val="000000"/>
          <w:spacing w:val="0"/>
          <w:w w:val="100"/>
          <w:position w:val="0"/>
        </w:rPr>
        <w:t>元、累计折旧</w:t>
      </w:r>
      <w:r>
        <w:rPr>
          <w:color w:val="000000"/>
          <w:spacing w:val="0"/>
          <w:w w:val="100"/>
          <w:position w:val="0"/>
        </w:rPr>
        <w:t xml:space="preserve">62,223,204. </w:t>
      </w:r>
      <w:r>
        <w:rPr>
          <w:color w:val="000000"/>
          <w:spacing w:val="0"/>
          <w:w w:val="100"/>
          <w:position w:val="0"/>
        </w:rPr>
        <w:t>12元、净额</w:t>
      </w:r>
      <w:r>
        <w:rPr>
          <w:color w:val="000000"/>
          <w:spacing w:val="0"/>
          <w:w w:val="100"/>
          <w:position w:val="0"/>
        </w:rPr>
        <w:t>175,233,893.28</w:t>
      </w:r>
      <w:r>
        <w:rPr>
          <w:color w:val="000000"/>
          <w:spacing w:val="0"/>
          <w:w w:val="100"/>
          <w:position w:val="0"/>
        </w:rPr>
        <w:t>元的房屋建筑物和账面原值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166, 278, </w:t>
      </w:r>
      <w:r>
        <w:rPr>
          <w:color w:val="000000"/>
          <w:spacing w:val="0"/>
          <w:w w:val="100"/>
          <w:position w:val="0"/>
        </w:rPr>
        <w:t xml:space="preserve">224. </w:t>
      </w:r>
      <w:r>
        <w:rPr>
          <w:color w:val="000000"/>
          <w:spacing w:val="0"/>
          <w:w w:val="100"/>
          <w:position w:val="0"/>
        </w:rPr>
        <w:t xml:space="preserve">79元、累计折旧27,158, </w:t>
      </w:r>
      <w:r>
        <w:rPr>
          <w:color w:val="000000"/>
          <w:spacing w:val="0"/>
          <w:w w:val="100"/>
          <w:position w:val="0"/>
        </w:rPr>
        <w:t xml:space="preserve">406. </w:t>
      </w:r>
      <w:r>
        <w:rPr>
          <w:color w:val="000000"/>
          <w:spacing w:val="0"/>
          <w:w w:val="100"/>
          <w:position w:val="0"/>
        </w:rPr>
        <w:t>24元、净额</w:t>
      </w:r>
      <w:r>
        <w:rPr>
          <w:color w:val="000000"/>
          <w:spacing w:val="0"/>
          <w:w w:val="100"/>
          <w:position w:val="0"/>
        </w:rPr>
        <w:t>139,119,818.55</w:t>
      </w:r>
      <w:r>
        <w:rPr>
          <w:color w:val="000000"/>
          <w:spacing w:val="0"/>
          <w:w w:val="100"/>
          <w:position w:val="0"/>
        </w:rPr>
        <w:t xml:space="preserve">元的机器设备及账面原值59, 450, </w:t>
      </w:r>
      <w:r>
        <w:rPr>
          <w:color w:val="000000"/>
          <w:spacing w:val="0"/>
          <w:w w:val="100"/>
          <w:position w:val="0"/>
        </w:rPr>
        <w:t xml:space="preserve">000. </w:t>
      </w:r>
      <w:r>
        <w:rPr>
          <w:color w:val="000000"/>
          <w:spacing w:val="0"/>
          <w:w w:val="100"/>
          <w:position w:val="0"/>
        </w:rPr>
        <w:t>00元、累计摊销</w:t>
        <w:br w:type="page"/>
      </w:r>
      <w:r>
        <w:rPr>
          <w:color w:val="000000"/>
          <w:spacing w:val="0"/>
          <w:w w:val="100"/>
          <w:position w:val="0"/>
        </w:rPr>
        <w:t xml:space="preserve">16, 645, </w:t>
      </w:r>
      <w:r>
        <w:rPr>
          <w:color w:val="000000"/>
          <w:spacing w:val="0"/>
          <w:w w:val="100"/>
          <w:position w:val="0"/>
        </w:rPr>
        <w:t xml:space="preserve">999. </w:t>
      </w:r>
      <w:r>
        <w:rPr>
          <w:color w:val="000000"/>
          <w:spacing w:val="0"/>
          <w:w w:val="100"/>
          <w:position w:val="0"/>
        </w:rPr>
        <w:t xml:space="preserve">52元、净额42, 804, </w:t>
      </w:r>
      <w:r>
        <w:rPr>
          <w:color w:val="000000"/>
          <w:spacing w:val="0"/>
          <w:w w:val="100"/>
          <w:position w:val="0"/>
        </w:rPr>
        <w:t>000.48</w:t>
      </w:r>
      <w:r>
        <w:rPr>
          <w:color w:val="000000"/>
          <w:spacing w:val="0"/>
          <w:w w:val="100"/>
          <w:position w:val="0"/>
        </w:rPr>
        <w:t xml:space="preserve">元的土地抵押向大华银行香港分行贷款19, 206, </w:t>
      </w:r>
      <w:r>
        <w:rPr>
          <w:color w:val="000000"/>
          <w:spacing w:val="0"/>
          <w:w w:val="100"/>
          <w:position w:val="0"/>
        </w:rPr>
        <w:t xml:space="preserve">666. </w:t>
      </w:r>
      <w:r>
        <w:rPr>
          <w:color w:val="000000"/>
          <w:spacing w:val="0"/>
          <w:w w:val="100"/>
          <w:position w:val="0"/>
        </w:rPr>
        <w:t xml:space="preserve">67美元、大华银行广州分行贷款 192, 000, </w:t>
      </w:r>
      <w:r>
        <w:rPr>
          <w:color w:val="000000"/>
          <w:spacing w:val="0"/>
          <w:w w:val="100"/>
          <w:position w:val="0"/>
        </w:rPr>
        <w:t xml:space="preserve">000. </w:t>
      </w:r>
      <w:r>
        <w:rPr>
          <w:color w:val="000000"/>
          <w:spacing w:val="0"/>
          <w:w w:val="100"/>
          <w:position w:val="0"/>
        </w:rPr>
        <w:t xml:space="preserve">00元人民币，期末折合人民币314, 455, </w:t>
      </w:r>
      <w:r>
        <w:rPr>
          <w:color w:val="000000"/>
          <w:spacing w:val="0"/>
          <w:w w:val="100"/>
          <w:position w:val="0"/>
        </w:rPr>
        <w:t xml:space="preserve">944. </w:t>
      </w:r>
      <w:r>
        <w:rPr>
          <w:color w:val="000000"/>
          <w:spacing w:val="0"/>
          <w:w w:val="100"/>
          <w:position w:val="0"/>
        </w:rPr>
        <w:t>69元。</w:t>
      </w:r>
    </w:p>
    <w:p>
      <w:pPr>
        <w:pStyle w:val="Style18"/>
        <w:keepNext w:val="0"/>
        <w:keepLines w:val="0"/>
        <w:widowControl w:val="0"/>
        <w:shd w:val="clear" w:color="auto" w:fill="auto"/>
        <w:bidi w:val="0"/>
        <w:spacing w:before="0" w:after="40" w:line="312" w:lineRule="exact"/>
        <w:ind w:left="0" w:right="0"/>
        <w:jc w:val="left"/>
      </w:pPr>
      <w:r>
        <w:rPr>
          <w:color w:val="000000"/>
          <w:spacing w:val="0"/>
          <w:w w:val="100"/>
          <w:position w:val="0"/>
        </w:rPr>
        <w:t>2、期末保证借款见“十二、5、（3）关联担保情况”。</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其他说明，包括利率区间：</w:t>
      </w:r>
    </w:p>
    <w:p>
      <w:pPr>
        <w:pStyle w:val="Style18"/>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年利率为1.42%-5.46%</w:t>
      </w:r>
    </w:p>
    <w:p>
      <w:pPr>
        <w:pStyle w:val="Style27"/>
        <w:keepNext/>
        <w:keepLines/>
        <w:widowControl w:val="0"/>
        <w:shd w:val="clear" w:color="auto" w:fill="auto"/>
        <w:bidi w:val="0"/>
        <w:spacing w:before="0" w:after="10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267"/>
      <w:bookmarkEnd w:id="1268"/>
      <w:bookmarkEnd w:id="12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37,742,146.40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54,801,734.46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-2,515,666.28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-5,158,555.60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-24,579,299.39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-25,578,865.33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10,647,180.73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24,064,313.53</w:t>
            </w:r>
          </w:p>
        </w:tc>
      </w:tr>
    </w:tbl>
    <w:p>
      <w:pPr>
        <w:widowControl w:val="0"/>
        <w:spacing w:after="199" w:line="1" w:lineRule="exact"/>
      </w:pPr>
    </w:p>
    <w:p>
      <w:pPr>
        <w:pStyle w:val="Style27"/>
        <w:keepNext/>
        <w:keepLines/>
        <w:widowControl w:val="0"/>
        <w:shd w:val="clear" w:color="auto" w:fill="auto"/>
        <w:bidi w:val="0"/>
        <w:spacing w:before="0" w:after="10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271"/>
      <w:bookmarkEnd w:id="1272"/>
      <w:bookmarkEnd w:id="127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116,168,675.41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219,864,248.60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116,168,675.41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219,864,248.60</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75"/>
      <w:bookmarkEnd w:id="1276"/>
      <w:bookmarkEnd w:id="12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319,738,603.09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432,302,139.39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减：一年内到期部分（附注七、</w:t>
            </w:r>
            <w:r>
              <w:rPr>
                <w:rFonts w:ascii="Times New Roman" w:eastAsia="Times New Roman" w:hAnsi="Times New Roman" w:cs="Times New Roman"/>
                <w:color w:val="000000"/>
                <w:spacing w:val="0"/>
                <w:w w:val="100"/>
                <w:position w:val="0"/>
              </w:rPr>
              <w:t>31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203,904,372.84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212,437,890.79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496,825.15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减：一年内到期部分（附注七、</w:t>
            </w:r>
            <w:r>
              <w:rPr>
                <w:rFonts w:ascii="Times New Roman" w:eastAsia="Times New Roman" w:hAnsi="Times New Roman" w:cs="Times New Roman"/>
                <w:color w:val="000000"/>
                <w:spacing w:val="0"/>
                <w:w w:val="100"/>
                <w:position w:val="0"/>
              </w:rPr>
              <w:t>31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162,379.99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116,168,675.41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219,864,248.60</w:t>
            </w:r>
          </w:p>
        </w:tc>
      </w:tr>
    </w:tbl>
    <w:p>
      <w:pPr>
        <w:widowControl w:val="0"/>
        <w:spacing w:after="3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抵押借款为下属公司北明成功软件（山东）有限公司从大众汽车金融（中国）有限公司分期付款购买固定资产形成。</w:t>
      </w:r>
    </w:p>
    <w:p>
      <w:pPr>
        <w:pStyle w:val="Style27"/>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278"/>
      <w:bookmarkEnd w:id="1279"/>
      <w:bookmarkEnd w:id="128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990,806,349.74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241,718,500.00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223,122,427.63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1,009,402,422.11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990,806,349.74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241,718,500.00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223,122,427.63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1,009,402,422.11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253"/>
        <w:gridCol w:w="1008"/>
        <w:gridCol w:w="1008"/>
        <w:gridCol w:w="1013"/>
        <w:gridCol w:w="1008"/>
        <w:gridCol w:w="1013"/>
        <w:gridCol w:w="1248"/>
        <w:gridCol w:w="1013"/>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本期冲减</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成本费用</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企业搬迁 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885,183,740.</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113,342,0</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771,841,716.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企业搬迁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103,593,1</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96,406,871.2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利用紧密 纺技术开 发复合纱 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工业企业</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技术改造</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5,765,884.84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229,718.6</w:t>
            </w:r>
          </w:p>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5,536,166.20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高档新型 纤维面料 项目开发 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重点产业 振兴和技 术改造项 目专项资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5,988,094.64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1,035,714.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4,952,380.28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提高自主 创新能力 及高新技 术产业发 展项目专 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1,392,857.40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214,285.6</w:t>
            </w:r>
          </w:p>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1,178,571.72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高档纱线 公共实验 检测平台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138,333.05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118,333.01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技术中心 项目专项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29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面向诉讼</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全流程的</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一体化便</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民服务技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1,746,000.00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9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术及装备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研究科研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 级信息产 业发展专 项资金</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（电子政 务公共服 务云平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600,000.0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 级前沿与 关键技术 创新专项 资金（面 向科技创 新服务的 大数据技 术研发及 示范应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2,476,190.48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285,714.2</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2,190,476.24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 广东省应 用型科技 研发专项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3,708,333.23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500,000.0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3,208,333.19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 战略性主 导产业发 展资金拟 扶持新业 态项目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166,666.5</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年天 河区配套 大数据信 息资源库 核心技术 开发及示 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7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命周期管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1,978,723.40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255,319.2</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1,723,404.20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13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理技术及</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其在智慧 城市中的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 东省应用 型科技研 发专项资 金（视频 大数据云 平台研究 以及应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2,966,666.77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399,999.9</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2,566,666.81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年智 慧广州专 项资金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 市信息资 源统一管 理和服务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1,057,142.99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171,428.5</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885,714.47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44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 东省前沿 与关键技 术创新专 项资金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（省重大 科技专 项）（基于 医学大数 据的肿瘤 分析系统 关键技术 研究及应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58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天河区 </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 经费补助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 动端的政 务协同服 务平台）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74,166.77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64,166.81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3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天河区 </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 经费补助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（天河区 配套</w:t>
            </w:r>
            <w:r>
              <w:rPr>
                <w:rFonts w:ascii="Times New Roman" w:eastAsia="Times New Roman" w:hAnsi="Times New Roman" w:cs="Times New Roman"/>
                <w:color w:val="000000"/>
                <w:spacing w:val="0"/>
                <w:w w:val="100"/>
                <w:position w:val="0"/>
              </w:rPr>
              <w:t>-</w:t>
            </w:r>
            <w:r>
              <w:rPr>
                <w:color w:val="000000"/>
                <w:spacing w:val="0"/>
                <w:w w:val="100"/>
                <w:position w:val="0"/>
              </w:rPr>
              <w:t>智慧 城市跨领 域协同的 云服务平 台研发及 示范应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370,833.23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320,833.19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年广 州市天河 区财政局 工业和信 息化专项 资金（基 于云计算 的智慧政 务协同服 务及应用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3,962,962.96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444,444.4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3,518,518.48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年省 级工业和 信息化专 项（支持 大数据示 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2,130,973.45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228,318.6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1,902,654.85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年天 河区科技 计划项目</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（基于神 经网络的 海量文档 相似性分 析技术及 示范应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445,833.29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130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年企 业研发机 构建设专 项项目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266,666.84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266,666.8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 北明智慧 城市信息 资源集成 技术研究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 省协同创 新与平台 环境建设 专项资金 （广东智 慧城市研 究院产学 研合作项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哈尔滨工 业大学公 共安全风 险防控与 应急技术 装备重点 专项课题 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117,800.0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国家重点 研发计划 项目子课 题项目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检察机关 统一办案 系统运行 支撑及检 务数据治 理的全链 条集成方 案研究及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9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检察机关 跨平台安 全可靠数 据共享交 换与数据 治理关键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177,200.0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9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技术及标</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准规范研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研究基于 多维度主 题的全流 程案件画 像技术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1,334,500.</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省科技惠 民专项资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16,057.60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年市 级中小企 业创业补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19,052.20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7,134.08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11,918.12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临沂 市科技惠 民计划专 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41,138.15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21,706.00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腾讯工业 互联网粤 港澳大湾 区基地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30,000,000.0</w:t>
            </w:r>
          </w:p>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29,000,000.0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腾讯云</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（重庆） 工业互联 网基地、 北明数科 西南总部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30,000,000.0</w:t>
            </w:r>
          </w:p>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腾讯云</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（辽宁） 工业互联 网基地项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990,806,349.</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241,718,5</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223,122,4</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1,009,402,42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282"/>
      <w:bookmarkEnd w:id="1283"/>
      <w:bookmarkEnd w:id="1285"/>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766"/>
        <w:gridCol w:w="1498"/>
        <w:gridCol w:w="1114"/>
        <w:gridCol w:w="974"/>
        <w:gridCol w:w="1138"/>
        <w:gridCol w:w="811"/>
        <w:gridCol w:w="782"/>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1,598,616,721.00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1,598,616,721.00</w:t>
            </w:r>
          </w:p>
        </w:tc>
      </w:tr>
    </w:tbl>
    <w:p>
      <w:pPr>
        <w:widowControl w:val="0"/>
        <w:spacing w:after="219" w:line="1" w:lineRule="exact"/>
      </w:pPr>
    </w:p>
    <w:p>
      <w:pPr>
        <w:pStyle w:val="Style27"/>
        <w:keepNext/>
        <w:keepLines/>
        <w:widowControl w:val="0"/>
        <w:shd w:val="clear" w:color="auto" w:fill="auto"/>
        <w:bidi w:val="0"/>
        <w:spacing w:before="0" w:after="10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86"/>
      <w:bookmarkEnd w:id="1287"/>
      <w:bookmarkEnd w:id="128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2,525,950,208.16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2,525,950,208.16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127,563,478.28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6,911,546.09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134,475,024.37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2,653,513,686.44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6,911,546.09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2,660,425,232.53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220" w:line="308" w:lineRule="exact"/>
        <w:ind w:left="0" w:right="0"/>
        <w:jc w:val="both"/>
      </w:pPr>
      <w:r>
        <w:rPr>
          <w:color w:val="000000"/>
          <w:spacing w:val="0"/>
          <w:w w:val="100"/>
          <w:position w:val="0"/>
        </w:rPr>
        <w:t>权益法核算联营单位北京枫调理顺科技发展有限公司、全面智能（厦门）科技有限公司增资产生股本溢价按照持股比例计 算计入其他资本公积金额、2021年6月子公司成都北明祺舯信息技术有限公司注销影响资本公积、2021年11月子公司北京北 明数科信息技术有限公司少数股东增资，北明软件持有的股权比例由51%下降至</w:t>
      </w:r>
      <w:r>
        <w:rPr>
          <w:color w:val="000000"/>
          <w:spacing w:val="0"/>
          <w:w w:val="100"/>
          <w:position w:val="0"/>
        </w:rPr>
        <w:t xml:space="preserve">43. </w:t>
      </w:r>
      <w:r>
        <w:rPr>
          <w:color w:val="000000"/>
          <w:spacing w:val="0"/>
          <w:w w:val="100"/>
          <w:position w:val="0"/>
        </w:rPr>
        <w:t xml:space="preserve">35%，导致北明软件股权稀释但未丧失控 制权，北明软件按照增资前的股权比例计算净资产份额与增资后的股权比例计算份额之间的差额计入资本公积，共计 </w:t>
      </w:r>
      <w:r>
        <w:rPr>
          <w:color w:val="000000"/>
          <w:spacing w:val="0"/>
          <w:w w:val="100"/>
          <w:position w:val="0"/>
        </w:rPr>
        <w:t>6,911,546.09</w:t>
      </w:r>
      <w:r>
        <w:rPr>
          <w:color w:val="000000"/>
          <w:spacing w:val="0"/>
          <w:w w:val="100"/>
          <w:position w:val="0"/>
        </w:rPr>
        <w:t>元。</w:t>
      </w:r>
    </w:p>
    <w:p>
      <w:pPr>
        <w:pStyle w:val="Style27"/>
        <w:keepNext/>
        <w:keepLines/>
        <w:widowControl w:val="0"/>
        <w:shd w:val="clear" w:color="auto" w:fill="auto"/>
        <w:bidi w:val="0"/>
        <w:spacing w:before="0" w:after="10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290"/>
      <w:bookmarkEnd w:id="1291"/>
      <w:bookmarkEnd w:id="12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354"/>
        <w:gridCol w:w="869"/>
        <w:gridCol w:w="1051"/>
        <w:gridCol w:w="840"/>
        <w:gridCol w:w="701"/>
        <w:gridCol w:w="739"/>
        <w:gridCol w:w="686"/>
        <w:gridCol w:w="141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本期所</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得税前</w:t>
            </w:r>
          </w:p>
          <w:p>
            <w:pPr>
              <w:pStyle w:val="Style2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减：前 期计入 其他综 合收益 当期转 入留存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税后 归属 于母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-16,171,512.65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-16,171,512.65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-16,171,512.65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-16,171,512.65</w:t>
            </w:r>
          </w:p>
        </w:tc>
      </w:tr>
    </w:tbl>
    <w:p>
      <w:pPr>
        <w:widowControl w:val="0"/>
        <w:spacing w:after="219" w:line="1" w:lineRule="exact"/>
      </w:pPr>
    </w:p>
    <w:p>
      <w:pPr>
        <w:pStyle w:val="Style27"/>
        <w:keepNext/>
        <w:keepLines/>
        <w:widowControl w:val="0"/>
        <w:shd w:val="clear" w:color="auto" w:fill="auto"/>
        <w:bidi w:val="0"/>
        <w:spacing w:before="0" w:after="10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294"/>
      <w:bookmarkEnd w:id="1295"/>
      <w:bookmarkEnd w:id="129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187,969,567.85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187,969,567.85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69,859,147.39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69,859,147.39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257,828,715.24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257,828,715.24</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298"/>
      <w:bookmarkEnd w:id="1299"/>
      <w:bookmarkEnd w:id="13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1,522,200,106.78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1,420,893,614.91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1,522,200,106.78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1,420,893,614.91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131,004,083.67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101,306,491.87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1,653,204,190.45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1,522,200,106.78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20" w:line="240" w:lineRule="auto"/>
        <w:ind w:left="0" w:right="0" w:firstLine="0"/>
        <w:jc w:val="left"/>
      </w:pPr>
      <w:bookmarkStart w:id="1302" w:name="bookmark1302"/>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303" w:name="bookmark1303"/>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304" w:name="bookmark1304"/>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20" w:line="240" w:lineRule="auto"/>
        <w:ind w:left="0" w:right="0" w:firstLine="0"/>
        <w:jc w:val="left"/>
      </w:pPr>
      <w:bookmarkStart w:id="1305" w:name="bookmark1305"/>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60" w:line="240" w:lineRule="auto"/>
        <w:ind w:left="0" w:right="0" w:firstLine="0"/>
        <w:jc w:val="left"/>
      </w:pPr>
      <w:bookmarkStart w:id="1306" w:name="bookmark1306"/>
      <w:r>
        <w:rPr>
          <w:rFonts w:ascii="Times New Roman" w:eastAsia="Times New Roman" w:hAnsi="Times New Roman" w:cs="Times New Roman"/>
          <w:color w:val="000000"/>
          <w:spacing w:val="0"/>
          <w:w w:val="100"/>
          <w:position w:val="0"/>
        </w:rPr>
        <w:t>5</w:t>
      </w:r>
      <w:bookmarkEnd w:id="130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07"/>
      <w:bookmarkEnd w:id="1308"/>
      <w:bookmarkEnd w:id="13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10,817,943,515.32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9,672,512,101.83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9,837,445,748.34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8,862,565,547.06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63,662,462.67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56,650,722.88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46,349,842.86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41,212,796.05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9,729,162,824.71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8,903,778,343.11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2083"/>
        <w:gridCol w:w="2026"/>
        <w:gridCol w:w="2030"/>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10,881,605,977.99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9,883,795,591.20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63,662,462.67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销售材料、租赁房产等 实现的正常经营之外的 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46,349,842.86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销售材料、租赁房 产等实现的正常经 营之外的其他业务 收入</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营业收入扣除项目 合计金额占营业收 入的比重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一、与主营业务无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正常经营之外的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63,662,462.67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46,349,842.86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8"/>
        <w:gridCol w:w="2083"/>
        <w:gridCol w:w="2026"/>
        <w:gridCol w:w="2030"/>
        <w:gridCol w:w="1718"/>
      </w:tblGrid>
      <w:tr>
        <w:trPr>
          <w:trHeight w:val="3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63,662,462.67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46,349,842.86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63,662,462.67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46,349,842.86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10,817,943,515.32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9,837,445,748.34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640"/>
        <w:gridCol w:w="2429"/>
        <w:gridCol w:w="191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软件和信息技术服务业分布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4,785,397,879.26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6,096,208,098.73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10,881,605,977.99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367,074,607.82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367,074,607.82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1,173,331,524.65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1,173,331,524.65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2,607,291,708.68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2,607,291,708.68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637,700,038.11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637,700,038.11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3,582,503,329.05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3,582,503,329.05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493,874,332.75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493,874,332.75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2,019,830,436.93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2,019,830,436.93</w:t>
            </w:r>
          </w:p>
        </w:tc>
      </w:tr>
    </w:tbl>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2,813,620,381.13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2,239,406,858.00</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574,213,523.13</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br w:type="page"/>
      </w:r>
    </w:p>
    <w:p>
      <w:pPr>
        <w:pStyle w:val="Style27"/>
        <w:keepNext/>
        <w:keepLines/>
        <w:widowControl w:val="0"/>
        <w:shd w:val="clear" w:color="auto" w:fill="auto"/>
        <w:bidi w:val="0"/>
        <w:spacing w:before="0" w:after="32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311"/>
      <w:bookmarkEnd w:id="1312"/>
      <w:bookmarkEnd w:id="13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7,139,576.43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6,721,561.53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5,270,647.34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4,983,332.91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448,949.20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342,559.40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15,424,276.40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13,530,381.53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15,173,721.05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21,190,330.94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6,337,987.75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5,357,552.58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15,849.77</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49,885,528.01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52,175,485.36</w:t>
            </w:r>
          </w:p>
        </w:tc>
      </w:tr>
    </w:tbl>
    <w:p>
      <w:pPr>
        <w:widowControl w:val="0"/>
        <w:spacing w:after="179" w:line="1" w:lineRule="exact"/>
      </w:pPr>
    </w:p>
    <w:p>
      <w:pPr>
        <w:pStyle w:val="Style27"/>
        <w:keepNext/>
        <w:keepLines/>
        <w:widowControl w:val="0"/>
        <w:shd w:val="clear" w:color="auto" w:fill="auto"/>
        <w:bidi w:val="0"/>
        <w:spacing w:before="0" w:after="10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315"/>
      <w:bookmarkEnd w:id="1316"/>
      <w:bookmarkEnd w:id="131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109,837,385.84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95,200,772.07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6,260,805.72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15,341,729.69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54,865,873.97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52,413,898.85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26,182,252.54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22,620,642.00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26,160,325.90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21,849,314.69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12,631,543.64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12,559,903.16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582,553.73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255,462.32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16,882,355.08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2,642,771.62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11,131,818.02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7,992,923.73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1,588,491.53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17,937,664.31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1,324,726.41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2,149,266.05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267,448,132.38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250,964,348.49</w:t>
            </w:r>
          </w:p>
        </w:tc>
      </w:tr>
    </w:tbl>
    <w:p>
      <w:pPr>
        <w:widowControl w:val="0"/>
        <w:spacing w:after="179" w:line="1" w:lineRule="exact"/>
      </w:pPr>
    </w:p>
    <w:p>
      <w:pPr>
        <w:pStyle w:val="Style27"/>
        <w:keepNext/>
        <w:keepLines/>
        <w:widowControl w:val="0"/>
        <w:shd w:val="clear" w:color="auto" w:fill="auto"/>
        <w:bidi w:val="0"/>
        <w:spacing w:before="0" w:after="10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319"/>
      <w:bookmarkEnd w:id="1320"/>
      <w:bookmarkEnd w:id="132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114,417,103.60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108,685,833.59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554,359.07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1,978,090.66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121,801,082.81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86,577,359.99</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1,140,612.19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689,143.20</w:t>
            </w:r>
          </w:p>
        </w:tc>
      </w:tr>
    </w:tbl>
    <w:p>
      <w:pPr>
        <w:spacing w:lineRule="exact" w:line="1"/>
        <w:rPr>
          <w:sz w:val="2"/>
          <w:szCs w:val="2"/>
        </w:rPr>
      </w:pPr>
      <w:r>
        <w:br w:type="page"/>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10,318,035.65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9,226,551.39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13,243,803.45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9,072,007.21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3,434,233.46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6,919,838.73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39,092,850.60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24,058,491.09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4,395,117.88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6,648,623.57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14,642,562.10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13,459,854.14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5,014,350.68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16,108,206.56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5,022,553.15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4,030,362.50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333,076,664.64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287,454,362.63</w:t>
            </w:r>
          </w:p>
        </w:tc>
      </w:tr>
    </w:tbl>
    <w:p>
      <w:pPr>
        <w:widowControl w:val="0"/>
        <w:spacing w:after="179" w:line="1" w:lineRule="exact"/>
      </w:pPr>
    </w:p>
    <w:p>
      <w:pPr>
        <w:pStyle w:val="Style27"/>
        <w:keepNext/>
        <w:keepLines/>
        <w:widowControl w:val="0"/>
        <w:shd w:val="clear" w:color="auto" w:fill="auto"/>
        <w:bidi w:val="0"/>
        <w:spacing w:before="0" w:after="10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323"/>
      <w:bookmarkEnd w:id="1324"/>
      <w:bookmarkEnd w:id="132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143,499,093.04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92,808,374.93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7,178,784.40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29,998,074.82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242,318.65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706,798.22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69,662,190.17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46,407,294.34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8,244,391.66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5,680,332.43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6,445,049.93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3,819,193.70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1,828,720.78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943,278.49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1,738,420.73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1,058,744.98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3,185,069.48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4,321,590.74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242,024,038.84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185,743,682.65</w:t>
            </w:r>
          </w:p>
        </w:tc>
      </w:tr>
    </w:tbl>
    <w:p>
      <w:pPr>
        <w:widowControl w:val="0"/>
        <w:spacing w:after="179" w:line="1" w:lineRule="exact"/>
      </w:pPr>
    </w:p>
    <w:p>
      <w:pPr>
        <w:pStyle w:val="Style27"/>
        <w:keepNext/>
        <w:keepLines/>
        <w:widowControl w:val="0"/>
        <w:shd w:val="clear" w:color="auto" w:fill="auto"/>
        <w:bidi w:val="0"/>
        <w:spacing w:before="0" w:after="10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27"/>
      <w:bookmarkEnd w:id="1328"/>
      <w:bookmarkEnd w:id="133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223,000,620.51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231,777,207.41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19,877,462.06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18,871,613.90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5,470,706.09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6,012,855.30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9,070,170.86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16,864,065.04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19,607,841.43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26,577,397.28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15,098,888.92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11,405,873.59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234,230,424.03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240,037,654.64</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财务费用中本年度确认租赁负债利息费用为</w:t>
      </w:r>
      <w:r>
        <w:rPr>
          <w:rFonts w:ascii="Times New Roman" w:eastAsia="Times New Roman" w:hAnsi="Times New Roman" w:cs="Times New Roman"/>
          <w:color w:val="000000"/>
          <w:spacing w:val="0"/>
          <w:w w:val="100"/>
          <w:position w:val="0"/>
        </w:rPr>
        <w:t>3,365,614.89</w:t>
      </w:r>
      <w:r>
        <w:rPr>
          <w:color w:val="000000"/>
          <w:spacing w:val="0"/>
          <w:w w:val="100"/>
          <w:position w:val="0"/>
        </w:rPr>
        <w:t>元。</w:t>
      </w:r>
      <w:r>
        <w:br w:type="page"/>
      </w:r>
    </w:p>
    <w:p>
      <w:pPr>
        <w:pStyle w:val="Style27"/>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331"/>
      <w:bookmarkEnd w:id="1332"/>
      <w:bookmarkEnd w:id="13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125"/>
        <w:gridCol w:w="1800"/>
        <w:gridCol w:w="165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113,342,024.11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129,479,533.54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高档新型纤维面料项目开发补助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62,608.00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124,992.00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提高自主创新能力及高新技术产业发展项目专项资金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214,285.68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214,285.68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重点产业振兴和技术改造项目专项资金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1,035,714.36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1,035,714.36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高档纱线公共实验检测平台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20,000.04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20,000.04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技术中心项目专项资金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工业企业技术改造专项资金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229,718.64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484,115.16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年度省协同创新与平台环境建设专项资金（广东智慧城市研究院产学研 合作项目）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年市战略性主导产业发展资金拟扶持新业态项目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166,666.50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年天河区配套大数据信息资源库核心技术开发及示范应用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年企业研发机构建设专项项目（广州市北明智慧城市信息资源集成技术 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266,666.84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399,999.96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年省级信息产业发展专项资金（电子政务公共服务云平台）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年度科技计划经费补助（天河区配套</w:t>
            </w:r>
            <w:r>
              <w:rPr>
                <w:rFonts w:ascii="Times New Roman" w:eastAsia="Times New Roman" w:hAnsi="Times New Roman" w:cs="Times New Roman"/>
                <w:color w:val="000000"/>
                <w:spacing w:val="0"/>
                <w:w w:val="100"/>
                <w:position w:val="0"/>
              </w:rPr>
              <w:t>-</w:t>
            </w:r>
            <w:r>
              <w:rPr>
                <w:color w:val="000000"/>
                <w:spacing w:val="0"/>
                <w:w w:val="100"/>
                <w:position w:val="0"/>
              </w:rPr>
              <w:t>智慧城市跨领域协同的云 服务平台研发及示范应用）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50,000.04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50,000.04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年广东省应用型科技研发专项资金（视频大数据云平台研究以及应用）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399,999.96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399,999.96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年智慧广州专项资金（智慧城市信息资源统一管理和服务平台）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171,428.52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171,428.52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年度科技计划经费补助（面向移动端的政务协同服务平台）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年度广东省应用型科技研发专项资金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500,000.04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年省级前沿与关键技术创新专项资金（面向科技创新服务的大数据技术 研发及示范应用）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285,714.24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年广州市天河区财政局工业和信息化专项资金（基于云计算的智慧政务 协同服务及应用项目）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444,444.48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年省级工业和信息化专项（支持大数据示范应用）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228,318.60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年天河区科技计划项目（基于神经网络的海量文档相似性分析技术及示 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50,000.04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大数据生命周期管理技术及其在智慧城市中的应用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255,319.20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腾讯工业互联网粤港澳大湾区基建设补贴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103,593,128.79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144,553,136.31</w:t>
            </w:r>
          </w:p>
        </w:tc>
      </w:tr>
    </w:tbl>
    <w:p>
      <w:pPr>
        <w:spacing w:lineRule="exact" w:line="1"/>
        <w:rPr>
          <w:sz w:val="2"/>
          <w:szCs w:val="2"/>
        </w:rPr>
      </w:pPr>
      <w:r>
        <w:br w:type="page"/>
      </w:r>
    </w:p>
    <w:tbl>
      <w:tblPr>
        <w:tblOverlap w:val="never"/>
        <w:jc w:val="center"/>
        <w:tblLayout w:type="fixed"/>
      </w:tblPr>
      <w:tblGrid>
        <w:gridCol w:w="6125"/>
        <w:gridCol w:w="1800"/>
        <w:gridCol w:w="165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出口信保补贴资金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12,300.00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园区招商引资补贴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867,904.62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383,851.11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657,204.27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8,043,929.02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省科技惠民专项资金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13,367.88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年市级中小企业创业补助资金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15,165.36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年市级科技型中小企业创新发展验收资金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4,753.20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年省级信息公共服务平台和两化融合奖励资金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16,128.02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年临沂市科技惠民计划专项资金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27,768.83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年市级信息产业发展专项资金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5,149.51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年省科技型中小企业技术创新发展专项扶持资金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4,446.19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6,360.00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6,417,805.86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5,707,870.15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859,549.44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创新工作室创新奖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42,000.00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正定纺织工业园建设补助资金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3,866,626.14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年度工业企业技术改造补助资金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年度工业企业技术改造专项资金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1,184,999.81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14,600.00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市级促进外经贸稳定增长专项资金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自备井关停奖励资金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蓝天圣木站地铁站占地补偿款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12,547.00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河北省市场监督管理局专利资助资金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特种作业人员财政补贴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年省级前沿与关键技术创新专项资金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23,809.52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一体化平台专项资金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武器装备科研生产单位保密资格补助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年四季度规模以上软件企业营收增长支持专项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704,900.00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2020</w:t>
            </w:r>
            <w:r>
              <w:rPr>
                <w:color w:val="000000"/>
                <w:spacing w:val="0"/>
                <w:w w:val="100"/>
                <w:position w:val="0"/>
              </w:rPr>
              <w:t>年三季度规模以上软件企业营收增长专项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455,000.00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年广州市商务发展专项资金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691,800.00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天河区产业发展专项资金支持天河科技园、天河软件园发展专项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2,382,000.00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大数据生命周期管理技术及其在智慧城市中的应用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21,276.60</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年广州市天河区财政局工业和信息化专项资金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37,037.04</w:t>
            </w:r>
          </w:p>
        </w:tc>
      </w:tr>
    </w:tbl>
    <w:p>
      <w:pPr>
        <w:spacing w:lineRule="exact" w:line="1"/>
        <w:rPr>
          <w:sz w:val="2"/>
          <w:szCs w:val="2"/>
        </w:rPr>
      </w:pPr>
      <w:r>
        <w:br w:type="page"/>
      </w:r>
    </w:p>
    <w:tbl>
      <w:tblPr>
        <w:tblOverlap w:val="never"/>
        <w:jc w:val="center"/>
        <w:tblLayout w:type="fixed"/>
      </w:tblPr>
      <w:tblGrid>
        <w:gridCol w:w="6125"/>
        <w:gridCol w:w="1800"/>
        <w:gridCol w:w="165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年天河区科技计划项目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年省级工业和信息化专项（支持大数据示范应用）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19,026.55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年企业研发支出财政补助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187,500.00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新兴产业企业发展扶持资金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济南高新区管委会科技经济运行局高端软件保险补偿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324,000.00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滞留湖北人员临时性岗位补贴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10,780.00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专利工作专项资金资助款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年临沂一次性吸纳就业补贴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社保对企业培训补贴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年青岛软博会引导补助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14,814.03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中央外经贸发展资金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石家庄高新区经济发展局拔工业企业稳增长激励奖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302,616.09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大数据可视化分析技术在重点行业领域的应用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年度市级、区级企业研究开发财政补助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年度总部经济奖励项目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1,609,149.00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年广州市天河区专利工作专项资金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年办公场所租赁补助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年广州市商务发展专项资金服务贸易事项项目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年山东省企业研究开发财政补助资金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年残疾人超比例奖励金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SCBZ1812GZ002A-2017</w:t>
            </w:r>
            <w:r>
              <w:rPr>
                <w:color w:val="000000"/>
                <w:spacing w:val="0"/>
                <w:w w:val="100"/>
                <w:position w:val="0"/>
              </w:rPr>
              <w:t>年度高新技术企业认定通过奖励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SCBZ2112GZ001A-2021</w:t>
            </w:r>
            <w:r>
              <w:rPr>
                <w:color w:val="000000"/>
                <w:spacing w:val="0"/>
                <w:w w:val="100"/>
                <w:position w:val="0"/>
              </w:rPr>
              <w:t>年天河区企业研发投入支持专项资金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398,900.00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SCBZ2112GZ002A-2021</w:t>
            </w:r>
            <w:r>
              <w:rPr>
                <w:color w:val="000000"/>
                <w:spacing w:val="0"/>
                <w:w w:val="100"/>
                <w:position w:val="0"/>
              </w:rPr>
              <w:t>年天河区软件业企业营收增长奖励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法律智能咨询机器人项目补贴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108,259.63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营商助企大数据公共服务平台及示范应用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河北省市场监督管理局专利资助资金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石家庄市社会保险中心</w:t>
            </w:r>
            <w:r>
              <w:rPr>
                <w:rFonts w:ascii="Times New Roman" w:eastAsia="Times New Roman" w:hAnsi="Times New Roman" w:cs="Times New Roman"/>
                <w:color w:val="000000"/>
                <w:spacing w:val="0"/>
                <w:w w:val="100"/>
                <w:position w:val="0"/>
              </w:rPr>
              <w:t>2020</w:t>
            </w:r>
            <w:r>
              <w:rPr>
                <w:color w:val="000000"/>
                <w:spacing w:val="0"/>
                <w:w w:val="100"/>
                <w:position w:val="0"/>
              </w:rPr>
              <w:t>年稳岗返还补贴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石家庄市长安区发展和改革局战略性新兴产业发展专项资金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河北省职业技能培训补贴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1,568,100.00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25"/>
        <w:gridCol w:w="1800"/>
        <w:gridCol w:w="165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488,744.58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299,856.96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709,844.64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176,483.53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249,528,633.13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307,903,868.17</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35"/>
      <w:bookmarkEnd w:id="1336"/>
      <w:bookmarkEnd w:id="13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3"/>
        <w:gridCol w:w="2098"/>
        <w:gridCol w:w="20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1,587,598.32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1,331,026.72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616,766.33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571,869.00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5,684,165.12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6,105,206.40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5,014,674.62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利率掉期、货币掉期形成的投资收益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-2,664,785.32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-1,297,749.36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5,223,744.45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10,525,027.38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5</w:t>
      </w:r>
      <w:bookmarkEnd w:id="134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339"/>
      <w:bookmarkEnd w:id="1340"/>
      <w:bookmarkEnd w:id="13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2174"/>
        <w:gridCol w:w="201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-5,887,342.52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-5,887,342.52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1,389,485.98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-5,887,342.52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343"/>
      <w:bookmarkEnd w:id="1344"/>
      <w:bookmarkEnd w:id="13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626"/>
        <w:gridCol w:w="268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-7,664,287.25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-30,583,485.58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-23,190,875.15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-23,860,958.61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657,813.69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-906,998.13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-30,197,348.71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-55,351,442.32</w:t>
            </w:r>
          </w:p>
        </w:tc>
      </w:tr>
    </w:tbl>
    <w:p>
      <w:pPr>
        <w:widowControl w:val="0"/>
        <w:spacing w:after="299" w:line="1" w:lineRule="exact"/>
      </w:pPr>
    </w:p>
    <w:p>
      <w:pPr>
        <w:pStyle w:val="Style27"/>
        <w:keepNext/>
        <w:keepLines/>
        <w:widowControl w:val="0"/>
        <w:shd w:val="clear" w:color="auto" w:fill="auto"/>
        <w:bidi w:val="0"/>
        <w:spacing w:before="0" w:after="34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5</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47"/>
      <w:bookmarkEnd w:id="1348"/>
      <w:bookmarkEnd w:id="1350"/>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43"/>
        <w:gridCol w:w="2443"/>
        <w:gridCol w:w="2299"/>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-26,032,256.14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-8,804,057.98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-3,798,160.40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-49,826,500.00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-24,509,898.87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-23,074,067.70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-11,712,531.46</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-98,932,823.84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-48,824,648.71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351"/>
      <w:bookmarkEnd w:id="1352"/>
      <w:bookmarkEnd w:id="13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-2,845,086.03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3,279,437.83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-2,845,086.03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1,547,362.40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1,732,075.43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-2,845,086.03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3,279,437.83</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5</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55"/>
      <w:bookmarkEnd w:id="1356"/>
      <w:bookmarkEnd w:id="13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24"/>
        <w:gridCol w:w="1982"/>
        <w:gridCol w:w="1906"/>
        <w:gridCol w:w="266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8,764,022.98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1,490,244.75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8,764,022.98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火灾赔偿款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16,825,794.91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16,825,794.91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183,253.85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1,139,031.64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183,253.85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25,773,071.74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2,929,276.39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25,773,071.74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上期发生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96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高新技术</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企业财政</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济南高新 技术产业 开发区管 理委员会</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科技经济 运行局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因研究开 发、技术更 新及改造 等获得的 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2019年</w:t>
      </w:r>
      <w:r>
        <w:rPr>
          <w:color w:val="000000"/>
          <w:spacing w:val="0"/>
          <w:w w:val="100"/>
          <w:position w:val="0"/>
        </w:rPr>
        <w:t>-202</w:t>
      </w:r>
      <w:r>
        <w:rPr>
          <w:color w:val="000000"/>
          <w:spacing w:val="0"/>
          <w:w w:val="100"/>
          <w:position w:val="0"/>
        </w:rPr>
        <w:t xml:space="preserve">1年公司累计向26户火灾受损第三方商户垫付损失款2, </w:t>
      </w:r>
      <w:r>
        <w:rPr>
          <w:color w:val="000000"/>
          <w:spacing w:val="0"/>
          <w:w w:val="100"/>
          <w:position w:val="0"/>
        </w:rPr>
        <w:t xml:space="preserve">982. </w:t>
      </w:r>
      <w:r>
        <w:rPr>
          <w:color w:val="000000"/>
          <w:spacing w:val="0"/>
          <w:w w:val="100"/>
          <w:position w:val="0"/>
        </w:rPr>
        <w:t>61万元，按照谨慎性原则，已在垫付当期确认为 营业外支出。根据公司与商户签定的《棉五火灾赔偿协议书》，公司有权要求赔偿义务人将依法应当赔偿给商户的火灾损失 赔偿款全部直接支付给公司，用于偿付公司提前垫付给商户的款项。2021年公司依据《民事调解书》和《火灾赔偿和解框架 协议》，将中铁一局集团第四工程有限公司承担的火灾损失数额</w:t>
      </w:r>
      <w:r>
        <w:rPr>
          <w:color w:val="000000"/>
          <w:spacing w:val="0"/>
          <w:w w:val="100"/>
          <w:position w:val="0"/>
        </w:rPr>
        <w:t>1,868.41</w:t>
      </w:r>
      <w:r>
        <w:rPr>
          <w:color w:val="000000"/>
          <w:spacing w:val="0"/>
          <w:w w:val="100"/>
          <w:position w:val="0"/>
        </w:rPr>
        <w:t>万元和案件受理费1</w:t>
      </w:r>
      <w:r>
        <w:rPr>
          <w:color w:val="000000"/>
          <w:spacing w:val="0"/>
          <w:w w:val="100"/>
          <w:position w:val="0"/>
        </w:rPr>
        <w:t>.13</w:t>
      </w:r>
      <w:r>
        <w:rPr>
          <w:color w:val="000000"/>
          <w:spacing w:val="0"/>
          <w:w w:val="100"/>
          <w:position w:val="0"/>
        </w:rPr>
        <w:t>万元，共计</w:t>
      </w:r>
      <w:r>
        <w:rPr>
          <w:color w:val="000000"/>
          <w:spacing w:val="0"/>
          <w:w w:val="100"/>
          <w:position w:val="0"/>
        </w:rPr>
        <w:t>1,869.54</w:t>
      </w:r>
      <w:r>
        <w:rPr>
          <w:color w:val="000000"/>
          <w:spacing w:val="0"/>
          <w:w w:val="100"/>
          <w:position w:val="0"/>
        </w:rPr>
        <w:t>万元扣 除应付的风险代理费</w:t>
      </w:r>
      <w:r>
        <w:rPr>
          <w:color w:val="000000"/>
          <w:spacing w:val="0"/>
          <w:w w:val="100"/>
          <w:position w:val="0"/>
        </w:rPr>
        <w:t xml:space="preserve">186. </w:t>
      </w:r>
      <w:r>
        <w:rPr>
          <w:color w:val="000000"/>
          <w:spacing w:val="0"/>
          <w:w w:val="100"/>
          <w:position w:val="0"/>
        </w:rPr>
        <w:t xml:space="preserve">96万元后的金额1, </w:t>
      </w:r>
      <w:r>
        <w:rPr>
          <w:color w:val="000000"/>
          <w:spacing w:val="0"/>
          <w:w w:val="100"/>
          <w:position w:val="0"/>
        </w:rPr>
        <w:t xml:space="preserve">682. </w:t>
      </w:r>
      <w:r>
        <w:rPr>
          <w:color w:val="000000"/>
          <w:spacing w:val="0"/>
          <w:w w:val="100"/>
          <w:position w:val="0"/>
        </w:rPr>
        <w:t>58万元确认为营业外收入。</w:t>
      </w:r>
    </w:p>
    <w:p>
      <w:pPr>
        <w:pStyle w:val="Style27"/>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5</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59"/>
      <w:bookmarkEnd w:id="1360"/>
      <w:bookmarkEnd w:id="13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9"/>
        <w:gridCol w:w="2040"/>
        <w:gridCol w:w="1891"/>
        <w:gridCol w:w="26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419,913.44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419,913.44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158,823.62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158,823.62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2,053,639.92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425,640.09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2,053,639.92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停工损失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30,372,835.13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26,026,864.38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30,372,835.13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3,637,590.81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27,807,701.93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3,637,590.81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36,642,802.92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55,722,285.95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36,642,802.92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公司将代替赔偿义务人垫付的租赁棉五仓库商户的火灾损失赔偿款</w:t>
      </w:r>
      <w:r>
        <w:rPr>
          <w:color w:val="000000"/>
          <w:spacing w:val="0"/>
          <w:w w:val="100"/>
          <w:position w:val="0"/>
        </w:rPr>
        <w:t xml:space="preserve">358. </w:t>
      </w:r>
      <w:r>
        <w:rPr>
          <w:color w:val="000000"/>
          <w:spacing w:val="0"/>
          <w:w w:val="100"/>
          <w:position w:val="0"/>
        </w:rPr>
        <w:t>25万元计入了营业外支出。</w:t>
      </w:r>
    </w:p>
    <w:p>
      <w:pPr>
        <w:pStyle w:val="Style2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5</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63"/>
      <w:bookmarkEnd w:id="1364"/>
      <w:bookmarkEnd w:id="1366"/>
    </w:p>
    <w:p>
      <w:pPr>
        <w:pStyle w:val="Style2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3"/>
      <w:bookmarkEnd w:id="1364"/>
      <w:bookmarkEnd w:id="13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29,959,317.15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27,516,657.45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-20,611,342.32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-12,132,491.25</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9,347,974.83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15,384,166.20</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8"/>
      <w:bookmarkEnd w:id="1369"/>
      <w:bookmarkEnd w:id="13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98"/>
        <w:gridCol w:w="31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139,075,239.18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34,768,809.80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-34,420,728.06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487,570.36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-122,547.63</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3,074,266.74</w:t>
            </w:r>
          </w:p>
        </w:tc>
      </w:tr>
    </w:tbl>
    <w:p>
      <w:pPr>
        <w:spacing w:lineRule="exact" w:line="1"/>
        <w:rPr>
          <w:sz w:val="2"/>
          <w:szCs w:val="2"/>
        </w:rPr>
      </w:pPr>
      <w:r>
        <w:br w:type="page"/>
      </w:r>
    </w:p>
    <w:tbl>
      <w:tblPr>
        <w:tblOverlap w:val="never"/>
        <w:jc w:val="center"/>
        <w:tblLayout w:type="fixed"/>
      </w:tblPr>
      <w:tblGrid>
        <w:gridCol w:w="6398"/>
        <w:gridCol w:w="31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4,795,941.54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19,666,274.87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-2,038,758.88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-16,848,888.38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其他调整因素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-13,965.53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9,347,974.83</w:t>
            </w:r>
          </w:p>
        </w:tc>
      </w:tr>
    </w:tbl>
    <w:p>
      <w:pPr>
        <w:widowControl w:val="0"/>
        <w:spacing w:after="319" w:line="1" w:lineRule="exact"/>
      </w:pPr>
    </w:p>
    <w:p>
      <w:pPr>
        <w:pStyle w:val="Style27"/>
        <w:keepNext/>
        <w:keepLines/>
        <w:widowControl w:val="0"/>
        <w:shd w:val="clear" w:color="auto" w:fill="auto"/>
        <w:tabs>
          <w:tab w:pos="483"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5</w:t>
      </w:r>
      <w:bookmarkEnd w:id="137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71"/>
      <w:bookmarkEnd w:id="1372"/>
      <w:bookmarkEnd w:id="137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39</w:t>
      </w:r>
      <w:r>
        <w:rPr>
          <w:color w:val="000000"/>
          <w:spacing w:val="0"/>
          <w:w w:val="100"/>
          <w:position w:val="0"/>
        </w:rPr>
        <w:t>。</w:t>
      </w:r>
    </w:p>
    <w:p>
      <w:pPr>
        <w:pStyle w:val="Style27"/>
        <w:keepNext/>
        <w:keepLines/>
        <w:widowControl w:val="0"/>
        <w:shd w:val="clear" w:color="auto" w:fill="auto"/>
        <w:tabs>
          <w:tab w:pos="483"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375"/>
      <w:bookmarkEnd w:id="1376"/>
      <w:bookmarkEnd w:id="1378"/>
    </w:p>
    <w:p>
      <w:pPr>
        <w:pStyle w:val="Style27"/>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9" w:name="bookmark13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5"/>
      <w:bookmarkEnd w:id="1376"/>
      <w:bookmarkEnd w:id="13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19,877,462.06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18,871,613.90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60,508,310.42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923,354,404.42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12,025,910.26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2,677,434.82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1,902,565.52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8,731,940.98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1,549,135.75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19,059,002.40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7,513,302.36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122,105,191.64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953,965,891.25</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0"/>
      <w:bookmarkEnd w:id="1381"/>
      <w:bookmarkEnd w:id="13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378,993,426.65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288,750,439.91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15,374,059.65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21,019,541.11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1,450,404.65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定期存单质押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594,367,486.30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311,220,385.67</w:t>
            </w:r>
          </w:p>
        </w:tc>
      </w:tr>
    </w:tbl>
    <w:p>
      <w:pPr>
        <w:widowControl w:val="0"/>
        <w:spacing w:after="319" w:line="1" w:lineRule="exact"/>
      </w:pPr>
    </w:p>
    <w:p>
      <w:pPr>
        <w:pStyle w:val="Style27"/>
        <w:keepNext/>
        <w:keepLines/>
        <w:widowControl w:val="0"/>
        <w:shd w:val="clear" w:color="auto" w:fill="auto"/>
        <w:bidi w:val="0"/>
        <w:spacing w:before="0" w:after="34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3"/>
      <w:bookmarkEnd w:id="1384"/>
      <w:bookmarkEnd w:id="1386"/>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收到索科维尔原股东返还股权款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5,075,640.00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5,075,640.00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87"/>
      <w:bookmarkEnd w:id="1388"/>
      <w:bookmarkEnd w:id="13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477"/>
        <w:gridCol w:w="244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处置子公司及丧失控制权子公司的现金净额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3,986,821.38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3,986,821.38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91"/>
      <w:bookmarkEnd w:id="1392"/>
      <w:bookmarkEnd w:id="13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148,920,000.00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148,920,000.00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95"/>
      <w:bookmarkEnd w:id="1396"/>
      <w:bookmarkEnd w:id="13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售后回租服务费及保证金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212,510,150.72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289,158,466.04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33,613,906.80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支付的担保费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252,024,057.52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289,158,466.04</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99"/>
      <w:bookmarkEnd w:id="1400"/>
      <w:bookmarkEnd w:id="1402"/>
    </w:p>
    <w:p>
      <w:pPr>
        <w:pStyle w:val="Style27"/>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9"/>
      <w:bookmarkEnd w:id="1400"/>
      <w:bookmarkEnd w:id="14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61"/>
        <w:gridCol w:w="1603"/>
        <w:gridCol w:w="15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129,727,264.35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107,109,438.39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129,130,172.55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104,176,091.03</w:t>
            </w:r>
          </w:p>
        </w:tc>
      </w:tr>
    </w:tbl>
    <w:p>
      <w:pPr>
        <w:spacing w:lineRule="exact" w:line="1"/>
        <w:rPr>
          <w:sz w:val="2"/>
          <w:szCs w:val="2"/>
        </w:rPr>
      </w:pPr>
      <w:r>
        <w:br w:type="page"/>
      </w:r>
    </w:p>
    <w:tbl>
      <w:tblPr>
        <w:tblOverlap w:val="never"/>
        <w:jc w:val="center"/>
        <w:tblLayout w:type="fixed"/>
      </w:tblPr>
      <w:tblGrid>
        <w:gridCol w:w="6456"/>
        <w:gridCol w:w="1603"/>
        <w:gridCol w:w="15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201,528,407.72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200,400,244.22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29,242,601.79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54,823,050.89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43,862,490.00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6,629,250.97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5,245,855.18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处置固定资产、无形资产和其他长期资产的损失（收益以“一”号填列）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2,845,086.03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-3,279,437.83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158,823.62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12,079.55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206,992,243.85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220,616,410.56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-5,223,744.45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-10,525,027.38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-15,302,733.94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-11,267,526.43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-453,009.97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-864,964.82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-619,282,524.82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-239,777,915.53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-1,112,948,358.90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-41,386,799.19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1,452,224,800.42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626,769,213.44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458,701,844.13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1,006,977,493.71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1,941,910,689.67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2,089,017,760.59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2,089,017,760.59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1,562,005,260.60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-147,107,070.92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527,012,499.99</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04"/>
      <w:bookmarkEnd w:id="1405"/>
      <w:bookmarkEnd w:id="14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90"/>
        <w:gridCol w:w="358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4,360,751.38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北京天时前程工程技术有限公司（北京智合瑞行能源科技有限公司）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373,930.00</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3,986,821.38</w:t>
            </w:r>
          </w:p>
        </w:tc>
      </w:tr>
    </w:tbl>
    <w:p>
      <w:pPr>
        <w:spacing w:lineRule="exact" w:line="1"/>
        <w:rPr>
          <w:sz w:val="2"/>
          <w:szCs w:val="2"/>
        </w:rPr>
      </w:pPr>
      <w:r>
        <w:br w:type="page"/>
      </w:r>
    </w:p>
    <w:tbl>
      <w:tblPr>
        <w:tblOverlap w:val="never"/>
        <w:jc w:val="center"/>
        <w:tblLayout w:type="fixed"/>
      </w:tblPr>
      <w:tblGrid>
        <w:gridCol w:w="5990"/>
        <w:gridCol w:w="35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4,170,234.01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北京天时前程工程技术有限公司（北京智合瑞行能源科技有限公司）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183,412.63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3,986,821.38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190,517.37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07"/>
      <w:bookmarkEnd w:id="1408"/>
      <w:bookmarkEnd w:id="14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1,941,910,689.67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2,089,017,760.59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1,095,962.32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939,731.68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1,940,814,727.35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2,088,078,028.91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1,941,910,689.67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2,089,017,760.59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6</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11"/>
      <w:bookmarkEnd w:id="1412"/>
      <w:bookmarkEnd w:id="14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2314"/>
        <w:gridCol w:w="393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419,361,973.27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票据、保函及农民工工资保证金及质押银行存单</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937,486,123.36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项目借款抵押、售后回租设备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42,804,000.48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1,399,652,097.11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6</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5"/>
      <w:bookmarkEnd w:id="1416"/>
      <w:bookmarkEnd w:id="1418"/>
    </w:p>
    <w:p>
      <w:pPr>
        <w:pStyle w:val="Style27"/>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5"/>
      <w:bookmarkEnd w:id="1416"/>
      <w:bookmarkEnd w:id="14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6,333,223.87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993,166.73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6,332,133.12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4,897,218.14</w:t>
            </w:r>
          </w:p>
        </w:tc>
      </w:tr>
    </w:tbl>
    <w:p>
      <w:pPr>
        <w:spacing w:lineRule="exact" w:line="1"/>
        <w:rPr>
          <w:sz w:val="2"/>
          <w:szCs w:val="2"/>
        </w:rPr>
      </w:pPr>
      <w:r>
        <w:br w:type="page"/>
      </w:r>
    </w:p>
    <w:tbl>
      <w:tblPr>
        <w:tblOverlap w:val="never"/>
        <w:jc w:val="center"/>
        <w:tblLayout w:type="fixed"/>
      </w:tblPr>
      <w:tblGrid>
        <w:gridCol w:w="2496"/>
        <w:gridCol w:w="2294"/>
        <w:gridCol w:w="2390"/>
        <w:gridCol w:w="23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768,106.74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4,897,218.14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19,107.97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19,107.97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39,044.79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6,124.00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39,044.79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122,455,944.69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19,206,666.67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122,455,944.69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420"/>
      <w:bookmarkEnd w:id="1421"/>
      <w:bookmarkEnd w:id="1423"/>
    </w:p>
    <w:p>
      <w:pPr>
        <w:pStyle w:val="Style27"/>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20"/>
      <w:bookmarkEnd w:id="1421"/>
      <w:bookmarkEnd w:id="14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694"/>
        <w:gridCol w:w="4363"/>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both"/>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103,593,128.79</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263,726.15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263,726.15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37,200.00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石家庄高新区经济发展局拔工业企业稳增长激励奖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河北省市场监督管理局专利资助资金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石家庄市长安区发展和改革局战略性新兴产业发展专 项资金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1,568,100.00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河北省职业技能培训补贴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1,568,100.00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中央外经贸发展资金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302,616.09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302,616.09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大数据可视化分析技术在重点行业领域的应用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4,800,000.00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年度市级、区级企业研究开发财政补助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187,500.00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1,609,149.00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年度总部经济奖励项目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1,609,149.00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年广州市天河区专利工作专项资金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年办公场所租赁补助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470,000.00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144,300.00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年广州市商务发展专项资金服务贸易事项项目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144,300.00</w:t>
            </w:r>
          </w:p>
        </w:tc>
      </w:tr>
      <w:tr>
        <w:trPr>
          <w:trHeight w:val="3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363,000.00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年山东省企业研究开发财政补助资金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363,000.00</w:t>
            </w:r>
          </w:p>
        </w:tc>
      </w:tr>
    </w:tbl>
    <w:p>
      <w:pPr>
        <w:spacing w:lineRule="exact" w:line="1"/>
        <w:rPr>
          <w:sz w:val="2"/>
          <w:szCs w:val="2"/>
        </w:rPr>
      </w:pPr>
      <w:r>
        <w:br w:type="page"/>
      </w:r>
    </w:p>
    <w:tbl>
      <w:tblPr>
        <w:tblOverlap w:val="never"/>
        <w:jc w:val="center"/>
        <w:tblLayout w:type="fixed"/>
      </w:tblPr>
      <w:tblGrid>
        <w:gridCol w:w="1598"/>
        <w:gridCol w:w="1694"/>
        <w:gridCol w:w="4363"/>
        <w:gridCol w:w="192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年残疾人超比例奖励金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高新技术企业认定通过奖励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天河区企业研发投入支持专项资金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398,900.00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天河区软件业企业营收增长奖励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225,000.00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法律智能咨询机器人项目补贴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3,810,000.00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哈尔滨工业大学公共安全风险防控与应急技术装备重 点专项课题研究</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检察机关跨平台安全可靠数据共享交换与数据治理关 键技术及标准规范研究</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检察机关统一办案系统运行支撑及检务数据治理的全 链条集成方案研究及应用示范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南宁片区企业开办奖励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423,468.79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423,468.79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29,198.47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29,198.47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80,494.95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80,494.95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腾讯云（辽宁）工业互联网基地项目合作协议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腾讯云（重庆）工业互联网基地、北明数科西南总部 项目建设补贴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414,862.05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414,862.05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研究基于多维度主题的全流程案件画像技术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营商助企大数据公共服务平台及示范应用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1,240,000.00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857,904.62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园区招商引资补贴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857,904.62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6,417,805.86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6,417,805.86</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sz w:val="24"/>
          <w:szCs w:val="24"/>
        </w:rPr>
        <w:t>八</w:t>
      </w:r>
      <w:bookmarkEnd w:id="1427"/>
      <w:r>
        <w:rPr>
          <w:color w:val="000000"/>
          <w:spacing w:val="0"/>
          <w:w w:val="100"/>
          <w:position w:val="0"/>
          <w:sz w:val="24"/>
          <w:szCs w:val="24"/>
        </w:rPr>
        <w:t>、合并范围的变更</w:t>
      </w:r>
      <w:bookmarkEnd w:id="1425"/>
      <w:bookmarkEnd w:id="1426"/>
      <w:bookmarkEnd w:id="1428"/>
    </w:p>
    <w:p>
      <w:pPr>
        <w:pStyle w:val="Style27"/>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29"/>
      <w:bookmarkEnd w:id="1430"/>
      <w:bookmarkEnd w:id="14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4"/>
        <w:gridCol w:w="739"/>
        <w:gridCol w:w="739"/>
      </w:tblGrid>
      <w:tr>
        <w:trPr>
          <w:trHeight w:val="228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价款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股权</w:t>
            </w:r>
          </w:p>
          <w:p>
            <w:pPr>
              <w:pStyle w:val="Style20"/>
              <w:keepNext w:val="0"/>
              <w:keepLines w:val="0"/>
              <w:widowControl w:val="0"/>
              <w:shd w:val="clear" w:color="auto" w:fill="auto"/>
              <w:bidi w:val="0"/>
              <w:spacing w:before="0" w:after="0" w:line="307" w:lineRule="exact"/>
              <w:ind w:left="180" w:right="0" w:firstLine="0"/>
              <w:jc w:val="left"/>
            </w:pPr>
            <w:r>
              <w:rPr>
                <w:color w:val="000000"/>
                <w:spacing w:val="0"/>
                <w:w w:val="100"/>
                <w:position w:val="0"/>
              </w:rPr>
              <w:t>处置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 控制 权的 时点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180" w:right="0" w:firstLine="0"/>
              <w:jc w:val="left"/>
            </w:pPr>
            <w:r>
              <w:rPr>
                <w:color w:val="000000"/>
                <w:spacing w:val="0"/>
                <w:w w:val="100"/>
                <w:position w:val="0"/>
              </w:rPr>
              <w:t>丧失 控制 权时 点的 确定 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180" w:right="0" w:firstLine="0"/>
              <w:jc w:val="left"/>
            </w:pPr>
            <w:r>
              <w:rPr>
                <w:color w:val="000000"/>
                <w:spacing w:val="0"/>
                <w:w w:val="100"/>
                <w:position w:val="0"/>
              </w:rPr>
              <w:t>处置 价款 与处 置投 资对 应的 合并</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账面</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丧失 控制 权之 日剩 余股 权的 公允</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180" w:right="0" w:firstLine="0"/>
              <w:jc w:val="left"/>
            </w:pPr>
            <w:r>
              <w:rPr>
                <w:color w:val="000000"/>
                <w:spacing w:val="0"/>
                <w:w w:val="100"/>
                <w:position w:val="0"/>
              </w:rPr>
              <w:t>按照 公允 价值 重新 计量 剩余 股权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180" w:right="0" w:firstLine="0"/>
              <w:jc w:val="left"/>
            </w:pPr>
            <w:r>
              <w:rPr>
                <w:color w:val="000000"/>
                <w:spacing w:val="0"/>
                <w:w w:val="100"/>
                <w:position w:val="0"/>
              </w:rPr>
              <w:t>丧失 控制 权之 日剩 余股 权公 允价</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4"/>
        <w:gridCol w:w="734"/>
        <w:gridCol w:w="734"/>
        <w:gridCol w:w="739"/>
        <w:gridCol w:w="734"/>
        <w:gridCol w:w="734"/>
        <w:gridCol w:w="739"/>
        <w:gridCol w:w="739"/>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80" w:right="0" w:firstLine="0"/>
              <w:jc w:val="both"/>
            </w:pPr>
            <w:r>
              <w:rPr>
                <w:color w:val="000000"/>
                <w:spacing w:val="0"/>
                <w:w w:val="100"/>
                <w:position w:val="0"/>
              </w:rPr>
              <w:t>财务 报表 层面 享有 该子 公司 净资 产份 额的 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产生 的利 得或 损失</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值的 确定 方法 及主 要假 设</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 收益 转入 投资 损益 的金 额</w:t>
            </w:r>
          </w:p>
        </w:tc>
      </w:tr>
      <w:tr>
        <w:trPr>
          <w:trHeight w:val="22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 天时 前程 工程 技术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663,40</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616,97</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是否存在通过多次交易分步处置对子公司投资且在本期丧失控制权的情形 口是"否</w:t>
      </w:r>
    </w:p>
    <w:p>
      <w:pPr>
        <w:pStyle w:val="Style27"/>
        <w:keepNext/>
        <w:keepLines/>
        <w:widowControl w:val="0"/>
        <w:shd w:val="clear" w:color="auto" w:fill="auto"/>
        <w:bidi w:val="0"/>
        <w:spacing w:before="0" w:after="280" w:line="240" w:lineRule="auto"/>
        <w:ind w:left="0" w:right="0" w:firstLine="0"/>
        <w:jc w:val="left"/>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32"/>
      <w:bookmarkEnd w:id="1433"/>
      <w:bookmarkEnd w:id="1434"/>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0" w:line="312" w:lineRule="exact"/>
        <w:ind w:left="0" w:right="0" w:firstLine="280"/>
        <w:jc w:val="left"/>
      </w:pPr>
      <w:r>
        <w:rPr>
          <w:color w:val="000000"/>
          <w:spacing w:val="0"/>
          <w:w w:val="100"/>
          <w:position w:val="0"/>
        </w:rPr>
        <w:t>本年度增加八家合并单位为：河北恒合纺织科技有限公司、石家庄恒昇多媒体科技有限公司、河北雄安北明软件有限公 司、南京北明软件有限公司、深圳北明软件有限公司、南宁北明数科信息技术有限公司、辽宁北明数科信息技术有限公司、 深圳北明数科信息技术有限公司，上述八家公司为2021年新设立的公司，其中本公司持有石家庄恒昇多媒体科技有限公司、 河北雄安北明软件有限公司、南京北明软件有限公司、深圳北明软件有限公司股权均为100%，持有河北恒合纺织科技有限公 司98%股权，持有南宁北明数科信息技术有限公司、辽宁北明数科信息技术有限公司、深圳北明数科信息技术有限公司</w:t>
      </w:r>
      <w:r>
        <w:rPr>
          <w:color w:val="000000"/>
          <w:spacing w:val="0"/>
          <w:w w:val="100"/>
          <w:position w:val="0"/>
        </w:rPr>
        <w:t xml:space="preserve">43. </w:t>
      </w:r>
      <w:r>
        <w:rPr>
          <w:color w:val="000000"/>
          <w:spacing w:val="0"/>
          <w:w w:val="100"/>
          <w:position w:val="0"/>
        </w:rPr>
        <w:t>35% 股权。</w:t>
      </w:r>
    </w:p>
    <w:p>
      <w:pPr>
        <w:pStyle w:val="Style18"/>
        <w:keepNext w:val="0"/>
        <w:keepLines w:val="0"/>
        <w:widowControl w:val="0"/>
        <w:shd w:val="clear" w:color="auto" w:fill="auto"/>
        <w:bidi w:val="0"/>
        <w:spacing w:before="0" w:after="340" w:line="315" w:lineRule="exact"/>
        <w:ind w:left="0" w:right="0" w:firstLine="280"/>
        <w:jc w:val="left"/>
      </w:pPr>
      <w:r>
        <w:rPr>
          <w:color w:val="000000"/>
          <w:spacing w:val="0"/>
          <w:w w:val="100"/>
          <w:position w:val="0"/>
        </w:rPr>
        <w:t>本年度减少六家合并单位为：上海常纺恒友国际贸易有限公司、新疆常山恒宏纺织科技有限公司、北明（青岛）信息技 术有限公司、成都北明祺舯信息技术有限公司因注销不在合并范围内。北京枫调理顺科技发展有限公司少数股东签订《一致 行动人协议》，公司对其不再具有控制权，2021年为联营单位。北京天时前程工程技术有限公司（现更名为北京智合瑞行能 源科技有限公司）因处置不在合并范围内。</w:t>
      </w:r>
    </w:p>
    <w:p>
      <w:pPr>
        <w:pStyle w:val="Style23"/>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sz w:val="24"/>
          <w:szCs w:val="24"/>
        </w:rPr>
        <w:t>九</w:t>
      </w:r>
      <w:bookmarkEnd w:id="1437"/>
      <w:r>
        <w:rPr>
          <w:color w:val="000000"/>
          <w:spacing w:val="0"/>
          <w:w w:val="100"/>
          <w:position w:val="0"/>
          <w:sz w:val="24"/>
          <w:szCs w:val="24"/>
        </w:rPr>
        <w:t>、在其他主体中的权益</w:t>
      </w:r>
      <w:bookmarkEnd w:id="1435"/>
      <w:bookmarkEnd w:id="1436"/>
      <w:bookmarkEnd w:id="1438"/>
    </w:p>
    <w:p>
      <w:pPr>
        <w:pStyle w:val="Style27"/>
        <w:keepNext/>
        <w:keepLines/>
        <w:widowControl w:val="0"/>
        <w:shd w:val="clear" w:color="auto" w:fill="auto"/>
        <w:bidi w:val="0"/>
        <w:spacing w:before="0" w:after="34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9"/>
      <w:bookmarkEnd w:id="1440"/>
      <w:bookmarkEnd w:id="1441"/>
    </w:p>
    <w:p>
      <w:pPr>
        <w:pStyle w:val="Style27"/>
        <w:keepNext/>
        <w:keepLines/>
        <w:widowControl w:val="0"/>
        <w:shd w:val="clear" w:color="auto" w:fill="auto"/>
        <w:bidi w:val="0"/>
        <w:spacing w:before="0" w:after="340" w:line="240" w:lineRule="auto"/>
        <w:ind w:left="0" w:right="0" w:firstLine="0"/>
        <w:jc w:val="left"/>
      </w:pPr>
      <w:bookmarkStart w:id="1439" w:name="bookmark1439"/>
      <w:bookmarkStart w:id="1440" w:name="bookmark1440"/>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9"/>
      <w:bookmarkEnd w:id="1440"/>
      <w:bookmarkEnd w:id="1442"/>
    </w:p>
    <w:tbl>
      <w:tblPr>
        <w:tblOverlap w:val="never"/>
        <w:jc w:val="center"/>
        <w:tblLayout w:type="fixed"/>
      </w:tblPr>
      <w:tblGrid>
        <w:gridCol w:w="2587"/>
        <w:gridCol w:w="1171"/>
        <w:gridCol w:w="1138"/>
        <w:gridCol w:w="1334"/>
        <w:gridCol w:w="1109"/>
        <w:gridCol w:w="1008"/>
        <w:gridCol w:w="122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87"/>
        <w:gridCol w:w="1171"/>
        <w:gridCol w:w="1138"/>
        <w:gridCol w:w="1334"/>
        <w:gridCol w:w="1109"/>
        <w:gridCol w:w="1008"/>
        <w:gridCol w:w="122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石家庄常山赵州纺织有限公司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石家庄常山恒荣进出口贸易有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常山股份香港国际贸易有限公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石家庄常山物业服务有限公司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库尔勒常山恒丰商贸有限责任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库尔勒市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库尔勒市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河北恒合纺织科技有限公司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石家庄恒昇多媒体科技有限公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北京北明伟业科技有限公司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北明云智（武汉）网软有限公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北京北明正实科技有限公司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索科维尔（北京）软件系统有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北明明润（北京）科技有限公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北明天时能源科技（北京）有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北明成功软件（山东）有限公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山东济南市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山东济南市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北京爱意生活电子商务有限公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批发</w:t>
            </w:r>
            <w:r>
              <w:rPr>
                <w:rFonts w:ascii="Times New Roman" w:eastAsia="Times New Roman" w:hAnsi="Times New Roman" w:cs="Times New Roman"/>
                <w:color w:val="000000"/>
                <w:spacing w:val="0"/>
                <w:w w:val="100"/>
                <w:position w:val="0"/>
              </w:rPr>
              <w:t>/</w:t>
            </w:r>
            <w:r>
              <w:rPr>
                <w:color w:val="000000"/>
                <w:spacing w:val="0"/>
                <w:w w:val="100"/>
                <w:position w:val="0"/>
              </w:rPr>
              <w:t>零售、互 联网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河北常山恒云数据科技有限公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87"/>
        <w:gridCol w:w="1171"/>
        <w:gridCol w:w="1138"/>
        <w:gridCol w:w="1334"/>
        <w:gridCol w:w="1109"/>
        <w:gridCol w:w="1008"/>
        <w:gridCol w:w="1229"/>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河北北明兴云互联网科技有限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石家庄爱意科技有限公司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舞钢智慧城市科技发展有限公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河南舞钢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河南舞钢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青岛北明智慧城市科技有限公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北京北明数科信息技术有限公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 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石家庄赛孚纺织有限公司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下合并取得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河北北明鼎云信息技术有限公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北明天时智能技术（北京）有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湖南北明信息技术有限公司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湖南北明信创科技有限公司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信息传输、软 件信息技术服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上海北明智齐信息科技有限公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河北雄安北明软件有限公司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机械设备、五 金产品及电子 产品批发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北明天时能源科技（滨州）有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广东北明数科湾区数字技术有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深圳北明数科信息技术有限公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南宁北明数科信息技术有限公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机械设备、五 金产品及电子 产品批发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87"/>
        <w:gridCol w:w="1171"/>
        <w:gridCol w:w="1138"/>
        <w:gridCol w:w="1334"/>
        <w:gridCol w:w="1109"/>
        <w:gridCol w:w="1008"/>
        <w:gridCol w:w="1229"/>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辽宁北明数科信息技术有限公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沈抚示范区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沈抚示范区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重庆北明联数科技有限公司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 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北明天时智能技术（北京）有限公司、北明天时能源科技（滨州）有限公司为北明天时能源科技（北京）有限公司的子 公司，广东北明数科湾区数字技术有限公司、重庆北明联数科技有限公司、辽宁北明数科信息技术有限公司、南宁北明数科 信息技术有限公司、深圳北明数科信息技术有限公司为北京北明数科信息技术有限公司的子公司。</w:t>
      </w:r>
    </w:p>
    <w:p>
      <w:pPr>
        <w:pStyle w:val="Style18"/>
        <w:keepNext w:val="0"/>
        <w:keepLines w:val="0"/>
        <w:widowControl w:val="0"/>
        <w:shd w:val="clear" w:color="auto" w:fill="auto"/>
        <w:bidi w:val="0"/>
        <w:spacing w:before="0" w:after="260" w:line="319" w:lineRule="exact"/>
        <w:ind w:left="0" w:right="0" w:firstLine="360"/>
        <w:jc w:val="both"/>
      </w:pPr>
      <w:r>
        <w:rPr>
          <w:color w:val="000000"/>
          <w:spacing w:val="0"/>
          <w:w w:val="100"/>
          <w:position w:val="0"/>
        </w:rPr>
        <w:t>本公司期末持有北京北明数科信息技术有限公司</w:t>
      </w:r>
      <w:r>
        <w:rPr>
          <w:color w:val="000000"/>
          <w:spacing w:val="0"/>
          <w:w w:val="100"/>
          <w:position w:val="0"/>
        </w:rPr>
        <w:t xml:space="preserve">43. </w:t>
      </w:r>
      <w:r>
        <w:rPr>
          <w:color w:val="000000"/>
          <w:spacing w:val="0"/>
          <w:w w:val="100"/>
          <w:position w:val="0"/>
        </w:rPr>
        <w:t>35%的股权，在北京北明数科信息技术有限公司董事会5个名额中占 有3个名额，可以控制北京北明数科信息技术有限公司的生产经营活动，故本公司将北京北明数科信息技术有限公司纳入合 并范围。</w:t>
      </w:r>
    </w:p>
    <w:p>
      <w:pPr>
        <w:pStyle w:val="Style27"/>
        <w:keepNext/>
        <w:keepLines/>
        <w:widowControl w:val="0"/>
        <w:shd w:val="clear" w:color="auto" w:fill="auto"/>
        <w:bidi w:val="0"/>
        <w:spacing w:before="0" w:after="12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43"/>
      <w:bookmarkEnd w:id="1444"/>
      <w:bookmarkEnd w:id="14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78"/>
        <w:gridCol w:w="1258"/>
        <w:gridCol w:w="1622"/>
        <w:gridCol w:w="1603"/>
        <w:gridCol w:w="13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少数股东持 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 权益余额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-67,626.68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-2,305,958.21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-826,977.68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-310,187.10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-83,477.30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4,879,405.09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北京北明数科信息技术有限公司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8,110,293.58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15,493,581.31</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46"/>
      <w:bookmarkEnd w:id="1447"/>
      <w:bookmarkEnd w:id="144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9"/>
        <w:gridCol w:w="734"/>
        <w:gridCol w:w="734"/>
        <w:gridCol w:w="734"/>
        <w:gridCol w:w="739"/>
        <w:gridCol w:w="739"/>
      </w:tblGrid>
      <w:tr>
        <w:trPr>
          <w:trHeight w:val="408" w:hRule="exact"/>
        </w:trPr>
        <w:tc>
          <w:tcPr>
            <w:vMerge w:val="restart"/>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r>
        <w:trPr>
          <w:trHeight w:val="514"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云智</w:t>
            </w:r>
          </w:p>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 汉）网 软有</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712,50</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714,27</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660.68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510.69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3,643,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313.80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11,007 ,215.4</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11,007 ,215.4</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12"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爱意 生活 电子</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5,403,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1,339,</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925.21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6,743,</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171.52</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8,294,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8,294,</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107.01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7,688,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087.77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10,562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7,978,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7,978,</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390.83</w:t>
            </w:r>
          </w:p>
        </w:tc>
      </w:tr>
      <w:tr>
        <w:trPr>
          <w:trHeight w:val="331"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9"/>
        <w:gridCol w:w="734"/>
        <w:gridCol w:w="734"/>
        <w:gridCol w:w="734"/>
        <w:gridCol w:w="739"/>
        <w:gridCol w:w="74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舞钢 智慧 城市 科技 发展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130,49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5,494.</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137,34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9,633.</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88,555 ,582.7 0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88,555 ,582.7 0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25,430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24,230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,454.6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49,660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,658.4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31,834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31,834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22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北明 数科 信息 技术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588,23</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6,762.</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109,35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1,150.</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697,58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7,913.</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565,10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7,688.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102,19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1,467.</w:t>
            </w:r>
          </w:p>
          <w:p>
            <w:pPr>
              <w:pStyle w:val="Style20"/>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667,29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9,155.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521,24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20,113 ,285.2 1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541,35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8,466.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452,07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9,365.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512,07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9,365.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经营活动</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北明云智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（武汉）网 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138,716.98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-222,485.4</w:t>
            </w:r>
          </w:p>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-222,485.4</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-692,234.6</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-1,405,495.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-1,405,495.</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336,110.29</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北京爱意</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生活电子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商务有限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1,502,996.</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-4,134,888.</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-4,134,888.</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-379,263.3</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5,376,408.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-5,848,772.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-5,848,772.</w:t>
            </w:r>
          </w:p>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-1,021,427.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舞钢智慧 城市科技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-834,773.0</w:t>
            </w:r>
          </w:p>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-834,773.0</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-833,975.1</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-218,528.9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-218,528.9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-215,083.3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北京北明 数科信息 技术有限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623,802,58</w:t>
            </w:r>
          </w:p>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1,009,657.</w:t>
            </w:r>
          </w:p>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1,009,657. 54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36,486,940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590,576,32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25,260,014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25,260,014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47,591,969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299" w:line="1" w:lineRule="exact"/>
      </w:pPr>
    </w:p>
    <w:p>
      <w:pPr>
        <w:pStyle w:val="Style27"/>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50"/>
      <w:bookmarkEnd w:id="1451"/>
      <w:bookmarkEnd w:id="1452"/>
    </w:p>
    <w:p>
      <w:pPr>
        <w:pStyle w:val="Style27"/>
        <w:keepNext/>
        <w:keepLines/>
        <w:widowControl w:val="0"/>
        <w:shd w:val="clear" w:color="auto" w:fill="auto"/>
        <w:bidi w:val="0"/>
        <w:spacing w:before="0" w:after="240" w:line="240" w:lineRule="auto"/>
        <w:ind w:left="0" w:right="0" w:firstLine="0"/>
        <w:jc w:val="left"/>
      </w:pPr>
      <w:bookmarkStart w:id="1450" w:name="bookmark1450"/>
      <w:bookmarkStart w:id="1451" w:name="bookmark1451"/>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450"/>
      <w:bookmarkEnd w:id="1451"/>
      <w:bookmarkEnd w:id="1453"/>
    </w:p>
    <w:p>
      <w:pPr>
        <w:pStyle w:val="Style18"/>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 xml:space="preserve">子公司北明数科信息技术有限公司根据股东会决议，同意王进宏向北明数科信息技术有限公司增资10, 588, </w:t>
      </w:r>
      <w:r>
        <w:rPr>
          <w:color w:val="000000"/>
          <w:spacing w:val="0"/>
          <w:w w:val="100"/>
          <w:position w:val="0"/>
        </w:rPr>
        <w:t xml:space="preserve">235. </w:t>
      </w:r>
      <w:r>
        <w:rPr>
          <w:color w:val="000000"/>
          <w:spacing w:val="0"/>
          <w:w w:val="100"/>
          <w:position w:val="0"/>
        </w:rPr>
        <w:t>00元， 增资完成后北明软件持有其</w:t>
      </w:r>
      <w:r>
        <w:rPr>
          <w:color w:val="000000"/>
          <w:spacing w:val="0"/>
          <w:w w:val="100"/>
          <w:position w:val="0"/>
        </w:rPr>
        <w:t xml:space="preserve">43. </w:t>
      </w:r>
      <w:r>
        <w:rPr>
          <w:color w:val="000000"/>
          <w:spacing w:val="0"/>
          <w:w w:val="100"/>
          <w:position w:val="0"/>
        </w:rPr>
        <w:t>35%股权。</w:t>
      </w:r>
      <w:r>
        <w:br w:type="page"/>
      </w:r>
    </w:p>
    <w:p>
      <w:pPr>
        <w:pStyle w:val="Style27"/>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454"/>
      <w:bookmarkEnd w:id="1455"/>
      <w:bookmarkEnd w:id="14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18"/>
        <w:gridCol w:w="365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6,063,471.42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-6,063,471.42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6,063,471.42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color w:val="000000"/>
          <w:spacing w:val="0"/>
          <w:w w:val="100"/>
          <w:position w:val="0"/>
        </w:rPr>
        <w:t>、在合营安排或联营企业中的权益</w:t>
      </w:r>
      <w:bookmarkEnd w:id="1457"/>
      <w:bookmarkEnd w:id="1458"/>
      <w:bookmarkEnd w:id="1460"/>
    </w:p>
    <w:p>
      <w:pPr>
        <w:pStyle w:val="Style27"/>
        <w:keepNext/>
        <w:keepLines/>
        <w:widowControl w:val="0"/>
        <w:shd w:val="clear" w:color="auto" w:fill="auto"/>
        <w:bidi w:val="0"/>
        <w:spacing w:before="0" w:after="340" w:line="240" w:lineRule="auto"/>
        <w:ind w:left="0" w:right="0" w:firstLine="0"/>
        <w:jc w:val="left"/>
      </w:pPr>
      <w:bookmarkStart w:id="1457" w:name="bookmark1457"/>
      <w:bookmarkStart w:id="1458" w:name="bookmark1458"/>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57"/>
      <w:bookmarkEnd w:id="1458"/>
      <w:bookmarkEnd w:id="1461"/>
    </w:p>
    <w:tbl>
      <w:tblPr>
        <w:tblOverlap w:val="never"/>
        <w:jc w:val="center"/>
        <w:tblLayout w:type="fixed"/>
      </w:tblPr>
      <w:tblGrid>
        <w:gridCol w:w="1373"/>
        <w:gridCol w:w="1368"/>
        <w:gridCol w:w="1368"/>
        <w:gridCol w:w="1368"/>
        <w:gridCol w:w="1363"/>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北京国智云鼎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全面智能（厦 门）科技有限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北京枫调理顺</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科技发展有限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 用服务业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7"/>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62"/>
      <w:bookmarkEnd w:id="1463"/>
      <w:bookmarkEnd w:id="146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512"/>
        <w:gridCol w:w="1411"/>
        <w:gridCol w:w="1320"/>
        <w:gridCol w:w="1382"/>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国智云鼎</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全面智能</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枫调理顺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国智云鼎</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全面智能</w:t>
            </w:r>
          </w:p>
        </w:tc>
      </w:tr>
    </w:tbl>
    <w:p>
      <w:pPr>
        <w:spacing w:lineRule="exact" w:line="1"/>
        <w:rPr>
          <w:sz w:val="2"/>
          <w:szCs w:val="2"/>
        </w:rPr>
      </w:pPr>
      <w:r>
        <w:br w:type="page"/>
      </w:r>
    </w:p>
    <w:tbl>
      <w:tblPr>
        <w:tblOverlap w:val="never"/>
        <w:jc w:val="center"/>
        <w:tblLayout w:type="fixed"/>
      </w:tblPr>
      <w:tblGrid>
        <w:gridCol w:w="2573"/>
        <w:gridCol w:w="1512"/>
        <w:gridCol w:w="1411"/>
        <w:gridCol w:w="1320"/>
        <w:gridCol w:w="1382"/>
        <w:gridCol w:w="13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56,666,499.81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10,179,119.39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8,982,825.75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55,579,927.24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4,158,438.28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3,076,442.20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2,669,537.34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10,773,180.22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3,309,060.84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4,090,002.91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59,742,942.01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12,848,656.73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19,756,005.97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58,888,988.08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8,248,441.19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12,307,535.50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1,277,854.81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3,135,538.86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18,211,139.10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462,289.67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12,307,535.50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1,277,854.81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3,135,538.86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18,211,139.10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462,289.67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47,435,406.51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11,570,801.92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16,620,467.11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40,677,848.98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7,786,151.52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18,974,162.60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4,570,103.18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5,728,114.99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16,271,139.59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5,216,749.82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5,014,674.62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5,014,674.62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5,014,674.62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5,014,674.62</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对联营企业权益投资的账面价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18,974,162.60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9,584,777.80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5,728,114.99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16,271,139.59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10,231,424.44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46,226,201.98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13,571,481.23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7,135,118.30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38,270,909.54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1,269,385.20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6,757,557.52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-10,275,349.60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-14,384,366.08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5,316,785.05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-12,213,848.48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6,757,557.52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-10,275,349.60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-14,384,366.08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5,316,785.05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-12,213,848.48</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本年度收到的来自联营企业的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1465" w:name="bookmark1465"/>
      <w:bookmarkStart w:id="1466" w:name="bookmark1466"/>
      <w:bookmarkStart w:id="1467" w:name="bookmark1467"/>
      <w:r>
        <w:rPr>
          <w:color w:val="000000"/>
          <w:spacing w:val="0"/>
          <w:w w:val="100"/>
          <w:position w:val="0"/>
          <w:sz w:val="24"/>
          <w:szCs w:val="24"/>
        </w:rPr>
        <w:t>十、与金融工具相关的风险</w:t>
      </w:r>
      <w:bookmarkEnd w:id="1465"/>
      <w:bookmarkEnd w:id="1466"/>
      <w:bookmarkEnd w:id="1467"/>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本公司与金融工具相关的风险源于本公司在经营过程中所确认的各类金融资产和金融负债，包括：信用风险、市场风险 和流动性风险。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公司经营管理层全面负责风险管理目标和政策的确定，并对风险管理目标和政策承担最终责任。经营管理层通过职能部 门递交的月度工作报告来审查已执行程序的有效性以及风险管理目标和政策的合理性。本公司的内部审计部门也定期或随机 检查内部控制系统的执行是否符合风险管理政策。</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18"/>
        <w:keepNext w:val="0"/>
        <w:keepLines w:val="0"/>
        <w:widowControl w:val="0"/>
        <w:shd w:val="clear" w:color="auto" w:fill="auto"/>
        <w:bidi w:val="0"/>
        <w:spacing w:before="0" w:after="0" w:line="314" w:lineRule="exact"/>
        <w:ind w:left="0" w:right="0"/>
        <w:jc w:val="both"/>
      </w:pPr>
      <w:bookmarkStart w:id="1468" w:name="bookmark1468"/>
      <w:r>
        <w:rPr>
          <w:color w:val="000000"/>
          <w:spacing w:val="0"/>
          <w:w w:val="100"/>
          <w:position w:val="0"/>
        </w:rPr>
        <w:t>1</w:t>
      </w:r>
      <w:bookmarkEnd w:id="1468"/>
      <w:r>
        <w:rPr>
          <w:color w:val="000000"/>
          <w:spacing w:val="0"/>
          <w:w w:val="100"/>
          <w:position w:val="0"/>
        </w:rPr>
        <w:t>、信用风险</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信用风险是指金融工具的一方不履行义务，造成另一方发生财务损失的风险。本公司的信用风险主要产生于货币资金、 应收票据、应收账款、应收款项融资、其他应收款等，这些金融资产的信用风险源自交易对手违约。</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对于应收票据、应收账款、应收款项融资和其他应收款等，本公司设定相关政策以控制信用风险敞口。本公司基于对客 户的财务状况、从第三方获取担保的可能性、信用记录及其他因素诸如目前市场状况等评估客户的信用资质并设置相应信用 期。本公司会定期对客户信用记录进行监控，对于信用记录不良的客户，本公司会采用书面催款、缩短信用期或取消信用期 等方式，以确保本公司的整体信用风险在可控的范围内。</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本公司所承受的最大信用风险敞口为资产负债表中每项金融资产的账面金额。除附注十二、5所载作出的关联担保外， 本公司没有提供任何其他可能令本公司承受信用风险的担保。</w:t>
      </w:r>
    </w:p>
    <w:p>
      <w:pPr>
        <w:pStyle w:val="Style18"/>
        <w:keepNext w:val="0"/>
        <w:keepLines w:val="0"/>
        <w:widowControl w:val="0"/>
        <w:shd w:val="clear" w:color="auto" w:fill="auto"/>
        <w:bidi w:val="0"/>
        <w:spacing w:before="0" w:after="0" w:line="318" w:lineRule="exact"/>
        <w:ind w:left="0" w:right="0"/>
        <w:jc w:val="left"/>
      </w:pPr>
      <w:r>
        <w:rPr>
          <w:color w:val="000000"/>
          <w:spacing w:val="0"/>
          <w:w w:val="100"/>
          <w:position w:val="0"/>
        </w:rPr>
        <w:t>本公司对信用风险集中按照客户/交易对手、地理区域和行业进行管理。由于本公司的应收账款客户群广泛地分散于不 同的部门和行业中，因此在本公司内不存在重大信用风险集中。本公司对出口业务形成的应收账款全部在中信保进行了投保， 对应收国内客户款项余额未持有任何担保物或其他信用增级。</w:t>
      </w:r>
    </w:p>
    <w:p>
      <w:pPr>
        <w:pStyle w:val="Style18"/>
        <w:keepNext w:val="0"/>
        <w:keepLines w:val="0"/>
        <w:widowControl w:val="0"/>
        <w:shd w:val="clear" w:color="auto" w:fill="auto"/>
        <w:bidi w:val="0"/>
        <w:spacing w:before="0" w:after="0" w:line="318" w:lineRule="exact"/>
        <w:ind w:left="0" w:right="0"/>
        <w:jc w:val="left"/>
      </w:pPr>
      <w:r>
        <w:rPr>
          <w:color w:val="000000"/>
          <w:spacing w:val="0"/>
          <w:w w:val="100"/>
          <w:position w:val="0"/>
        </w:rPr>
        <w:t>2021年12月31日及2020年12月31日的应收账款、应收票据、应收款项融资、其他应收款、合同资产的风险敞口信息见附 注五相关内容。</w:t>
      </w:r>
    </w:p>
    <w:p>
      <w:pPr>
        <w:pStyle w:val="Style18"/>
        <w:keepNext w:val="0"/>
        <w:keepLines w:val="0"/>
        <w:widowControl w:val="0"/>
        <w:shd w:val="clear" w:color="auto" w:fill="auto"/>
        <w:bidi w:val="0"/>
        <w:spacing w:before="0" w:after="0" w:line="312" w:lineRule="exact"/>
        <w:ind w:left="0" w:right="0"/>
        <w:jc w:val="left"/>
      </w:pPr>
      <w:bookmarkStart w:id="1469" w:name="bookmark1469"/>
      <w:r>
        <w:rPr>
          <w:color w:val="000000"/>
          <w:spacing w:val="0"/>
          <w:w w:val="100"/>
          <w:position w:val="0"/>
        </w:rPr>
        <w:t>2</w:t>
      </w:r>
      <w:bookmarkEnd w:id="1469"/>
      <w:r>
        <w:rPr>
          <w:color w:val="000000"/>
          <w:spacing w:val="0"/>
          <w:w w:val="100"/>
          <w:position w:val="0"/>
        </w:rPr>
        <w:t>、市场风险</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金融工具的市场风险，是指金融工具的公允价值或未来现金流量因市场价格变动而发生波动的风险，主要包括利率风险 和外汇风险。</w:t>
      </w:r>
    </w:p>
    <w:p>
      <w:pPr>
        <w:pStyle w:val="Style18"/>
        <w:keepNext w:val="0"/>
        <w:keepLines w:val="0"/>
        <w:widowControl w:val="0"/>
        <w:shd w:val="clear" w:color="auto" w:fill="auto"/>
        <w:tabs>
          <w:tab w:pos="760" w:val="left"/>
        </w:tabs>
        <w:bidi w:val="0"/>
        <w:spacing w:before="0" w:after="0" w:line="312" w:lineRule="exact"/>
        <w:ind w:left="0" w:right="0"/>
        <w:jc w:val="left"/>
      </w:pPr>
      <w:bookmarkStart w:id="1470" w:name="bookmark1470"/>
      <w:r>
        <w:rPr>
          <w:color w:val="000000"/>
          <w:spacing w:val="0"/>
          <w:w w:val="100"/>
          <w:position w:val="0"/>
        </w:rPr>
        <w:t>（</w:t>
      </w:r>
      <w:bookmarkEnd w:id="1470"/>
      <w:r>
        <w:rPr>
          <w:color w:val="000000"/>
          <w:spacing w:val="0"/>
          <w:w w:val="100"/>
          <w:position w:val="0"/>
        </w:rPr>
        <w:t>1）</w:t>
        <w:tab/>
        <w:t>利率风险</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利率风险，是指金融工具的公允价值或未来现金流量因市场利率变动而发生波动的风险。本公司的利率风险主要产生于 银行借款等。浮动利率的金融负债使本公司面临现金流量利率风险，固定利率的金融负债使本公司面临公允价值利率风险。 本公司根据市场环境来决定固定利率与浮动利率金融工具的比例，并通过定期审阅与监控维持适当的金融工具组合。</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本公司财务部门持续监控公司利率水平，会依据最新的市场状况及时做出调整，这些调整可能是进行利率互换的安排来 降低利率风险。2020年，公司与大华银行（中国）有限公司广州分行签署了利率互换合约和货币互换合约，截止2021年12 月31日就云数据中心项目向大华银行有限公司香港分行申请的期末余额为1, </w:t>
      </w:r>
      <w:r>
        <w:rPr>
          <w:color w:val="000000"/>
          <w:spacing w:val="0"/>
          <w:w w:val="100"/>
          <w:position w:val="0"/>
        </w:rPr>
        <w:t xml:space="preserve">246. </w:t>
      </w:r>
      <w:r>
        <w:rPr>
          <w:color w:val="000000"/>
          <w:spacing w:val="0"/>
          <w:w w:val="100"/>
          <w:position w:val="0"/>
        </w:rPr>
        <w:t>00万美元和608万美元的借款，分别与大华 银行（中国）有限公司广州分行开展利率互换和货币互换业务，来达到规避利率风险的目的。</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于2021年12月31日，在其他变量保持不变的情况下，如果以浮动利率计算的借款利率上升或下降50个基点，则本公司的 净利润将减少或增加</w:t>
      </w:r>
      <w:r>
        <w:rPr>
          <w:color w:val="000000"/>
          <w:spacing w:val="0"/>
          <w:w w:val="100"/>
          <w:position w:val="0"/>
        </w:rPr>
        <w:t xml:space="preserve">2,380. </w:t>
      </w:r>
      <w:r>
        <w:rPr>
          <w:color w:val="000000"/>
          <w:spacing w:val="0"/>
          <w:w w:val="100"/>
          <w:position w:val="0"/>
        </w:rPr>
        <w:t>19万元（2020年12月31日：</w:t>
      </w:r>
      <w:r>
        <w:rPr>
          <w:color w:val="000000"/>
          <w:spacing w:val="0"/>
          <w:w w:val="100"/>
          <w:position w:val="0"/>
        </w:rPr>
        <w:t>2,372.45</w:t>
      </w:r>
      <w:r>
        <w:rPr>
          <w:color w:val="000000"/>
          <w:spacing w:val="0"/>
          <w:w w:val="100"/>
          <w:position w:val="0"/>
        </w:rPr>
        <w:t>万元）。</w:t>
      </w:r>
    </w:p>
    <w:p>
      <w:pPr>
        <w:pStyle w:val="Style18"/>
        <w:keepNext w:val="0"/>
        <w:keepLines w:val="0"/>
        <w:widowControl w:val="0"/>
        <w:shd w:val="clear" w:color="auto" w:fill="auto"/>
        <w:tabs>
          <w:tab w:pos="760" w:val="left"/>
        </w:tabs>
        <w:bidi w:val="0"/>
        <w:spacing w:before="0" w:after="0" w:line="312" w:lineRule="exact"/>
        <w:ind w:left="0" w:right="0"/>
        <w:jc w:val="left"/>
      </w:pPr>
      <w:bookmarkStart w:id="1471" w:name="bookmark1471"/>
      <w:r>
        <w:rPr>
          <w:color w:val="000000"/>
          <w:spacing w:val="0"/>
          <w:w w:val="100"/>
          <w:position w:val="0"/>
        </w:rPr>
        <w:t>（</w:t>
      </w:r>
      <w:bookmarkEnd w:id="1471"/>
      <w:r>
        <w:rPr>
          <w:color w:val="000000"/>
          <w:spacing w:val="0"/>
          <w:w w:val="100"/>
          <w:position w:val="0"/>
        </w:rPr>
        <w:t>2）</w:t>
        <w:tab/>
        <w:t>外汇风险</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外汇风险，是指金融工具的公允价值或未来现金流量因外汇汇率变动而发生波动的风险。本公司于中国内地经营，主要 业务活动以人民币计价结算，来自于海外的业务收入很少，且本公司尽可能将外币收入与外币支出相匹配以降低外汇风险。 此外，公司还可能签署远期外汇合约或货币互换合约以达到规避外汇风险的目的。2020年，公司与大华银行（中国）有限公 司广州分行签署了货币互换合约，截止2021年12月31日就云数据中心项目向大华银行有限公司香港分行申请的期末余额为 608万美元的借款，与大华银行（中国）有限公司广州分行开展货币互换业务，以规避美元兑人民币汇率波动发生的外汇风 险。</w:t>
      </w:r>
    </w:p>
    <w:p>
      <w:pPr>
        <w:pStyle w:val="Style18"/>
        <w:keepNext w:val="0"/>
        <w:keepLines w:val="0"/>
        <w:widowControl w:val="0"/>
        <w:shd w:val="clear" w:color="auto" w:fill="auto"/>
        <w:bidi w:val="0"/>
        <w:spacing w:before="0" w:after="80" w:line="317" w:lineRule="exact"/>
        <w:ind w:left="0" w:right="0"/>
        <w:jc w:val="left"/>
      </w:pPr>
      <w:r>
        <w:rPr>
          <w:color w:val="000000"/>
          <w:spacing w:val="0"/>
          <w:w w:val="100"/>
          <w:position w:val="0"/>
        </w:rPr>
        <w:t>本公司面临的外汇风险主要来源于以美元计价的金融资产和金融负债，外币金融资产和外币金融负债折算成人民币的金 额列示如下：</w:t>
      </w:r>
    </w:p>
    <w:tbl>
      <w:tblPr>
        <w:tblOverlap w:val="never"/>
        <w:jc w:val="center"/>
        <w:tblLayout w:type="fixed"/>
      </w:tblPr>
      <w:tblGrid>
        <w:gridCol w:w="1464"/>
        <w:gridCol w:w="1469"/>
        <w:gridCol w:w="1037"/>
        <w:gridCol w:w="1411"/>
        <w:gridCol w:w="1406"/>
        <w:gridCol w:w="1277"/>
        <w:gridCol w:w="1613"/>
      </w:tblGrid>
      <w:tr>
        <w:trPr>
          <w:trHeight w:val="432"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其他外币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折合人民币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折合人民币</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993,166.73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6,332,133.12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 </w:t>
            </w:r>
            <w:r>
              <w:rPr>
                <w:color w:val="000000"/>
                <w:spacing w:val="0"/>
                <w:w w:val="100"/>
                <w:position w:val="0"/>
              </w:rPr>
              <w:t xml:space="preserve">186,794. </w:t>
            </w: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7,743,715.69</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1,215.07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768,106.74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4,897,218.14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19,107.97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1,764,270.47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11,249,549.98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1,186,794.54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7,744,930.76</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72,468.54</w:t>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39,044.79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64"/>
        <w:gridCol w:w="1469"/>
        <w:gridCol w:w="1037"/>
        <w:gridCol w:w="1411"/>
        <w:gridCol w:w="1406"/>
        <w:gridCol w:w="1277"/>
        <w:gridCol w:w="1613"/>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19, 206, </w:t>
            </w:r>
            <w:r>
              <w:rPr>
                <w:color w:val="000000"/>
                <w:spacing w:val="0"/>
                <w:w w:val="100"/>
                <w:position w:val="0"/>
              </w:rPr>
              <w:t xml:space="preserve">666.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122,455,944.69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142,073,172.60</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19,212,790.67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122,494,989.48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21,785,106.46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142,145,641.14</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-17,448,520.20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-111,245,439.50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-20,598,311.92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-134,400,710.38</w:t>
            </w:r>
          </w:p>
        </w:tc>
      </w:tr>
    </w:tbl>
    <w:p>
      <w:pPr>
        <w:pStyle w:val="Style18"/>
        <w:keepNext w:val="0"/>
        <w:keepLines w:val="0"/>
        <w:widowControl w:val="0"/>
        <w:shd w:val="clear" w:color="auto" w:fill="auto"/>
        <w:bidi w:val="0"/>
        <w:spacing w:before="0" w:after="40" w:line="307" w:lineRule="exact"/>
        <w:ind w:left="0" w:right="0"/>
        <w:jc w:val="both"/>
      </w:pPr>
      <w:r>
        <w:rPr>
          <w:color w:val="000000"/>
          <w:spacing w:val="0"/>
          <w:w w:val="100"/>
          <w:position w:val="0"/>
        </w:rPr>
        <w:t>于2021年12月31日，在所有其他变量保持不变的情况下，如果人民币对外币升值或贬值0.5%,则公司将减少或增加净利 润</w:t>
      </w:r>
      <w:r>
        <w:rPr>
          <w:color w:val="000000"/>
          <w:spacing w:val="0"/>
          <w:w w:val="100"/>
          <w:position w:val="0"/>
        </w:rPr>
        <w:t>55.62</w:t>
      </w:r>
      <w:r>
        <w:rPr>
          <w:color w:val="000000"/>
          <w:spacing w:val="0"/>
          <w:w w:val="100"/>
          <w:position w:val="0"/>
        </w:rPr>
        <w:t>万元人民币（2020年12月31日：</w:t>
      </w:r>
      <w:r>
        <w:rPr>
          <w:color w:val="000000"/>
          <w:spacing w:val="0"/>
          <w:w w:val="100"/>
          <w:position w:val="0"/>
        </w:rPr>
        <w:t>67.20</w:t>
      </w:r>
      <w:r>
        <w:rPr>
          <w:color w:val="000000"/>
          <w:spacing w:val="0"/>
          <w:w w:val="100"/>
          <w:position w:val="0"/>
        </w:rPr>
        <w:t>万元人民币）。</w:t>
      </w:r>
    </w:p>
    <w:p>
      <w:pPr>
        <w:pStyle w:val="Style18"/>
        <w:keepNext w:val="0"/>
        <w:keepLines w:val="0"/>
        <w:widowControl w:val="0"/>
        <w:shd w:val="clear" w:color="auto" w:fill="auto"/>
        <w:bidi w:val="0"/>
        <w:spacing w:before="0" w:after="40" w:line="310" w:lineRule="exact"/>
        <w:ind w:left="0" w:right="0"/>
        <w:jc w:val="both"/>
      </w:pPr>
      <w:bookmarkStart w:id="1472" w:name="bookmark1472"/>
      <w:r>
        <w:rPr>
          <w:color w:val="000000"/>
          <w:spacing w:val="0"/>
          <w:w w:val="100"/>
          <w:position w:val="0"/>
        </w:rPr>
        <w:t>3</w:t>
      </w:r>
      <w:bookmarkEnd w:id="1472"/>
      <w:r>
        <w:rPr>
          <w:color w:val="000000"/>
          <w:spacing w:val="0"/>
          <w:w w:val="100"/>
          <w:position w:val="0"/>
        </w:rPr>
        <w:t>、流动性风险</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拥有充足的现金以偿还到期债务。流动性风险由本公司的财务部门集中控制。财务部门通过监控现金余额以及对未来12个月 现金流量的滚动预测，确保公司在所有合理预测的情况下拥有充足的资金偿还债务。</w:t>
      </w:r>
    </w:p>
    <w:p>
      <w:pPr>
        <w:pStyle w:val="Style23"/>
        <w:keepNext/>
        <w:keepLines/>
        <w:widowControl w:val="0"/>
        <w:shd w:val="clear" w:color="auto" w:fill="auto"/>
        <w:bidi w:val="0"/>
        <w:spacing w:before="0" w:after="360" w:line="240" w:lineRule="auto"/>
        <w:ind w:left="0" w:right="0" w:firstLine="0"/>
        <w:jc w:val="both"/>
      </w:pPr>
      <w:bookmarkStart w:id="1473" w:name="bookmark1473"/>
      <w:bookmarkStart w:id="1474" w:name="bookmark1474"/>
      <w:bookmarkStart w:id="1475" w:name="bookmark1475"/>
      <w:r>
        <w:rPr>
          <w:color w:val="000000"/>
          <w:spacing w:val="0"/>
          <w:w w:val="100"/>
          <w:position w:val="0"/>
          <w:sz w:val="24"/>
          <w:szCs w:val="24"/>
        </w:rPr>
        <w:t>十一、公允价值的披露</w:t>
      </w:r>
      <w:bookmarkEnd w:id="1473"/>
      <w:bookmarkEnd w:id="1474"/>
      <w:bookmarkEnd w:id="1475"/>
    </w:p>
    <w:p>
      <w:pPr>
        <w:pStyle w:val="Style27"/>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76"/>
      <w:bookmarkEnd w:id="1477"/>
      <w:bookmarkEnd w:id="14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98"/>
        <w:gridCol w:w="1589"/>
        <w:gridCol w:w="1560"/>
        <w:gridCol w:w="1560"/>
        <w:gridCol w:w="14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30,194,928.13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（六）公允价值计量且其变动计入其他综 合收益的金融资产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17,548,202.40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17,548,202.40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47,743,130.53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47,743,130.53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4,497,856.54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4,497,856.54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4,497,856.54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4,497,856.54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240" w:lineRule="auto"/>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color w:val="000000"/>
          <w:spacing w:val="0"/>
          <w:w w:val="100"/>
          <w:position w:val="0"/>
        </w:rPr>
        <w:t>、</w:t>
        <w:tab/>
        <w:t>持续和非持续第三层次公允价值计量项目，采用的估值技术和重要参数的定性及定量信息</w:t>
      </w:r>
      <w:bookmarkEnd w:id="1479"/>
      <w:bookmarkEnd w:id="1480"/>
      <w:bookmarkEnd w:id="1482"/>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对衍生金融负债公司采用大华银行（中国）有限公司广州分行出具的估值报告作为其期末公允价值的确定依据。采用的 估值技术是现金流量折现法，输入值主要包括远期汇率、远期利率和折现率。</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color w:val="000000"/>
          <w:spacing w:val="0"/>
          <w:w w:val="100"/>
          <w:position w:val="0"/>
        </w:rPr>
        <w:t>、</w:t>
        <w:tab/>
        <w:t>持续的第三层次公允价值计量项目，期初与期末账面价值间的调节信息及不可观察参数敏感性分析</w:t>
      </w:r>
      <w:bookmarkEnd w:id="1483"/>
      <w:bookmarkEnd w:id="1484"/>
      <w:bookmarkEnd w:id="1486"/>
    </w:p>
    <w:p>
      <w:pPr>
        <w:pStyle w:val="Style18"/>
        <w:keepNext w:val="0"/>
        <w:keepLines w:val="0"/>
        <w:widowControl w:val="0"/>
        <w:shd w:val="clear" w:color="auto" w:fill="auto"/>
        <w:tabs>
          <w:tab w:pos="704" w:val="left"/>
        </w:tabs>
        <w:bidi w:val="0"/>
        <w:spacing w:before="0" w:after="40" w:line="312" w:lineRule="exact"/>
        <w:ind w:left="0" w:right="0"/>
        <w:jc w:val="both"/>
      </w:pPr>
      <w:bookmarkStart w:id="1487" w:name="bookmark1487"/>
      <w:r>
        <w:rPr>
          <w:color w:val="000000"/>
          <w:spacing w:val="0"/>
          <w:w w:val="100"/>
          <w:position w:val="0"/>
        </w:rPr>
        <w:t>1</w:t>
      </w:r>
      <w:bookmarkEnd w:id="1487"/>
      <w:r>
        <w:rPr>
          <w:color w:val="000000"/>
          <w:spacing w:val="0"/>
          <w:w w:val="100"/>
          <w:position w:val="0"/>
        </w:rPr>
        <w:t>、</w:t>
        <w:tab/>
        <w:t>公允价值计量且其变动计入其他综合收益的应收票据，因其剩余期限较短，账面余额与公允价值相近，公司以票面 金额作为其公允价值进行计量。</w:t>
      </w:r>
    </w:p>
    <w:p>
      <w:pPr>
        <w:pStyle w:val="Style18"/>
        <w:keepNext w:val="0"/>
        <w:keepLines w:val="0"/>
        <w:widowControl w:val="0"/>
        <w:shd w:val="clear" w:color="auto" w:fill="auto"/>
        <w:tabs>
          <w:tab w:pos="704" w:val="left"/>
        </w:tabs>
        <w:bidi w:val="0"/>
        <w:spacing w:before="0" w:after="280" w:line="317" w:lineRule="exact"/>
        <w:ind w:left="0" w:right="0"/>
        <w:jc w:val="both"/>
      </w:pPr>
      <w:bookmarkStart w:id="1488" w:name="bookmark1488"/>
      <w:r>
        <w:rPr>
          <w:color w:val="000000"/>
          <w:spacing w:val="0"/>
          <w:w w:val="100"/>
          <w:position w:val="0"/>
        </w:rPr>
        <w:t>2</w:t>
      </w:r>
      <w:bookmarkEnd w:id="1488"/>
      <w:r>
        <w:rPr>
          <w:color w:val="000000"/>
          <w:spacing w:val="0"/>
          <w:w w:val="100"/>
          <w:position w:val="0"/>
        </w:rPr>
        <w:t>、</w:t>
        <w:tab/>
        <w:t>因被投资企业河北国信投资控股集团股份有限公司、河北银行股份有限公司、紫光创新投资有限公司、北京未名雅 集文化传播中心、北京北明兆业科技有限公司的经营环境和经营情况、财务状况未发生重大变化，所以公司按投资成本作为 公允价值的合理估计进行计量。</w:t>
      </w:r>
      <w:r>
        <w:br w:type="page"/>
      </w:r>
    </w:p>
    <w:p>
      <w:pPr>
        <w:pStyle w:val="Style23"/>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r>
        <w:rPr>
          <w:color w:val="000000"/>
          <w:spacing w:val="0"/>
          <w:w w:val="100"/>
          <w:position w:val="0"/>
          <w:sz w:val="24"/>
          <w:szCs w:val="24"/>
        </w:rPr>
        <w:t>十二、关联方及关联交易</w:t>
      </w:r>
      <w:bookmarkEnd w:id="1489"/>
      <w:bookmarkEnd w:id="1490"/>
      <w:bookmarkEnd w:id="1491"/>
    </w:p>
    <w:p>
      <w:pPr>
        <w:pStyle w:val="Style27"/>
        <w:keepNext/>
        <w:keepLines/>
        <w:widowControl w:val="0"/>
        <w:shd w:val="clear" w:color="auto" w:fill="auto"/>
        <w:bidi w:val="0"/>
        <w:spacing w:before="0" w:after="32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92"/>
      <w:bookmarkEnd w:id="1493"/>
      <w:bookmarkEnd w:id="1494"/>
    </w:p>
    <w:tbl>
      <w:tblPr>
        <w:tblOverlap w:val="never"/>
        <w:jc w:val="center"/>
        <w:tblLayout w:type="fixed"/>
      </w:tblPr>
      <w:tblGrid>
        <w:gridCol w:w="1598"/>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 的表决权比例</w:t>
            </w: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石家庄常山纺织 集团有限责任公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石家庄和平东路</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纺织集团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1,253,540,000.00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按照《石家庄市市属国有企业重组整合总体实施方案》的要求，石家庄市国有资产监督管理委员会（以下简称市国姿委） 下发了《关于将石家庄常山纺织集团有限责任公司股权整体无偿划转至石家庄国有资本投资运营集团有限责任公司有关事项 的通知》，并与石家庄国有资本投资运营集团有限责任公司（以下简称国投集团）于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日已签订了《无偿划转协 议》，市国资委将其持有的常山集团</w:t>
      </w:r>
      <w:r>
        <w:rPr>
          <w:rFonts w:ascii="Times New Roman" w:eastAsia="Times New Roman" w:hAnsi="Times New Roman" w:cs="Times New Roman"/>
          <w:color w:val="000000"/>
          <w:spacing w:val="0"/>
          <w:w w:val="100"/>
          <w:position w:val="0"/>
        </w:rPr>
        <w:t>100%</w:t>
      </w:r>
      <w:r>
        <w:rPr>
          <w:color w:val="000000"/>
          <w:spacing w:val="0"/>
          <w:w w:val="100"/>
          <w:position w:val="0"/>
        </w:rPr>
        <w:t>股权无偿划转至国投集团。市国资委持有国投集团</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本企业最终控制方是石家庄市国有资产监督管理委员会。</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bookmarkEnd w:id="1497"/>
      <w:r>
        <w:rPr>
          <w:color w:val="000000"/>
          <w:spacing w:val="0"/>
          <w:w w:val="100"/>
          <w:position w:val="0"/>
        </w:rPr>
        <w:t>、</w:t>
        <w:tab/>
        <w:t>本企业的子公司情况</w:t>
      </w:r>
      <w:bookmarkEnd w:id="1495"/>
      <w:bookmarkEnd w:id="1496"/>
      <w:bookmarkEnd w:id="1498"/>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color w:val="000000"/>
          <w:spacing w:val="0"/>
          <w:w w:val="100"/>
          <w:position w:val="0"/>
        </w:rPr>
        <w:t>、</w:t>
        <w:tab/>
        <w:t>本企业合营和联营企业情况</w:t>
      </w:r>
      <w:bookmarkEnd w:id="1499"/>
      <w:bookmarkEnd w:id="1500"/>
      <w:bookmarkEnd w:id="1502"/>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供销冷链物流（石家庄）有限公司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盐城市苏鸿数字科技有限公司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陕西腾明诚讯网络科技有限公司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color w:val="000000"/>
          <w:spacing w:val="0"/>
          <w:w w:val="100"/>
          <w:position w:val="0"/>
        </w:rPr>
        <w:t>、其他关联方情况</w:t>
      </w:r>
      <w:bookmarkEnd w:id="1503"/>
      <w:bookmarkEnd w:id="1504"/>
      <w:bookmarkEnd w:id="1506"/>
    </w:p>
    <w:tbl>
      <w:tblPr>
        <w:tblOverlap w:val="never"/>
        <w:jc w:val="center"/>
        <w:tblLayout w:type="fixed"/>
      </w:tblPr>
      <w:tblGrid>
        <w:gridCol w:w="4238"/>
        <w:gridCol w:w="53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石家庄常山纺织集团第一实业有限公司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bl>
    <w:p>
      <w:pPr>
        <w:spacing w:lineRule="exact" w:line="1"/>
        <w:rPr>
          <w:sz w:val="2"/>
          <w:szCs w:val="2"/>
        </w:rPr>
      </w:pPr>
      <w:r>
        <w:br w:type="page"/>
      </w:r>
    </w:p>
    <w:tbl>
      <w:tblPr>
        <w:tblOverlap w:val="never"/>
        <w:jc w:val="center"/>
        <w:tblLayout w:type="fixed"/>
      </w:tblPr>
      <w:tblGrid>
        <w:gridCol w:w="4238"/>
        <w:gridCol w:w="533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石家庄常山纺织集团第二实业有限公司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石家庄常山纺织集团第三实业有限公司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石家庄常山纺织集团第四实业有限公司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石家庄常山纺织集团第五实业有限公司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应华江之妻穆慧为第一大股东的企业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广州合海信息科技有限公司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应华江之妻穆慧控制的企业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公司第二大股东北京北明伟业控股有限公司的合营企业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公司第二大股东北京北明伟业控股有限公司的合营企业之孙公司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董事、总会计师</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蔡为民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马如猛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袁立峰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李瑞平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4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color w:val="000000"/>
          <w:spacing w:val="0"/>
          <w:w w:val="100"/>
          <w:position w:val="0"/>
        </w:rPr>
        <w:t>、关联交易情况</w:t>
      </w:r>
      <w:bookmarkEnd w:id="1507"/>
      <w:bookmarkEnd w:id="1508"/>
      <w:bookmarkEnd w:id="1510"/>
    </w:p>
    <w:p>
      <w:pPr>
        <w:pStyle w:val="Style27"/>
        <w:keepNext/>
        <w:keepLines/>
        <w:widowControl w:val="0"/>
        <w:shd w:val="clear" w:color="auto" w:fill="auto"/>
        <w:bidi w:val="0"/>
        <w:spacing w:before="0" w:after="180" w:line="240" w:lineRule="auto"/>
        <w:ind w:left="0" w:right="0" w:firstLine="0"/>
        <w:jc w:val="left"/>
      </w:pPr>
      <w:bookmarkStart w:id="1507" w:name="bookmark1507"/>
      <w:bookmarkStart w:id="1508" w:name="bookmark1508"/>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7"/>
      <w:bookmarkEnd w:id="1508"/>
      <w:bookmarkEnd w:id="1511"/>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7"/>
        <w:gridCol w:w="1320"/>
        <w:gridCol w:w="1272"/>
        <w:gridCol w:w="1339"/>
        <w:gridCol w:w="1061"/>
        <w:gridCol w:w="127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是否超过</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17,514,351.47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4,826,372.49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化纤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20,428,051.69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20,586,763.48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聚乙烯醇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1,131,327.44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1,171,681.42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17,699,185.80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654,968.32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1,859,339.51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9,380.50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10,571,866.68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17,993,843.26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8,232,175.64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16,916,864.25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7,316,907.80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1,366,888.38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2,387,233.28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3,422,834.98</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628,084.90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46"/>
        <w:gridCol w:w="1666"/>
        <w:gridCol w:w="1651"/>
        <w:gridCol w:w="16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1,363,097.34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44,253,058.63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涤纶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25,789,135.44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20,075,314.10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23,033,486.62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1,879,143.92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47,971.24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46,028,465.92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764,980.35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378,113.21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718,679.24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4,955,895.80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347,497.17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186,225.12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公司向关联方销售货物定价的原则：按照公平、公正的市场原则进行定价。</w:t>
      </w:r>
      <w:r>
        <w:br w:type="page"/>
      </w:r>
    </w:p>
    <w:p>
      <w:pPr>
        <w:pStyle w:val="Style27"/>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12"/>
      <w:bookmarkEnd w:id="1513"/>
      <w:bookmarkEnd w:id="151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0"/>
        <w:gridCol w:w="245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3,177,666.31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2,771,953.23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北京盛世繁花国际传媒广告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2,417,848.69</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北京聚众基业企业管理有限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20,036,510.13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19,479,313.32</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公司向关联方承租定价的原则：按照公平、公正的市场原则进行定价。</w:t>
      </w:r>
    </w:p>
    <w:p>
      <w:pPr>
        <w:pStyle w:val="Style27"/>
        <w:keepNext/>
        <w:keepLines/>
        <w:widowControl w:val="0"/>
        <w:numPr>
          <w:ilvl w:val="0"/>
          <w:numId w:val="29"/>
        </w:numPr>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关联担保情况</w:t>
      </w:r>
      <w:bookmarkEnd w:id="1515"/>
      <w:bookmarkEnd w:id="1516"/>
      <w:bookmarkEnd w:id="151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680"/>
        <w:gridCol w:w="1680"/>
        <w:gridCol w:w="1728"/>
        <w:gridCol w:w="123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59"/>
        <w:gridCol w:w="1680"/>
        <w:gridCol w:w="1680"/>
        <w:gridCol w:w="1728"/>
        <w:gridCol w:w="122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32,460,000.00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61,460,000.00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9,720,000.00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28,998,000.00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34,240,000.00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3,502,651.20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59"/>
        <w:gridCol w:w="1680"/>
        <w:gridCol w:w="1680"/>
        <w:gridCol w:w="1728"/>
        <w:gridCol w:w="122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3,704,158.53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4,701,447.56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34,908,209.76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88,730,000.00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15,980,800.00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94,604,505.44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15,931,282.23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27,024,334.03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28,544,295.01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19,594,001.22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1680"/>
        <w:gridCol w:w="1680"/>
        <w:gridCol w:w="1742"/>
        <w:gridCol w:w="122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680"/>
        <w:gridCol w:w="1680"/>
        <w:gridCol w:w="1742"/>
        <w:gridCol w:w="122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64,950,000.00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61,206,720.00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13,261,456.00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25,502,800.00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10,201,120.00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8,033,382.00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4,250,466.69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关联担保情况说明</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 xml:space="preserve">本公司期末保证短期借款1, 372, 700, </w:t>
      </w:r>
      <w:r>
        <w:rPr>
          <w:color w:val="000000"/>
          <w:spacing w:val="0"/>
          <w:w w:val="100"/>
          <w:position w:val="0"/>
        </w:rPr>
        <w:t xml:space="preserve">000. </w:t>
      </w:r>
      <w:r>
        <w:rPr>
          <w:color w:val="000000"/>
          <w:spacing w:val="0"/>
          <w:w w:val="100"/>
          <w:position w:val="0"/>
        </w:rPr>
        <w:t xml:space="preserve">00元、长期借款989,105, </w:t>
      </w:r>
      <w:r>
        <w:rPr>
          <w:color w:val="000000"/>
          <w:spacing w:val="0"/>
          <w:w w:val="100"/>
          <w:position w:val="0"/>
        </w:rPr>
        <w:t xml:space="preserve">944. </w:t>
      </w:r>
      <w:r>
        <w:rPr>
          <w:color w:val="000000"/>
          <w:spacing w:val="0"/>
          <w:w w:val="100"/>
          <w:position w:val="0"/>
        </w:rPr>
        <w:t>69元由石家庄常山纺织集团有限责任公司提供保 证担保。</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其他担保情况</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石家庄常山纺织集团有限责任公司为本公司提供350, 460, 000元的信用证、银行承兑汇票保证担保，提供9, 000, </w:t>
      </w:r>
      <w:r>
        <w:rPr>
          <w:color w:val="000000"/>
          <w:spacing w:val="0"/>
          <w:w w:val="100"/>
          <w:position w:val="0"/>
        </w:rPr>
        <w:t xml:space="preserve">000. </w:t>
      </w:r>
      <w:r>
        <w:rPr>
          <w:color w:val="000000"/>
          <w:spacing w:val="0"/>
          <w:w w:val="100"/>
          <w:position w:val="0"/>
        </w:rPr>
        <w:t>00 元的银行保函担保。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为子公司担保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本公司为子公司石家庄常山恒新纺织有限公司流动资金借款140, 000, </w:t>
      </w:r>
      <w:r>
        <w:rPr>
          <w:color w:val="000000"/>
          <w:spacing w:val="0"/>
          <w:w w:val="100"/>
          <w:position w:val="0"/>
        </w:rPr>
        <w:t xml:space="preserve">000. </w:t>
      </w:r>
      <w:r>
        <w:rPr>
          <w:color w:val="000000"/>
          <w:spacing w:val="0"/>
          <w:w w:val="100"/>
          <w:position w:val="0"/>
        </w:rPr>
        <w:t xml:space="preserve">00元、信用证60, 000, </w:t>
      </w:r>
      <w:r>
        <w:rPr>
          <w:color w:val="000000"/>
          <w:spacing w:val="0"/>
          <w:w w:val="100"/>
          <w:position w:val="0"/>
        </w:rPr>
        <w:t xml:space="preserve">000. </w:t>
      </w:r>
      <w:r>
        <w:rPr>
          <w:color w:val="000000"/>
          <w:spacing w:val="0"/>
          <w:w w:val="100"/>
          <w:position w:val="0"/>
        </w:rPr>
        <w:t xml:space="preserve">00元、融资租赁 100, 000, </w:t>
      </w:r>
      <w:r>
        <w:rPr>
          <w:color w:val="000000"/>
          <w:spacing w:val="0"/>
          <w:w w:val="100"/>
          <w:position w:val="0"/>
        </w:rPr>
        <w:t xml:space="preserve">000. </w:t>
      </w:r>
      <w:r>
        <w:rPr>
          <w:color w:val="000000"/>
          <w:spacing w:val="0"/>
          <w:w w:val="100"/>
          <w:position w:val="0"/>
        </w:rPr>
        <w:t>00元提供保证担保。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本公司为子公司石家庄常山恒荣进出口贸易有限公司信用证104, 460, </w:t>
      </w:r>
      <w:r>
        <w:rPr>
          <w:color w:val="000000"/>
          <w:spacing w:val="0"/>
          <w:w w:val="100"/>
          <w:position w:val="0"/>
        </w:rPr>
        <w:t xml:space="preserve">000. </w:t>
      </w:r>
      <w:r>
        <w:rPr>
          <w:color w:val="000000"/>
          <w:spacing w:val="0"/>
          <w:w w:val="100"/>
          <w:position w:val="0"/>
        </w:rPr>
        <w:t>00元提供保证担保。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本公司为子公司河北北明鼎云信息技术有限公司流动资金借款40, 000, </w:t>
      </w:r>
      <w:r>
        <w:rPr>
          <w:color w:val="000000"/>
          <w:spacing w:val="0"/>
          <w:w w:val="100"/>
          <w:position w:val="0"/>
        </w:rPr>
        <w:t xml:space="preserve">000. </w:t>
      </w:r>
      <w:r>
        <w:rPr>
          <w:color w:val="000000"/>
          <w:spacing w:val="0"/>
          <w:w w:val="100"/>
          <w:position w:val="0"/>
        </w:rPr>
        <w:t>00元提供保证担保。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本公司为子公司北明软件有限公司流动资金借款1, 353, 294, </w:t>
      </w:r>
      <w:r>
        <w:rPr>
          <w:color w:val="000000"/>
          <w:spacing w:val="0"/>
          <w:w w:val="100"/>
          <w:position w:val="0"/>
        </w:rPr>
        <w:t xml:space="preserve">467. </w:t>
      </w:r>
      <w:r>
        <w:rPr>
          <w:color w:val="000000"/>
          <w:spacing w:val="0"/>
          <w:w w:val="100"/>
          <w:position w:val="0"/>
        </w:rPr>
        <w:t xml:space="preserve">05元、银行承兑汇票94, 604, </w:t>
      </w:r>
      <w:r>
        <w:rPr>
          <w:color w:val="000000"/>
          <w:spacing w:val="0"/>
          <w:w w:val="100"/>
          <w:position w:val="0"/>
        </w:rPr>
        <w:t xml:space="preserve">505. </w:t>
      </w:r>
      <w:r>
        <w:rPr>
          <w:color w:val="000000"/>
          <w:spacing w:val="0"/>
          <w:w w:val="100"/>
          <w:position w:val="0"/>
        </w:rPr>
        <w:t>44元、信用证</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15, 980, </w:t>
      </w:r>
      <w:r>
        <w:rPr>
          <w:color w:val="000000"/>
          <w:spacing w:val="0"/>
          <w:w w:val="100"/>
          <w:position w:val="0"/>
        </w:rPr>
        <w:t xml:space="preserve">800. </w:t>
      </w:r>
      <w:r>
        <w:rPr>
          <w:color w:val="000000"/>
          <w:spacing w:val="0"/>
          <w:w w:val="100"/>
          <w:position w:val="0"/>
        </w:rPr>
        <w:t xml:space="preserve">00元、银行保函71, 499, </w:t>
      </w:r>
      <w:r>
        <w:rPr>
          <w:color w:val="000000"/>
          <w:spacing w:val="0"/>
          <w:w w:val="100"/>
          <w:position w:val="0"/>
        </w:rPr>
        <w:t xml:space="preserve">911. </w:t>
      </w:r>
      <w:r>
        <w:rPr>
          <w:color w:val="000000"/>
          <w:spacing w:val="0"/>
          <w:w w:val="100"/>
          <w:position w:val="0"/>
        </w:rPr>
        <w:t>27元提供保证担保。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北明软件有限公司为其子公司北明天时能源科技（北京）有限公司流动资金借款26, 000, </w:t>
      </w:r>
      <w:r>
        <w:rPr>
          <w:color w:val="000000"/>
          <w:spacing w:val="0"/>
          <w:w w:val="100"/>
          <w:position w:val="0"/>
        </w:rPr>
        <w:t xml:space="preserve">000. </w:t>
      </w:r>
      <w:r>
        <w:rPr>
          <w:color w:val="000000"/>
          <w:spacing w:val="0"/>
          <w:w w:val="100"/>
          <w:position w:val="0"/>
        </w:rPr>
        <w:t>00元、银行保函</w:t>
      </w:r>
    </w:p>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19, 594, </w:t>
      </w:r>
      <w:r>
        <w:rPr>
          <w:color w:val="000000"/>
          <w:spacing w:val="0"/>
          <w:w w:val="100"/>
          <w:position w:val="0"/>
        </w:rPr>
        <w:t xml:space="preserve">001. </w:t>
      </w:r>
      <w:r>
        <w:rPr>
          <w:color w:val="000000"/>
          <w:spacing w:val="0"/>
          <w:w w:val="100"/>
          <w:position w:val="0"/>
        </w:rPr>
        <w:t>22元提供保证担保。</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抵押担保情况</w:t>
      </w:r>
    </w:p>
    <w:p>
      <w:pPr>
        <w:pStyle w:val="Style18"/>
        <w:keepNext w:val="0"/>
        <w:keepLines w:val="0"/>
        <w:widowControl w:val="0"/>
        <w:shd w:val="clear" w:color="auto" w:fill="auto"/>
        <w:bidi w:val="0"/>
        <w:spacing w:before="0" w:after="360" w:line="322" w:lineRule="exact"/>
        <w:ind w:left="0" w:right="0"/>
        <w:jc w:val="both"/>
      </w:pPr>
      <w:r>
        <w:rPr>
          <w:color w:val="000000"/>
          <w:spacing w:val="0"/>
          <w:w w:val="100"/>
          <w:position w:val="0"/>
        </w:rPr>
        <w:t>抵押借款</w:t>
      </w:r>
      <w:r>
        <w:rPr>
          <w:color w:val="000000"/>
          <w:spacing w:val="0"/>
          <w:w w:val="100"/>
          <w:position w:val="0"/>
        </w:rPr>
        <w:t>19,206,666.6</w:t>
      </w:r>
      <w:r>
        <w:rPr>
          <w:color w:val="000000"/>
          <w:spacing w:val="0"/>
          <w:w w:val="100"/>
          <w:position w:val="0"/>
        </w:rPr>
        <w:t xml:space="preserve">7美元、192,000, </w:t>
      </w:r>
      <w:r>
        <w:rPr>
          <w:color w:val="000000"/>
          <w:spacing w:val="0"/>
          <w:w w:val="100"/>
          <w:position w:val="0"/>
        </w:rPr>
        <w:t>000.00</w:t>
      </w:r>
      <w:r>
        <w:rPr>
          <w:color w:val="000000"/>
          <w:spacing w:val="0"/>
          <w:w w:val="100"/>
          <w:position w:val="0"/>
        </w:rPr>
        <w:t xml:space="preserve">元人民币，期末折合人民币314, </w:t>
      </w:r>
      <w:r>
        <w:rPr>
          <w:color w:val="000000"/>
          <w:spacing w:val="0"/>
          <w:w w:val="100"/>
          <w:position w:val="0"/>
        </w:rPr>
        <w:t xml:space="preserve">455,944. </w:t>
      </w:r>
      <w:r>
        <w:rPr>
          <w:color w:val="000000"/>
          <w:spacing w:val="0"/>
          <w:w w:val="100"/>
          <w:position w:val="0"/>
        </w:rPr>
        <w:t>69元，为本公司与大华银行香 港分行、大华银行广州分行签订房地产抵押合同和最高额设备抵押合同，以公司房屋建筑物、机器设备和土地为抵押物申请 的项目贷款。</w:t>
      </w:r>
    </w:p>
    <w:p>
      <w:pPr>
        <w:pStyle w:val="Style27"/>
        <w:keepNext/>
        <w:keepLines/>
        <w:widowControl w:val="0"/>
        <w:shd w:val="clear" w:color="auto" w:fill="auto"/>
        <w:bidi w:val="0"/>
        <w:spacing w:before="0" w:line="240" w:lineRule="auto"/>
        <w:ind w:left="0" w:right="0" w:firstLine="0"/>
        <w:jc w:val="both"/>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519"/>
      <w:bookmarkEnd w:id="1520"/>
      <w:bookmarkEnd w:id="15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13,953,521.69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7,402,900.00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color w:val="000000"/>
          <w:spacing w:val="0"/>
          <w:w w:val="100"/>
          <w:position w:val="0"/>
        </w:rPr>
        <w:t>、关联方应收应付款项</w:t>
      </w:r>
      <w:bookmarkEnd w:id="1523"/>
      <w:bookmarkEnd w:id="1524"/>
      <w:bookmarkEnd w:id="1526"/>
    </w:p>
    <w:p>
      <w:pPr>
        <w:pStyle w:val="Style27"/>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23"/>
      <w:bookmarkEnd w:id="1524"/>
      <w:bookmarkEnd w:id="152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3466"/>
        <w:gridCol w:w="1286"/>
        <w:gridCol w:w="1186"/>
        <w:gridCol w:w="1186"/>
        <w:gridCol w:w="118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402,872.15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4,028.72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2,402,460.80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2,168,705.62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石家庄常山纺织集团进出口贸易有限责任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259,182.56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2,995,507.20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1,734,380.71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5,113,834.17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67"/>
        <w:gridCol w:w="3466"/>
        <w:gridCol w:w="1286"/>
        <w:gridCol w:w="1186"/>
        <w:gridCol w:w="1186"/>
        <w:gridCol w:w="118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4,998,893.00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3,757,115.05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4,998,893.00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2,332,483.90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16,634.40</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供销冷链物流（石家庄）有限公司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8"/>
      <w:bookmarkEnd w:id="1529"/>
      <w:bookmarkEnd w:id="15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3480"/>
        <w:gridCol w:w="2026"/>
        <w:gridCol w:w="18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1,430,407.48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3,620,657.10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64,125.43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2,512,815.86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1,454,546.23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783,853.40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4,709,030.52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11,943,376.06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16,295,685.92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561,276.95</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十三、承诺及或有事项</w:t>
      </w:r>
      <w:bookmarkEnd w:id="1531"/>
      <w:bookmarkEnd w:id="1532"/>
      <w:bookmarkEnd w:id="1533"/>
    </w:p>
    <w:p>
      <w:pPr>
        <w:pStyle w:val="Style18"/>
        <w:keepNext w:val="0"/>
        <w:keepLines w:val="0"/>
        <w:widowControl w:val="0"/>
        <w:shd w:val="clear" w:color="auto" w:fill="auto"/>
        <w:bidi w:val="0"/>
        <w:spacing w:before="0" w:after="360" w:line="318" w:lineRule="exact"/>
        <w:ind w:left="0" w:right="0" w:firstLine="720"/>
        <w:jc w:val="both"/>
      </w:pPr>
      <w:r>
        <w:rPr>
          <w:color w:val="000000"/>
          <w:spacing w:val="0"/>
          <w:w w:val="100"/>
          <w:position w:val="0"/>
        </w:rPr>
        <w:t>无</w:t>
      </w:r>
    </w:p>
    <w:p>
      <w:pPr>
        <w:pStyle w:val="Style23"/>
        <w:keepNext/>
        <w:keepLines/>
        <w:widowControl w:val="0"/>
        <w:shd w:val="clear" w:color="auto" w:fill="auto"/>
        <w:bidi w:val="0"/>
        <w:spacing w:before="0" w:after="280" w:line="240" w:lineRule="auto"/>
        <w:ind w:left="0" w:right="0" w:firstLine="0"/>
        <w:jc w:val="left"/>
      </w:pPr>
      <w:bookmarkStart w:id="1534" w:name="bookmark1534"/>
      <w:bookmarkStart w:id="1535" w:name="bookmark1535"/>
      <w:bookmarkStart w:id="1536" w:name="bookmark1536"/>
      <w:r>
        <w:rPr>
          <w:color w:val="000000"/>
          <w:spacing w:val="0"/>
          <w:w w:val="100"/>
          <w:position w:val="0"/>
          <w:sz w:val="24"/>
          <w:szCs w:val="24"/>
        </w:rPr>
        <w:t>十四、资产负债表日后事项</w:t>
      </w:r>
      <w:bookmarkEnd w:id="1534"/>
      <w:bookmarkEnd w:id="1535"/>
      <w:bookmarkEnd w:id="1536"/>
    </w:p>
    <w:p>
      <w:pPr>
        <w:pStyle w:val="Style27"/>
        <w:keepNext/>
        <w:keepLines/>
        <w:widowControl w:val="0"/>
        <w:shd w:val="clear" w:color="auto" w:fill="auto"/>
        <w:bidi w:val="0"/>
        <w:spacing w:before="0" w:after="28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37"/>
      <w:bookmarkEnd w:id="1538"/>
      <w:bookmarkEnd w:id="1539"/>
    </w:p>
    <w:p>
      <w:pPr>
        <w:pStyle w:val="Style18"/>
        <w:keepNext w:val="0"/>
        <w:keepLines w:val="0"/>
        <w:widowControl w:val="0"/>
        <w:shd w:val="clear" w:color="auto" w:fill="auto"/>
        <w:tabs>
          <w:tab w:pos="694" w:val="left"/>
        </w:tabs>
        <w:bidi w:val="0"/>
        <w:spacing w:before="0" w:after="0" w:line="318" w:lineRule="exact"/>
        <w:ind w:left="0" w:right="0" w:firstLine="360"/>
        <w:jc w:val="both"/>
      </w:pPr>
      <w:bookmarkStart w:id="1540" w:name="bookmark1540"/>
      <w:r>
        <w:rPr>
          <w:color w:val="000000"/>
          <w:spacing w:val="0"/>
          <w:w w:val="100"/>
          <w:position w:val="0"/>
        </w:rPr>
        <w:t>1</w:t>
      </w:r>
      <w:bookmarkEnd w:id="1540"/>
      <w:r>
        <w:rPr>
          <w:color w:val="000000"/>
          <w:spacing w:val="0"/>
          <w:w w:val="100"/>
          <w:position w:val="0"/>
        </w:rPr>
        <w:t>、</w:t>
        <w:tab/>
        <w:t>利润分配</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根据公司八届七次董事会会议决议，2021年度公司利润分配预案为：不派发现金红利，不送红股，不以公积金转增股本， 剩余未分配利润转结至下一年度。</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2021年度不进行利润分配的原因：</w:t>
      </w:r>
    </w:p>
    <w:p>
      <w:pPr>
        <w:pStyle w:val="Style18"/>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公司正处于转型升级关键时期，2022年在云数据中心等项目建设上仍存在较大资金需求和投入，且公司纺织主业在2020 年和2021年连续受到新型冠状病毒肺炎疫情的影响，尚在恢复过程中，需要预留资金以发展主营业务和抵御其他不可抗力因 素的影响。</w:t>
      </w:r>
    </w:p>
    <w:p>
      <w:pPr>
        <w:pStyle w:val="Style18"/>
        <w:keepNext w:val="0"/>
        <w:keepLines w:val="0"/>
        <w:widowControl w:val="0"/>
        <w:shd w:val="clear" w:color="auto" w:fill="auto"/>
        <w:tabs>
          <w:tab w:pos="704" w:val="left"/>
        </w:tabs>
        <w:bidi w:val="0"/>
        <w:spacing w:before="0" w:after="0" w:line="317" w:lineRule="exact"/>
        <w:ind w:left="0" w:right="0" w:firstLine="360"/>
        <w:jc w:val="both"/>
      </w:pPr>
      <w:bookmarkStart w:id="1541" w:name="bookmark1541"/>
      <w:r>
        <w:rPr>
          <w:color w:val="000000"/>
          <w:spacing w:val="0"/>
          <w:w w:val="100"/>
          <w:position w:val="0"/>
        </w:rPr>
        <w:t>2</w:t>
      </w:r>
      <w:bookmarkEnd w:id="1541"/>
      <w:r>
        <w:rPr>
          <w:color w:val="000000"/>
          <w:spacing w:val="0"/>
          <w:w w:val="100"/>
          <w:position w:val="0"/>
        </w:rPr>
        <w:t>、</w:t>
        <w:tab/>
        <w:t>2022年2月10日经公司董事会八届五次会议审议通过，公司拟与中国供销冷链物流有限公司（以下简称“中国供销 冷链”）、石家庄市第二棉麻有限公司（以下简称“市棉麻”）三方共同签署《中国供销石家庄冷链物流产业园项目投资合作 协议》（以下简称“《合作协议尸），通过对供销冷链物流（石家庄）有限公司（以下简称“目标公司”）增资，共同投资建设 中国供销石家庄冷链物流产业园项目（以下简称“本项目”）</w:t>
      </w:r>
    </w:p>
    <w:p>
      <w:pPr>
        <w:pStyle w:val="Style18"/>
        <w:keepNext w:val="0"/>
        <w:keepLines w:val="0"/>
        <w:widowControl w:val="0"/>
        <w:shd w:val="clear" w:color="auto" w:fill="auto"/>
        <w:bidi w:val="0"/>
        <w:spacing w:before="0" w:after="280" w:line="305" w:lineRule="exact"/>
        <w:ind w:left="0" w:right="0" w:firstLine="360"/>
        <w:jc w:val="both"/>
      </w:pPr>
      <w:r>
        <w:rPr>
          <w:color w:val="000000"/>
          <w:spacing w:val="0"/>
          <w:w w:val="100"/>
          <w:position w:val="0"/>
        </w:rPr>
        <w:t>项目公司为供销冷链物流（石家庄）有限公司，注册地点：中国（河北）自由贸易试验区正定片区高新技术产业开发区 南区崇因路19号，原注册资本：1000万元人民币，出资方式及股权占比：中国供销冷链和公司均以现金方式出资，分别占 目标公司51%和49%的股权。统一社会信用代码：</w:t>
      </w:r>
      <w:r>
        <w:rPr>
          <w:color w:val="000000"/>
          <w:spacing w:val="0"/>
          <w:w w:val="100"/>
          <w:position w:val="0"/>
        </w:rPr>
        <w:t>91130123MA0GHK666A，</w:t>
      </w:r>
      <w:r>
        <w:rPr>
          <w:color w:val="000000"/>
          <w:spacing w:val="0"/>
          <w:w w:val="100"/>
          <w:position w:val="0"/>
        </w:rPr>
        <w:t>成立时间：2021年7月5日。</w:t>
      </w:r>
    </w:p>
    <w:p>
      <w:pPr>
        <w:pStyle w:val="Style18"/>
        <w:keepNext w:val="0"/>
        <w:keepLines w:val="0"/>
        <w:widowControl w:val="0"/>
        <w:shd w:val="clear" w:color="auto" w:fill="auto"/>
        <w:bidi w:val="0"/>
        <w:spacing w:before="0" w:after="40" w:line="308" w:lineRule="exact"/>
        <w:ind w:left="0" w:right="0"/>
        <w:jc w:val="both"/>
      </w:pPr>
      <w:r>
        <w:rPr>
          <w:color w:val="000000"/>
          <w:spacing w:val="0"/>
          <w:w w:val="100"/>
          <w:position w:val="0"/>
        </w:rPr>
        <w:t>中国供销冷链以现金形式出资，公司以实物资产、债权加部分现金形式出资，市棉麻以现金形式出资。增资完成后，目 标公司的股权结构变化如下，中国供销冷链出资12,000万元，持股51.72%；公司出资11,000万元，持股47.41%；市棉麻出资 200万元，持股0.87%。公司合计出资额为23,200万元人民币。几方约定中国供销冷链、公司出资将在2022年2月28日 前全部实缴到位（按照“新网工程”有关管理规定，中国供销冷链取得财政部批准文件且资金到达中国供销集团账户即视为 实缴到位），市棉麻出资将在2024年1月31日之前实缴到位。截止报告出具日，公司出资已全部完成。</w:t>
      </w:r>
    </w:p>
    <w:p>
      <w:pPr>
        <w:pStyle w:val="Style18"/>
        <w:keepNext w:val="0"/>
        <w:keepLines w:val="0"/>
        <w:widowControl w:val="0"/>
        <w:shd w:val="clear" w:color="auto" w:fill="auto"/>
        <w:tabs>
          <w:tab w:pos="649" w:val="left"/>
        </w:tabs>
        <w:bidi w:val="0"/>
        <w:spacing w:before="0" w:after="40" w:line="312" w:lineRule="exact"/>
        <w:ind w:left="0" w:right="0"/>
        <w:jc w:val="both"/>
      </w:pPr>
      <w:bookmarkStart w:id="1542" w:name="bookmark1542"/>
      <w:r>
        <w:rPr>
          <w:color w:val="000000"/>
          <w:spacing w:val="0"/>
          <w:w w:val="100"/>
          <w:position w:val="0"/>
        </w:rPr>
        <w:t>3</w:t>
      </w:r>
      <w:bookmarkEnd w:id="1542"/>
      <w:r>
        <w:rPr>
          <w:color w:val="000000"/>
          <w:spacing w:val="0"/>
          <w:w w:val="100"/>
          <w:position w:val="0"/>
        </w:rPr>
        <w:t>、</w:t>
        <w:tab/>
        <w:t>经2021年12月16日召开的公司2021年第二次临时股东大会批准，处置公司所属恒盛纺织分公司的</w:t>
      </w:r>
      <w:r>
        <w:rPr>
          <w:color w:val="000000"/>
          <w:spacing w:val="0"/>
          <w:w w:val="100"/>
          <w:position w:val="0"/>
        </w:rPr>
        <w:t>B2</w:t>
      </w:r>
      <w:r>
        <w:rPr>
          <w:color w:val="000000"/>
          <w:spacing w:val="0"/>
          <w:w w:val="100"/>
          <w:position w:val="0"/>
        </w:rPr>
        <w:t xml:space="preserve">车间设备及舒美 特、大提花等部分设备，共计630台（套），原值30, </w:t>
      </w:r>
      <w:r>
        <w:rPr>
          <w:color w:val="000000"/>
          <w:spacing w:val="0"/>
          <w:w w:val="100"/>
          <w:position w:val="0"/>
        </w:rPr>
        <w:t xml:space="preserve">534. </w:t>
      </w:r>
      <w:r>
        <w:rPr>
          <w:color w:val="000000"/>
          <w:spacing w:val="0"/>
          <w:w w:val="100"/>
          <w:position w:val="0"/>
        </w:rPr>
        <w:t>97万元，净值</w:t>
      </w:r>
      <w:r>
        <w:rPr>
          <w:color w:val="000000"/>
          <w:spacing w:val="0"/>
          <w:w w:val="100"/>
          <w:position w:val="0"/>
        </w:rPr>
        <w:t>23,515.46</w:t>
      </w:r>
      <w:r>
        <w:rPr>
          <w:color w:val="000000"/>
          <w:spacing w:val="0"/>
          <w:w w:val="100"/>
          <w:position w:val="0"/>
        </w:rPr>
        <w:t>万元，评估值</w:t>
      </w:r>
      <w:r>
        <w:rPr>
          <w:color w:val="000000"/>
          <w:spacing w:val="0"/>
          <w:w w:val="100"/>
          <w:position w:val="0"/>
        </w:rPr>
        <w:t xml:space="preserve">826. </w:t>
      </w:r>
      <w:r>
        <w:rPr>
          <w:color w:val="000000"/>
          <w:spacing w:val="0"/>
          <w:w w:val="100"/>
          <w:position w:val="0"/>
        </w:rPr>
        <w:t>55万元。资产类别全 部为固定资产，该等设备权属清晰，不存在任何限制转让或者妨碍权属转移的情况。本次设备处置事项已经石家庄市人民政 府国有资产监督管理委员会《关于石家庄常山纺织集团有限责任公司拟公开处置石家庄常山北明科技股份有限公司恒盛纺织 分公司闲置报废设备有关事项的批复》（石国资[2021]93号）批准。本次设备处置将严格按照国有资产处置程序，通过国有 产权交易机构，采用分类打包的方式以公开挂牌方式完成。截止本报告出具日，通过产权交易机构完成52台（套）转让，转 让价格</w:t>
      </w:r>
      <w:r>
        <w:rPr>
          <w:color w:val="000000"/>
          <w:spacing w:val="0"/>
          <w:w w:val="100"/>
          <w:position w:val="0"/>
        </w:rPr>
        <w:t xml:space="preserve">68. </w:t>
      </w:r>
      <w:r>
        <w:rPr>
          <w:color w:val="000000"/>
          <w:spacing w:val="0"/>
          <w:w w:val="100"/>
          <w:position w:val="0"/>
        </w:rPr>
        <w:t>30万元。</w:t>
      </w:r>
    </w:p>
    <w:p>
      <w:pPr>
        <w:pStyle w:val="Style18"/>
        <w:keepNext w:val="0"/>
        <w:keepLines w:val="0"/>
        <w:widowControl w:val="0"/>
        <w:shd w:val="clear" w:color="auto" w:fill="auto"/>
        <w:tabs>
          <w:tab w:pos="669" w:val="left"/>
        </w:tabs>
        <w:bidi w:val="0"/>
        <w:spacing w:before="0" w:after="40" w:line="312" w:lineRule="exact"/>
        <w:ind w:left="0" w:right="0"/>
        <w:jc w:val="both"/>
      </w:pPr>
      <w:bookmarkStart w:id="1543" w:name="bookmark1543"/>
      <w:r>
        <w:rPr>
          <w:color w:val="000000"/>
          <w:spacing w:val="0"/>
          <w:w w:val="100"/>
          <w:position w:val="0"/>
        </w:rPr>
        <w:t>4</w:t>
      </w:r>
      <w:bookmarkEnd w:id="1543"/>
      <w:r>
        <w:rPr>
          <w:color w:val="000000"/>
          <w:spacing w:val="0"/>
          <w:w w:val="100"/>
          <w:position w:val="0"/>
        </w:rPr>
        <w:t>、</w:t>
        <w:tab/>
        <w:t>2022年2月10日经公司董事会八届五次会议审议通过，公司拟投资建设云数据中心项目二期工程。</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常山云数据中心项目二期工程总投资6亿元，资金来源为自有及自筹资金，新建数据机房楼1座，建筑面积28, 000平方米， 布署标准机柜4,110架及配套的网络设备、高低压、油机、电源、空调配套、机房空调、室外柴发机组等。云数据中心项目 二期工程计划于2022年2月开工建设，计划于2023年12月建成投产。</w:t>
      </w:r>
    </w:p>
    <w:p>
      <w:pPr>
        <w:pStyle w:val="Style18"/>
        <w:keepNext w:val="0"/>
        <w:keepLines w:val="0"/>
        <w:widowControl w:val="0"/>
        <w:shd w:val="clear" w:color="auto" w:fill="auto"/>
        <w:tabs>
          <w:tab w:pos="649" w:val="left"/>
        </w:tabs>
        <w:bidi w:val="0"/>
        <w:spacing w:before="0" w:after="40" w:line="312" w:lineRule="exact"/>
        <w:ind w:left="0" w:right="0"/>
        <w:jc w:val="both"/>
      </w:pPr>
      <w:bookmarkStart w:id="1544" w:name="bookmark1544"/>
      <w:r>
        <w:rPr>
          <w:color w:val="000000"/>
          <w:spacing w:val="0"/>
          <w:w w:val="100"/>
          <w:position w:val="0"/>
        </w:rPr>
        <w:t>5</w:t>
      </w:r>
      <w:bookmarkEnd w:id="1544"/>
      <w:r>
        <w:rPr>
          <w:color w:val="000000"/>
          <w:spacing w:val="0"/>
          <w:w w:val="100"/>
          <w:position w:val="0"/>
        </w:rPr>
        <w:t>、</w:t>
        <w:tab/>
        <w:t>公司于2021年9月16日披露了《关于公司第二大股东参与转融通证券出借业务的公告》公司第二大股东北京北明伟业 控股有限公司（以下简称“北明控股”）拟参与转融通证券出借业务，将所持有的公司部分股份出借给中国证券金融股份有 限公司，出借股份数量不超过31,972,334股，即不超过公司总股本的2%，期限自披露之日起不超过6个月。截止2022年3月 15日，北明控股本次转融通证券出借业务已实施完毕。截至2022年4月14日，北明控股参与转融通证券出借业务尚存在借股 数共计6,618,700股（占公司总股本比例0.41%）。</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截止2022年4月14日，除上述事项外，本公司不存在其他应披露的资产负债表日后事项。</w:t>
      </w:r>
    </w:p>
    <w:p>
      <w:pPr>
        <w:pStyle w:val="Style23"/>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r>
        <w:rPr>
          <w:color w:val="000000"/>
          <w:spacing w:val="0"/>
          <w:w w:val="100"/>
          <w:position w:val="0"/>
          <w:sz w:val="24"/>
          <w:szCs w:val="24"/>
        </w:rPr>
        <w:t>十五、其他重要事项</w:t>
      </w:r>
      <w:bookmarkEnd w:id="1545"/>
      <w:bookmarkEnd w:id="1546"/>
      <w:bookmarkEnd w:id="1547"/>
    </w:p>
    <w:p>
      <w:pPr>
        <w:pStyle w:val="Style27"/>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48"/>
      <w:bookmarkEnd w:id="1549"/>
      <w:bookmarkEnd w:id="1550"/>
    </w:p>
    <w:p>
      <w:pPr>
        <w:pStyle w:val="Style27"/>
        <w:keepNext/>
        <w:keepLines/>
        <w:widowControl w:val="0"/>
        <w:shd w:val="clear" w:color="auto" w:fill="auto"/>
        <w:tabs>
          <w:tab w:pos="428" w:val="left"/>
        </w:tabs>
        <w:bidi w:val="0"/>
        <w:spacing w:before="0" w:after="260" w:line="240" w:lineRule="auto"/>
        <w:ind w:left="0" w:right="0" w:firstLine="0"/>
        <w:jc w:val="left"/>
      </w:pPr>
      <w:bookmarkStart w:id="1548" w:name="bookmark1548"/>
      <w:bookmarkStart w:id="1549" w:name="bookmark1549"/>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48"/>
      <w:bookmarkEnd w:id="1549"/>
      <w:bookmarkEnd w:id="1552"/>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根据本公司的内部组织结构、管理要求及内部报告制度，本公司的经营业务划分为5个经营分部，本公司的管理层定期 评价这些分部的经营成果，以决定向其分配资源及评价其业绩。在经营分部的基础上本公司确定了2个报告分部，分别为纺 织分部、软件和信息技术服务业分部。这些报告分部是以收入为基础确定的。本公司各个报告分部提供的主要产品及劳务分 别为：纺织分部主要为棉纱、坯布、棉花；软件和信息技术服务业分部主要为系统集成及行业解决方案、代理产品增值销售、 定制软件及服务。</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分部报告信息根据各分部向管理层报告时采用的会计政策及计量标准披露，这些计量基础与编制财务报表时的会计与计 量基础保持一致。财务报表按照本附注五、33所述的会计政策按权责发生制确认收入；分部报告信息仅包括各分部的营业收 入及营业成本，未包括营业税金及附加、营业费用及其他费用及支出的分摊。</w:t>
      </w:r>
    </w:p>
    <w:p>
      <w:pPr>
        <w:pStyle w:val="Style27"/>
        <w:keepNext/>
        <w:keepLines/>
        <w:widowControl w:val="0"/>
        <w:shd w:val="clear" w:color="auto" w:fill="auto"/>
        <w:tabs>
          <w:tab w:pos="428"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53"/>
      <w:bookmarkEnd w:id="1554"/>
      <w:bookmarkEnd w:id="15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752"/>
        <w:gridCol w:w="2472"/>
        <w:gridCol w:w="1800"/>
        <w:gridCol w:w="163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软件和信息技术服务业分部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4,750,002,752.48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6,096,207,874.64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-28,267,111.80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10,817,943,515.32</w:t>
            </w:r>
          </w:p>
        </w:tc>
      </w:tr>
    </w:tbl>
    <w:tbl>
      <w:tblPr>
        <w:tblOverlap w:val="never"/>
        <w:jc w:val="center"/>
        <w:tblLayout w:type="fixed"/>
      </w:tblPr>
      <w:tblGrid>
        <w:gridCol w:w="1915"/>
        <w:gridCol w:w="1752"/>
        <w:gridCol w:w="2472"/>
        <w:gridCol w:w="1800"/>
        <w:gridCol w:w="163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4,683,119,526.76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5,017,445,691.48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-28,053,116.41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9,672,512,101.83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10,115,503,345.99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7,738,375,141.86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-1,256,041,278.22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16,597,837,209.63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5,099,923,415.25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5,469,877,126.44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-143,728,415.58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10,426,072,126.11</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557"/>
      <w:bookmarkEnd w:id="1558"/>
      <w:bookmarkEnd w:id="1559"/>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（一）租赁</w:t>
      </w:r>
    </w:p>
    <w:p>
      <w:pPr>
        <w:pStyle w:val="Style18"/>
        <w:keepNext w:val="0"/>
        <w:keepLines w:val="0"/>
        <w:widowControl w:val="0"/>
        <w:shd w:val="clear" w:color="auto" w:fill="auto"/>
        <w:bidi w:val="0"/>
        <w:spacing w:before="0" w:after="100" w:line="240" w:lineRule="auto"/>
        <w:ind w:left="0" w:right="0"/>
        <w:jc w:val="left"/>
      </w:pPr>
      <w:bookmarkStart w:id="1560" w:name="bookmark1560"/>
      <w:r>
        <w:rPr>
          <w:color w:val="000000"/>
          <w:spacing w:val="0"/>
          <w:w w:val="100"/>
          <w:position w:val="0"/>
        </w:rPr>
        <w:t>1</w:t>
      </w:r>
      <w:bookmarkEnd w:id="1560"/>
      <w:r>
        <w:rPr>
          <w:color w:val="000000"/>
          <w:spacing w:val="0"/>
          <w:w w:val="100"/>
          <w:position w:val="0"/>
        </w:rPr>
        <w:t>、本公司作为承租人</w:t>
      </w:r>
    </w:p>
    <w:tbl>
      <w:tblPr>
        <w:tblOverlap w:val="never"/>
        <w:jc w:val="center"/>
        <w:tblLayout w:type="fixed"/>
      </w:tblPr>
      <w:tblGrid>
        <w:gridCol w:w="5981"/>
        <w:gridCol w:w="3638"/>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计入当期损益的采用简化处理的短期租赁费用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2,507,775.16</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计入当期损益的采用简化处理的低价值资产租赁费用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（二）其他重要事项</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1、应收土地收购补偿金</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2021年3月31日，公司董事会七届二十次会议审议通过了《关于交付棉二分公司厂区土地的议案》，同意将公司所属棉二 厂区位于石家庄市长安区和平东路181号，国有土地使用证编号为长安国用（2006）第082号，面积为</w:t>
      </w:r>
      <w:r>
        <w:rPr>
          <w:color w:val="000000"/>
          <w:spacing w:val="0"/>
          <w:w w:val="100"/>
          <w:position w:val="0"/>
        </w:rPr>
        <w:t>179,830.700</w:t>
      </w:r>
      <w:r>
        <w:rPr>
          <w:color w:val="000000"/>
          <w:spacing w:val="0"/>
          <w:w w:val="100"/>
          <w:position w:val="0"/>
        </w:rPr>
        <w:t xml:space="preserve">平方米（合 </w:t>
      </w:r>
      <w:r>
        <w:rPr>
          <w:color w:val="000000"/>
          <w:spacing w:val="0"/>
          <w:w w:val="100"/>
          <w:position w:val="0"/>
        </w:rPr>
        <w:t xml:space="preserve">269. </w:t>
      </w:r>
      <w:r>
        <w:rPr>
          <w:color w:val="000000"/>
          <w:spacing w:val="0"/>
          <w:w w:val="100"/>
          <w:position w:val="0"/>
        </w:rPr>
        <w:t>75亩）的土地交付给石家庄市土地储备中心，并与其签署书面交接验收手续。针对上述土地使用权，经公司董事会八届 四次会议批准，2021年12月28日公司与石家庄市土地储备中心（以下简称“储备中心”）签订《企事业单位国有土地使用权 收购（回）合同》（收购补充合同）。</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其主要内容为如下：</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土地补偿标准为按照土地出让总价款的60%对企业进行补偿。补偿费用包括土地及地上建（构）筑物等补偿费用，不再 另行计提基金（如遇极特殊情况，基金总额超过总价款数40%，超过部分从企业补偿中扣除）。企业应得土地补偿金（土地 出让总价款的60%）中需扣除已支付的土地补偿费、利息（利息以财政部门认定的数额为准）及其他费用。同时公司不再享 受除《石家庄市主城区污染工业企业退城搬迁改造的实施意见》（石政规</w:t>
      </w:r>
      <w:r>
        <w:rPr>
          <w:color w:val="000000"/>
          <w:spacing w:val="0"/>
          <w:w w:val="100"/>
          <w:position w:val="0"/>
        </w:rPr>
        <w:t xml:space="preserve">[2018] </w:t>
      </w:r>
      <w:r>
        <w:rPr>
          <w:color w:val="000000"/>
          <w:spacing w:val="0"/>
          <w:w w:val="100"/>
          <w:position w:val="0"/>
        </w:rPr>
        <w:t>15号）及本合同以外其他土地补偿优惠政 策。土地收购补偿金用于企业搬迁改造。</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土地补偿金付款时间及方式：待该宗地依法供应，新的用地者将土地出让款交付财政，财政部门将补偿金拨付储备中心 后，储备中心按以下时间和金额支付土地补偿金：1、第一期土地补偿金，经核算扣除已支付土地补偿款、利息及其他费用， 剩余土地补偿款达到或超出20, 000万元，储备中心10个工作日内先向公司拨付20, 000万元。2、剩余土地补偿款（需扣除已 支付土地补偿费、利息及其他费用），待新的用地者接收土地无异议，并签订《国有建设用地交地确认书》之日起10个工作 日内支付剩余款项。</w:t>
      </w:r>
    </w:p>
    <w:p>
      <w:pPr>
        <w:pStyle w:val="Style18"/>
        <w:keepNext w:val="0"/>
        <w:keepLines w:val="0"/>
        <w:widowControl w:val="0"/>
        <w:shd w:val="clear" w:color="auto" w:fill="auto"/>
        <w:tabs>
          <w:tab w:pos="675" w:val="left"/>
        </w:tabs>
        <w:bidi w:val="0"/>
        <w:spacing w:before="0" w:after="0" w:line="314" w:lineRule="exact"/>
        <w:ind w:left="0" w:right="0"/>
        <w:jc w:val="both"/>
      </w:pPr>
      <w:bookmarkStart w:id="1561" w:name="bookmark1561"/>
      <w:r>
        <w:rPr>
          <w:color w:val="000000"/>
          <w:spacing w:val="0"/>
          <w:w w:val="100"/>
          <w:position w:val="0"/>
        </w:rPr>
        <w:t>2</w:t>
      </w:r>
      <w:bookmarkEnd w:id="1561"/>
      <w:r>
        <w:rPr>
          <w:color w:val="000000"/>
          <w:spacing w:val="0"/>
          <w:w w:val="100"/>
          <w:position w:val="0"/>
        </w:rPr>
        <w:t>、</w:t>
        <w:tab/>
        <w:t>股权质押</w:t>
      </w:r>
    </w:p>
    <w:p>
      <w:pPr>
        <w:pStyle w:val="Style18"/>
        <w:keepNext w:val="0"/>
        <w:keepLines w:val="0"/>
        <w:widowControl w:val="0"/>
        <w:shd w:val="clear" w:color="auto" w:fill="auto"/>
        <w:bidi w:val="0"/>
        <w:spacing w:before="0" w:after="0" w:line="319" w:lineRule="exact"/>
        <w:ind w:left="0" w:right="0"/>
        <w:jc w:val="both"/>
      </w:pPr>
      <w:r>
        <w:rPr>
          <w:color w:val="000000"/>
          <w:spacing w:val="0"/>
          <w:w w:val="100"/>
          <w:position w:val="0"/>
        </w:rPr>
        <w:t>公司第一大股东常山集团于2021年6月29日将其持有的部分股权66,500,000股质押给中国银行证券股份有限公司，质押 到期日2024年6月28日。2021年7月9日，常山集团将其持有的部分质押在中国银河证券股份有限公司的股权75, 000, 000股办 理解除质押。</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截至本报告报出日，常山集团所持有公司股份累计质押94, 500, 000股，占其所持公司股份总数的</w:t>
      </w:r>
      <w:r>
        <w:rPr>
          <w:color w:val="000000"/>
          <w:spacing w:val="0"/>
          <w:w w:val="100"/>
          <w:position w:val="0"/>
        </w:rPr>
        <w:t xml:space="preserve">20. </w:t>
      </w:r>
      <w:r>
        <w:rPr>
          <w:color w:val="000000"/>
          <w:spacing w:val="0"/>
          <w:w w:val="100"/>
          <w:position w:val="0"/>
        </w:rPr>
        <w:t>76%，占公司总股本 的</w:t>
      </w:r>
      <w:r>
        <w:rPr>
          <w:color w:val="000000"/>
          <w:spacing w:val="0"/>
          <w:w w:val="100"/>
          <w:position w:val="0"/>
        </w:rPr>
        <w:t xml:space="preserve">5. </w:t>
      </w:r>
      <w:r>
        <w:rPr>
          <w:color w:val="000000"/>
          <w:spacing w:val="0"/>
          <w:w w:val="100"/>
          <w:position w:val="0"/>
        </w:rPr>
        <w:t>91%。</w:t>
      </w:r>
    </w:p>
    <w:p>
      <w:pPr>
        <w:pStyle w:val="Style18"/>
        <w:keepNext w:val="0"/>
        <w:keepLines w:val="0"/>
        <w:widowControl w:val="0"/>
        <w:shd w:val="clear" w:color="auto" w:fill="auto"/>
        <w:tabs>
          <w:tab w:pos="675" w:val="left"/>
        </w:tabs>
        <w:bidi w:val="0"/>
        <w:spacing w:before="0" w:after="0" w:line="314" w:lineRule="exact"/>
        <w:ind w:left="0" w:right="0"/>
        <w:jc w:val="both"/>
      </w:pPr>
      <w:bookmarkStart w:id="1562" w:name="bookmark1562"/>
      <w:r>
        <w:rPr>
          <w:color w:val="000000"/>
          <w:spacing w:val="0"/>
          <w:w w:val="100"/>
          <w:position w:val="0"/>
        </w:rPr>
        <w:t>3</w:t>
      </w:r>
      <w:bookmarkEnd w:id="1562"/>
      <w:r>
        <w:rPr>
          <w:color w:val="000000"/>
          <w:spacing w:val="0"/>
          <w:w w:val="100"/>
          <w:position w:val="0"/>
        </w:rPr>
        <w:t>、</w:t>
        <w:tab/>
        <w:t>公司第五分公司出租仓库发生火灾事故的进展</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关于2018年12月28日火灾事件，公司第五分公司与中铁一局集团第四工程有限公司达成一致协议，双方签署的《火灾赔 偿和解框架协议》约定，对其他第三人商户财产损失，根据圣源祥保险公估有限公司出具的《公估报告》鉴定的火灾损失数 额，双方自愿按照中铁公司承担63%、公司第五分公司承担37%的比例承担赔偿责任。</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针对上述涉及24户第三方的案件，具体个案中垫付款项的支付期限在法院《民事调解书》中予以明确，但须在2022年6 月30日前完成法院调解程序且将款项支付完毕，任何一方均不得无故拖延，因疫情等不可抗力影响，时间顺延事宜双方另行</w:t>
        <w:br w:type="page"/>
      </w:r>
      <w:r>
        <w:rPr>
          <w:color w:val="000000"/>
          <w:spacing w:val="0"/>
          <w:w w:val="100"/>
          <w:position w:val="0"/>
        </w:rPr>
        <w:t>协商。中铁公司承担的火灾损失数额</w:t>
      </w:r>
      <w:r>
        <w:rPr>
          <w:color w:val="000000"/>
          <w:spacing w:val="0"/>
          <w:w w:val="100"/>
          <w:position w:val="0"/>
        </w:rPr>
        <w:t>1,868.4</w:t>
      </w:r>
      <w:r>
        <w:rPr>
          <w:color w:val="000000"/>
          <w:spacing w:val="0"/>
          <w:w w:val="100"/>
          <w:position w:val="0"/>
        </w:rPr>
        <w:t>1万元和案件受理费1</w:t>
      </w:r>
      <w:r>
        <w:rPr>
          <w:color w:val="000000"/>
          <w:spacing w:val="0"/>
          <w:w w:val="100"/>
          <w:position w:val="0"/>
        </w:rPr>
        <w:t>.13</w:t>
      </w:r>
      <w:r>
        <w:rPr>
          <w:color w:val="000000"/>
          <w:spacing w:val="0"/>
          <w:w w:val="100"/>
          <w:position w:val="0"/>
        </w:rPr>
        <w:t>万元，共计</w:t>
      </w:r>
      <w:r>
        <w:rPr>
          <w:color w:val="000000"/>
          <w:spacing w:val="0"/>
          <w:w w:val="100"/>
          <w:position w:val="0"/>
        </w:rPr>
        <w:t>1,869.54</w:t>
      </w:r>
      <w:r>
        <w:rPr>
          <w:color w:val="000000"/>
          <w:spacing w:val="0"/>
          <w:w w:val="100"/>
          <w:position w:val="0"/>
        </w:rPr>
        <w:t>万元。截止报告出具日，公司已经 收到赔偿款</w:t>
      </w:r>
      <w:r>
        <w:rPr>
          <w:color w:val="000000"/>
          <w:spacing w:val="0"/>
          <w:w w:val="100"/>
          <w:position w:val="0"/>
        </w:rPr>
        <w:t>134.21</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both"/>
      </w:pPr>
      <w:bookmarkStart w:id="1563" w:name="bookmark1563"/>
      <w:bookmarkStart w:id="1564" w:name="bookmark1564"/>
      <w:bookmarkStart w:id="1565" w:name="bookmark1565"/>
      <w:r>
        <w:rPr>
          <w:color w:val="000000"/>
          <w:spacing w:val="0"/>
          <w:w w:val="100"/>
          <w:position w:val="0"/>
          <w:sz w:val="24"/>
          <w:szCs w:val="24"/>
        </w:rPr>
        <w:t>十六、母公司财务报表主要项目注释</w:t>
      </w:r>
      <w:bookmarkEnd w:id="1563"/>
      <w:bookmarkEnd w:id="1564"/>
      <w:bookmarkEnd w:id="1565"/>
    </w:p>
    <w:p>
      <w:pPr>
        <w:pStyle w:val="Style27"/>
        <w:keepNext/>
        <w:keepLines/>
        <w:widowControl w:val="0"/>
        <w:shd w:val="clear" w:color="auto" w:fill="auto"/>
        <w:bidi w:val="0"/>
        <w:spacing w:before="0" w:line="240" w:lineRule="auto"/>
        <w:ind w:left="0" w:right="0" w:firstLine="0"/>
        <w:jc w:val="both"/>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66"/>
      <w:bookmarkEnd w:id="1567"/>
      <w:bookmarkEnd w:id="1568"/>
    </w:p>
    <w:p>
      <w:pPr>
        <w:pStyle w:val="Style27"/>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66"/>
      <w:bookmarkEnd w:id="1567"/>
      <w:bookmarkEnd w:id="15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87"/>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25,340,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25,340,</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513,69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3,148.9</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1,319,2</w:t>
            </w:r>
          </w:p>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3,914.6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445,31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3,169.8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500,55</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444,812,</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513,69</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3,148.9</w:t>
            </w:r>
          </w:p>
          <w:p>
            <w:pPr>
              <w:pStyle w:val="Style20"/>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1,319,2</w:t>
            </w:r>
          </w:p>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3,914.6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470,65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3,837.3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25,841,</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444,812,</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614.75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1,319,234.32</w:t>
      </w:r>
      <w:r>
        <w:rPr>
          <w:color w:val="000000"/>
          <w:spacing w:val="0"/>
          <w:w w:val="100"/>
          <w:position w:val="0"/>
        </w:rPr>
        <w:t>元</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4,003,767.47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160,150.69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1,895,800.64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113,748.04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2,595,351.20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389,302.68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1,640,082.28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656,032.91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503,558,147.37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513,693,148.96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1,319,234.32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240" w:line="240" w:lineRule="auto"/>
        <w:ind w:left="0" w:right="0" w:firstLine="0"/>
        <w:jc w:val="both"/>
        <w:sectPr>
          <w:footnotePr>
            <w:pos w:val="pageBottom"/>
            <w:numFmt w:val="decimal"/>
            <w:numRestart w:val="continuous"/>
          </w:footnotePr>
          <w:pgSz w:w="11900" w:h="16840"/>
          <w:pgMar w:top="1221" w:right="1061" w:bottom="1435" w:left="1056" w:header="0" w:footer="3" w:gutter="0"/>
          <w:cols w:space="720"/>
          <w:noEndnote/>
          <w:rtlGutter w:val="0"/>
          <w:docGrid w:linePitch="360"/>
        </w:sectPr>
      </w:pPr>
      <w:r>
        <w:rPr>
          <w:color w:val="000000"/>
          <w:spacing w:val="0"/>
          <w:w w:val="100"/>
          <w:position w:val="0"/>
        </w:rPr>
        <w:t>按账龄披露</w:t>
      </w:r>
    </w:p>
    <w:p>
      <w:pPr>
        <w:widowControl w:val="0"/>
        <w:spacing w:after="219" w:line="1" w:lineRule="exact"/>
      </w:pP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330,385,335.53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79,903,483.93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4,429,254.08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98,975,075.42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8,092,643.11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81,798,042.35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9,084,389.96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513,693,148.96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0"/>
      <w:bookmarkEnd w:id="1571"/>
      <w:bookmarkEnd w:id="157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368"/>
        <w:gridCol w:w="1291"/>
        <w:gridCol w:w="1320"/>
        <w:gridCol w:w="1320"/>
        <w:gridCol w:w="1123"/>
        <w:gridCol w:w="121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25,841,222.58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818,679.23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1,190,293.20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24,150,374.29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1,319,234.32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25,841,222.58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818,679.23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1,190,293.20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24,150,374.29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1,319,234.32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73"/>
      <w:bookmarkEnd w:id="1574"/>
      <w:bookmarkEnd w:id="15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24,150,374.29</w:t>
            </w:r>
          </w:p>
        </w:tc>
      </w:tr>
    </w:tbl>
    <w:p>
      <w:pPr>
        <w:widowControl w:val="0"/>
        <w:spacing w:after="4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24"/>
        <w:gridCol w:w="1819"/>
        <w:gridCol w:w="1618"/>
        <w:gridCol w:w="1426"/>
        <w:gridCol w:w="1574"/>
        <w:gridCol w:w="13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七届二十四次董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1,185,196.55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19,989,586.88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25,340,667.49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after="10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77"/>
      <w:bookmarkEnd w:id="1578"/>
      <w:bookmarkEnd w:id="15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1963"/>
        <w:gridCol w:w="1786"/>
        <w:gridCol w:w="182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362,158,225.36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9,947,110.80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7,847,051.59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河北北明兴云互联网科技有限责任公司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6,435,035.62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宏丰（大连保税区）国际贸易有限公司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2,828,585.19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404,914.26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389,216,008.56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27"/>
        <w:keepNext/>
        <w:keepLines/>
        <w:widowControl w:val="0"/>
        <w:shd w:val="clear" w:color="auto" w:fill="auto"/>
        <w:bidi w:val="0"/>
        <w:spacing w:before="0" w:after="10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1"/>
      <w:bookmarkEnd w:id="1582"/>
      <w:bookmarkEnd w:id="15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229,872,015.30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12,411,882.21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233,574,178.69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13,254,878.93</w:t>
            </w:r>
          </w:p>
        </w:tc>
      </w:tr>
    </w:tbl>
    <w:p>
      <w:pPr>
        <w:widowControl w:val="0"/>
        <w:spacing w:after="219" w:line="1" w:lineRule="exact"/>
      </w:pPr>
    </w:p>
    <w:p>
      <w:pPr>
        <w:pStyle w:val="Style27"/>
        <w:keepNext/>
        <w:keepLines/>
        <w:widowControl w:val="0"/>
        <w:shd w:val="clear" w:color="auto" w:fill="auto"/>
        <w:bidi w:val="0"/>
        <w:spacing w:before="0" w:after="22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84"/>
      <w:bookmarkEnd w:id="1585"/>
      <w:bookmarkEnd w:id="1586"/>
    </w:p>
    <w:p>
      <w:pPr>
        <w:pStyle w:val="Style27"/>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84"/>
      <w:bookmarkEnd w:id="1585"/>
      <w:bookmarkEnd w:id="158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r>
    </w:tbl>
    <w:p>
      <w:pPr>
        <w:widowControl w:val="0"/>
        <w:spacing w:after="219" w:line="1" w:lineRule="exact"/>
      </w:pPr>
    </w:p>
    <w:p>
      <w:pPr>
        <w:pStyle w:val="Style27"/>
        <w:keepNext/>
        <w:keepLines/>
        <w:widowControl w:val="0"/>
        <w:shd w:val="clear" w:color="auto" w:fill="auto"/>
        <w:bidi w:val="0"/>
        <w:spacing w:before="0" w:after="22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8"/>
      <w:bookmarkEnd w:id="1589"/>
      <w:bookmarkEnd w:id="1590"/>
    </w:p>
    <w:p>
      <w:pPr>
        <w:pStyle w:val="Style27"/>
        <w:keepNext/>
        <w:keepLines/>
        <w:widowControl w:val="0"/>
        <w:shd w:val="clear" w:color="auto" w:fill="auto"/>
        <w:bidi w:val="0"/>
        <w:spacing w:before="0" w:after="100" w:line="240" w:lineRule="auto"/>
        <w:ind w:left="0" w:right="0" w:firstLine="0"/>
        <w:jc w:val="left"/>
      </w:pPr>
      <w:bookmarkStart w:id="1588" w:name="bookmark1588"/>
      <w:bookmarkStart w:id="1589" w:name="bookmark1589"/>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88"/>
      <w:bookmarkEnd w:id="1589"/>
      <w:bookmarkEnd w:id="159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3,059,171.52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5,240,405.60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5,207,109.00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21,361,368.58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2,723,294.91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4,541,351.62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4,541,351.62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208,585.22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应收企业搬迁补助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233,363,711.02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15,662,974.25</w:t>
            </w:r>
          </w:p>
        </w:tc>
      </w:tr>
    </w:tbl>
    <w:p>
      <w:pPr>
        <w:spacing w:lineRule="exact" w:line="1"/>
        <w:rPr>
          <w:sz w:val="2"/>
          <w:szCs w:val="2"/>
        </w:rPr>
      </w:pPr>
      <w:r>
        <w:br w:type="page"/>
      </w:r>
    </w:p>
    <w:p>
      <w:pPr>
        <w:pStyle w:val="Style27"/>
        <w:keepNext/>
        <w:keepLines/>
        <w:widowControl w:val="0"/>
        <w:shd w:val="clear" w:color="auto" w:fill="auto"/>
        <w:bidi w:val="0"/>
        <w:spacing w:before="0" w:after="240" w:line="240" w:lineRule="auto"/>
        <w:ind w:left="0" w:right="0" w:firstLine="0"/>
        <w:jc w:val="both"/>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92"/>
      <w:bookmarkEnd w:id="1593"/>
      <w:bookmarkEnd w:id="15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53"/>
        <w:gridCol w:w="1766"/>
        <w:gridCol w:w="1968"/>
        <w:gridCol w:w="2011"/>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2,203,920.52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1,047,171.52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3,251,092.04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1,289,753.02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1,289,753.02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1,977.82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1,977.82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1,047,171.52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1,047,171.52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3,491,695.72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3,491,695.72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218,853,055.87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1,838,600.78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7,840,406.09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4,831,648.28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3,674,755.97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218,606.22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938,286.09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233,363,711.02</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color w:val="000000"/>
          <w:spacing w:val="0"/>
          <w:w w:val="100"/>
          <w:position w:val="0"/>
        </w:rPr>
        <w:t>）本期计提、收回或转回的坏账准备情况</w:t>
      </w:r>
      <w:bookmarkEnd w:id="1595"/>
      <w:bookmarkEnd w:id="1596"/>
      <w:bookmarkEnd w:id="1598"/>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440"/>
        <w:gridCol w:w="1186"/>
        <w:gridCol w:w="1258"/>
        <w:gridCol w:w="1382"/>
        <w:gridCol w:w="989"/>
        <w:gridCol w:w="13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3,251,092.04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1,289,753.02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1,047,171.52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3,491,695.72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3,251,092.04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1,289,753.02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1,977.82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1,047,171.52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3,491,695.72</w:t>
            </w:r>
          </w:p>
        </w:tc>
      </w:tr>
    </w:tbl>
    <w:p>
      <w:pPr>
        <w:widowControl w:val="0"/>
        <w:spacing w:after="299" w:line="1" w:lineRule="exact"/>
      </w:pPr>
    </w:p>
    <w:p>
      <w:pPr>
        <w:pStyle w:val="Style27"/>
        <w:keepNext/>
        <w:keepLines/>
        <w:widowControl w:val="0"/>
        <w:shd w:val="clear" w:color="auto" w:fill="auto"/>
        <w:bidi w:val="0"/>
        <w:spacing w:before="0" w:after="12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color w:val="000000"/>
          <w:spacing w:val="0"/>
          <w:w w:val="100"/>
          <w:position w:val="0"/>
        </w:rPr>
        <w:t>）本期实际核销的其他应收款情况</w:t>
      </w:r>
      <w:bookmarkEnd w:id="1599"/>
      <w:bookmarkEnd w:id="1600"/>
      <w:bookmarkEnd w:id="1602"/>
      <w:r>
        <w:br w:type="page"/>
      </w:r>
    </w:p>
    <w:tbl>
      <w:tblPr>
        <w:tblOverlap w:val="never"/>
        <w:jc w:val="center"/>
        <w:tblLayout w:type="fixed"/>
      </w:tblPr>
      <w:tblGrid>
        <w:gridCol w:w="4781"/>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1,047,171.52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0"/>
        <w:gridCol w:w="1555"/>
        <w:gridCol w:w="1550"/>
        <w:gridCol w:w="1618"/>
        <w:gridCol w:w="161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491,447.00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七届二十四次董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257,782.80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七届二十四次董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297,941.72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七届二十四次董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事会批准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1,047,171.52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18"/>
        <w:keepNext w:val="0"/>
        <w:keepLines w:val="0"/>
        <w:widowControl w:val="0"/>
        <w:shd w:val="clear" w:color="auto" w:fill="auto"/>
        <w:bidi w:val="0"/>
        <w:spacing w:before="0" w:after="240" w:line="326" w:lineRule="exact"/>
        <w:ind w:left="0" w:right="0"/>
        <w:jc w:val="left"/>
      </w:pPr>
      <w:r>
        <w:rPr>
          <w:color w:val="000000"/>
          <w:spacing w:val="0"/>
          <w:w w:val="100"/>
          <w:position w:val="0"/>
        </w:rPr>
        <w:t>账龄都在</w:t>
      </w:r>
      <w:r>
        <w:rPr>
          <w:rFonts w:ascii="Times New Roman" w:eastAsia="Times New Roman" w:hAnsi="Times New Roman" w:cs="Times New Roman"/>
          <w:color w:val="000000"/>
          <w:spacing w:val="0"/>
          <w:w w:val="100"/>
          <w:position w:val="0"/>
        </w:rPr>
        <w:t>5</w:t>
      </w:r>
      <w:r>
        <w:rPr>
          <w:color w:val="000000"/>
          <w:spacing w:val="0"/>
          <w:w w:val="100"/>
          <w:position w:val="0"/>
        </w:rPr>
        <w:t>年以上，公司尝试多种渠道催收后仍然无果，确实无法回收，因此经七届二十四次董事会批准对上述款项予 以核销。</w:t>
      </w:r>
    </w:p>
    <w:p>
      <w:pPr>
        <w:pStyle w:val="Style27"/>
        <w:keepNext/>
        <w:keepLines/>
        <w:widowControl w:val="0"/>
        <w:shd w:val="clear" w:color="auto" w:fill="auto"/>
        <w:bidi w:val="0"/>
        <w:spacing w:before="0" w:after="2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color w:val="000000"/>
          <w:spacing w:val="0"/>
          <w:w w:val="100"/>
          <w:position w:val="0"/>
        </w:rPr>
        <w:t>）按欠款方归集的期末余额前五名的其他应收款情况</w:t>
      </w:r>
      <w:bookmarkEnd w:id="1603"/>
      <w:bookmarkEnd w:id="1604"/>
      <w:bookmarkEnd w:id="16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2054"/>
        <w:gridCol w:w="1382"/>
        <w:gridCol w:w="1214"/>
        <w:gridCol w:w="1680"/>
        <w:gridCol w:w="12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石家庄市土地储备中心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土地及房屋收购补偿款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中铁一局集团第四工程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18,695,327.68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747,813.11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4,541,351.62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 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1,816,540.65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招银金融租赁有限公司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北京全景大成企业管理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227,236,679.30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3,364,353.76</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color w:val="000000"/>
          <w:spacing w:val="0"/>
          <w:w w:val="100"/>
          <w:position w:val="0"/>
        </w:rPr>
        <w:t>）涉及政府补助的应收款项</w:t>
      </w:r>
      <w:bookmarkEnd w:id="1607"/>
      <w:bookmarkEnd w:id="1608"/>
      <w:bookmarkEnd w:id="16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728"/>
        <w:gridCol w:w="1483"/>
        <w:gridCol w:w="1291"/>
        <w:gridCol w:w="302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预计收取的时间、金额及依据</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石家庄市土地储备中心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《企、事业单位国有土地使用权收购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（回）合同》</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2021年12月28日公司与石家庄市土地储备中心（以下简称“储备中心”）签订《企、事业单位国有土地使用权收购（回） 合同》（收购补充合同）中规定的土地补偿金付款时间及方式：待该宗地依法供应，新的用地者将土地出让款交付财政，财 政部门将补偿金拨付储备中心后</w:t>
      </w:r>
      <w:r>
        <w:rPr>
          <w:color w:val="000000"/>
          <w:spacing w:val="0"/>
          <w:w w:val="100"/>
          <w:position w:val="0"/>
        </w:rPr>
        <w:t>，</w:t>
      </w:r>
      <w:r>
        <w:rPr>
          <w:color w:val="000000"/>
          <w:spacing w:val="0"/>
          <w:w w:val="100"/>
          <w:position w:val="0"/>
        </w:rPr>
        <w:t>储备中心按以下时间和金额支付土地补偿金:第一期土地补偿金</w:t>
      </w:r>
      <w:r>
        <w:rPr>
          <w:color w:val="000000"/>
          <w:spacing w:val="0"/>
          <w:w w:val="100"/>
          <w:position w:val="0"/>
        </w:rPr>
        <w:t>，</w:t>
      </w:r>
      <w:r>
        <w:rPr>
          <w:color w:val="000000"/>
          <w:spacing w:val="0"/>
          <w:w w:val="100"/>
          <w:position w:val="0"/>
        </w:rPr>
        <w:t>经核算扣除已支付土地补 偿款、利息及其他费用，剩余土地补偿款达到或超出</w:t>
      </w:r>
      <w:r>
        <w:rPr>
          <w:rFonts w:ascii="Times New Roman" w:eastAsia="Times New Roman" w:hAnsi="Times New Roman" w:cs="Times New Roman"/>
          <w:color w:val="000000"/>
          <w:spacing w:val="0"/>
          <w:w w:val="100"/>
          <w:position w:val="0"/>
        </w:rPr>
        <w:t>20,000</w:t>
      </w:r>
      <w:r>
        <w:rPr>
          <w:color w:val="000000"/>
          <w:spacing w:val="0"/>
          <w:w w:val="100"/>
          <w:position w:val="0"/>
        </w:rPr>
        <w:t>万元，储备中心</w:t>
      </w:r>
      <w:r>
        <w:rPr>
          <w:rFonts w:ascii="Times New Roman" w:eastAsia="Times New Roman" w:hAnsi="Times New Roman" w:cs="Times New Roman"/>
          <w:color w:val="000000"/>
          <w:spacing w:val="0"/>
          <w:w w:val="100"/>
          <w:position w:val="0"/>
        </w:rPr>
        <w:t>10</w:t>
      </w:r>
      <w:r>
        <w:rPr>
          <w:color w:val="000000"/>
          <w:spacing w:val="0"/>
          <w:w w:val="100"/>
          <w:position w:val="0"/>
        </w:rPr>
        <w:t>个工作日内先向公司拨付</w:t>
      </w:r>
      <w:r>
        <w:rPr>
          <w:rFonts w:ascii="Times New Roman" w:eastAsia="Times New Roman" w:hAnsi="Times New Roman" w:cs="Times New Roman"/>
          <w:color w:val="000000"/>
          <w:spacing w:val="0"/>
          <w:w w:val="100"/>
          <w:position w:val="0"/>
        </w:rPr>
        <w:t>20,000</w:t>
      </w:r>
      <w:r>
        <w:rPr>
          <w:color w:val="000000"/>
          <w:spacing w:val="0"/>
          <w:w w:val="100"/>
          <w:position w:val="0"/>
        </w:rPr>
        <w:t>万元。截止到 本报告期，公司土地未挂牌销售，因此未收到相应的政府补助款项。</w:t>
      </w:r>
    </w:p>
    <w:p>
      <w:pPr>
        <w:pStyle w:val="Style27"/>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、长期股权投资</w:t>
      </w:r>
      <w:bookmarkEnd w:id="1611"/>
      <w:bookmarkEnd w:id="1612"/>
      <w:bookmarkEnd w:id="1614"/>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358"/>
        <w:gridCol w:w="1382"/>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3,228,023,500.</w:t>
            </w:r>
          </w:p>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3,217,223,500.</w:t>
            </w:r>
          </w:p>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3,241,441,000.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3,214,641,000.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4,900,096.53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3,232,923,596.</w:t>
            </w:r>
          </w:p>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3,222,123,596.</w:t>
            </w:r>
          </w:p>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3,241,441,000.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3,214,641,000.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5"/>
      <w:bookmarkEnd w:id="1616"/>
      <w:bookmarkEnd w:id="1617"/>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267"/>
        <w:gridCol w:w="1166"/>
        <w:gridCol w:w="1166"/>
        <w:gridCol w:w="1166"/>
        <w:gridCol w:w="1166"/>
        <w:gridCol w:w="1214"/>
        <w:gridCol w:w="1214"/>
        <w:gridCol w:w="12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石家庄常山</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恒新纺织有</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315,961,474.</w:t>
            </w:r>
          </w:p>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315,961,474.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上海常纺恒</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友国际贸易</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石家庄常山</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赵州纺织有</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10,500,000.0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石家庄常山 恒荣进出口 贸易有限公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上海冀源国 际贸易有限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7"/>
        <w:gridCol w:w="1166"/>
        <w:gridCol w:w="1166"/>
        <w:gridCol w:w="1166"/>
        <w:gridCol w:w="1166"/>
        <w:gridCol w:w="1214"/>
        <w:gridCol w:w="1214"/>
        <w:gridCol w:w="1214"/>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库尔勒常山</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恒丰商贸有</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北明软件有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2,698,699,89</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2,698,699,89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北京爱意生</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活电子商务</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16,000,000.0</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石家庄爱意 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新疆常山恒</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宏纺织科技</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24,000,000.0</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舞钢智慧城</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市科技发展</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45,018,200.0</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45,018,200.0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河北常山恒 云数据科技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石家庄赛孚 纺织有限公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7,690,924.07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7,690,924.07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河北北明鼎 云信息技术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12,790,503.1</w:t>
            </w:r>
          </w:p>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20,290,503.1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河北北明兴 云互联网科 技有限责任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582,500.08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582,500.08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石家庄恒昇 多媒体科技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河北恒合纺 织科技科技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3,214,641,00</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19,582,500.0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33,000,000.0</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3,217,223,50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8"/>
      <w:bookmarkEnd w:id="1619"/>
      <w:bookmarkEnd w:id="16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802"/>
        <w:gridCol w:w="797"/>
        <w:gridCol w:w="797"/>
        <w:gridCol w:w="797"/>
        <w:gridCol w:w="802"/>
        <w:gridCol w:w="797"/>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供销冷 链物流 （石家 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4,900,0</w:t>
            </w:r>
          </w:p>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、营业收入和营业成本</w:t>
      </w:r>
      <w:bookmarkEnd w:id="1621"/>
      <w:bookmarkEnd w:id="1622"/>
      <w:bookmarkEnd w:id="16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3,684,762,540.90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3,650,760,757.81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3,849,993,134.96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3,843,495,559.21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42,380,931.04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38,994,850.41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31,865,771.80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28,196,948.55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3,727,143,471.94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3,689,755,608.22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3,881,858,906.76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3,871,692,507.76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13"/>
        <w:gridCol w:w="2966"/>
        <w:gridCol w:w="26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3,727,143,471.94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3,727,143,471.94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352,729,786.93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352,729,786.93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942,255,823.67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942,255,823.67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2,342,208,148.05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2,342,208,148.05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89,949,713.29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89,949,713.29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34,494,851.59</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34,494,851.59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27"/>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、投资收益</w:t>
      </w:r>
      <w:bookmarkEnd w:id="1625"/>
      <w:bookmarkEnd w:id="1626"/>
      <w:bookmarkEnd w:id="16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45"/>
        <w:gridCol w:w="2626"/>
        <w:gridCol w:w="250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225,776.02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4,884,165.12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6,105,206.40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利率掉期、货币掉期形成的投资收益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-2,664,785.32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-1,297,749.36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2,445,252.35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4,807,457.04</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29" w:name="bookmark1629"/>
      <w:bookmarkStart w:id="1630" w:name="bookmark1630"/>
      <w:bookmarkStart w:id="1631" w:name="bookmark1631"/>
      <w:r>
        <w:rPr>
          <w:color w:val="000000"/>
          <w:spacing w:val="0"/>
          <w:w w:val="100"/>
          <w:position w:val="0"/>
          <w:sz w:val="24"/>
          <w:szCs w:val="24"/>
        </w:rPr>
        <w:t>十七、补充资料</w:t>
      </w:r>
      <w:bookmarkEnd w:id="1629"/>
      <w:bookmarkEnd w:id="1630"/>
      <w:bookmarkEnd w:id="1631"/>
    </w:p>
    <w:p>
      <w:pPr>
        <w:pStyle w:val="Style27"/>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2"/>
      <w:bookmarkEnd w:id="1633"/>
      <w:bookmarkEnd w:id="1634"/>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90"/>
        <w:gridCol w:w="1622"/>
        <w:gridCol w:w="376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-2,228,319.70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241,912,238.05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其中：政府搬迁补助</w:t>
            </w:r>
            <w:r>
              <w:rPr>
                <w:rFonts w:ascii="Times New Roman" w:eastAsia="Times New Roman" w:hAnsi="Times New Roman" w:cs="Times New Roman"/>
                <w:color w:val="000000"/>
                <w:spacing w:val="0"/>
                <w:w w:val="100"/>
                <w:position w:val="0"/>
              </w:rPr>
              <w:t>216,935,152.90</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-6,384,780.00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 夕卜，持有交易性金融资产、交易性金融负债产生的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1,389,485.98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其中：利率掉期、货币掉期形成的公允价值变 动收益</w:t>
            </w:r>
            <w:r>
              <w:rPr>
                <w:rFonts w:ascii="Times New Roman" w:eastAsia="Times New Roman" w:hAnsi="Times New Roman" w:cs="Times New Roman"/>
                <w:color w:val="000000"/>
                <w:spacing w:val="0"/>
                <w:w w:val="100"/>
                <w:position w:val="0"/>
              </w:rPr>
              <w:t>1,389,485.98</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3,442,463.80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-10,380,986.60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其中：停工损失</w:t>
            </w:r>
            <w:r>
              <w:rPr>
                <w:rFonts w:ascii="Times New Roman" w:eastAsia="Times New Roman" w:hAnsi="Times New Roman" w:cs="Times New Roman"/>
                <w:color w:val="000000"/>
                <w:spacing w:val="0"/>
                <w:w w:val="100"/>
                <w:position w:val="0"/>
              </w:rPr>
              <w:t>30,372,835.13</w:t>
            </w:r>
            <w:r>
              <w:rPr>
                <w:color w:val="000000"/>
                <w:spacing w:val="0"/>
                <w:w w:val="100"/>
                <w:position w:val="0"/>
              </w:rPr>
              <w:t xml:space="preserve">元、代替赔偿 义务人向商户垫付的棉五火灾损失赔偿款 </w:t>
            </w:r>
            <w:r>
              <w:rPr>
                <w:rFonts w:ascii="Times New Roman" w:eastAsia="Times New Roman" w:hAnsi="Times New Roman" w:cs="Times New Roman"/>
                <w:color w:val="000000"/>
                <w:spacing w:val="0"/>
                <w:w w:val="100"/>
                <w:position w:val="0"/>
              </w:rPr>
              <w:t>3,582,450.30</w:t>
            </w:r>
            <w:r>
              <w:rPr>
                <w:color w:val="000000"/>
                <w:spacing w:val="0"/>
                <w:w w:val="100"/>
                <w:position w:val="0"/>
              </w:rPr>
              <w:t>元、确认应收中铁一局集团第四 工程有限公司的棉五火灾款</w:t>
            </w:r>
            <w:r>
              <w:rPr>
                <w:rFonts w:ascii="Times New Roman" w:eastAsia="Times New Roman" w:hAnsi="Times New Roman" w:cs="Times New Roman"/>
                <w:color w:val="000000"/>
                <w:spacing w:val="0"/>
                <w:w w:val="100"/>
                <w:position w:val="0"/>
              </w:rPr>
              <w:t>16,825,794.91</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3,961,926.66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454,000.90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223,334,173.97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32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5"/>
      <w:bookmarkEnd w:id="1636"/>
      <w:bookmarkEnd w:id="1637"/>
    </w:p>
    <w:tbl>
      <w:tblPr>
        <w:tblOverlap w:val="never"/>
        <w:jc w:val="center"/>
        <w:tblLayout w:type="fixed"/>
      </w:tblPr>
      <w:tblGrid>
        <w:gridCol w:w="2664"/>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、其他</w:t>
      </w:r>
      <w:bookmarkEnd w:id="1638"/>
      <w:bookmarkEnd w:id="1639"/>
      <w:bookmarkEnd w:id="1641"/>
    </w:p>
    <w:p>
      <w:pPr>
        <w:pStyle w:val="Style18"/>
        <w:keepNext w:val="0"/>
        <w:keepLines w:val="0"/>
        <w:widowControl w:val="0"/>
        <w:shd w:val="clear" w:color="auto" w:fill="auto"/>
        <w:tabs>
          <w:tab w:pos="694" w:val="left"/>
        </w:tabs>
        <w:bidi w:val="0"/>
        <w:spacing w:before="0" w:after="0" w:line="322" w:lineRule="exact"/>
        <w:ind w:left="0" w:right="0" w:firstLine="360"/>
        <w:jc w:val="both"/>
      </w:pPr>
      <w:bookmarkStart w:id="1642" w:name="bookmark1642"/>
      <w:r>
        <w:rPr>
          <w:color w:val="000000"/>
          <w:spacing w:val="0"/>
          <w:w w:val="100"/>
          <w:position w:val="0"/>
        </w:rPr>
        <w:t>1</w:t>
      </w:r>
      <w:bookmarkEnd w:id="1642"/>
      <w:r>
        <w:rPr>
          <w:color w:val="000000"/>
          <w:spacing w:val="0"/>
          <w:w w:val="100"/>
          <w:position w:val="0"/>
        </w:rPr>
        <w:t>、</w:t>
        <w:tab/>
        <w:t>应收票据较年初减少75.63%,主要系前期收到的承兑汇票在本期承兑或背书转让所致。</w:t>
      </w:r>
    </w:p>
    <w:p>
      <w:pPr>
        <w:pStyle w:val="Style18"/>
        <w:keepNext w:val="0"/>
        <w:keepLines w:val="0"/>
        <w:widowControl w:val="0"/>
        <w:shd w:val="clear" w:color="auto" w:fill="auto"/>
        <w:tabs>
          <w:tab w:pos="704" w:val="left"/>
        </w:tabs>
        <w:bidi w:val="0"/>
        <w:spacing w:before="0" w:after="0" w:line="322" w:lineRule="exact"/>
        <w:ind w:left="0" w:right="0" w:firstLine="360"/>
        <w:jc w:val="both"/>
      </w:pPr>
      <w:bookmarkStart w:id="1643" w:name="bookmark1643"/>
      <w:r>
        <w:rPr>
          <w:color w:val="000000"/>
          <w:spacing w:val="0"/>
          <w:w w:val="100"/>
          <w:position w:val="0"/>
        </w:rPr>
        <w:t>2</w:t>
      </w:r>
      <w:bookmarkEnd w:id="1643"/>
      <w:r>
        <w:rPr>
          <w:color w:val="000000"/>
          <w:spacing w:val="0"/>
          <w:w w:val="100"/>
          <w:position w:val="0"/>
        </w:rPr>
        <w:t>、</w:t>
        <w:tab/>
        <w:t>应收账款较年初增加</w:t>
      </w:r>
      <w:r>
        <w:rPr>
          <w:color w:val="000000"/>
          <w:spacing w:val="0"/>
          <w:w w:val="100"/>
          <w:position w:val="0"/>
        </w:rPr>
        <w:t xml:space="preserve">47. </w:t>
      </w:r>
      <w:r>
        <w:rPr>
          <w:color w:val="000000"/>
          <w:spacing w:val="0"/>
          <w:w w:val="100"/>
          <w:position w:val="0"/>
        </w:rPr>
        <w:t>17%,主要系本期公司收入增加，应收账款相应增加所致。</w:t>
      </w:r>
    </w:p>
    <w:p>
      <w:pPr>
        <w:pStyle w:val="Style18"/>
        <w:keepNext w:val="0"/>
        <w:keepLines w:val="0"/>
        <w:widowControl w:val="0"/>
        <w:shd w:val="clear" w:color="auto" w:fill="auto"/>
        <w:tabs>
          <w:tab w:pos="704" w:val="left"/>
        </w:tabs>
        <w:bidi w:val="0"/>
        <w:spacing w:before="0" w:after="0" w:line="322" w:lineRule="exact"/>
        <w:ind w:left="0" w:right="0" w:firstLine="360"/>
        <w:jc w:val="both"/>
      </w:pPr>
      <w:bookmarkStart w:id="1644" w:name="bookmark1644"/>
      <w:r>
        <w:rPr>
          <w:color w:val="000000"/>
          <w:spacing w:val="0"/>
          <w:w w:val="100"/>
          <w:position w:val="0"/>
        </w:rPr>
        <w:t>3</w:t>
      </w:r>
      <w:bookmarkEnd w:id="1644"/>
      <w:r>
        <w:rPr>
          <w:color w:val="000000"/>
          <w:spacing w:val="0"/>
          <w:w w:val="100"/>
          <w:position w:val="0"/>
        </w:rPr>
        <w:t>、</w:t>
        <w:tab/>
        <w:t>应收款项融资较年初减少70.39%,主要系前期收到的承兑汇票在本期承兑所致。</w:t>
      </w:r>
    </w:p>
    <w:p>
      <w:pPr>
        <w:pStyle w:val="Style18"/>
        <w:keepNext w:val="0"/>
        <w:keepLines w:val="0"/>
        <w:widowControl w:val="0"/>
        <w:shd w:val="clear" w:color="auto" w:fill="auto"/>
        <w:tabs>
          <w:tab w:pos="704" w:val="left"/>
        </w:tabs>
        <w:bidi w:val="0"/>
        <w:spacing w:before="0" w:after="0" w:line="322" w:lineRule="exact"/>
        <w:ind w:left="0" w:right="0" w:firstLine="360"/>
        <w:jc w:val="both"/>
      </w:pPr>
      <w:bookmarkStart w:id="1645" w:name="bookmark1645"/>
      <w:r>
        <w:rPr>
          <w:color w:val="000000"/>
          <w:spacing w:val="0"/>
          <w:w w:val="100"/>
          <w:position w:val="0"/>
        </w:rPr>
        <w:t>4</w:t>
      </w:r>
      <w:bookmarkEnd w:id="1645"/>
      <w:r>
        <w:rPr>
          <w:color w:val="000000"/>
          <w:spacing w:val="0"/>
          <w:w w:val="100"/>
          <w:position w:val="0"/>
        </w:rPr>
        <w:t>、</w:t>
        <w:tab/>
        <w:t>其他应收款较年初增加149.09%,主要系本期公司根据与石家庄市土地储备中心签署的《企、事业单位国有土地使用 权收购（回）合同》，将棉二地块第一期土地补偿金20, 000万元确认其他应收款所致。</w:t>
      </w:r>
    </w:p>
    <w:p>
      <w:pPr>
        <w:pStyle w:val="Style18"/>
        <w:keepNext w:val="0"/>
        <w:keepLines w:val="0"/>
        <w:widowControl w:val="0"/>
        <w:shd w:val="clear" w:color="auto" w:fill="auto"/>
        <w:tabs>
          <w:tab w:pos="709" w:val="left"/>
        </w:tabs>
        <w:bidi w:val="0"/>
        <w:spacing w:before="0" w:after="0" w:line="322" w:lineRule="exact"/>
        <w:ind w:left="0" w:right="0" w:firstLine="360"/>
        <w:jc w:val="both"/>
      </w:pPr>
      <w:bookmarkStart w:id="1646" w:name="bookmark1646"/>
      <w:r>
        <w:rPr>
          <w:color w:val="000000"/>
          <w:spacing w:val="0"/>
          <w:w w:val="100"/>
          <w:position w:val="0"/>
        </w:rPr>
        <w:t>5</w:t>
      </w:r>
      <w:bookmarkEnd w:id="1646"/>
      <w:r>
        <w:rPr>
          <w:color w:val="000000"/>
          <w:spacing w:val="0"/>
          <w:w w:val="100"/>
          <w:position w:val="0"/>
        </w:rPr>
        <w:t>、</w:t>
        <w:tab/>
        <w:t>长期应收款较年初减少100%,主要系本期公司将在长期应收款中核算的舞钢智慧城市项目建设投入款重分类至其他 非流动资产所致。</w:t>
      </w:r>
    </w:p>
    <w:p>
      <w:pPr>
        <w:pStyle w:val="Style18"/>
        <w:keepNext w:val="0"/>
        <w:keepLines w:val="0"/>
        <w:widowControl w:val="0"/>
        <w:shd w:val="clear" w:color="auto" w:fill="auto"/>
        <w:tabs>
          <w:tab w:pos="704" w:val="left"/>
        </w:tabs>
        <w:bidi w:val="0"/>
        <w:spacing w:before="0" w:after="0" w:line="322" w:lineRule="exact"/>
        <w:ind w:left="0" w:right="0" w:firstLine="360"/>
        <w:jc w:val="both"/>
      </w:pPr>
      <w:bookmarkStart w:id="1647" w:name="bookmark1647"/>
      <w:r>
        <w:rPr>
          <w:color w:val="000000"/>
          <w:spacing w:val="0"/>
          <w:w w:val="100"/>
          <w:position w:val="0"/>
        </w:rPr>
        <w:t>6</w:t>
      </w:r>
      <w:bookmarkEnd w:id="1647"/>
      <w:r>
        <w:rPr>
          <w:color w:val="000000"/>
          <w:spacing w:val="0"/>
          <w:w w:val="100"/>
          <w:position w:val="0"/>
        </w:rPr>
        <w:t>、</w:t>
        <w:tab/>
        <w:t>长期股权投资较年初增加57.11%,主要系本期公司对联营企业供销冷链物流、全面智能等追加投资及枫调理顺由子 公司变为联营企业所致。</w:t>
      </w:r>
    </w:p>
    <w:p>
      <w:pPr>
        <w:pStyle w:val="Style18"/>
        <w:keepNext w:val="0"/>
        <w:keepLines w:val="0"/>
        <w:widowControl w:val="0"/>
        <w:shd w:val="clear" w:color="auto" w:fill="auto"/>
        <w:tabs>
          <w:tab w:pos="709" w:val="left"/>
        </w:tabs>
        <w:bidi w:val="0"/>
        <w:spacing w:before="0" w:after="0" w:line="324" w:lineRule="exact"/>
        <w:ind w:left="0" w:right="0" w:firstLine="360"/>
        <w:jc w:val="both"/>
      </w:pPr>
      <w:bookmarkStart w:id="1648" w:name="bookmark1648"/>
      <w:r>
        <w:rPr>
          <w:color w:val="000000"/>
          <w:spacing w:val="0"/>
          <w:w w:val="100"/>
          <w:position w:val="0"/>
        </w:rPr>
        <w:t>7</w:t>
      </w:r>
      <w:bookmarkEnd w:id="1648"/>
      <w:r>
        <w:rPr>
          <w:color w:val="000000"/>
          <w:spacing w:val="0"/>
          <w:w w:val="100"/>
          <w:position w:val="0"/>
        </w:rPr>
        <w:t>、</w:t>
        <w:tab/>
        <w:t>在建工程较年初增加</w:t>
      </w:r>
      <w:r>
        <w:rPr>
          <w:color w:val="000000"/>
          <w:spacing w:val="0"/>
          <w:w w:val="100"/>
          <w:position w:val="0"/>
        </w:rPr>
        <w:t xml:space="preserve">36. </w:t>
      </w:r>
      <w:r>
        <w:rPr>
          <w:color w:val="000000"/>
          <w:spacing w:val="0"/>
          <w:w w:val="100"/>
          <w:position w:val="0"/>
        </w:rPr>
        <w:t>38%,主要系报告期内腾讯工业互联网粤港澳大湾区基地建设项目、常山云数据中心项目、 分拣中心项目以及腾讯云（重庆）工业互联网基地、北明数科西南总部项目建设等项目投入增加所致。</w:t>
      </w:r>
    </w:p>
    <w:p>
      <w:pPr>
        <w:pStyle w:val="Style18"/>
        <w:keepNext w:val="0"/>
        <w:keepLines w:val="0"/>
        <w:widowControl w:val="0"/>
        <w:shd w:val="clear" w:color="auto" w:fill="auto"/>
        <w:tabs>
          <w:tab w:pos="709" w:val="left"/>
        </w:tabs>
        <w:bidi w:val="0"/>
        <w:spacing w:before="0" w:after="0" w:line="324" w:lineRule="exact"/>
        <w:ind w:left="0" w:right="0" w:firstLine="360"/>
        <w:jc w:val="both"/>
      </w:pPr>
      <w:bookmarkStart w:id="1649" w:name="bookmark1649"/>
      <w:r>
        <w:rPr>
          <w:color w:val="000000"/>
          <w:spacing w:val="0"/>
          <w:w w:val="100"/>
          <w:position w:val="0"/>
        </w:rPr>
        <w:t>8</w:t>
      </w:r>
      <w:bookmarkEnd w:id="1649"/>
      <w:r>
        <w:rPr>
          <w:color w:val="000000"/>
          <w:spacing w:val="0"/>
          <w:w w:val="100"/>
          <w:position w:val="0"/>
        </w:rPr>
        <w:t>、</w:t>
        <w:tab/>
        <w:t>使用权资产较年初增加100%,主要系报告期内按新租赁准则确认使用权资产所致。</w:t>
      </w:r>
    </w:p>
    <w:p>
      <w:pPr>
        <w:pStyle w:val="Style18"/>
        <w:keepNext w:val="0"/>
        <w:keepLines w:val="0"/>
        <w:widowControl w:val="0"/>
        <w:shd w:val="clear" w:color="auto" w:fill="auto"/>
        <w:tabs>
          <w:tab w:pos="709" w:val="left"/>
        </w:tabs>
        <w:bidi w:val="0"/>
        <w:spacing w:before="0" w:after="0" w:line="324" w:lineRule="exact"/>
        <w:ind w:left="0" w:right="0" w:firstLine="360"/>
        <w:jc w:val="both"/>
      </w:pPr>
      <w:bookmarkStart w:id="1650" w:name="bookmark1650"/>
      <w:r>
        <w:rPr>
          <w:color w:val="000000"/>
          <w:spacing w:val="0"/>
          <w:w w:val="100"/>
          <w:position w:val="0"/>
        </w:rPr>
        <w:t>9</w:t>
      </w:r>
      <w:bookmarkEnd w:id="1650"/>
      <w:r>
        <w:rPr>
          <w:color w:val="000000"/>
          <w:spacing w:val="0"/>
          <w:w w:val="100"/>
          <w:position w:val="0"/>
        </w:rPr>
        <w:t>、</w:t>
        <w:tab/>
        <w:t>开发支出较年初增加</w:t>
      </w:r>
      <w:r>
        <w:rPr>
          <w:color w:val="000000"/>
          <w:spacing w:val="0"/>
          <w:w w:val="100"/>
          <w:position w:val="0"/>
        </w:rPr>
        <w:t xml:space="preserve">90. </w:t>
      </w:r>
      <w:r>
        <w:rPr>
          <w:color w:val="000000"/>
          <w:spacing w:val="0"/>
          <w:w w:val="100"/>
          <w:position w:val="0"/>
        </w:rPr>
        <w:t>40%,主要系本期公司软件板块加大研发投入，研发项目较多，且教育区校一体化管理平台 和应用、区块链电子证照平台等项目研发投入金额较大所致。</w:t>
      </w:r>
    </w:p>
    <w:p>
      <w:pPr>
        <w:pStyle w:val="Style18"/>
        <w:keepNext w:val="0"/>
        <w:keepLines w:val="0"/>
        <w:widowControl w:val="0"/>
        <w:shd w:val="clear" w:color="auto" w:fill="auto"/>
        <w:tabs>
          <w:tab w:pos="786" w:val="left"/>
        </w:tabs>
        <w:bidi w:val="0"/>
        <w:spacing w:before="0" w:after="0" w:line="322" w:lineRule="exact"/>
        <w:ind w:left="0" w:right="0" w:firstLine="360"/>
        <w:jc w:val="both"/>
      </w:pPr>
      <w:bookmarkStart w:id="1651" w:name="bookmark1651"/>
      <w:r>
        <w:rPr>
          <w:color w:val="000000"/>
          <w:spacing w:val="0"/>
          <w:w w:val="100"/>
          <w:position w:val="0"/>
        </w:rPr>
        <w:t>1</w:t>
      </w:r>
      <w:bookmarkEnd w:id="1651"/>
      <w:r>
        <w:rPr>
          <w:color w:val="000000"/>
          <w:spacing w:val="0"/>
          <w:w w:val="100"/>
          <w:position w:val="0"/>
        </w:rPr>
        <w:t>0、</w:t>
        <w:tab/>
        <w:t>其他非流动资产较年初增加1</w:t>
      </w:r>
      <w:r>
        <w:rPr>
          <w:color w:val="000000"/>
          <w:spacing w:val="0"/>
          <w:w w:val="100"/>
          <w:position w:val="0"/>
        </w:rPr>
        <w:t xml:space="preserve">44. </w:t>
      </w:r>
      <w:r>
        <w:rPr>
          <w:color w:val="000000"/>
          <w:spacing w:val="0"/>
          <w:w w:val="100"/>
          <w:position w:val="0"/>
        </w:rPr>
        <w:t>97%,主要系本期公司将长期应收款中核算的舞钢智慧城市项目建设投入款、向联 营企业供销冷链物流（石家庄）有限公司预付的投资款重分类至其他非流动资产所致。</w:t>
      </w:r>
    </w:p>
    <w:p>
      <w:pPr>
        <w:pStyle w:val="Style18"/>
        <w:keepNext w:val="0"/>
        <w:keepLines w:val="0"/>
        <w:widowControl w:val="0"/>
        <w:shd w:val="clear" w:color="auto" w:fill="auto"/>
        <w:tabs>
          <w:tab w:pos="781" w:val="left"/>
        </w:tabs>
        <w:bidi w:val="0"/>
        <w:spacing w:before="0" w:after="0" w:line="326" w:lineRule="exact"/>
        <w:ind w:left="0" w:right="0" w:firstLine="360"/>
        <w:jc w:val="both"/>
      </w:pPr>
      <w:bookmarkStart w:id="1652" w:name="bookmark1652"/>
      <w:r>
        <w:rPr>
          <w:color w:val="000000"/>
          <w:spacing w:val="0"/>
          <w:w w:val="100"/>
          <w:position w:val="0"/>
        </w:rPr>
        <w:t>1</w:t>
      </w:r>
      <w:bookmarkEnd w:id="1652"/>
      <w:r>
        <w:rPr>
          <w:color w:val="000000"/>
          <w:spacing w:val="0"/>
          <w:w w:val="100"/>
          <w:position w:val="0"/>
        </w:rPr>
        <w:t>1、</w:t>
        <w:tab/>
        <w:t>应付票据较年初增加129.70%,主要系公司业务增长导致采购增加，使用票据方式支付供应商货款增加所致。</w:t>
      </w:r>
    </w:p>
    <w:p>
      <w:pPr>
        <w:pStyle w:val="Style18"/>
        <w:keepNext w:val="0"/>
        <w:keepLines w:val="0"/>
        <w:widowControl w:val="0"/>
        <w:shd w:val="clear" w:color="auto" w:fill="auto"/>
        <w:tabs>
          <w:tab w:pos="781" w:val="left"/>
        </w:tabs>
        <w:bidi w:val="0"/>
        <w:spacing w:before="0" w:after="0" w:line="326" w:lineRule="exact"/>
        <w:ind w:left="0" w:right="0" w:firstLine="360"/>
        <w:jc w:val="both"/>
      </w:pPr>
      <w:bookmarkStart w:id="1653" w:name="bookmark1653"/>
      <w:r>
        <w:rPr>
          <w:color w:val="000000"/>
          <w:spacing w:val="0"/>
          <w:w w:val="100"/>
          <w:position w:val="0"/>
        </w:rPr>
        <w:t>1</w:t>
      </w:r>
      <w:bookmarkEnd w:id="1653"/>
      <w:r>
        <w:rPr>
          <w:color w:val="000000"/>
          <w:spacing w:val="0"/>
          <w:w w:val="100"/>
          <w:position w:val="0"/>
        </w:rPr>
        <w:t>2、</w:t>
        <w:tab/>
        <w:t>应付账款较年初增加</w:t>
      </w:r>
      <w:r>
        <w:rPr>
          <w:color w:val="000000"/>
          <w:spacing w:val="0"/>
          <w:w w:val="100"/>
          <w:position w:val="0"/>
        </w:rPr>
        <w:t xml:space="preserve">35. </w:t>
      </w:r>
      <w:r>
        <w:rPr>
          <w:color w:val="000000"/>
          <w:spacing w:val="0"/>
          <w:w w:val="100"/>
          <w:position w:val="0"/>
        </w:rPr>
        <w:t>76%,主要系公司业务增长导致采购增加所致。</w:t>
      </w:r>
    </w:p>
    <w:p>
      <w:pPr>
        <w:pStyle w:val="Style18"/>
        <w:keepNext w:val="0"/>
        <w:keepLines w:val="0"/>
        <w:widowControl w:val="0"/>
        <w:shd w:val="clear" w:color="auto" w:fill="auto"/>
        <w:tabs>
          <w:tab w:pos="781" w:val="left"/>
        </w:tabs>
        <w:bidi w:val="0"/>
        <w:spacing w:before="0" w:after="0" w:line="326" w:lineRule="exact"/>
        <w:ind w:left="0" w:right="0" w:firstLine="360"/>
        <w:jc w:val="both"/>
      </w:pPr>
      <w:bookmarkStart w:id="1654" w:name="bookmark1654"/>
      <w:r>
        <w:rPr>
          <w:color w:val="000000"/>
          <w:spacing w:val="0"/>
          <w:w w:val="100"/>
          <w:position w:val="0"/>
        </w:rPr>
        <w:t>1</w:t>
      </w:r>
      <w:bookmarkEnd w:id="1654"/>
      <w:r>
        <w:rPr>
          <w:color w:val="000000"/>
          <w:spacing w:val="0"/>
          <w:w w:val="100"/>
          <w:position w:val="0"/>
        </w:rPr>
        <w:t>3、</w:t>
        <w:tab/>
        <w:t>合同负债较年初增加</w:t>
      </w:r>
      <w:r>
        <w:rPr>
          <w:color w:val="000000"/>
          <w:spacing w:val="0"/>
          <w:w w:val="100"/>
          <w:position w:val="0"/>
        </w:rPr>
        <w:t xml:space="preserve">30. </w:t>
      </w:r>
      <w:r>
        <w:rPr>
          <w:color w:val="000000"/>
          <w:spacing w:val="0"/>
          <w:w w:val="100"/>
          <w:position w:val="0"/>
        </w:rPr>
        <w:t>80%,主要系本期公司签约合同增加使合同负债增加所致。</w:t>
      </w:r>
    </w:p>
    <w:p>
      <w:pPr>
        <w:pStyle w:val="Style18"/>
        <w:keepNext w:val="0"/>
        <w:keepLines w:val="0"/>
        <w:widowControl w:val="0"/>
        <w:shd w:val="clear" w:color="auto" w:fill="auto"/>
        <w:tabs>
          <w:tab w:pos="781" w:val="left"/>
        </w:tabs>
        <w:bidi w:val="0"/>
        <w:spacing w:before="0" w:after="0" w:line="326" w:lineRule="exact"/>
        <w:ind w:left="0" w:right="0" w:firstLine="360"/>
        <w:jc w:val="both"/>
      </w:pPr>
      <w:bookmarkStart w:id="1655" w:name="bookmark1655"/>
      <w:r>
        <w:rPr>
          <w:color w:val="000000"/>
          <w:spacing w:val="0"/>
          <w:w w:val="100"/>
          <w:position w:val="0"/>
        </w:rPr>
        <w:t>1</w:t>
      </w:r>
      <w:bookmarkEnd w:id="1655"/>
      <w:r>
        <w:rPr>
          <w:color w:val="000000"/>
          <w:spacing w:val="0"/>
          <w:w w:val="100"/>
          <w:position w:val="0"/>
        </w:rPr>
        <w:t>4、</w:t>
        <w:tab/>
        <w:t>应交税费较年初增加</w:t>
      </w:r>
      <w:r>
        <w:rPr>
          <w:color w:val="000000"/>
          <w:spacing w:val="0"/>
          <w:w w:val="100"/>
          <w:position w:val="0"/>
        </w:rPr>
        <w:t xml:space="preserve">37. </w:t>
      </w:r>
      <w:r>
        <w:rPr>
          <w:color w:val="000000"/>
          <w:spacing w:val="0"/>
          <w:w w:val="100"/>
          <w:position w:val="0"/>
        </w:rPr>
        <w:t>14%,主要系本期公司应交增值税及企业所得税增加所致。</w:t>
      </w:r>
    </w:p>
    <w:p>
      <w:pPr>
        <w:pStyle w:val="Style18"/>
        <w:keepNext w:val="0"/>
        <w:keepLines w:val="0"/>
        <w:widowControl w:val="0"/>
        <w:shd w:val="clear" w:color="auto" w:fill="auto"/>
        <w:tabs>
          <w:tab w:pos="786" w:val="left"/>
        </w:tabs>
        <w:bidi w:val="0"/>
        <w:spacing w:before="0" w:after="0" w:line="326" w:lineRule="exact"/>
        <w:ind w:left="0" w:right="0" w:firstLine="360"/>
        <w:jc w:val="both"/>
      </w:pPr>
      <w:bookmarkStart w:id="1656" w:name="bookmark1656"/>
      <w:r>
        <w:rPr>
          <w:color w:val="000000"/>
          <w:spacing w:val="0"/>
          <w:w w:val="100"/>
          <w:position w:val="0"/>
        </w:rPr>
        <w:t>1</w:t>
      </w:r>
      <w:bookmarkEnd w:id="1656"/>
      <w:r>
        <w:rPr>
          <w:color w:val="000000"/>
          <w:spacing w:val="0"/>
          <w:w w:val="100"/>
          <w:position w:val="0"/>
        </w:rPr>
        <w:t>5、</w:t>
        <w:tab/>
        <w:t>一年内到期的非流动负债较年初增加</w:t>
      </w:r>
      <w:r>
        <w:rPr>
          <w:color w:val="000000"/>
          <w:spacing w:val="0"/>
          <w:w w:val="100"/>
          <w:position w:val="0"/>
        </w:rPr>
        <w:t xml:space="preserve">154. </w:t>
      </w:r>
      <w:r>
        <w:rPr>
          <w:color w:val="000000"/>
          <w:spacing w:val="0"/>
          <w:w w:val="100"/>
          <w:position w:val="0"/>
        </w:rPr>
        <w:t>04%,主要系本期公司将一年内到期的长期借款转入一年内到期的非流动 负债所致。</w:t>
      </w:r>
    </w:p>
    <w:p>
      <w:pPr>
        <w:pStyle w:val="Style18"/>
        <w:keepNext w:val="0"/>
        <w:keepLines w:val="0"/>
        <w:widowControl w:val="0"/>
        <w:shd w:val="clear" w:color="auto" w:fill="auto"/>
        <w:tabs>
          <w:tab w:pos="781" w:val="left"/>
        </w:tabs>
        <w:bidi w:val="0"/>
        <w:spacing w:before="0" w:after="0" w:line="323" w:lineRule="exact"/>
        <w:ind w:left="0" w:right="0" w:firstLine="360"/>
        <w:jc w:val="both"/>
      </w:pPr>
      <w:bookmarkStart w:id="1657" w:name="bookmark1657"/>
      <w:r>
        <w:rPr>
          <w:color w:val="000000"/>
          <w:spacing w:val="0"/>
          <w:w w:val="100"/>
          <w:position w:val="0"/>
        </w:rPr>
        <w:t>1</w:t>
      </w:r>
      <w:bookmarkEnd w:id="1657"/>
      <w:r>
        <w:rPr>
          <w:color w:val="000000"/>
          <w:spacing w:val="0"/>
          <w:w w:val="100"/>
          <w:position w:val="0"/>
        </w:rPr>
        <w:t>6、</w:t>
        <w:tab/>
        <w:t>其他流动负债较年初增加</w:t>
      </w:r>
      <w:r>
        <w:rPr>
          <w:color w:val="000000"/>
          <w:spacing w:val="0"/>
          <w:w w:val="100"/>
          <w:position w:val="0"/>
        </w:rPr>
        <w:t xml:space="preserve">31. </w:t>
      </w:r>
      <w:r>
        <w:rPr>
          <w:color w:val="000000"/>
          <w:spacing w:val="0"/>
          <w:w w:val="100"/>
          <w:position w:val="0"/>
        </w:rPr>
        <w:t>94%,主要系公司业务增长导致待转销项税增加所致。</w:t>
      </w:r>
    </w:p>
    <w:p>
      <w:pPr>
        <w:pStyle w:val="Style18"/>
        <w:keepNext w:val="0"/>
        <w:keepLines w:val="0"/>
        <w:widowControl w:val="0"/>
        <w:shd w:val="clear" w:color="auto" w:fill="auto"/>
        <w:tabs>
          <w:tab w:pos="781" w:val="left"/>
        </w:tabs>
        <w:bidi w:val="0"/>
        <w:spacing w:before="0" w:after="0" w:line="323" w:lineRule="exact"/>
        <w:ind w:left="0" w:right="0" w:firstLine="360"/>
        <w:jc w:val="both"/>
      </w:pPr>
      <w:bookmarkStart w:id="1658" w:name="bookmark1658"/>
      <w:r>
        <w:rPr>
          <w:color w:val="000000"/>
          <w:spacing w:val="0"/>
          <w:w w:val="100"/>
          <w:position w:val="0"/>
        </w:rPr>
        <w:t>1</w:t>
      </w:r>
      <w:bookmarkEnd w:id="1658"/>
      <w:r>
        <w:rPr>
          <w:color w:val="000000"/>
          <w:spacing w:val="0"/>
          <w:w w:val="100"/>
          <w:position w:val="0"/>
        </w:rPr>
        <w:t>7、</w:t>
        <w:tab/>
        <w:t>长期借款较年初减少54.71%,主要系本期公司将部分长期借款转入一年内到期的非流动负债所致。</w:t>
      </w:r>
    </w:p>
    <w:p>
      <w:pPr>
        <w:pStyle w:val="Style18"/>
        <w:keepNext w:val="0"/>
        <w:keepLines w:val="0"/>
        <w:widowControl w:val="0"/>
        <w:shd w:val="clear" w:color="auto" w:fill="auto"/>
        <w:tabs>
          <w:tab w:pos="421" w:val="left"/>
        </w:tabs>
        <w:bidi w:val="0"/>
        <w:spacing w:before="0" w:after="0" w:line="323" w:lineRule="exact"/>
        <w:ind w:left="0" w:right="0" w:firstLine="360"/>
        <w:jc w:val="both"/>
      </w:pPr>
      <w:bookmarkStart w:id="1659" w:name="bookmark1659"/>
      <w:r>
        <w:rPr>
          <w:color w:val="000000"/>
          <w:spacing w:val="0"/>
          <w:w w:val="100"/>
          <w:position w:val="0"/>
        </w:rPr>
        <w:t>1</w:t>
      </w:r>
      <w:bookmarkEnd w:id="1659"/>
      <w:r>
        <w:rPr>
          <w:color w:val="000000"/>
          <w:spacing w:val="0"/>
          <w:w w:val="100"/>
          <w:position w:val="0"/>
        </w:rPr>
        <w:t>8、</w:t>
        <w:tab/>
        <w:t xml:space="preserve">租赁负债较年初增加100%,主要系公司执行新租赁准则，按照租赁期开始日将尚未支付的租赁付款额的现值计入租 </w:t>
      </w:r>
      <w:r>
        <w:rPr>
          <w:color w:val="000000"/>
          <w:spacing w:val="0"/>
          <w:w w:val="100"/>
          <w:position w:val="0"/>
        </w:rPr>
        <w:t>赁负债所致。</w:t>
      </w:r>
    </w:p>
    <w:p>
      <w:pPr>
        <w:pStyle w:val="Style18"/>
        <w:keepNext w:val="0"/>
        <w:keepLines w:val="0"/>
        <w:widowControl w:val="0"/>
        <w:shd w:val="clear" w:color="auto" w:fill="auto"/>
        <w:tabs>
          <w:tab w:pos="781" w:val="left"/>
        </w:tabs>
        <w:bidi w:val="0"/>
        <w:spacing w:before="0" w:after="0" w:line="324" w:lineRule="exact"/>
        <w:ind w:left="0" w:right="0" w:firstLine="360"/>
        <w:jc w:val="both"/>
      </w:pPr>
      <w:bookmarkStart w:id="1660" w:name="bookmark1660"/>
      <w:r>
        <w:rPr>
          <w:color w:val="000000"/>
          <w:spacing w:val="0"/>
          <w:w w:val="100"/>
          <w:position w:val="0"/>
        </w:rPr>
        <w:t>1</w:t>
      </w:r>
      <w:bookmarkEnd w:id="1660"/>
      <w:r>
        <w:rPr>
          <w:color w:val="000000"/>
          <w:spacing w:val="0"/>
          <w:w w:val="100"/>
          <w:position w:val="0"/>
        </w:rPr>
        <w:t>9、</w:t>
        <w:tab/>
        <w:t>长期应付款较年初减少47.16%，主要系本期公司偿还融资租赁款所致。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61" w:name="bookmark1661"/>
      <w:r>
        <w:rPr>
          <w:color w:val="000000"/>
          <w:spacing w:val="0"/>
          <w:w w:val="100"/>
          <w:position w:val="0"/>
        </w:rPr>
        <w:t>2</w:t>
      </w:r>
      <w:bookmarkEnd w:id="1661"/>
      <w:r>
        <w:rPr>
          <w:color w:val="000000"/>
          <w:spacing w:val="0"/>
          <w:w w:val="100"/>
          <w:position w:val="0"/>
        </w:rPr>
        <w:t>0、</w:t>
        <w:tab/>
        <w:t>研发费用同比增加</w:t>
      </w:r>
      <w:r>
        <w:rPr>
          <w:color w:val="000000"/>
          <w:spacing w:val="0"/>
          <w:w w:val="100"/>
          <w:position w:val="0"/>
        </w:rPr>
        <w:t xml:space="preserve">30. </w:t>
      </w:r>
      <w:r>
        <w:rPr>
          <w:color w:val="000000"/>
          <w:spacing w:val="0"/>
          <w:w w:val="100"/>
          <w:position w:val="0"/>
        </w:rPr>
        <w:t>30%，主要系本报告期公司软件板块研发项目数量及投入增加所致。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62" w:name="bookmark1662"/>
      <w:r>
        <w:rPr>
          <w:color w:val="000000"/>
          <w:spacing w:val="0"/>
          <w:w w:val="100"/>
          <w:position w:val="0"/>
        </w:rPr>
        <w:t>2</w:t>
      </w:r>
      <w:bookmarkEnd w:id="1662"/>
      <w:r>
        <w:rPr>
          <w:color w:val="000000"/>
          <w:spacing w:val="0"/>
          <w:w w:val="100"/>
          <w:position w:val="0"/>
        </w:rPr>
        <w:t>1、</w:t>
        <w:tab/>
        <w:t>投资收益同比减少</w:t>
      </w:r>
      <w:r>
        <w:rPr>
          <w:color w:val="000000"/>
          <w:spacing w:val="0"/>
          <w:w w:val="100"/>
          <w:position w:val="0"/>
        </w:rPr>
        <w:t xml:space="preserve">50. </w:t>
      </w:r>
      <w:r>
        <w:rPr>
          <w:color w:val="000000"/>
          <w:spacing w:val="0"/>
          <w:w w:val="100"/>
          <w:position w:val="0"/>
        </w:rPr>
        <w:t>37%，主要系上年全面智能少数股东增资，北明软件对其丧失控制权后，剩余股权按公允价值 重新计量产生的利得所致。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63" w:name="bookmark1663"/>
      <w:r>
        <w:rPr>
          <w:color w:val="000000"/>
          <w:spacing w:val="0"/>
          <w:w w:val="100"/>
          <w:position w:val="0"/>
        </w:rPr>
        <w:t>2</w:t>
      </w:r>
      <w:bookmarkEnd w:id="1663"/>
      <w:r>
        <w:rPr>
          <w:color w:val="000000"/>
          <w:spacing w:val="0"/>
          <w:w w:val="100"/>
          <w:position w:val="0"/>
        </w:rPr>
        <w:t>2、</w:t>
        <w:tab/>
        <w:t>公允价值变动收益同比增加123.60%，主要系本期公司确认货币掉期、利率掉期形成公允价值变动收益增加所致。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64" w:name="bookmark1664"/>
      <w:r>
        <w:rPr>
          <w:color w:val="000000"/>
          <w:spacing w:val="0"/>
          <w:w w:val="100"/>
          <w:position w:val="0"/>
        </w:rPr>
        <w:t>2</w:t>
      </w:r>
      <w:bookmarkEnd w:id="1664"/>
      <w:r>
        <w:rPr>
          <w:color w:val="000000"/>
          <w:spacing w:val="0"/>
          <w:w w:val="100"/>
          <w:position w:val="0"/>
        </w:rPr>
        <w:t>3、</w:t>
        <w:tab/>
        <w:t>信用减值损失同比减少</w:t>
      </w:r>
      <w:r>
        <w:rPr>
          <w:color w:val="000000"/>
          <w:spacing w:val="0"/>
          <w:w w:val="100"/>
          <w:position w:val="0"/>
        </w:rPr>
        <w:t xml:space="preserve">45. </w:t>
      </w:r>
      <w:r>
        <w:rPr>
          <w:color w:val="000000"/>
          <w:spacing w:val="0"/>
          <w:w w:val="100"/>
          <w:position w:val="0"/>
        </w:rPr>
        <w:t>44%，主要系本期公司收回部分应收款项冲回已计提的坏账准备所致。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65" w:name="bookmark1665"/>
      <w:r>
        <w:rPr>
          <w:color w:val="000000"/>
          <w:spacing w:val="0"/>
          <w:w w:val="100"/>
          <w:position w:val="0"/>
        </w:rPr>
        <w:t>2</w:t>
      </w:r>
      <w:bookmarkEnd w:id="1665"/>
      <w:r>
        <w:rPr>
          <w:color w:val="000000"/>
          <w:spacing w:val="0"/>
          <w:w w:val="100"/>
          <w:position w:val="0"/>
        </w:rPr>
        <w:t>4、</w:t>
        <w:tab/>
        <w:t>资产减值损失同比增加102.63%，主要系本期计提存货跌价准备、合同资产减值损失，以及商誉减值损失较上年增 加所致。</w:t>
      </w:r>
    </w:p>
    <w:p>
      <w:pPr>
        <w:pStyle w:val="Style18"/>
        <w:keepNext w:val="0"/>
        <w:keepLines w:val="0"/>
        <w:widowControl w:val="0"/>
        <w:shd w:val="clear" w:color="auto" w:fill="auto"/>
        <w:tabs>
          <w:tab w:pos="790" w:val="left"/>
        </w:tabs>
        <w:bidi w:val="0"/>
        <w:spacing w:before="0" w:after="0" w:line="326" w:lineRule="exact"/>
        <w:ind w:left="0" w:right="0" w:firstLine="360"/>
        <w:jc w:val="both"/>
      </w:pPr>
      <w:bookmarkStart w:id="1666" w:name="bookmark1666"/>
      <w:r>
        <w:rPr>
          <w:color w:val="000000"/>
          <w:spacing w:val="0"/>
          <w:w w:val="100"/>
          <w:position w:val="0"/>
        </w:rPr>
        <w:t>2</w:t>
      </w:r>
      <w:bookmarkEnd w:id="1666"/>
      <w:r>
        <w:rPr>
          <w:color w:val="000000"/>
          <w:spacing w:val="0"/>
          <w:w w:val="100"/>
          <w:position w:val="0"/>
        </w:rPr>
        <w:t>5、</w:t>
        <w:tab/>
        <w:t>资产处置收益同比减少186.76%，主要系本期公司处置固定资产形成损失所致。</w:t>
      </w:r>
    </w:p>
    <w:p>
      <w:pPr>
        <w:pStyle w:val="Style18"/>
        <w:keepNext w:val="0"/>
        <w:keepLines w:val="0"/>
        <w:widowControl w:val="0"/>
        <w:shd w:val="clear" w:color="auto" w:fill="auto"/>
        <w:tabs>
          <w:tab w:pos="790" w:val="left"/>
        </w:tabs>
        <w:bidi w:val="0"/>
        <w:spacing w:before="0" w:after="0" w:line="326" w:lineRule="exact"/>
        <w:ind w:left="0" w:right="0" w:firstLine="360"/>
        <w:jc w:val="both"/>
      </w:pPr>
      <w:bookmarkStart w:id="1667" w:name="bookmark1667"/>
      <w:r>
        <w:rPr>
          <w:color w:val="000000"/>
          <w:spacing w:val="0"/>
          <w:w w:val="100"/>
          <w:position w:val="0"/>
        </w:rPr>
        <w:t>2</w:t>
      </w:r>
      <w:bookmarkEnd w:id="1667"/>
      <w:r>
        <w:rPr>
          <w:color w:val="000000"/>
          <w:spacing w:val="0"/>
          <w:w w:val="100"/>
          <w:position w:val="0"/>
        </w:rPr>
        <w:t>6、</w:t>
        <w:tab/>
        <w:t>营业外收入同比增加</w:t>
      </w:r>
      <w:r>
        <w:rPr>
          <w:color w:val="000000"/>
          <w:spacing w:val="0"/>
          <w:w w:val="100"/>
          <w:position w:val="0"/>
        </w:rPr>
        <w:t xml:space="preserve">779. </w:t>
      </w:r>
      <w:r>
        <w:rPr>
          <w:color w:val="000000"/>
          <w:spacing w:val="0"/>
          <w:w w:val="100"/>
          <w:position w:val="0"/>
        </w:rPr>
        <w:t>84%，主要系本期公司将第五分公司火灾中铁公司需承担的赔偿损失1,683万元确认为营业 外收入及公司收到的项目违约金增加所致。</w:t>
      </w:r>
    </w:p>
    <w:p>
      <w:pPr>
        <w:pStyle w:val="Style18"/>
        <w:keepNext w:val="0"/>
        <w:keepLines w:val="0"/>
        <w:widowControl w:val="0"/>
        <w:shd w:val="clear" w:color="auto" w:fill="auto"/>
        <w:tabs>
          <w:tab w:pos="790" w:val="left"/>
        </w:tabs>
        <w:bidi w:val="0"/>
        <w:spacing w:before="0" w:after="0" w:line="326" w:lineRule="exact"/>
        <w:ind w:left="0" w:right="0" w:firstLine="360"/>
        <w:jc w:val="both"/>
      </w:pPr>
      <w:bookmarkStart w:id="1668" w:name="bookmark1668"/>
      <w:r>
        <w:rPr>
          <w:color w:val="000000"/>
          <w:spacing w:val="0"/>
          <w:w w:val="100"/>
          <w:position w:val="0"/>
        </w:rPr>
        <w:t>2</w:t>
      </w:r>
      <w:bookmarkEnd w:id="1668"/>
      <w:r>
        <w:rPr>
          <w:color w:val="000000"/>
          <w:spacing w:val="0"/>
          <w:w w:val="100"/>
          <w:position w:val="0"/>
        </w:rPr>
        <w:t>7、</w:t>
        <w:tab/>
        <w:t>营业外支出同比减少</w:t>
      </w:r>
      <w:r>
        <w:rPr>
          <w:color w:val="000000"/>
          <w:spacing w:val="0"/>
          <w:w w:val="100"/>
          <w:position w:val="0"/>
        </w:rPr>
        <w:t xml:space="preserve">34. </w:t>
      </w:r>
      <w:r>
        <w:rPr>
          <w:color w:val="000000"/>
          <w:spacing w:val="0"/>
          <w:w w:val="100"/>
          <w:position w:val="0"/>
        </w:rPr>
        <w:t>24%，主要系本期公司代替赔偿义务人垫付的棉五火灾赔偿款较去年同期减少，以及去年同 期确认新疆常山恒宏纺织服装综合建设项目一期工程终止建设损失所致。</w:t>
      </w:r>
    </w:p>
    <w:p>
      <w:pPr>
        <w:pStyle w:val="Style18"/>
        <w:keepNext w:val="0"/>
        <w:keepLines w:val="0"/>
        <w:widowControl w:val="0"/>
        <w:shd w:val="clear" w:color="auto" w:fill="auto"/>
        <w:tabs>
          <w:tab w:pos="790" w:val="left"/>
        </w:tabs>
        <w:bidi w:val="0"/>
        <w:spacing w:before="0" w:after="0" w:line="326" w:lineRule="exact"/>
        <w:ind w:left="0" w:right="0" w:firstLine="360"/>
        <w:jc w:val="both"/>
      </w:pPr>
      <w:bookmarkStart w:id="1669" w:name="bookmark1669"/>
      <w:r>
        <w:rPr>
          <w:color w:val="000000"/>
          <w:spacing w:val="0"/>
          <w:w w:val="100"/>
          <w:position w:val="0"/>
        </w:rPr>
        <w:t>2</w:t>
      </w:r>
      <w:bookmarkEnd w:id="1669"/>
      <w:r>
        <w:rPr>
          <w:color w:val="000000"/>
          <w:spacing w:val="0"/>
          <w:w w:val="100"/>
          <w:position w:val="0"/>
        </w:rPr>
        <w:t>8、</w:t>
        <w:tab/>
        <w:t>所得税费用同比减少</w:t>
      </w:r>
      <w:r>
        <w:rPr>
          <w:color w:val="000000"/>
          <w:spacing w:val="0"/>
          <w:w w:val="100"/>
          <w:position w:val="0"/>
        </w:rPr>
        <w:t xml:space="preserve">39. </w:t>
      </w:r>
      <w:r>
        <w:rPr>
          <w:color w:val="000000"/>
          <w:spacing w:val="0"/>
          <w:w w:val="100"/>
          <w:position w:val="0"/>
        </w:rPr>
        <w:t>24%，主要系本期计提减值准备等原因确认递延所得税资产，使递延所得税费用减少所致。</w:t>
      </w:r>
    </w:p>
    <w:p>
      <w:pPr>
        <w:pStyle w:val="Style18"/>
        <w:keepNext w:val="0"/>
        <w:keepLines w:val="0"/>
        <w:widowControl w:val="0"/>
        <w:shd w:val="clear" w:color="auto" w:fill="auto"/>
        <w:tabs>
          <w:tab w:pos="790" w:val="left"/>
        </w:tabs>
        <w:bidi w:val="0"/>
        <w:spacing w:before="0" w:after="0" w:line="326" w:lineRule="exact"/>
        <w:ind w:left="0" w:right="0" w:firstLine="360"/>
        <w:jc w:val="both"/>
      </w:pPr>
      <w:bookmarkStart w:id="1670" w:name="bookmark1670"/>
      <w:r>
        <w:rPr>
          <w:color w:val="000000"/>
          <w:spacing w:val="0"/>
          <w:w w:val="100"/>
          <w:position w:val="0"/>
        </w:rPr>
        <w:t>2</w:t>
      </w:r>
      <w:bookmarkEnd w:id="1670"/>
      <w:r>
        <w:rPr>
          <w:color w:val="000000"/>
          <w:spacing w:val="0"/>
          <w:w w:val="100"/>
          <w:position w:val="0"/>
        </w:rPr>
        <w:t>9、</w:t>
        <w:tab/>
        <w:t>少数股东损益同比减少</w:t>
      </w:r>
      <w:r>
        <w:rPr>
          <w:color w:val="000000"/>
          <w:spacing w:val="0"/>
          <w:w w:val="100"/>
          <w:position w:val="0"/>
        </w:rPr>
        <w:t xml:space="preserve">122. </w:t>
      </w:r>
      <w:r>
        <w:rPr>
          <w:color w:val="000000"/>
          <w:spacing w:val="0"/>
          <w:w w:val="100"/>
          <w:position w:val="0"/>
        </w:rPr>
        <w:t>00%，主要系子公司北明软件的原非全资子公司枫调理顺在少数股东稀释股权前亏损所 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71" w:name="bookmark1671"/>
      <w:r>
        <w:rPr>
          <w:color w:val="000000"/>
          <w:spacing w:val="0"/>
          <w:w w:val="100"/>
          <w:position w:val="0"/>
        </w:rPr>
        <w:t>3</w:t>
      </w:r>
      <w:bookmarkEnd w:id="1671"/>
      <w:r>
        <w:rPr>
          <w:color w:val="000000"/>
          <w:spacing w:val="0"/>
          <w:w w:val="100"/>
          <w:position w:val="0"/>
        </w:rPr>
        <w:t>0、</w:t>
        <w:tab/>
        <w:t>经营活动产生的现金流量净额同比减少</w:t>
      </w:r>
      <w:r>
        <w:rPr>
          <w:color w:val="000000"/>
          <w:spacing w:val="0"/>
          <w:w w:val="100"/>
          <w:position w:val="0"/>
        </w:rPr>
        <w:t xml:space="preserve">54. </w:t>
      </w:r>
      <w:r>
        <w:rPr>
          <w:color w:val="000000"/>
          <w:spacing w:val="0"/>
          <w:w w:val="100"/>
          <w:position w:val="0"/>
        </w:rPr>
        <w:t>45%，主要系上年同期公司收到土地补偿金</w:t>
      </w:r>
      <w:r>
        <w:rPr>
          <w:color w:val="000000"/>
          <w:spacing w:val="0"/>
          <w:w w:val="100"/>
          <w:position w:val="0"/>
        </w:rPr>
        <w:t>8.71</w:t>
      </w:r>
      <w:r>
        <w:rPr>
          <w:color w:val="000000"/>
          <w:spacing w:val="0"/>
          <w:w w:val="100"/>
          <w:position w:val="0"/>
        </w:rPr>
        <w:t>亿元所致。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72" w:name="bookmark1672"/>
      <w:r>
        <w:rPr>
          <w:color w:val="000000"/>
          <w:spacing w:val="0"/>
          <w:w w:val="100"/>
          <w:position w:val="0"/>
        </w:rPr>
        <w:t>3</w:t>
      </w:r>
      <w:bookmarkEnd w:id="1672"/>
      <w:r>
        <w:rPr>
          <w:color w:val="000000"/>
          <w:spacing w:val="0"/>
          <w:w w:val="100"/>
          <w:position w:val="0"/>
        </w:rPr>
        <w:t>1、</w:t>
        <w:tab/>
        <w:t>投资活动产生的现金流量净额同比减少</w:t>
      </w:r>
      <w:r>
        <w:rPr>
          <w:color w:val="000000"/>
          <w:spacing w:val="0"/>
          <w:w w:val="100"/>
          <w:position w:val="0"/>
        </w:rPr>
        <w:t xml:space="preserve">42. </w:t>
      </w:r>
      <w:r>
        <w:rPr>
          <w:color w:val="000000"/>
          <w:spacing w:val="0"/>
          <w:w w:val="100"/>
          <w:position w:val="0"/>
        </w:rPr>
        <w:t>51%，主要系上年同期公司收到赵纺土地储备中心支付的土地款5,000万 元，以及本期预付供销冷链物流（石家庄）有限公司投资款所致。</w:t>
      </w:r>
    </w:p>
    <w:p>
      <w:pPr>
        <w:pStyle w:val="Style18"/>
        <w:keepNext w:val="0"/>
        <w:keepLines w:val="0"/>
        <w:widowControl w:val="0"/>
        <w:shd w:val="clear" w:color="auto" w:fill="auto"/>
        <w:tabs>
          <w:tab w:pos="790" w:val="left"/>
        </w:tabs>
        <w:bidi w:val="0"/>
        <w:spacing w:before="0" w:after="0" w:line="324" w:lineRule="exact"/>
        <w:ind w:left="0" w:right="0" w:firstLine="360"/>
        <w:jc w:val="both"/>
      </w:pPr>
      <w:bookmarkStart w:id="1673" w:name="bookmark1673"/>
      <w:r>
        <w:rPr>
          <w:color w:val="000000"/>
          <w:spacing w:val="0"/>
          <w:w w:val="100"/>
          <w:position w:val="0"/>
        </w:rPr>
        <w:t>3</w:t>
      </w:r>
      <w:bookmarkEnd w:id="1673"/>
      <w:r>
        <w:rPr>
          <w:color w:val="000000"/>
          <w:spacing w:val="0"/>
          <w:w w:val="100"/>
          <w:position w:val="0"/>
        </w:rPr>
        <w:t>2、</w:t>
        <w:tab/>
        <w:t>现金及现金等价物净增加额同比减少127.91%，主要系本期公司经营活动产生的现金流量净额、投资活动产生的现 金流量净额同比减少所致。</w:t>
      </w:r>
    </w:p>
    <w:sectPr>
      <w:footnotePr>
        <w:pos w:val="pageBottom"/>
        <w:numFmt w:val="decimal"/>
        <w:numRestart w:val="continuous"/>
      </w:footnotePr>
      <w:pgSz w:w="11900" w:h="16840"/>
      <w:pgMar w:top="1282" w:right="1054" w:bottom="1378" w:left="10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5">
    <w:name w:val="Body text (7)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Body text (8)_"/>
    <w:basedOn w:val="DefaultParagraphFont"/>
    <w:link w:val="Style3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after="16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2"/>
    <w:basedOn w:val="Normal"/>
    <w:link w:val="CharStyle11"/>
    <w:pPr>
      <w:widowControl w:val="0"/>
      <w:shd w:val="clear" w:color="auto" w:fill="auto"/>
      <w:spacing w:after="6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00"/>
    </w:pPr>
    <w:rPr>
      <w:rFonts w:ascii="SimSun" w:eastAsia="SimSun" w:hAnsi="SimSun" w:cs="SimSun"/>
      <w:b/>
      <w:bCs/>
      <w:i w:val="0"/>
      <w:iCs w:val="0"/>
      <w:smallCaps w:val="0"/>
      <w:strike w:val="0"/>
      <w:u w:val="none"/>
      <w:shd w:val="clear" w:color="auto" w:fill="auto"/>
    </w:rPr>
  </w:style>
  <w:style w:type="paragraph" w:styleId="Style18">
    <w:name w:val="Body text"/>
    <w:basedOn w:val="Normal"/>
    <w:link w:val="CharStyle19"/>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3"/>
    <w:basedOn w:val="Normal"/>
    <w:link w:val="CharStyle24"/>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4"/>
    <w:basedOn w:val="Normal"/>
    <w:link w:val="CharStyle2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Body text (7)"/>
    <w:basedOn w:val="Normal"/>
    <w:link w:val="CharStyle35"/>
    <w:pPr>
      <w:widowControl w:val="0"/>
      <w:shd w:val="clear" w:color="auto" w:fill="auto"/>
      <w:spacing w:after="80"/>
      <w:ind w:right="122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Body text (8)"/>
    <w:basedOn w:val="Normal"/>
    <w:link w:val="CharStyle37"/>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