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02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80" w:lineRule="exact"/>
        <w:ind w:left="39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399819" cy="14478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99819" cy="1447800"/>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before="238"/>
        <w:ind w:left="858" w:right="0" w:firstLine="0"/>
        <w:jc w:val="left"/>
        <w:rPr>
          <w:rFonts w:ascii="Times New Roman" w:hAnsi="Times New Roman" w:cs="Times New Roman" w:eastAsia="Times New Roman" w:hint="default"/>
          <w:sz w:val="36"/>
          <w:szCs w:val="36"/>
        </w:rPr>
      </w:pPr>
      <w:bookmarkStart w:name="SHANDONG CHENMING PAPER HOLDINGS LIMITED" w:id="1"/>
      <w:bookmarkEnd w:id="1"/>
      <w:r>
        <w:rPr/>
      </w:r>
      <w:r>
        <w:rPr>
          <w:rFonts w:ascii="Times New Roman"/>
          <w:spacing w:val="-5"/>
          <w:sz w:val="36"/>
        </w:rPr>
        <w:t>SHANDONG </w:t>
      </w:r>
      <w:r>
        <w:rPr>
          <w:rFonts w:ascii="Times New Roman"/>
          <w:spacing w:val="-4"/>
          <w:sz w:val="36"/>
        </w:rPr>
        <w:t>CHENMING PAPER </w:t>
      </w:r>
      <w:r>
        <w:rPr>
          <w:rFonts w:ascii="Times New Roman"/>
          <w:spacing w:val="-5"/>
          <w:sz w:val="36"/>
        </w:rPr>
        <w:t>HOLDINGS</w:t>
      </w:r>
      <w:r>
        <w:rPr>
          <w:rFonts w:ascii="Times New Roman"/>
          <w:spacing w:val="-6"/>
          <w:sz w:val="36"/>
        </w:rPr>
        <w:t> </w:t>
      </w:r>
      <w:r>
        <w:rPr>
          <w:rFonts w:ascii="Times New Roman"/>
          <w:spacing w:val="-4"/>
          <w:sz w:val="36"/>
        </w:rPr>
        <w:t>LIMITED</w:t>
      </w:r>
      <w:r>
        <w:rPr>
          <w:rFonts w:ascii="Times New Roman"/>
          <w:sz w:val="36"/>
        </w:rPr>
      </w:r>
    </w:p>
    <w:p>
      <w:pPr>
        <w:spacing w:line="240" w:lineRule="auto" w:before="0"/>
        <w:rPr>
          <w:rFonts w:ascii="Times New Roman" w:hAnsi="Times New Roman" w:cs="Times New Roman" w:eastAsia="Times New Roman" w:hint="default"/>
          <w:sz w:val="36"/>
          <w:szCs w:val="36"/>
        </w:rPr>
      </w:pPr>
    </w:p>
    <w:p>
      <w:pPr>
        <w:spacing w:line="240" w:lineRule="auto" w:before="9"/>
        <w:rPr>
          <w:rFonts w:ascii="Times New Roman" w:hAnsi="Times New Roman" w:cs="Times New Roman" w:eastAsia="Times New Roman" w:hint="default"/>
          <w:sz w:val="47"/>
          <w:szCs w:val="47"/>
        </w:rPr>
      </w:pPr>
    </w:p>
    <w:p>
      <w:pPr>
        <w:spacing w:before="0"/>
        <w:ind w:left="2422"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公司负责人陈洪国、主管会计工作负责人王春方及会计机构负责人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董连明声明：保证年度报告中财务报告的真实、准确、完整。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张志元</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因公务无法亲自出席</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r>
      <w:tr>
        <w:trPr>
          <w:trHeight w:val="40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王翔飞</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因公务无法亲自出席</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张宏</w:t>
            </w:r>
          </w:p>
        </w:tc>
      </w:tr>
    </w:tbl>
    <w:p>
      <w:pPr>
        <w:spacing w:line="240" w:lineRule="auto" w:before="2"/>
        <w:rPr>
          <w:rFonts w:ascii="宋体" w:hAnsi="宋体" w:cs="宋体" w:eastAsia="宋体" w:hint="default"/>
          <w:b/>
          <w:bCs/>
          <w:sz w:val="13"/>
          <w:szCs w:val="13"/>
        </w:rPr>
      </w:pPr>
    </w:p>
    <w:p>
      <w:pPr>
        <w:spacing w:line="398" w:lineRule="auto" w:before="13"/>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公司经本次董事会审议通过的利润分配预案为：以分红派息股权登记日股</w:t>
      </w:r>
      <w:r>
        <w:rPr>
          <w:rFonts w:ascii="宋体" w:hAnsi="宋体" w:cs="宋体" w:eastAsia="宋体" w:hint="default"/>
          <w:b/>
          <w:bCs/>
          <w:spacing w:val="4"/>
          <w:w w:val="99"/>
          <w:sz w:val="28"/>
          <w:szCs w:val="28"/>
        </w:rPr>
        <w:t> </w:t>
      </w:r>
      <w:r>
        <w:rPr>
          <w:rFonts w:ascii="宋体" w:hAnsi="宋体" w:cs="宋体" w:eastAsia="宋体" w:hint="default"/>
          <w:b/>
          <w:bCs/>
          <w:spacing w:val="-2"/>
          <w:w w:val="99"/>
          <w:sz w:val="28"/>
          <w:szCs w:val="28"/>
        </w:rPr>
        <w:t>份数为基数，向全体股东每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0.6</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0"/>
          <w:w w:val="99"/>
          <w:sz w:val="28"/>
          <w:szCs w:val="28"/>
        </w:rPr>
        <w:t>股（含</w:t>
      </w:r>
      <w:r>
        <w:rPr>
          <w:rFonts w:ascii="宋体" w:hAnsi="宋体" w:cs="宋体" w:eastAsia="宋体" w:hint="default"/>
          <w:b/>
          <w:bCs/>
          <w:w w:val="99"/>
          <w:sz w:val="28"/>
          <w:szCs w:val="28"/>
        </w:rPr>
        <w:t> </w:t>
      </w:r>
      <w:r>
        <w:rPr>
          <w:rFonts w:ascii="宋体" w:hAnsi="宋体" w:cs="宋体" w:eastAsia="宋体" w:hint="default"/>
          <w:b/>
          <w:bCs/>
          <w:spacing w:val="-10"/>
          <w:w w:val="99"/>
          <w:sz w:val="28"/>
          <w:szCs w:val="28"/>
        </w:rPr>
        <w:t>税），不以公积金转增股本。</w:t>
      </w:r>
      <w:r>
        <w:rPr>
          <w:rFonts w:ascii="宋体" w:hAnsi="宋体" w:cs="宋体" w:eastAsia="宋体" w:hint="default"/>
          <w:sz w:val="28"/>
          <w:szCs w:val="28"/>
        </w:rPr>
      </w:r>
    </w:p>
    <w:p>
      <w:pPr>
        <w:spacing w:line="410" w:lineRule="auto" w:before="171"/>
        <w:ind w:left="154" w:right="0"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b/>
          <w:bCs/>
          <w:spacing w:val="1"/>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hyperlink>
          <w:r>
            <w:rPr/>
            <w:t> </w:t>
          </w:r>
          <w:hyperlink w:history="true" w:anchor="_bookmark0">
            <w:r>
              <w:rPr/>
              <w:t>重要提示、目录和释义</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hyperlink>
          <w:r>
            <w:rPr/>
            <w:t> </w:t>
          </w:r>
          <w:hyperlink w:history="true" w:anchor="_bookmark1">
            <w:r>
              <w:rPr/>
              <w:t>公司简介</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hyperlink>
          <w:r>
            <w:rPr/>
            <w:t> </w:t>
          </w:r>
          <w:hyperlink w:history="true" w:anchor="_bookmark2">
            <w:r>
              <w:rPr/>
              <w:t>会计数据和财务指标摘要</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hyperlink>
          <w:r>
            <w:rPr/>
            <w:t> </w:t>
          </w:r>
          <w:hyperlink w:history="true" w:anchor="_bookmark3">
            <w:r>
              <w:rPr/>
              <w:t>董事长报告</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hyperlink>
          <w:r>
            <w:rPr/>
            <w:t> </w:t>
          </w:r>
          <w:hyperlink w:history="true" w:anchor="_bookmark4">
            <w:r>
              <w:rPr/>
              <w:t>董事会报告</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hyperlink>
          <w:r>
            <w:rPr/>
            <w:t> </w:t>
          </w:r>
          <w:hyperlink w:history="true" w:anchor="_bookmark5">
            <w:r>
              <w:rPr/>
              <w:t>重要事项</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34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hyperlink>
          <w:r>
            <w:rPr/>
            <w:t> </w:t>
          </w:r>
          <w:hyperlink w:history="true" w:anchor="_bookmark6">
            <w:r>
              <w:rPr/>
              <w:t>股份变动及股东情况</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50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hyperlink>
          <w:r>
            <w:rPr/>
            <w:t> </w:t>
          </w:r>
          <w:hyperlink w:history="true" w:anchor="_bookmark7">
            <w:r>
              <w:rPr/>
              <w:t>董事、监事、高级管理人员和员工情况</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55</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hyperlink>
          <w:r>
            <w:rPr/>
            <w:t> </w:t>
          </w:r>
          <w:hyperlink w:history="true" w:anchor="_bookmark8">
            <w:r>
              <w:rPr/>
              <w:t>公司治理</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hyperlink>
          <w:r>
            <w:rPr/>
            <w:t> </w:t>
          </w:r>
          <w:hyperlink w:history="true" w:anchor="_bookmark9">
            <w:r>
              <w:rPr/>
              <w:t>内部控制</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hyperlink>
          <w:r>
            <w:rPr/>
            <w:t> </w:t>
          </w:r>
          <w:hyperlink w:history="true" w:anchor="_bookmark10">
            <w:r>
              <w:rPr/>
              <w:t>财务报告</w:t>
            </w:r>
          </w:hyperlink>
          <w:hyperlink w:history="true" w:anchor="_bookmark1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rPr>
              <w:t>77</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hyperlink>
          <w:r>
            <w:rPr/>
            <w:t> </w:t>
          </w:r>
          <w:hyperlink w:history="true" w:anchor="_bookmark11">
            <w:r>
              <w:rPr/>
              <w:t>备查文件目录</w:t>
            </w:r>
          </w:hyperlink>
          <w:hyperlink w:history="true" w:anchor="_bookmark1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1">
            <w:r>
              <w:rPr>
                <w:rFonts w:ascii="Times New Roman" w:hAnsi="Times New Roman" w:cs="Times New Roman" w:eastAsia="Times New Roman" w:hint="default"/>
              </w:rPr>
              <w:t>199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42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8"/>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3524"/>
        <w:gridCol w:w="610"/>
        <w:gridCol w:w="5435"/>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公司、本公司、晨鸣纸业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香港联合交易所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SAPPI</w:t>
            </w:r>
            <w:r>
              <w:rPr>
                <w:rFonts w:ascii="宋体" w:hAnsi="宋体" w:cs="宋体" w:eastAsia="宋体" w:hint="default"/>
                <w:sz w:val="18"/>
                <w:szCs w:val="18"/>
              </w:rPr>
              <w:t>、塞佩公司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SAPPI  </w:t>
            </w:r>
            <w:r>
              <w:rPr>
                <w:rFonts w:ascii="Times New Roman"/>
                <w:spacing w:val="42"/>
                <w:sz w:val="18"/>
              </w:rPr>
              <w:t> </w:t>
            </w:r>
            <w:r>
              <w:rPr>
                <w:rFonts w:ascii="Times New Roman"/>
                <w:sz w:val="18"/>
              </w:rPr>
              <w:t>LIMITED</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IFC</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国际金融公司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寿光恒联</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寿光市恒联企业投资有限公司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广源地产</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寿光晨鸣广源地产有限公司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寿光恒泰</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武汉晨鸣汉阳纸业有限责任公司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茂林制纸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韩国新茂林制纸公司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塞佩中国</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塞佩中国控股有限公司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湛江慧锐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湛江慧锐投资有限公司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北海集团</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鄄城晨鸣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鄄城晨鸣板材有限公司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齐河晨鸣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山东晨鸣纸业集团齐河板纸有限责任公司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江河纸业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河南江河纸业股份有限公司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齐河板材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齐河晨鸣板材有限公司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晨鸣热电</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公司已在本报告中详细描述公司存在的风险因素，敬请查阅董事会报告中</w:t>
      </w:r>
      <w:r>
        <w:rPr>
          <w:rFonts w:ascii="宋体" w:hAnsi="宋体" w:cs="宋体" w:eastAsia="宋体" w:hint="default"/>
          <w:b/>
          <w:bCs/>
          <w:spacing w:val="4"/>
          <w:w w:val="99"/>
          <w:sz w:val="28"/>
          <w:szCs w:val="28"/>
        </w:rPr>
        <w:t> </w:t>
      </w:r>
      <w:r>
        <w:rPr>
          <w:rFonts w:ascii="宋体" w:hAnsi="宋体" w:cs="宋体" w:eastAsia="宋体" w:hint="default"/>
          <w:b/>
          <w:bCs/>
          <w:sz w:val="28"/>
          <w:szCs w:val="28"/>
        </w:rPr>
        <w:t>关于公司未来发展的展望中可能面对的风险因素和对策部分的内容。</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059998pt;margin-top:309.390015pt;width:362.7pt;height:20.7pt;mso-position-horizontal-relative:page;mso-position-vertical-relative:page;z-index:-1371424" coordorigin="3421,6188" coordsize="7254,414">
            <v:group style="position:absolute;left:3433;top:6199;width:2;height:392" coordorigin="3433,6199" coordsize="2,392">
              <v:shape style="position:absolute;left:3433;top:6199;width:2;height:392" coordorigin="3433,6199" coordsize="0,392" path="m3433,6199l3433,6590e" filled="false" stroked="true" strokeweight="1.140pt" strokecolor="#ffffff">
                <v:path arrowok="t"/>
              </v:shape>
            </v:group>
            <v:group style="position:absolute;left:3444;top:6198;width:7232;height:393" coordorigin="3444,6198" coordsize="7232,393">
              <v:shape style="position:absolute;left:3444;top:6198;width:7232;height:393" coordorigin="3444,6198" coordsize="7232,393" path="m3444,6590l10675,6590,10675,6198,3444,6198,3444,6590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421"/>
        <w:jc w:val="center"/>
        <w:rPr>
          <w:b w:val="0"/>
          <w:bCs w:val="0"/>
        </w:rPr>
      </w:pPr>
      <w:bookmarkStart w:name="_bookmark1" w:id="3"/>
      <w:bookmarkEnd w:id="3"/>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81"/>
        <w:gridCol w:w="2124"/>
        <w:gridCol w:w="2193"/>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股简称</w:t>
            </w:r>
          </w:p>
        </w:tc>
        <w:tc>
          <w:tcPr>
            <w:tcW w:w="298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000488</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股简称</w:t>
            </w:r>
          </w:p>
        </w:tc>
        <w:tc>
          <w:tcPr>
            <w:tcW w:w="298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 </w:t>
            </w:r>
            <w:r>
              <w:rPr>
                <w:rFonts w:ascii="Times New Roman" w:hAnsi="Times New Roman" w:cs="Times New Roman" w:eastAsia="Times New Roman" w:hint="default"/>
                <w:sz w:val="18"/>
                <w:szCs w:val="18"/>
              </w:rPr>
              <w:t>B</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200488</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股简称</w:t>
            </w:r>
          </w:p>
        </w:tc>
        <w:tc>
          <w:tcPr>
            <w:tcW w:w="298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1812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深圳证券交易所、香港联合交易所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SHANDONG    CHENMING    </w:t>
            </w:r>
            <w:r>
              <w:rPr>
                <w:rFonts w:ascii="Times New Roman"/>
                <w:spacing w:val="-5"/>
                <w:sz w:val="18"/>
              </w:rPr>
              <w:t>PAPER    </w:t>
            </w:r>
            <w:r>
              <w:rPr>
                <w:rFonts w:ascii="Times New Roman"/>
                <w:sz w:val="18"/>
              </w:rPr>
              <w:t>HOLDINGS   </w:t>
            </w:r>
            <w:r>
              <w:rPr>
                <w:rFonts w:ascii="Times New Roman"/>
                <w:spacing w:val="8"/>
                <w:sz w:val="18"/>
              </w:rPr>
              <w:t> </w:t>
            </w:r>
            <w:r>
              <w:rPr>
                <w:rFonts w:ascii="Times New Roman"/>
                <w:sz w:val="18"/>
              </w:rPr>
              <w:t>LIMITED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SCPH</w:t>
            </w:r>
            <w:r>
              <w:rPr>
                <w:rFonts w:ascii="Times New Roman" w:hAnsi="Times New Roman" w:cs="Times New Roman" w:eastAsia="Times New Roman" w:hint="default"/>
                <w:sz w:val="18"/>
                <w:szCs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262700</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262705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9">
              <w:r>
                <w:rPr>
                  <w:rFonts w:ascii="Times New Roman"/>
                  <w:sz w:val="18"/>
                </w:rPr>
                <w:t>http://www.chenmingpaper.com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814"/>
        <w:gridCol w:w="2668"/>
        <w:gridCol w:w="2665"/>
        <w:gridCol w:w="2423"/>
      </w:tblGrid>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7"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范英杰</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潘兆昌</w:t>
            </w:r>
          </w:p>
        </w:tc>
      </w:tr>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(86)-0536</w:t>
            </w:r>
            <w:r>
              <w:rPr>
                <w:rFonts w:ascii="宋体" w:hAnsi="宋体" w:cs="宋体" w:eastAsia="宋体" w:hint="default"/>
                <w:sz w:val="18"/>
                <w:szCs w:val="18"/>
              </w:rPr>
              <w:t>－</w:t>
            </w:r>
            <w:r>
              <w:rPr>
                <w:rFonts w:ascii="Times New Roman" w:hAnsi="Times New Roman" w:cs="Times New Roman" w:eastAsia="Times New Roman" w:hint="default"/>
                <w:sz w:val="18"/>
                <w:szCs w:val="18"/>
              </w:rPr>
              <w:t>2158008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(86)-0536</w:t>
            </w:r>
            <w:r>
              <w:rPr>
                <w:rFonts w:ascii="宋体" w:hAnsi="宋体" w:cs="宋体" w:eastAsia="宋体" w:hint="default"/>
                <w:sz w:val="18"/>
                <w:szCs w:val="18"/>
              </w:rPr>
              <w:t>－</w:t>
            </w:r>
            <w:r>
              <w:rPr>
                <w:rFonts w:ascii="Times New Roman" w:hAnsi="Times New Roman" w:cs="Times New Roman" w:eastAsia="Times New Roman" w:hint="default"/>
                <w:sz w:val="18"/>
                <w:szCs w:val="18"/>
              </w:rPr>
              <w:t>2158008</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(852)-2501 0088</w:t>
            </w:r>
          </w:p>
        </w:tc>
      </w:tr>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(86)-0536</w:t>
            </w:r>
            <w:r>
              <w:rPr>
                <w:rFonts w:ascii="宋体" w:hAnsi="宋体" w:cs="宋体" w:eastAsia="宋体" w:hint="default"/>
                <w:sz w:val="18"/>
                <w:szCs w:val="18"/>
              </w:rPr>
              <w:t>－</w:t>
            </w:r>
            <w:r>
              <w:rPr>
                <w:rFonts w:ascii="Times New Roman" w:hAnsi="Times New Roman" w:cs="Times New Roman" w:eastAsia="Times New Roman" w:hint="default"/>
                <w:sz w:val="18"/>
                <w:szCs w:val="18"/>
              </w:rPr>
              <w:t>2158977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(86)-0536</w:t>
            </w:r>
            <w:r>
              <w:rPr>
                <w:rFonts w:ascii="宋体" w:hAnsi="宋体" w:cs="宋体" w:eastAsia="宋体" w:hint="default"/>
                <w:sz w:val="18"/>
                <w:szCs w:val="18"/>
              </w:rPr>
              <w:t>－</w:t>
            </w:r>
            <w:r>
              <w:rPr>
                <w:rFonts w:ascii="Times New Roman" w:hAnsi="Times New Roman" w:cs="Times New Roman" w:eastAsia="Times New Roman" w:hint="default"/>
                <w:sz w:val="18"/>
                <w:szCs w:val="18"/>
              </w:rPr>
              <w:t>2158977</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(852)-2501 0028</w:t>
            </w:r>
          </w:p>
        </w:tc>
      </w:tr>
      <w:tr>
        <w:trPr>
          <w:trHeight w:val="402" w:hRule="exact"/>
        </w:trPr>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kentpoon_1009@yahoo.com.hk</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《证券时报》和《香港商报》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；境外：</w:t>
            </w:r>
            <w:hyperlink r:id="rId13">
              <w:r>
                <w:rPr>
                  <w:rFonts w:ascii="Times New Roman" w:hAnsi="Times New Roman" w:cs="Times New Roman" w:eastAsia="Times New Roman" w:hint="default"/>
                  <w:sz w:val="18"/>
                  <w:szCs w:val="18"/>
                </w:rPr>
                <w:t>http://www.hkex.com.hk</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公司资本运营部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山东省寿光市圣城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16568230-2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370783613588986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61358898-6</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山东省寿光市圣城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370000400001170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370783613588986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61358898-6</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详见本报告第十一节第三部分、公司基本情况。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40"/>
        <w:gridCol w:w="6328"/>
      </w:tblGrid>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王传顺  景传轩</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bookmark2" w:id="4"/>
      <w:bookmarkEnd w:id="4"/>
      <w:r>
        <w:rPr>
          <w:b w:val="0"/>
          <w:bCs w:val="0"/>
        </w:rPr>
      </w: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57"/>
        <w:gridCol w:w="1632"/>
        <w:gridCol w:w="1595"/>
        <w:gridCol w:w="1739"/>
        <w:gridCol w:w="1735"/>
      </w:tblGrid>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19,761,679,230.05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17,747,489,900.87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17,203,123,029.49</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tabs>
                <w:tab w:pos="466" w:val="left" w:leader="none"/>
              </w:tabs>
              <w:spacing w:line="240" w:lineRule="auto" w:before="51"/>
              <w:ind w:left="-15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221,034,822.54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608,271,256.29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1,163,341,066.21</w:t>
            </w:r>
          </w:p>
        </w:tc>
      </w:tr>
      <w:tr>
        <w:trPr>
          <w:trHeight w:val="714"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-159,777,900.37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285,121,911.63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1,034,233,761.46</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tabs>
                <w:tab w:pos="331" w:val="left" w:leader="none"/>
              </w:tabs>
              <w:spacing w:line="240" w:lineRule="auto" w:before="51"/>
              <w:ind w:left="-153"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1,956,866,477.99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-437,463,010.89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850,328,927.00</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w:t>
            </w:r>
          </w:p>
        </w:tc>
      </w:tr>
      <w:tr>
        <w:trPr>
          <w:trHeight w:val="160" w:hRule="exact"/>
        </w:trPr>
        <w:tc>
          <w:tcPr>
            <w:tcW w:w="2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857" w:type="dxa"/>
            <w:tcBorders>
              <w:top w:val="nil" w:sz="6" w:space="0" w:color="auto"/>
              <w:left w:val="single" w:sz="4" w:space="0" w:color="000000"/>
              <w:bottom w:val="nil" w:sz="6" w:space="0" w:color="auto"/>
              <w:right w:val="single" w:sz="4" w:space="0" w:color="000000"/>
            </w:tcBorders>
            <w:shd w:val="clear" w:color="auto" w:fill="D3D3D3"/>
          </w:tcPr>
          <w:p>
            <w:pPr/>
          </w:p>
        </w:tc>
        <w:tc>
          <w:tcPr>
            <w:tcW w:w="16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47,725,421,927.39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45,630,828,967.03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35,077,132,129.98</w:t>
            </w:r>
          </w:p>
        </w:tc>
      </w:tr>
      <w:tr>
        <w:trPr>
          <w:trHeight w:val="714"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归属于上市公司股东的净资产（归属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于上市公司股东的所有者权益）（元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241" w:right="0"/>
              <w:jc w:val="left"/>
              <w:rPr>
                <w:rFonts w:ascii="Times New Roman" w:hAnsi="Times New Roman" w:cs="Times New Roman" w:eastAsia="Times New Roman" w:hint="default"/>
                <w:sz w:val="18"/>
                <w:szCs w:val="18"/>
              </w:rPr>
            </w:pPr>
            <w:r>
              <w:rPr>
                <w:rFonts w:ascii="Times New Roman"/>
                <w:sz w:val="18"/>
              </w:rPr>
              <w:t>13,759,496,179.85</w:t>
            </w:r>
          </w:p>
          <w:p>
            <w:pPr>
              <w:pStyle w:val="TableParagraph"/>
              <w:spacing w:line="190"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13,528,622,319.91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13,535,785,794.54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67"/>
        <w:gridCol w:w="1747"/>
        <w:gridCol w:w="2003"/>
        <w:gridCol w:w="1770"/>
        <w:gridCol w:w="1759"/>
      </w:tblGrid>
      <w:tr>
        <w:trPr>
          <w:trHeight w:val="200" w:hRule="exact"/>
        </w:trPr>
        <w:tc>
          <w:tcPr>
            <w:tcW w:w="226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67" w:type="dxa"/>
            <w:vMerge w:val="restart"/>
            <w:tcBorders>
              <w:top w:val="nil" w:sz="6" w:space="0" w:color="auto"/>
              <w:left w:val="single" w:sz="4" w:space="0" w:color="000000"/>
              <w:right w:val="single" w:sz="4" w:space="0" w:color="000000"/>
            </w:tcBorders>
            <w:shd w:val="clear" w:color="auto" w:fill="D3D3D3"/>
          </w:tcPr>
          <w:p>
            <w:pP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67" w:type="dxa"/>
            <w:vMerge/>
            <w:tcBorders>
              <w:left w:val="single" w:sz="4" w:space="0" w:color="000000"/>
              <w:bottom w:val="nil" w:sz="6" w:space="0" w:color="auto"/>
              <w:right w:val="single" w:sz="4" w:space="0" w:color="000000"/>
            </w:tcBorders>
            <w:shd w:val="clear" w:color="auto" w:fill="D3D3D3"/>
          </w:tcPr>
          <w:p>
            <w:pP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7"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221,034,822.54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608,271,256.29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13,759,496,179.85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13,528,622,319.91</w:t>
            </w:r>
          </w:p>
        </w:tc>
      </w:tr>
      <w:tr>
        <w:trPr>
          <w:trHeight w:val="401"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221,034,822.54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608,271,256.29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13,759,496,179.85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13,528,622,319.91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8"/>
        <w:gridCol w:w="1548"/>
        <w:gridCol w:w="1520"/>
        <w:gridCol w:w="1522"/>
        <w:gridCol w:w="1710"/>
      </w:tblGrid>
      <w:tr>
        <w:trPr>
          <w:trHeight w:val="714"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26,092,788.22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26,249,093.41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-5,495,594.30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48" w:type="dxa"/>
            <w:tcBorders>
              <w:top w:val="single" w:sz="4" w:space="0" w:color="000000"/>
              <w:left w:val="single" w:sz="10" w:space="0" w:color="D3D3D3"/>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6" w:hRule="exact"/>
        </w:trPr>
        <w:tc>
          <w:tcPr>
            <w:tcW w:w="3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48" w:type="dxa"/>
            <w:tcBorders>
              <w:top w:val="nil" w:sz="6" w:space="0" w:color="auto"/>
              <w:left w:val="single" w:sz="10" w:space="0" w:color="D3D3D3"/>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235,157,521.57</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236,198,625.29</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96,530,256.72</w:t>
            </w:r>
          </w:p>
        </w:tc>
        <w:tc>
          <w:tcPr>
            <w:tcW w:w="1710" w:type="dxa"/>
            <w:vMerge/>
            <w:tcBorders>
              <w:left w:val="single" w:sz="4" w:space="0" w:color="000000"/>
              <w:right w:val="single" w:sz="4" w:space="0" w:color="000000"/>
            </w:tcBorders>
          </w:tcPr>
          <w:p>
            <w:pPr/>
          </w:p>
        </w:tc>
      </w:tr>
      <w:tr>
        <w:trPr>
          <w:trHeight w:val="353" w:hRule="exact"/>
        </w:trPr>
        <w:tc>
          <w:tcPr>
            <w:tcW w:w="32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48" w:type="dxa"/>
            <w:tcBorders>
              <w:top w:val="nil" w:sz="6" w:space="0" w:color="auto"/>
              <w:left w:val="single" w:sz="10" w:space="0" w:color="D3D3D3"/>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357" w:hRule="exact"/>
        </w:trPr>
        <w:tc>
          <w:tcPr>
            <w:tcW w:w="32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1548" w:type="dxa"/>
            <w:vMerge w:val="restart"/>
            <w:tcBorders>
              <w:top w:val="single" w:sz="4" w:space="0" w:color="000000"/>
              <w:left w:val="single" w:sz="10" w:space="0" w:color="D3D3D3"/>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6" w:hRule="exact"/>
        </w:trPr>
        <w:tc>
          <w:tcPr>
            <w:tcW w:w="3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w:t>
            </w:r>
          </w:p>
        </w:tc>
        <w:tc>
          <w:tcPr>
            <w:tcW w:w="1548" w:type="dxa"/>
            <w:vMerge/>
            <w:tcBorders>
              <w:left w:val="single" w:sz="10" w:space="0" w:color="D3D3D3"/>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44,188,866.15</w:t>
            </w: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53" w:hRule="exact"/>
        </w:trPr>
        <w:tc>
          <w:tcPr>
            <w:tcW w:w="32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48" w:type="dxa"/>
            <w:vMerge/>
            <w:tcBorders>
              <w:left w:val="single" w:sz="10" w:space="0" w:color="D3D3D3"/>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941,444.43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-18,179,889.32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54,841.22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48" w:type="dxa"/>
            <w:vMerge w:val="restart"/>
            <w:tcBorders>
              <w:top w:val="single" w:sz="4" w:space="0" w:color="000000"/>
              <w:left w:val="single" w:sz="10" w:space="0" w:color="D3D3D3"/>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1" w:hRule="exact"/>
        </w:trPr>
        <w:tc>
          <w:tcPr>
            <w:tcW w:w="3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48"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vMerge/>
            <w:tcBorders>
              <w:left w:val="single" w:sz="4" w:space="0" w:color="000000"/>
              <w:right w:val="single" w:sz="4" w:space="0" w:color="000000"/>
            </w:tcBorders>
          </w:tcPr>
          <w:p>
            <w:pPr/>
          </w:p>
        </w:tc>
      </w:tr>
      <w:tr>
        <w:trPr>
          <w:trHeight w:val="316" w:hRule="exact"/>
        </w:trPr>
        <w:tc>
          <w:tcPr>
            <w:tcW w:w="3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48"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1,521,172.98</w:t>
            </w:r>
          </w:p>
        </w:tc>
        <w:tc>
          <w:tcPr>
            <w:tcW w:w="1710" w:type="dxa"/>
            <w:vMerge/>
            <w:tcBorders>
              <w:left w:val="single" w:sz="4" w:space="0" w:color="000000"/>
              <w:right w:val="single" w:sz="4" w:space="0" w:color="000000"/>
            </w:tcBorders>
          </w:tcPr>
          <w:p>
            <w:pPr/>
          </w:p>
        </w:tc>
      </w:tr>
      <w:tr>
        <w:trPr>
          <w:trHeight w:val="308" w:hRule="exact"/>
        </w:trPr>
        <w:tc>
          <w:tcPr>
            <w:tcW w:w="32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5"/>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48"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0" w:type="dxa"/>
            <w:vMerge/>
            <w:tcBorders>
              <w:left w:val="single" w:sz="4" w:space="0" w:color="000000"/>
              <w:right w:val="single" w:sz="4" w:space="0" w:color="000000"/>
            </w:tcBorders>
          </w:tcPr>
          <w:p>
            <w:pPr/>
          </w:p>
        </w:tc>
      </w:tr>
      <w:tr>
        <w:trPr>
          <w:trHeight w:val="357" w:hRule="exact"/>
        </w:trPr>
        <w:tc>
          <w:tcPr>
            <w:tcW w:w="32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48" w:type="dxa"/>
            <w:vMerge/>
            <w:tcBorders>
              <w:left w:val="single" w:sz="10" w:space="0" w:color="D3D3D3"/>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消耗性生物资产价值变动产生的损益</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47,882,076.87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48,173,926.26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54,752,250.58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114,342,091.81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31,840,643.86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5,913,389.74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40,604,179.01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32,413,333.65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4,961,885.60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2,999,020.98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12,908,587.34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19,207,126.59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380,812,722.91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323,149,344.66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129,107,304.75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2"/>
        <w:ind w:right="138" w:hanging="1"/>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bookmark3" w:id="5"/>
      <w:bookmarkEnd w:id="5"/>
      <w:r>
        <w:rPr>
          <w:b w:val="0"/>
          <w:bCs w:val="0"/>
        </w:rPr>
      </w:r>
      <w:r>
        <w:rPr/>
        <w:t>第四节</w:t>
      </w:r>
      <w:r>
        <w:rPr>
          <w:spacing w:val="-6"/>
        </w:rPr>
        <w:t> </w:t>
      </w:r>
      <w:r>
        <w:rPr/>
        <w:t>董事长报告</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181"/>
        <w:jc w:val="left"/>
      </w:pPr>
      <w:r>
        <w:rPr/>
        <w:t>尊敬的各位股东：</w:t>
      </w:r>
    </w:p>
    <w:p>
      <w:pPr>
        <w:pStyle w:val="BodyText"/>
        <w:spacing w:line="319" w:lineRule="auto" w:before="115"/>
        <w:ind w:right="181" w:firstLine="360"/>
        <w:jc w:val="left"/>
      </w:pPr>
      <w:r>
        <w:rPr/>
        <w:t>本人向各位股东欣然提呈本公司截止</w:t>
      </w:r>
      <w:r>
        <w:rPr>
          <w:spacing w:val="-45"/>
        </w:rPr>
        <w:t> </w:t>
      </w:r>
      <w:r>
        <w:rPr/>
        <w:t>2012</w:t>
      </w:r>
      <w:r>
        <w:rPr>
          <w:spacing w:val="-46"/>
        </w:rPr>
        <w:t> </w:t>
      </w:r>
      <w:r>
        <w:rPr/>
        <w:t>年</w:t>
      </w:r>
      <w:r>
        <w:rPr>
          <w:spacing w:val="-45"/>
        </w:rPr>
        <w:t> </w:t>
      </w:r>
      <w:r>
        <w:rPr/>
        <w:t>12</w:t>
      </w:r>
      <w:r>
        <w:rPr>
          <w:spacing w:val="-45"/>
        </w:rPr>
        <w:t> </w:t>
      </w:r>
      <w:r>
        <w:rPr/>
        <w:t>月</w:t>
      </w:r>
      <w:r>
        <w:rPr>
          <w:spacing w:val="-45"/>
        </w:rPr>
        <w:t> </w:t>
      </w:r>
      <w:r>
        <w:rPr/>
        <w:t>31</w:t>
      </w:r>
      <w:r>
        <w:rPr>
          <w:spacing w:val="-45"/>
        </w:rPr>
        <w:t> </w:t>
      </w:r>
      <w:r>
        <w:rPr/>
        <w:t>日之财政年度报告，并谨此代表董事会向各位股东对晨鸣纸业的</w:t>
      </w:r>
      <w:r>
        <w:rPr/>
        <w:t> 关心和支持表示诚挚的谢意。</w:t>
      </w:r>
    </w:p>
    <w:p>
      <w:pPr>
        <w:pStyle w:val="BodyText"/>
        <w:spacing w:line="319" w:lineRule="auto" w:before="56"/>
        <w:ind w:right="190" w:firstLine="360"/>
        <w:jc w:val="both"/>
      </w:pPr>
      <w:r>
        <w:rPr/>
        <w:t>2012</w:t>
      </w:r>
      <w:r>
        <w:rPr>
          <w:spacing w:val="-35"/>
        </w:rPr>
        <w:t> </w:t>
      </w:r>
      <w:r>
        <w:rPr/>
        <w:t>年，随着公司</w:t>
      </w:r>
      <w:r>
        <w:rPr>
          <w:spacing w:val="-35"/>
        </w:rPr>
        <w:t> </w:t>
      </w:r>
      <w:r>
        <w:rPr/>
        <w:t>60</w:t>
      </w:r>
      <w:r>
        <w:rPr>
          <w:spacing w:val="-35"/>
        </w:rPr>
        <w:t> </w:t>
      </w:r>
      <w:r>
        <w:rPr/>
        <w:t>万吨白牛卡纸项目的顺利投产，以及湛江晨鸣浆纸项目和美伦</w:t>
      </w:r>
      <w:r>
        <w:rPr>
          <w:spacing w:val="-35"/>
        </w:rPr>
        <w:t> </w:t>
      </w:r>
      <w:r>
        <w:rPr/>
        <w:t>80</w:t>
      </w:r>
      <w:r>
        <w:rPr>
          <w:spacing w:val="-35"/>
        </w:rPr>
        <w:t> </w:t>
      </w:r>
      <w:r>
        <w:rPr/>
        <w:t>万吨铜版纸项目的正常运营，</w:t>
      </w:r>
      <w:r>
        <w:rPr/>
        <w:t> </w:t>
      </w:r>
      <w:r>
        <w:rPr>
          <w:spacing w:val="-2"/>
        </w:rPr>
        <w:t>公司产能实现了跨跃式增长；同时为增加公司的持续盈利能力，相继投资了菱镁矿开采和湛江海岸线治理工程，拓宽了企业</w:t>
      </w:r>
      <w:r>
        <w:rPr>
          <w:spacing w:val="-66"/>
        </w:rPr>
        <w:t> </w:t>
      </w:r>
      <w:r>
        <w:rPr>
          <w:spacing w:val="-66"/>
        </w:rPr>
      </w:r>
      <w:r>
        <w:rPr/>
        <w:t>的产业链。</w:t>
      </w:r>
    </w:p>
    <w:p>
      <w:pPr>
        <w:pStyle w:val="BodyText"/>
        <w:spacing w:line="319" w:lineRule="auto" w:before="55"/>
        <w:ind w:right="181" w:firstLine="360"/>
        <w:jc w:val="left"/>
      </w:pPr>
      <w:r>
        <w:rPr>
          <w:spacing w:val="-2"/>
        </w:rPr>
        <w:t>由于受到宏观经济影响带来的行业景气度下滑，市场需求低迷，部分纸种产能的集中释放，短期内造纸行业出现供大于</w:t>
      </w:r>
      <w:r>
        <w:rPr/>
        <w:t> 求的现状。公司新增产能难以在短期时间内提升公司业绩，与去年同期相比，公司盈利情况出现下降。</w:t>
      </w:r>
    </w:p>
    <w:p>
      <w:pPr>
        <w:spacing w:line="240" w:lineRule="auto" w:before="6"/>
        <w:rPr>
          <w:rFonts w:ascii="宋体" w:hAnsi="宋体" w:cs="宋体" w:eastAsia="宋体" w:hint="default"/>
          <w:sz w:val="20"/>
          <w:szCs w:val="20"/>
        </w:rPr>
      </w:pPr>
    </w:p>
    <w:p>
      <w:pPr>
        <w:pStyle w:val="Heading2"/>
        <w:spacing w:line="240" w:lineRule="auto"/>
        <w:ind w:right="181"/>
        <w:jc w:val="left"/>
        <w:rPr>
          <w:b w:val="0"/>
          <w:bCs w:val="0"/>
        </w:rPr>
      </w:pPr>
      <w:r>
        <w:rPr/>
        <w:t>一、经营业绩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9" w:firstLine="360"/>
        <w:jc w:val="left"/>
      </w:pPr>
      <w:r>
        <w:rPr/>
        <w:t>报告期内，公司完成机制纸产量</w:t>
      </w:r>
      <w:r>
        <w:rPr>
          <w:rFonts w:ascii="Times New Roman" w:hAnsi="Times New Roman" w:cs="Times New Roman" w:eastAsia="Times New Roman" w:hint="default"/>
        </w:rPr>
        <w:t>393</w:t>
      </w:r>
      <w:r>
        <w:rPr/>
        <w:t>万吨，比</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340</w:t>
      </w:r>
      <w:r>
        <w:rPr/>
        <w:t>万吨增加</w:t>
      </w:r>
      <w:r>
        <w:rPr>
          <w:rFonts w:ascii="Times New Roman" w:hAnsi="Times New Roman" w:cs="Times New Roman" w:eastAsia="Times New Roman" w:hint="default"/>
        </w:rPr>
        <w:t>53</w:t>
      </w:r>
      <w:r>
        <w:rPr/>
        <w:t>万吨，增加幅度</w:t>
      </w:r>
      <w:r>
        <w:rPr>
          <w:rFonts w:ascii="Times New Roman" w:hAnsi="Times New Roman" w:cs="Times New Roman" w:eastAsia="Times New Roman" w:hint="default"/>
        </w:rPr>
        <w:t>15.59%</w:t>
      </w:r>
      <w:r>
        <w:rPr/>
        <w:t>；公司实现营业收入达人 民币</w:t>
      </w:r>
      <w:r>
        <w:rPr>
          <w:rFonts w:ascii="Times New Roman" w:hAnsi="Times New Roman" w:cs="Times New Roman" w:eastAsia="Times New Roman" w:hint="default"/>
        </w:rPr>
        <w:t>1,976,167.92</w:t>
      </w:r>
      <w:r>
        <w:rPr/>
        <w:t>万元，比</w:t>
      </w:r>
      <w:r>
        <w:rPr>
          <w:rFonts w:ascii="Times New Roman" w:hAnsi="Times New Roman" w:cs="Times New Roman" w:eastAsia="Times New Roman" w:hint="default"/>
        </w:rPr>
        <w:t>2011</w:t>
      </w:r>
      <w:r>
        <w:rPr/>
        <w:t>年增加人民币</w:t>
      </w:r>
      <w:r>
        <w:rPr>
          <w:rFonts w:ascii="Times New Roman" w:hAnsi="Times New Roman" w:cs="Times New Roman" w:eastAsia="Times New Roman" w:hint="default"/>
        </w:rPr>
        <w:t>201,418.93</w:t>
      </w:r>
      <w:r>
        <w:rPr/>
        <w:t>万元，增加幅度</w:t>
      </w:r>
      <w:r>
        <w:rPr>
          <w:rFonts w:ascii="Times New Roman" w:hAnsi="Times New Roman" w:cs="Times New Roman" w:eastAsia="Times New Roman" w:hint="default"/>
        </w:rPr>
        <w:t>11.35%</w:t>
      </w:r>
      <w:r>
        <w:rPr/>
        <w:t>；营业成本人民币</w:t>
      </w:r>
      <w:r>
        <w:rPr>
          <w:rFonts w:ascii="Times New Roman" w:hAnsi="Times New Roman" w:cs="Times New Roman" w:eastAsia="Times New Roman" w:hint="default"/>
        </w:rPr>
        <w:t>1,669,376.83</w:t>
      </w:r>
      <w:r>
        <w:rPr/>
        <w:t>万元，比</w:t>
      </w:r>
      <w:r>
        <w:rPr>
          <w:rFonts w:ascii="Times New Roman" w:hAnsi="Times New Roman" w:cs="Times New Roman" w:eastAsia="Times New Roman" w:hint="default"/>
        </w:rPr>
        <w:t>2011 </w:t>
      </w:r>
      <w:r>
        <w:rPr>
          <w:spacing w:val="-3"/>
        </w:rPr>
        <w:t>年增加人民币</w:t>
      </w:r>
      <w:r>
        <w:rPr>
          <w:rFonts w:ascii="Times New Roman" w:hAnsi="Times New Roman" w:cs="Times New Roman" w:eastAsia="Times New Roman" w:hint="default"/>
          <w:spacing w:val="-3"/>
        </w:rPr>
        <w:t>176,261.51</w:t>
      </w:r>
      <w:r>
        <w:rPr>
          <w:spacing w:val="-3"/>
        </w:rPr>
        <w:t>万元，增加幅度</w:t>
      </w:r>
      <w:r>
        <w:rPr>
          <w:rFonts w:ascii="Times New Roman" w:hAnsi="Times New Roman" w:cs="Times New Roman" w:eastAsia="Times New Roman" w:hint="default"/>
          <w:spacing w:val="-3"/>
        </w:rPr>
        <w:t>11.80%</w:t>
      </w:r>
      <w:r>
        <w:rPr>
          <w:spacing w:val="-3"/>
        </w:rPr>
        <w:t>；实现营业利润及归属于母公司所有者的净利润分别为人民币</w:t>
      </w:r>
      <w:r>
        <w:rPr>
          <w:rFonts w:ascii="Times New Roman" w:hAnsi="Times New Roman" w:cs="Times New Roman" w:eastAsia="Times New Roman" w:hint="default"/>
          <w:spacing w:val="-3"/>
        </w:rPr>
        <w:t>-41,622.83</w:t>
      </w:r>
      <w:r>
        <w:rPr>
          <w:spacing w:val="-3"/>
        </w:rPr>
        <w:t>万元、</w:t>
      </w:r>
      <w:r>
        <w:rPr>
          <w:spacing w:val="-43"/>
        </w:rPr>
        <w:t> </w:t>
      </w:r>
      <w:r>
        <w:rPr/>
        <w:t>人民币</w:t>
      </w:r>
      <w:r>
        <w:rPr>
          <w:rFonts w:ascii="Times New Roman" w:hAnsi="Times New Roman" w:cs="Times New Roman" w:eastAsia="Times New Roman" w:hint="default"/>
        </w:rPr>
        <w:t>22,103.48</w:t>
      </w:r>
      <w:r>
        <w:rPr/>
        <w:t>万元，降低幅度为</w:t>
      </w:r>
      <w:r>
        <w:rPr>
          <w:rFonts w:ascii="Times New Roman" w:hAnsi="Times New Roman" w:cs="Times New Roman" w:eastAsia="Times New Roman" w:hint="default"/>
        </w:rPr>
        <w:t>210.69%</w:t>
      </w:r>
      <w:r>
        <w:rPr/>
        <w:t>和</w:t>
      </w:r>
      <w:r>
        <w:rPr>
          <w:rFonts w:ascii="Times New Roman" w:hAnsi="Times New Roman" w:cs="Times New Roman" w:eastAsia="Times New Roman" w:hint="default"/>
        </w:rPr>
        <w:t>63.66%</w:t>
      </w:r>
      <w:r>
        <w:rPr/>
        <w:t>。</w:t>
      </w:r>
    </w:p>
    <w:p>
      <w:pPr>
        <w:spacing w:line="240" w:lineRule="auto" w:before="4"/>
        <w:rPr>
          <w:rFonts w:ascii="宋体" w:hAnsi="宋体" w:cs="宋体" w:eastAsia="宋体" w:hint="default"/>
          <w:sz w:val="20"/>
          <w:szCs w:val="20"/>
        </w:rPr>
      </w:pPr>
    </w:p>
    <w:p>
      <w:pPr>
        <w:pStyle w:val="Heading2"/>
        <w:spacing w:line="240" w:lineRule="auto"/>
        <w:ind w:right="181"/>
        <w:jc w:val="left"/>
        <w:rPr>
          <w:b w:val="0"/>
          <w:bCs w:val="0"/>
        </w:rPr>
      </w:pPr>
      <w:r>
        <w:rPr/>
        <w:t>二、公司治理</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1" w:firstLine="360"/>
        <w:jc w:val="both"/>
      </w:pPr>
      <w:r>
        <w:rPr>
          <w:spacing w:val="-2"/>
        </w:rPr>
        <w:t>报告期内，公司按照《公司法》、《证券法》、《上市公司治理准则》、《深圳证券交易所股票上市规则》、《香港联</w:t>
      </w:r>
      <w:r>
        <w:rPr/>
        <w:t> </w:t>
      </w:r>
      <w:r>
        <w:rPr>
          <w:spacing w:val="-2"/>
        </w:rPr>
        <w:t>合交易所上市规则》和中国证监会有关规定的要求规范运作，不断健全和完善公司法人治理结构。董事会认为公司治理的实</w:t>
      </w:r>
      <w:r>
        <w:rPr>
          <w:spacing w:val="-66"/>
        </w:rPr>
        <w:t> </w:t>
      </w:r>
      <w:r>
        <w:rPr>
          <w:spacing w:val="-66"/>
        </w:rPr>
      </w:r>
      <w:r>
        <w:rPr/>
        <w:t>际情况与《上市公司治理准则》等规范性文件的规定和要求基本相符。</w:t>
      </w:r>
    </w:p>
    <w:p>
      <w:pPr>
        <w:pStyle w:val="BodyText"/>
        <w:spacing w:line="309" w:lineRule="auto" w:before="56"/>
        <w:ind w:left="153" w:right="188" w:firstLine="3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4"/>
        </w:rPr>
        <w:t> </w:t>
      </w:r>
      <w:r>
        <w:rPr/>
        <w:t>年，董事会着力从完善公司治理入手，规范公司运行。根据监管规定，适时完善公司治理制度，制定完善了《公 </w:t>
      </w:r>
      <w:r>
        <w:rPr>
          <w:spacing w:val="-2"/>
        </w:rPr>
        <w:t>司章程》修订案、</w:t>
      </w:r>
      <w:hyperlink r:id="rId14">
        <w:r>
          <w:rPr>
            <w:spacing w:val="-2"/>
          </w:rPr>
          <w:t>《内幕信息知情人登记制度》</w:t>
        </w:r>
      </w:hyperlink>
      <w:r>
        <w:rPr>
          <w:spacing w:val="-2"/>
        </w:rPr>
        <w:t>、《</w:t>
      </w:r>
      <w:hyperlink r:id="rId15">
        <w:r>
          <w:rPr>
            <w:spacing w:val="-2"/>
          </w:rPr>
          <w:t>股东大会议事规则》</w:t>
        </w:r>
      </w:hyperlink>
      <w:r>
        <w:rPr>
          <w:spacing w:val="-2"/>
        </w:rPr>
        <w:t>、《银行间债券市场信息披露事务管理制度》等管</w:t>
      </w:r>
      <w:r>
        <w:rPr>
          <w:spacing w:val="-68"/>
        </w:rPr>
        <w:t> </w:t>
      </w:r>
      <w:r>
        <w:rPr>
          <w:spacing w:val="-68"/>
        </w:rPr>
      </w:r>
      <w:r>
        <w:rPr/>
        <w:t>理制度。</w:t>
      </w:r>
    </w:p>
    <w:p>
      <w:pPr>
        <w:spacing w:line="240" w:lineRule="auto" w:before="13"/>
        <w:rPr>
          <w:rFonts w:ascii="宋体" w:hAnsi="宋体" w:cs="宋体" w:eastAsia="宋体" w:hint="default"/>
          <w:sz w:val="20"/>
          <w:szCs w:val="20"/>
        </w:rPr>
      </w:pPr>
    </w:p>
    <w:p>
      <w:pPr>
        <w:pStyle w:val="Heading2"/>
        <w:spacing w:line="240" w:lineRule="auto"/>
        <w:ind w:right="181"/>
        <w:jc w:val="left"/>
        <w:rPr>
          <w:b w:val="0"/>
          <w:bCs w:val="0"/>
        </w:rPr>
      </w:pPr>
      <w:r>
        <w:rPr/>
        <w:t>三、股息分配</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91" w:firstLine="360"/>
        <w:jc w:val="left"/>
      </w:pPr>
      <w:r>
        <w:rPr>
          <w:spacing w:val="-2"/>
        </w:rPr>
        <w:t>追求企业价值最大化是本集团长期坚持的目标，本集团一贯重视股东的利益和回报。基于本集团</w:t>
      </w:r>
      <w:r>
        <w:rPr>
          <w:rFonts w:ascii="Times New Roman" w:hAnsi="Times New Roman" w:cs="Times New Roman" w:eastAsia="Times New Roman" w:hint="default"/>
          <w:spacing w:val="-2"/>
        </w:rPr>
        <w:t>2012</w:t>
      </w:r>
      <w:r>
        <w:rPr>
          <w:spacing w:val="-2"/>
        </w:rPr>
        <w:t>年实现的经营业绩</w:t>
      </w:r>
      <w:r>
        <w:rPr/>
        <w:t> 以及考虑集团整体财务状况、现金流情况，董事会建议</w:t>
      </w:r>
      <w:r>
        <w:rPr>
          <w:rFonts w:ascii="Times New Roman" w:hAnsi="Times New Roman" w:cs="Times New Roman" w:eastAsia="Times New Roman" w:hint="default"/>
        </w:rPr>
        <w:t>2012</w:t>
      </w:r>
      <w:r>
        <w:rPr/>
        <w:t>年度的利润分配预案为：以分红派息股权登记日股份数为基数， 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0.6</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。以2012年12月31日公司总股份</w:t>
      </w:r>
      <w:r>
        <w:rPr>
          <w:rFonts w:ascii="Times New Roman" w:hAnsi="Times New Roman" w:cs="Times New Roman" w:eastAsia="Times New Roman" w:hint="default"/>
        </w:rPr>
        <w:t>2,062,045,941</w:t>
      </w:r>
      <w:r>
        <w:rPr/>
        <w:t>股计算，2012年度共派发人 民币现金红利</w:t>
      </w:r>
      <w:r>
        <w:rPr>
          <w:rFonts w:ascii="Times New Roman" w:hAnsi="Times New Roman" w:cs="Times New Roman" w:eastAsia="Times New Roman" w:hint="default"/>
        </w:rPr>
        <w:t>123,722,756.46</w:t>
      </w:r>
      <w:r>
        <w:rPr/>
        <w:t>元（含税</w:t>
      </w:r>
      <w:r>
        <w:rPr>
          <w:rFonts w:ascii="Times New Roman" w:hAnsi="Times New Roman" w:cs="Times New Roman" w:eastAsia="Times New Roman" w:hint="default"/>
        </w:rPr>
        <w:t>)</w:t>
      </w:r>
      <w:r>
        <w:rPr/>
        <w:t>，占</w:t>
      </w:r>
      <w:r>
        <w:rPr>
          <w:rFonts w:ascii="Times New Roman" w:hAnsi="Times New Roman" w:cs="Times New Roman" w:eastAsia="Times New Roman" w:hint="default"/>
        </w:rPr>
        <w:t>2012</w:t>
      </w:r>
      <w:r>
        <w:rPr/>
        <w:t>年按照企业会计准则编制的合并报表中归属于上市公司股东的净利润的比率 </w:t>
      </w:r>
      <w:r>
        <w:rPr>
          <w:spacing w:val="-2"/>
        </w:rPr>
        <w:t>为55.97%。利润分配后的余额滚存以后年度分配。本集团将一如既往的致力于集团未来的长远发展，以更优异的成绩为股东</w:t>
      </w:r>
      <w:r>
        <w:rPr>
          <w:spacing w:val="-60"/>
        </w:rPr>
        <w:t> </w:t>
      </w:r>
      <w:r>
        <w:rPr>
          <w:spacing w:val="-60"/>
        </w:rPr>
      </w:r>
      <w:r>
        <w:rPr/>
        <w:t>创造最佳回报。</w:t>
      </w:r>
    </w:p>
    <w:p>
      <w:pPr>
        <w:spacing w:line="240" w:lineRule="auto" w:before="6"/>
        <w:rPr>
          <w:rFonts w:ascii="宋体" w:hAnsi="宋体" w:cs="宋体" w:eastAsia="宋体" w:hint="default"/>
          <w:sz w:val="21"/>
          <w:szCs w:val="21"/>
        </w:rPr>
      </w:pPr>
    </w:p>
    <w:p>
      <w:pPr>
        <w:pStyle w:val="Heading2"/>
        <w:spacing w:line="240" w:lineRule="auto"/>
        <w:ind w:right="181"/>
        <w:jc w:val="left"/>
        <w:rPr>
          <w:b w:val="0"/>
          <w:bCs w:val="0"/>
        </w:rPr>
      </w:pPr>
      <w:r>
        <w:rPr/>
        <w:t>四、未来发展</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0" w:firstLine="360"/>
        <w:jc w:val="left"/>
      </w:pPr>
      <w:r>
        <w:rPr/>
        <w:t>公司所处的行业为轻工造纸业，行业景气度与宏观经济增速高度相关，虽然2012年造纸行业受宏观经济增速下滑影响， </w:t>
      </w:r>
      <w:r>
        <w:rPr>
          <w:spacing w:val="-2"/>
        </w:rPr>
        <w:t>但从长远看，造纸行业所面临的发展条件在逐步向好。国家发改委、工信部、国家林业局联合印发《造纸工业发展</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规划》，明确指出</w:t>
      </w:r>
      <w:r>
        <w:rPr>
          <w:rFonts w:ascii="Times New Roman" w:hAnsi="Times New Roman" w:cs="Times New Roman" w:eastAsia="Times New Roman" w:hint="default"/>
        </w:rPr>
        <w:t>“</w:t>
      </w:r>
      <w:r>
        <w:rPr/>
        <w:t>控制总量、促进集中、优化原料、节能减排</w:t>
      </w:r>
      <w:r>
        <w:rPr>
          <w:rFonts w:ascii="Times New Roman" w:hAnsi="Times New Roman" w:cs="Times New Roman" w:eastAsia="Times New Roman" w:hint="default"/>
        </w:rPr>
        <w:t>”</w:t>
      </w:r>
      <w:r>
        <w:rPr/>
        <w:t>的大方向，公司有望长期受益。</w:t>
      </w:r>
    </w:p>
    <w:p>
      <w:pPr>
        <w:pStyle w:val="BodyText"/>
        <w:spacing w:line="240" w:lineRule="auto" w:before="46"/>
        <w:ind w:left="514" w:right="99"/>
        <w:jc w:val="left"/>
      </w:pPr>
      <w:r>
        <w:rPr/>
        <w:t>近几年公司致力于林浆纸一体化发展，产业链较长，纸种比较全面，</w:t>
      </w:r>
      <w:r>
        <w:rPr>
          <w:rFonts w:ascii="Times New Roman" w:hAnsi="Times New Roman" w:cs="Times New Roman" w:eastAsia="Times New Roman" w:hint="default"/>
        </w:rPr>
        <w:t>2012 </w:t>
      </w:r>
      <w:r>
        <w:rPr>
          <w:rFonts w:ascii="Times New Roman" w:hAnsi="Times New Roman" w:cs="Times New Roman" w:eastAsia="Times New Roman" w:hint="default"/>
          <w:spacing w:val="1"/>
        </w:rPr>
        <w:t> </w:t>
      </w:r>
      <w:r>
        <w:rPr/>
        <w:t>年在前景较好的纸种上进行了一系列产能扩</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81"/>
        <w:jc w:val="left"/>
      </w:pPr>
      <w:r>
        <w:rPr>
          <w:spacing w:val="-2"/>
        </w:rPr>
        <w:t>张，公司发展道路符合整个造纸工业发展规划要求，同时公司延伸了产业链，产业布局更加合理，竞争实力和发展后劲将进</w:t>
      </w:r>
      <w:r>
        <w:rPr>
          <w:spacing w:val="-66"/>
        </w:rPr>
        <w:t> </w:t>
      </w:r>
      <w:r>
        <w:rPr>
          <w:spacing w:val="-66"/>
        </w:rPr>
      </w:r>
      <w:r>
        <w:rPr/>
        <w:t>一步增强，随着经济形势好转，行业复苏，公司业绩将会出现稳步增长，公司未来业绩值得期待。</w:t>
      </w:r>
    </w:p>
    <w:p>
      <w:pPr>
        <w:pStyle w:val="BodyText"/>
        <w:spacing w:line="240" w:lineRule="auto" w:before="134"/>
        <w:ind w:left="513" w:right="181"/>
        <w:jc w:val="left"/>
      </w:pPr>
      <w:r>
        <w:rPr/>
        <w:t>结合公司制定的战略目标，</w:t>
      </w:r>
      <w:r>
        <w:rPr>
          <w:rFonts w:ascii="Times New Roman" w:hAnsi="Times New Roman" w:cs="Times New Roman" w:eastAsia="Times New Roman" w:hint="default"/>
        </w:rPr>
        <w:t>2013</w:t>
      </w:r>
      <w:r>
        <w:rPr/>
        <w:t>年公司主要从以下几方面开展工作：</w:t>
      </w:r>
    </w:p>
    <w:p>
      <w:pPr>
        <w:spacing w:line="240" w:lineRule="auto" w:before="10"/>
        <w:rPr>
          <w:rFonts w:ascii="宋体" w:hAnsi="宋体" w:cs="宋体" w:eastAsia="宋体" w:hint="default"/>
          <w:sz w:val="13"/>
          <w:szCs w:val="13"/>
        </w:rPr>
      </w:pPr>
    </w:p>
    <w:p>
      <w:pPr>
        <w:pStyle w:val="BodyText"/>
        <w:spacing w:line="309" w:lineRule="auto"/>
        <w:ind w:left="153" w:right="91" w:firstLine="35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）坚持战略导航，做好集团发展规划。</w:t>
      </w:r>
      <w:r>
        <w:rPr/>
        <w:t>一是抓好项目建设。突出抓好吉林晨鸣、湛江晨鸣、武汉晨鸣、寿光</w:t>
      </w:r>
      <w:r>
        <w:rPr>
          <w:rFonts w:ascii="Times New Roman" w:hAnsi="Times New Roman" w:cs="Times New Roman" w:eastAsia="Times New Roman" w:hint="default"/>
        </w:rPr>
        <w:t>10</w:t>
      </w:r>
      <w:r>
        <w:rPr/>
        <w:t>万吨 </w:t>
      </w:r>
      <w:r>
        <w:rPr>
          <w:spacing w:val="-2"/>
        </w:rPr>
        <w:t>造纸助剂等项目在建、升级改造。二是加强技术改造。对寿光</w:t>
      </w:r>
      <w:r>
        <w:rPr>
          <w:rFonts w:ascii="Times New Roman" w:hAnsi="Times New Roman" w:cs="Times New Roman" w:eastAsia="Times New Roman" w:hint="default"/>
          <w:spacing w:val="-2"/>
        </w:rPr>
        <w:t>12</w:t>
      </w:r>
      <w:r>
        <w:rPr>
          <w:spacing w:val="-2"/>
        </w:rPr>
        <w:t>万吨美术涂布印刷纸节能升级项目、武汉晨鸣</w:t>
      </w:r>
      <w:r>
        <w:rPr>
          <w:rFonts w:ascii="Times New Roman" w:hAnsi="Times New Roman" w:cs="Times New Roman" w:eastAsia="Times New Roman" w:hint="default"/>
          <w:spacing w:val="-2"/>
        </w:rPr>
        <w:t>4800</w:t>
      </w:r>
      <w:r>
        <w:rPr>
          <w:spacing w:val="-2"/>
        </w:rPr>
        <w:t>文化纸机</w:t>
      </w:r>
      <w:r>
        <w:rPr>
          <w:spacing w:val="-61"/>
        </w:rPr>
        <w:t> </w:t>
      </w:r>
      <w:r>
        <w:rPr>
          <w:spacing w:val="-2"/>
        </w:rPr>
        <w:t>格拉辛纸改造项目等技改项目，做好论证，加快进度，确保落实质量和效果。三是加大科研力度。完善产、学、研、用密切</w:t>
      </w:r>
      <w:r>
        <w:rPr>
          <w:spacing w:val="-68"/>
        </w:rPr>
        <w:t> </w:t>
      </w:r>
      <w:r>
        <w:rPr>
          <w:spacing w:val="-68"/>
        </w:rPr>
      </w:r>
      <w:r>
        <w:rPr/>
        <w:t>合作的渠道与机制，在表面增强技术、成纸灰分技术等方面加大开发力度。同时，落实好节能环保政策，推广应用新技术、 新工艺，推进循环经济，加强资源综合利用，促进节能减排。</w:t>
      </w:r>
    </w:p>
    <w:p>
      <w:pPr>
        <w:pStyle w:val="BodyText"/>
        <w:spacing w:line="307" w:lineRule="auto" w:before="62"/>
        <w:ind w:left="153" w:right="91" w:firstLine="361"/>
        <w:jc w:val="left"/>
      </w:pPr>
      <w:r>
        <w:rPr>
          <w:rFonts w:ascii="宋体" w:hAnsi="宋体" w:cs="宋体" w:eastAsia="宋体" w:hint="default"/>
          <w:b/>
          <w:bCs/>
        </w:rPr>
        <w:t>（2)加强创新管理，提升工作效能。一</w:t>
      </w:r>
      <w:r>
        <w:rPr/>
        <w:t>是优化采购管理。引进先进的管理模式，开拓期货、现货市场，与优质客户建 </w:t>
      </w:r>
      <w:r>
        <w:rPr>
          <w:spacing w:val="-2"/>
        </w:rPr>
        <w:t>立战略合作关系，试行</w:t>
      </w:r>
      <w:r>
        <w:rPr>
          <w:rFonts w:ascii="Times New Roman" w:hAnsi="Times New Roman" w:cs="Times New Roman" w:eastAsia="Times New Roman" w:hint="default"/>
          <w:spacing w:val="-2"/>
        </w:rPr>
        <w:t>“</w:t>
      </w:r>
      <w:r>
        <w:rPr>
          <w:spacing w:val="-2"/>
        </w:rPr>
        <w:t>寄库采购</w:t>
      </w:r>
      <w:r>
        <w:rPr>
          <w:rFonts w:ascii="Times New Roman" w:hAnsi="Times New Roman" w:cs="Times New Roman" w:eastAsia="Times New Roman" w:hint="default"/>
          <w:spacing w:val="-2"/>
        </w:rPr>
        <w:t>”</w:t>
      </w:r>
      <w:r>
        <w:rPr>
          <w:spacing w:val="-2"/>
        </w:rPr>
        <w:t>模式。二是提升财务管理。成立财务公司，加大集团资金集中管理力度，提高资金使用效</w:t>
      </w:r>
      <w:r>
        <w:rPr>
          <w:spacing w:val="-48"/>
        </w:rPr>
        <w:t> </w:t>
      </w:r>
      <w:r>
        <w:rPr>
          <w:spacing w:val="-48"/>
        </w:rPr>
      </w:r>
      <w:r>
        <w:rPr/>
        <w:t>率，提升资金结算、管理和投融资水平；充分利用香港市场融资平台，对香港晨鸣增资并增加其授信额度，扩大业务范围， 降低财务费用，提高盈利水平。三是强化质量管理。质量是企业的生命，以提高质量和增加经济效益为目的，做到</w:t>
      </w:r>
      <w:r>
        <w:rPr>
          <w:rFonts w:ascii="Times New Roman" w:hAnsi="Times New Roman" w:cs="Times New Roman" w:eastAsia="Times New Roman" w:hint="default"/>
        </w:rPr>
        <w:t>“</w:t>
      </w:r>
      <w:r>
        <w:rPr/>
        <w:t>全员、</w:t>
      </w:r>
      <w:r>
        <w:rPr>
          <w:spacing w:val="-78"/>
        </w:rPr>
        <w:t> </w:t>
      </w:r>
      <w:r>
        <w:rPr>
          <w:spacing w:val="-78"/>
        </w:rPr>
      </w:r>
      <w:r>
        <w:rPr/>
        <w:t>全过程、全企业</w:t>
      </w:r>
      <w:r>
        <w:rPr>
          <w:rFonts w:ascii="Times New Roman" w:hAnsi="Times New Roman" w:cs="Times New Roman" w:eastAsia="Times New Roman" w:hint="default"/>
        </w:rPr>
        <w:t>”</w:t>
      </w:r>
      <w:r>
        <w:rPr/>
        <w:t>质量管理。四是加强内控体系建设。优化内部控制流程，健全风险防范管理体系，强化并推动内审工作向</w:t>
      </w:r>
      <w:r>
        <w:rPr>
          <w:spacing w:val="-78"/>
        </w:rPr>
        <w:t> </w:t>
      </w:r>
      <w:r>
        <w:rPr>
          <w:spacing w:val="-78"/>
        </w:rPr>
      </w:r>
      <w:r>
        <w:rPr/>
        <w:t>管理、风险审计转型，完善企业法律风险防范机制，加强过程监督和重大风险管控。</w:t>
      </w:r>
    </w:p>
    <w:p>
      <w:pPr>
        <w:pStyle w:val="BodyText"/>
        <w:spacing w:line="319" w:lineRule="auto" w:before="64"/>
        <w:ind w:right="90" w:firstLine="361"/>
        <w:jc w:val="left"/>
      </w:pPr>
      <w:r>
        <w:rPr>
          <w:rFonts w:ascii="宋体" w:hAnsi="宋体" w:cs="宋体" w:eastAsia="宋体" w:hint="default"/>
          <w:b/>
          <w:bCs/>
        </w:rPr>
        <w:t>（3）调整产品结构，开拓新的市场空间。</w:t>
      </w:r>
      <w:r>
        <w:rPr/>
        <w:t>加强产品质量管理，加大高附加值产品开发，生产适销对路的产品，增强产 品市场竞争力。以效益为中心，坚持高档次、高附加值，向高端产品发展；坚持低成本、低档次，以满足客户需求为标准， </w:t>
      </w:r>
      <w:r>
        <w:rPr>
          <w:spacing w:val="-4"/>
        </w:rPr>
        <w:t>突出低成本优势，拓宽效益空间。加大直销力度与海外销售渠道。对大型直销客户重点攻关，同时，开发有实力的大经销商，</w:t>
      </w:r>
      <w:r>
        <w:rPr>
          <w:spacing w:val="-44"/>
        </w:rPr>
        <w:t> </w:t>
      </w:r>
      <w:r>
        <w:rPr>
          <w:spacing w:val="-44"/>
        </w:rPr>
      </w:r>
      <w:r>
        <w:rPr>
          <w:spacing w:val="-2"/>
        </w:rPr>
        <w:t>利用其销售渠道，扩大产品的海外市场占有率。开拓品牌宣传渠道。根据产品公司、片区市场推广活动需求，策划新产品推</w:t>
      </w:r>
      <w:r>
        <w:rPr>
          <w:spacing w:val="-66"/>
        </w:rPr>
        <w:t> </w:t>
      </w:r>
      <w:r>
        <w:rPr>
          <w:spacing w:val="-66"/>
        </w:rPr>
      </w:r>
      <w:r>
        <w:rPr/>
        <w:t>介会等推广活动，提升客户对晨鸣品牌的认知度，全面提升公司品牌形象与影响力。</w:t>
      </w:r>
    </w:p>
    <w:p>
      <w:pPr>
        <w:pStyle w:val="BodyText"/>
        <w:spacing w:line="309" w:lineRule="auto" w:before="56"/>
        <w:ind w:right="90" w:firstLine="361"/>
        <w:jc w:val="left"/>
      </w:pPr>
      <w:r>
        <w:rPr>
          <w:rFonts w:ascii="宋体" w:hAnsi="宋体" w:cs="宋体" w:eastAsia="宋体" w:hint="default"/>
          <w:b/>
          <w:bCs/>
        </w:rPr>
        <w:t>（4）加强队伍建设，提升员工素质。</w:t>
      </w:r>
      <w:r>
        <w:rPr/>
        <w:t>人才是企业发展的</w:t>
      </w:r>
      <w:r>
        <w:rPr>
          <w:rFonts w:ascii="Times New Roman" w:hAnsi="Times New Roman" w:cs="Times New Roman" w:eastAsia="Times New Roman" w:hint="default"/>
        </w:rPr>
        <w:t>“</w:t>
      </w:r>
      <w:r>
        <w:rPr/>
        <w:t>第一要素</w:t>
      </w:r>
      <w:r>
        <w:rPr>
          <w:rFonts w:ascii="Times New Roman" w:hAnsi="Times New Roman" w:cs="Times New Roman" w:eastAsia="Times New Roman" w:hint="default"/>
        </w:rPr>
        <w:t>”</w:t>
      </w:r>
      <w:r>
        <w:rPr/>
        <w:t>。一是创新人才发展机制。根据公司发展需求，做 </w:t>
      </w:r>
      <w:r>
        <w:rPr>
          <w:spacing w:val="-2"/>
        </w:rPr>
        <w:t>好高新、管理人才的引进力度，造就一支与公司价值取向一致、适应发展战略需要的高素质人才队伍。二是做好选人、育人</w:t>
      </w:r>
      <w:r>
        <w:rPr>
          <w:spacing w:val="-66"/>
        </w:rPr>
        <w:t> </w:t>
      </w:r>
      <w:r>
        <w:rPr>
          <w:spacing w:val="-66"/>
        </w:rPr>
      </w:r>
      <w:r>
        <w:rPr/>
        <w:t>工作。完善人才公平竞争机制，坚持德才兼备的原则，对干部队伍不断进行优化。三是加大员工培训力度。坚持以人为本， </w:t>
      </w:r>
      <w:r>
        <w:rPr>
          <w:spacing w:val="-2"/>
        </w:rPr>
        <w:t>加大培训力度，提高岗位技能水平，将公司办成</w:t>
      </w:r>
      <w:r>
        <w:rPr>
          <w:rFonts w:ascii="Times New Roman" w:hAnsi="Times New Roman" w:cs="Times New Roman" w:eastAsia="Times New Roman" w:hint="default"/>
          <w:spacing w:val="-2"/>
        </w:rPr>
        <w:t>“</w:t>
      </w:r>
      <w:r>
        <w:rPr>
          <w:spacing w:val="-2"/>
        </w:rPr>
        <w:t>学习型企业、知识型企业</w:t>
      </w:r>
      <w:r>
        <w:rPr>
          <w:rFonts w:ascii="Times New Roman" w:hAnsi="Times New Roman" w:cs="Times New Roman" w:eastAsia="Times New Roman" w:hint="default"/>
          <w:spacing w:val="-2"/>
        </w:rPr>
        <w:t>”</w:t>
      </w:r>
      <w:r>
        <w:rPr>
          <w:spacing w:val="-2"/>
        </w:rPr>
        <w:t>。营造良好的工作、生活氛围，增强公司的向心</w:t>
      </w:r>
      <w:r>
        <w:rPr>
          <w:spacing w:val="-45"/>
        </w:rPr>
        <w:t> </w:t>
      </w:r>
      <w:r>
        <w:rPr>
          <w:spacing w:val="-45"/>
        </w:rPr>
      </w:r>
      <w:r>
        <w:rPr/>
        <w:t>力与凝聚力。</w:t>
      </w:r>
    </w:p>
    <w:p>
      <w:pPr>
        <w:pStyle w:val="BodyText"/>
        <w:spacing w:line="307" w:lineRule="auto" w:before="62"/>
        <w:ind w:right="90" w:firstLine="361"/>
        <w:jc w:val="left"/>
      </w:pPr>
      <w:r>
        <w:rPr>
          <w:rFonts w:ascii="宋体" w:hAnsi="宋体" w:cs="宋体" w:eastAsia="宋体" w:hint="default"/>
          <w:b/>
          <w:bCs/>
          <w:spacing w:val="-2"/>
        </w:rPr>
        <w:t>（5）打造晨鸣特色文化，推进文化宣贯落地。</w:t>
      </w:r>
      <w:r>
        <w:rPr>
          <w:spacing w:val="-2"/>
        </w:rPr>
        <w:t>注重企业文化建设，规范员工言行，落实</w:t>
      </w:r>
      <w:r>
        <w:rPr>
          <w:rFonts w:ascii="Times New Roman" w:hAnsi="Times New Roman" w:cs="Times New Roman" w:eastAsia="Times New Roman" w:hint="default"/>
          <w:spacing w:val="-2"/>
        </w:rPr>
        <w:t>“</w:t>
      </w:r>
      <w:r>
        <w:rPr>
          <w:spacing w:val="-2"/>
        </w:rPr>
        <w:t>努力实现企业管理与企业文化</w:t>
      </w:r>
      <w:r>
        <w:rPr/>
        <w:t> 的高度融合</w:t>
      </w:r>
      <w:r>
        <w:rPr>
          <w:rFonts w:ascii="Times New Roman" w:hAnsi="Times New Roman" w:cs="Times New Roman" w:eastAsia="Times New Roman" w:hint="default"/>
        </w:rPr>
        <w:t>”</w:t>
      </w:r>
      <w:r>
        <w:rPr/>
        <w:t>的目标，确保企业内部团结协作，各项工作有序进行。加强文化制度建设与宣贯落地，引导全员进一步学习把</w:t>
      </w:r>
      <w:r>
        <w:rPr>
          <w:spacing w:val="-77"/>
        </w:rPr>
        <w:t> </w:t>
      </w:r>
      <w:r>
        <w:rPr>
          <w:spacing w:val="-77"/>
        </w:rPr>
      </w:r>
      <w:r>
        <w:rPr/>
        <w:t>握晨鸣企业文化内涵，自觉践行文化理念，促进文化融入思想、融入管理，用文化理念指导工作，提高素质修养和执行力， 从而打造晨鸣崭新的企业文化力。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Heading2"/>
        <w:spacing w:line="268" w:lineRule="auto"/>
        <w:ind w:left="7767" w:right="791"/>
        <w:jc w:val="right"/>
        <w:rPr>
          <w:b w:val="0"/>
          <w:bCs w:val="0"/>
        </w:rPr>
      </w:pPr>
      <w:r>
        <w:rPr/>
        <w:t>陈洪国</w:t>
      </w:r>
      <w:r>
        <w:rPr>
          <w:spacing w:val="1"/>
          <w:w w:val="99"/>
        </w:rPr>
        <w:t> </w:t>
      </w:r>
      <w:r>
        <w:rPr/>
        <w:t>董事长</w:t>
      </w:r>
      <w:r>
        <w:rPr>
          <w:b w:val="0"/>
          <w:bCs w:val="0"/>
        </w:rPr>
      </w:r>
    </w:p>
    <w:p>
      <w:pPr>
        <w:pStyle w:val="Heading2"/>
        <w:spacing w:line="240" w:lineRule="auto" w:before="10"/>
        <w:ind w:left="7767" w:right="191"/>
        <w:jc w:val="right"/>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b w:val="0"/>
          <w:bCs w:val="0"/>
        </w:rPr>
      </w:r>
    </w:p>
    <w:p>
      <w:pPr>
        <w:spacing w:after="0" w:line="240" w:lineRule="auto"/>
        <w:jc w:val="right"/>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421"/>
        <w:jc w:val="center"/>
        <w:rPr>
          <w:b w:val="0"/>
          <w:bCs w:val="0"/>
        </w:rPr>
      </w:pPr>
      <w:bookmarkStart w:name="_bookmark4" w:id="6"/>
      <w:bookmarkEnd w:id="6"/>
      <w:r>
        <w:rPr>
          <w:b w:val="0"/>
          <w:bCs w:val="0"/>
        </w:rPr>
      </w:r>
      <w:r>
        <w:rPr/>
        <w:t>第五节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48" w:firstLine="419"/>
        <w:jc w:val="both"/>
      </w:pPr>
      <w:r>
        <w:rPr>
          <w:rFonts w:ascii="Times New Roman" w:hAnsi="Times New Roman" w:cs="Times New Roman" w:eastAsia="Times New Roman" w:hint="default"/>
        </w:rPr>
        <w:t>2012</w:t>
      </w:r>
      <w:r>
        <w:rPr/>
        <w:t>年受宏观经济影响，造纸行业景气度下滑，造纸行业需求增长放缓，加之新增产能的投入，短期内造纸市场出现</w:t>
      </w:r>
      <w:r>
        <w:rPr>
          <w:spacing w:val="1"/>
        </w:rPr>
        <w:t> </w:t>
      </w:r>
      <w:r>
        <w:rPr>
          <w:spacing w:val="-2"/>
        </w:rPr>
        <w:t>供大于求的状况，市场需求的持续低迷和部分纸种产能的过度集中释放，供需关系失衡，公司在前期快速发展时积累了较多</w:t>
      </w:r>
      <w:r>
        <w:rPr>
          <w:spacing w:val="-66"/>
        </w:rPr>
        <w:t> </w:t>
      </w:r>
      <w:r>
        <w:rPr>
          <w:spacing w:val="-66"/>
        </w:rPr>
      </w:r>
      <w:r>
        <w:rPr>
          <w:spacing w:val="-2"/>
        </w:rPr>
        <w:t>的库存量，在需求萎靡下给公司带来了极大地压力，行业整体经济效益下滑，盈利空间收窄，与去年同期相比，报告期内主</w:t>
      </w:r>
      <w:r>
        <w:rPr>
          <w:spacing w:val="-66"/>
        </w:rPr>
        <w:t> </w:t>
      </w:r>
      <w:r>
        <w:rPr>
          <w:spacing w:val="-66"/>
        </w:rPr>
      </w:r>
      <w:r>
        <w:rPr/>
        <w:t>营业务盈利能力下降，纸品毛利率低于去年同期。</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0" w:firstLine="307"/>
        <w:jc w:val="both"/>
      </w:pPr>
      <w:r>
        <w:rPr/>
        <w:t>报告期内，公司实现营业收入达人民币</w:t>
      </w:r>
      <w:r>
        <w:rPr>
          <w:rFonts w:ascii="Times New Roman" w:hAnsi="Times New Roman" w:cs="Times New Roman" w:eastAsia="Times New Roman" w:hint="default"/>
        </w:rPr>
        <w:t>1,976,167.92</w:t>
      </w:r>
      <w:r>
        <w:rPr/>
        <w:t>万元，比</w:t>
      </w:r>
      <w:r>
        <w:rPr>
          <w:rFonts w:ascii="Times New Roman" w:hAnsi="Times New Roman" w:cs="Times New Roman" w:eastAsia="Times New Roman" w:hint="default"/>
        </w:rPr>
        <w:t>2011</w:t>
      </w:r>
      <w:r>
        <w:rPr/>
        <w:t>年增加人民币</w:t>
      </w:r>
      <w:r>
        <w:rPr>
          <w:rFonts w:ascii="Times New Roman" w:hAnsi="Times New Roman" w:cs="Times New Roman" w:eastAsia="Times New Roman" w:hint="default"/>
        </w:rPr>
        <w:t>201,418.93</w:t>
      </w:r>
      <w:r>
        <w:rPr/>
        <w:t>万元，增长</w:t>
      </w:r>
      <w:r>
        <w:rPr>
          <w:rFonts w:ascii="Times New Roman" w:hAnsi="Times New Roman" w:cs="Times New Roman" w:eastAsia="Times New Roman" w:hint="default"/>
        </w:rPr>
        <w:t>11.35%</w:t>
      </w:r>
      <w:r>
        <w:rPr/>
        <w:t>；营业成本 </w:t>
      </w:r>
      <w:r>
        <w:rPr>
          <w:spacing w:val="-1"/>
        </w:rPr>
        <w:t>人民币</w:t>
      </w:r>
      <w:r>
        <w:rPr>
          <w:rFonts w:ascii="Times New Roman" w:hAnsi="Times New Roman" w:cs="Times New Roman" w:eastAsia="Times New Roman" w:hint="default"/>
          <w:spacing w:val="-1"/>
        </w:rPr>
        <w:t>1,669,376.83</w:t>
      </w:r>
      <w:r>
        <w:rPr>
          <w:spacing w:val="-1"/>
        </w:rPr>
        <w:t>万元，比</w:t>
      </w:r>
      <w:r>
        <w:rPr>
          <w:rFonts w:ascii="Times New Roman" w:hAnsi="Times New Roman" w:cs="Times New Roman" w:eastAsia="Times New Roman" w:hint="default"/>
          <w:spacing w:val="-1"/>
        </w:rPr>
        <w:t>2011</w:t>
      </w:r>
      <w:r>
        <w:rPr>
          <w:spacing w:val="-1"/>
        </w:rPr>
        <w:t>年增加人民币</w:t>
      </w:r>
      <w:r>
        <w:rPr>
          <w:rFonts w:ascii="Times New Roman" w:hAnsi="Times New Roman" w:cs="Times New Roman" w:eastAsia="Times New Roman" w:hint="default"/>
          <w:spacing w:val="-1"/>
        </w:rPr>
        <w:t>176,261.51</w:t>
      </w:r>
      <w:r>
        <w:rPr>
          <w:spacing w:val="-1"/>
        </w:rPr>
        <w:t>万元，增长</w:t>
      </w:r>
      <w:r>
        <w:rPr>
          <w:rFonts w:ascii="Times New Roman" w:hAnsi="Times New Roman" w:cs="Times New Roman" w:eastAsia="Times New Roman" w:hint="default"/>
          <w:spacing w:val="-1"/>
        </w:rPr>
        <w:t>11.80%</w:t>
      </w:r>
      <w:r>
        <w:rPr>
          <w:spacing w:val="-1"/>
        </w:rPr>
        <w:t>；实现营业利润及归属于母公司所有者的净利润</w:t>
      </w:r>
      <w:r>
        <w:rPr>
          <w:spacing w:val="-81"/>
        </w:rPr>
        <w:t> </w:t>
      </w:r>
      <w:r>
        <w:rPr>
          <w:spacing w:val="-81"/>
        </w:rPr>
      </w:r>
      <w:r>
        <w:rPr/>
        <w:t>分别为人民币</w:t>
      </w:r>
      <w:r>
        <w:rPr>
          <w:rFonts w:ascii="Times New Roman" w:hAnsi="Times New Roman" w:cs="Times New Roman" w:eastAsia="Times New Roman" w:hint="default"/>
        </w:rPr>
        <w:t>-41,622.83</w:t>
      </w:r>
      <w:r>
        <w:rPr/>
        <w:t>万元、人民币</w:t>
      </w:r>
      <w:r>
        <w:rPr>
          <w:rFonts w:ascii="Times New Roman" w:hAnsi="Times New Roman" w:cs="Times New Roman" w:eastAsia="Times New Roman" w:hint="default"/>
        </w:rPr>
        <w:t>22,103.48</w:t>
      </w:r>
      <w:r>
        <w:rPr/>
        <w:t>万元，降低</w:t>
      </w:r>
      <w:r>
        <w:rPr>
          <w:rFonts w:ascii="Times New Roman" w:hAnsi="Times New Roman" w:cs="Times New Roman" w:eastAsia="Times New Roman" w:hint="default"/>
        </w:rPr>
        <w:t>210.69%</w:t>
      </w:r>
      <w:r>
        <w:rPr/>
        <w:t>和</w:t>
      </w:r>
      <w:r>
        <w:rPr>
          <w:rFonts w:ascii="Times New Roman" w:hAnsi="Times New Roman" w:cs="Times New Roman" w:eastAsia="Times New Roman" w:hint="default"/>
        </w:rPr>
        <w:t>63.66%</w:t>
      </w:r>
      <w:r>
        <w:rPr/>
        <w:t>。本报告期，期间费用</w:t>
      </w:r>
      <w:r>
        <w:rPr>
          <w:rFonts w:ascii="Times New Roman" w:hAnsi="Times New Roman" w:cs="Times New Roman" w:eastAsia="Times New Roman" w:hint="default"/>
        </w:rPr>
        <w:t>334,749.62</w:t>
      </w:r>
      <w:r>
        <w:rPr/>
        <w:t>万元，比</w:t>
      </w:r>
      <w:r>
        <w:rPr>
          <w:rFonts w:ascii="Times New Roman" w:hAnsi="Times New Roman" w:cs="Times New Roman" w:eastAsia="Times New Roman" w:hint="default"/>
        </w:rPr>
        <w:t>2011 </w:t>
      </w:r>
      <w:r>
        <w:rPr>
          <w:spacing w:val="-4"/>
        </w:rPr>
        <w:t>年增加</w:t>
      </w:r>
      <w:r>
        <w:rPr>
          <w:rFonts w:ascii="Times New Roman" w:hAnsi="Times New Roman" w:cs="Times New Roman" w:eastAsia="Times New Roman" w:hint="default"/>
          <w:spacing w:val="-4"/>
        </w:rPr>
        <w:t>96,809.49</w:t>
      </w:r>
      <w:r>
        <w:rPr>
          <w:spacing w:val="-4"/>
        </w:rPr>
        <w:t>万元，增长</w:t>
      </w:r>
      <w:r>
        <w:rPr>
          <w:rFonts w:ascii="Times New Roman" w:hAnsi="Times New Roman" w:cs="Times New Roman" w:eastAsia="Times New Roman" w:hint="default"/>
          <w:spacing w:val="-4"/>
        </w:rPr>
        <w:t>40.69%</w:t>
      </w:r>
      <w:r>
        <w:rPr>
          <w:spacing w:val="-4"/>
        </w:rPr>
        <w:t>；研发投入</w:t>
      </w:r>
      <w:r>
        <w:rPr>
          <w:rFonts w:ascii="Times New Roman" w:hAnsi="Times New Roman" w:cs="Times New Roman" w:eastAsia="Times New Roman" w:hint="default"/>
          <w:spacing w:val="-4"/>
        </w:rPr>
        <w:t>29,369.83</w:t>
      </w:r>
      <w:r>
        <w:rPr>
          <w:spacing w:val="-4"/>
        </w:rPr>
        <w:t>万元，比</w:t>
      </w:r>
      <w:r>
        <w:rPr>
          <w:rFonts w:ascii="Times New Roman" w:hAnsi="Times New Roman" w:cs="Times New Roman" w:eastAsia="Times New Roman" w:hint="default"/>
          <w:spacing w:val="-4"/>
        </w:rPr>
        <w:t>2011</w:t>
      </w:r>
      <w:r>
        <w:rPr>
          <w:spacing w:val="-4"/>
        </w:rPr>
        <w:t>年增加 </w:t>
      </w:r>
      <w:r>
        <w:rPr>
          <w:rFonts w:ascii="Times New Roman" w:hAnsi="Times New Roman" w:cs="Times New Roman" w:eastAsia="Times New Roman" w:hint="default"/>
          <w:spacing w:val="-4"/>
        </w:rPr>
        <w:t>2,083.52</w:t>
      </w:r>
      <w:r>
        <w:rPr>
          <w:spacing w:val="-4"/>
        </w:rPr>
        <w:t>万元，增长</w:t>
      </w:r>
      <w:r>
        <w:rPr>
          <w:rFonts w:ascii="Times New Roman" w:hAnsi="Times New Roman" w:cs="Times New Roman" w:eastAsia="Times New Roman" w:hint="default"/>
          <w:spacing w:val="-4"/>
        </w:rPr>
        <w:t>7.64%</w:t>
      </w:r>
      <w:r>
        <w:rPr>
          <w:spacing w:val="-4"/>
        </w:rPr>
        <w:t>；现金流净额为</w:t>
      </w:r>
      <w:r>
        <w:rPr>
          <w:rFonts w:ascii="Times New Roman" w:hAnsi="Times New Roman" w:cs="Times New Roman" w:eastAsia="Times New Roman" w:hint="default"/>
          <w:spacing w:val="-4"/>
        </w:rPr>
        <w:t>2,650.16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万元，比</w:t>
      </w:r>
      <w:r>
        <w:rPr>
          <w:rFonts w:ascii="Times New Roman" w:hAnsi="Times New Roman" w:cs="Times New Roman" w:eastAsia="Times New Roman" w:hint="default"/>
        </w:rPr>
        <w:t>2011</w:t>
      </w:r>
      <w:r>
        <w:rPr/>
        <w:t>年减少</w:t>
      </w:r>
      <w:r>
        <w:rPr>
          <w:rFonts w:ascii="Times New Roman" w:hAnsi="Times New Roman" w:cs="Times New Roman" w:eastAsia="Times New Roman" w:hint="default"/>
        </w:rPr>
        <w:t>43,531.11</w:t>
      </w:r>
      <w:r>
        <w:rPr/>
        <w:t>万元，降低</w:t>
      </w:r>
      <w:r>
        <w:rPr>
          <w:rFonts w:ascii="Times New Roman" w:hAnsi="Times New Roman" w:cs="Times New Roman" w:eastAsia="Times New Roman" w:hint="default"/>
        </w:rPr>
        <w:t>94.26%</w:t>
      </w:r>
      <w:r>
        <w:rPr/>
        <w:t>。</w:t>
      </w:r>
    </w:p>
    <w:p>
      <w:pPr>
        <w:pStyle w:val="BodyText"/>
        <w:spacing w:line="357" w:lineRule="auto" w:before="53"/>
        <w:ind w:left="513" w:right="0" w:hanging="360"/>
        <w:jc w:val="left"/>
        <w:rPr>
          <w:rFonts w:ascii="Times New Roman" w:hAnsi="Times New Roman" w:cs="Times New Roman" w:eastAsia="Times New Roman" w:hint="default"/>
        </w:rPr>
      </w:pPr>
      <w:r>
        <w:rPr/>
        <w:t>公司回顾总结前期披露的发展战略和经营计划在报告期内的进展情况 </w:t>
      </w:r>
      <w:r>
        <w:rPr>
          <w:spacing w:val="-2"/>
        </w:rPr>
        <w:t>经公司</w:t>
      </w:r>
      <w:r>
        <w:rPr>
          <w:rFonts w:ascii="Times New Roman" w:hAnsi="Times New Roman" w:cs="Times New Roman" w:eastAsia="Times New Roman" w:hint="default"/>
          <w:spacing w:val="-2"/>
        </w:rPr>
        <w:t>2009</w:t>
      </w:r>
      <w:r>
        <w:rPr>
          <w:spacing w:val="-2"/>
        </w:rPr>
        <w:t>年第一次临时股东大会审议，在寿光本埠建设年产</w:t>
      </w:r>
      <w:r>
        <w:rPr>
          <w:rFonts w:ascii="Times New Roman" w:hAnsi="Times New Roman" w:cs="Times New Roman" w:eastAsia="Times New Roman" w:hint="default"/>
          <w:spacing w:val="-2"/>
        </w:rPr>
        <w:t>60</w:t>
      </w:r>
      <w:r>
        <w:rPr>
          <w:spacing w:val="-2"/>
        </w:rPr>
        <w:t>万吨高档涂布白牛卡纸项目，该项目计划总投资额约</w:t>
      </w:r>
      <w:r>
        <w:rPr>
          <w:rFonts w:ascii="Times New Roman" w:hAnsi="Times New Roman" w:cs="Times New Roman" w:eastAsia="Times New Roman" w:hint="default"/>
          <w:spacing w:val="-2"/>
        </w:rPr>
        <w:t>26</w:t>
      </w:r>
    </w:p>
    <w:p>
      <w:pPr>
        <w:pStyle w:val="BodyText"/>
        <w:spacing w:line="214" w:lineRule="exact"/>
        <w:ind w:left="153" w:right="0"/>
        <w:jc w:val="left"/>
      </w:pPr>
      <w:r>
        <w:rPr/>
        <w:t>亿元人民币，项目建设期为</w:t>
      </w:r>
      <w:r>
        <w:rPr>
          <w:rFonts w:ascii="Times New Roman" w:hAnsi="Times New Roman" w:cs="Times New Roman" w:eastAsia="Times New Roman" w:hint="default"/>
        </w:rPr>
        <w:t>18</w:t>
      </w:r>
      <w:r>
        <w:rPr/>
        <w:t>个月，项目建成达产后年可生产高档涂布白牛卡纸</w:t>
      </w:r>
      <w:r>
        <w:rPr>
          <w:rFonts w:ascii="Times New Roman" w:hAnsi="Times New Roman" w:cs="Times New Roman" w:eastAsia="Times New Roman" w:hint="default"/>
        </w:rPr>
        <w:t>60</w:t>
      </w:r>
      <w:r>
        <w:rPr/>
        <w:t>万吨。该项目投产后可以扩大公司生产高</w:t>
      </w:r>
    </w:p>
    <w:p>
      <w:pPr>
        <w:pStyle w:val="BodyText"/>
        <w:spacing w:line="360" w:lineRule="auto" w:before="62"/>
        <w:ind w:left="444" w:right="0" w:hanging="291"/>
        <w:jc w:val="left"/>
      </w:pPr>
      <w:r>
        <w:rPr/>
        <w:t>端纸品的比例，增强公司综合竞争力。 目前该项目土建部分和安装部分总体已完工</w:t>
      </w:r>
      <w:r>
        <w:rPr>
          <w:rFonts w:ascii="Times New Roman" w:hAnsi="Times New Roman" w:cs="Times New Roman" w:eastAsia="Times New Roman" w:hint="default"/>
        </w:rPr>
        <w:t>96%</w:t>
      </w:r>
      <w:r>
        <w:rPr/>
        <w:t>，于</w:t>
      </w:r>
      <w:r>
        <w:rPr>
          <w:rFonts w:ascii="Times New Roman" w:hAnsi="Times New Roman" w:cs="Times New Roman" w:eastAsia="Times New Roman" w:hint="default"/>
        </w:rPr>
        <w:t>2012</w:t>
      </w:r>
      <w:r>
        <w:rPr/>
        <w:t>年底试生产，截止报告期末该项目尚未转固，累计完成投资额</w:t>
      </w:r>
    </w:p>
    <w:p>
      <w:pPr>
        <w:pStyle w:val="BodyText"/>
        <w:spacing w:line="212" w:lineRule="exact"/>
        <w:ind w:left="153" w:right="0"/>
        <w:jc w:val="left"/>
      </w:pPr>
      <w:r>
        <w:rPr/>
        <w:t>人民币</w:t>
      </w:r>
      <w:r>
        <w:rPr>
          <w:rFonts w:ascii="Times New Roman" w:hAnsi="Times New Roman" w:cs="Times New Roman" w:eastAsia="Times New Roman" w:hint="default"/>
        </w:rPr>
        <w:t>24.89</w:t>
      </w:r>
      <w:r>
        <w:rPr/>
        <w:t>亿元。</w:t>
      </w:r>
    </w:p>
    <w:p>
      <w:pPr>
        <w:pStyle w:val="BodyText"/>
        <w:spacing w:line="240" w:lineRule="auto" w:before="103"/>
        <w:ind w:left="153"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报告期内，公司完成机制纸产量</w:t>
      </w:r>
      <w:r>
        <w:rPr>
          <w:rFonts w:ascii="Times New Roman" w:hAnsi="Times New Roman" w:cs="Times New Roman" w:eastAsia="Times New Roman" w:hint="default"/>
        </w:rPr>
        <w:t>393</w:t>
      </w:r>
      <w:r>
        <w:rPr/>
        <w:t>万吨，比</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340</w:t>
      </w:r>
      <w:r>
        <w:rPr/>
        <w:t>万吨增加</w:t>
      </w:r>
      <w:r>
        <w:rPr>
          <w:rFonts w:ascii="Times New Roman" w:hAnsi="Times New Roman" w:cs="Times New Roman" w:eastAsia="Times New Roman" w:hint="default"/>
        </w:rPr>
        <w:t>53</w:t>
      </w:r>
      <w:r>
        <w:rPr/>
        <w:t>万吨，增长</w:t>
      </w:r>
      <w:r>
        <w:rPr>
          <w:rFonts w:ascii="Times New Roman" w:hAnsi="Times New Roman" w:cs="Times New Roman" w:eastAsia="Times New Roman" w:hint="default"/>
        </w:rPr>
        <w:t>15.59%</w:t>
      </w:r>
      <w:r>
        <w:rPr/>
        <w:t>；实现主营业务收入达人民币</w:t>
      </w:r>
    </w:p>
    <w:p>
      <w:pPr>
        <w:pStyle w:val="BodyText"/>
        <w:spacing w:line="340" w:lineRule="auto" w:before="62"/>
        <w:ind w:left="153" w:right="4221"/>
        <w:jc w:val="left"/>
      </w:pPr>
      <w:r>
        <w:rPr>
          <w:rFonts w:ascii="Times New Roman" w:hAnsi="Times New Roman" w:cs="Times New Roman" w:eastAsia="Times New Roman" w:hint="default"/>
        </w:rPr>
        <w:t>1,941,838.54</w:t>
      </w:r>
      <w:r>
        <w:rPr/>
        <w:t>万元，比</w:t>
      </w:r>
      <w:r>
        <w:rPr>
          <w:rFonts w:ascii="Times New Roman" w:hAnsi="Times New Roman" w:cs="Times New Roman" w:eastAsia="Times New Roman" w:hint="default"/>
        </w:rPr>
        <w:t>2011</w:t>
      </w:r>
      <w:r>
        <w:rPr/>
        <w:t>年增加人民币</w:t>
      </w:r>
      <w:r>
        <w:rPr>
          <w:rFonts w:ascii="Times New Roman" w:hAnsi="Times New Roman" w:cs="Times New Roman" w:eastAsia="Times New Roman" w:hint="default"/>
        </w:rPr>
        <w:t>188,293.31</w:t>
      </w:r>
      <w:r>
        <w:rPr/>
        <w:t>万元，增长</w:t>
      </w:r>
      <w:r>
        <w:rPr>
          <w:rFonts w:ascii="Times New Roman" w:hAnsi="Times New Roman" w:cs="Times New Roman" w:eastAsia="Times New Roman" w:hint="default"/>
        </w:rPr>
        <w:t>10.74%</w:t>
      </w:r>
      <w:r>
        <w:rPr/>
        <w:t>。 公司实物销售收入是否大于劳务收入</w:t>
      </w:r>
    </w:p>
    <w:p>
      <w:pPr>
        <w:pStyle w:val="BodyText"/>
        <w:spacing w:line="240" w:lineRule="auto" w:before="41"/>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2"/>
        <w:ind w:left="0" w:right="150"/>
        <w:jc w:val="right"/>
      </w:pPr>
      <w:r>
        <w:rPr/>
        <w:t>单位：万吨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03"/>
        <w:gridCol w:w="1926"/>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3"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机制纸</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3"/>
                <w:sz w:val="18"/>
              </w:rPr>
              <w:t>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27.01%</w:t>
            </w:r>
          </w:p>
        </w:tc>
      </w:tr>
      <w:tr>
        <w:trPr>
          <w:trHeight w:val="402" w:hRule="exact"/>
        </w:trPr>
        <w:tc>
          <w:tcPr>
            <w:tcW w:w="1913"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15.59%</w:t>
            </w:r>
          </w:p>
        </w:tc>
      </w:tr>
      <w:tr>
        <w:trPr>
          <w:trHeight w:val="403" w:hRule="exact"/>
        </w:trPr>
        <w:tc>
          <w:tcPr>
            <w:tcW w:w="1913"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-8.16%</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公司重大的在手订单情况</w:t>
      </w:r>
    </w:p>
    <w:p>
      <w:pPr>
        <w:pStyle w:val="BodyText"/>
        <w:spacing w:line="340" w:lineRule="auto" w:before="116"/>
        <w:ind w:right="549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80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809,133,619.82</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bl>
    <w:p>
      <w:pPr>
        <w:pStyle w:val="BodyText"/>
        <w:spacing w:line="240" w:lineRule="auto" w:before="51"/>
        <w:ind w:right="18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212,603,078.30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INTERNATIONAL </w:t>
            </w:r>
            <w:r>
              <w:rPr>
                <w:rFonts w:ascii="Times New Roman"/>
                <w:sz w:val="18"/>
              </w:rPr>
              <w:t>FOREST</w:t>
            </w:r>
            <w:r>
              <w:rPr>
                <w:rFonts w:ascii="Times New Roman"/>
                <w:spacing w:val="-10"/>
                <w:sz w:val="18"/>
              </w:rPr>
              <w:t> </w:t>
            </w:r>
            <w:r>
              <w:rPr>
                <w:rFonts w:ascii="Times New Roman"/>
                <w:sz w:val="18"/>
              </w:rPr>
              <w:t>PRODUCTS</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192,227,597.81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SUN HING </w:t>
            </w:r>
            <w:r>
              <w:rPr>
                <w:rFonts w:ascii="Times New Roman"/>
                <w:spacing w:val="-4"/>
                <w:sz w:val="18"/>
              </w:rPr>
              <w:t>PAPER COMPANY</w:t>
            </w:r>
            <w:r>
              <w:rPr>
                <w:rFonts w:ascii="Times New Roman"/>
                <w:spacing w:val="1"/>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138,418,242.76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启东姚记扑克实业有限公司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137,048,132.05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湖北日报传媒集团</w:t>
            </w:r>
            <w:r>
              <w:rPr>
                <w:rFonts w:ascii="Times New Roman" w:hAnsi="Times New Roman" w:cs="Times New Roman" w:eastAsia="Times New Roman" w:hint="default"/>
                <w:sz w:val="18"/>
                <w:szCs w:val="18"/>
              </w:rPr>
              <w:t>(</w:t>
            </w:r>
            <w:r>
              <w:rPr>
                <w:rFonts w:ascii="宋体" w:hAnsi="宋体" w:cs="宋体" w:eastAsia="宋体" w:hint="default"/>
                <w:sz w:val="18"/>
                <w:szCs w:val="18"/>
              </w:rPr>
              <w:t>湖北日报社</w:t>
            </w: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128,836,568.90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809,133,619.82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81"/>
        <w:jc w:val="left"/>
      </w:pPr>
      <w:r>
        <w:rPr/>
        <w:t>行业分类</w:t>
      </w:r>
    </w:p>
    <w:p>
      <w:pPr>
        <w:pStyle w:val="BodyText"/>
        <w:spacing w:line="240" w:lineRule="auto" w:before="117"/>
        <w:ind w:left="7767" w:right="189"/>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081"/>
        <w:gridCol w:w="1320"/>
        <w:gridCol w:w="2140"/>
        <w:gridCol w:w="1120"/>
        <w:gridCol w:w="1901"/>
        <w:gridCol w:w="1080"/>
        <w:gridCol w:w="1080"/>
      </w:tblGrid>
      <w:tr>
        <w:trPr>
          <w:trHeight w:val="322" w:hRule="exact"/>
        </w:trPr>
        <w:tc>
          <w:tcPr>
            <w:tcW w:w="108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2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59"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nil" w:sz="6" w:space="0" w:color="auto"/>
              <w:right w:val="single" w:sz="4" w:space="0" w:color="000000"/>
            </w:tcBorders>
            <w:shd w:val="clear" w:color="auto" w:fill="C0C0C0"/>
          </w:tcPr>
          <w:p>
            <w:pPr/>
          </w:p>
        </w:tc>
      </w:tr>
      <w:tr>
        <w:trPr>
          <w:trHeight w:val="946" w:hRule="exact"/>
        </w:trPr>
        <w:tc>
          <w:tcPr>
            <w:tcW w:w="1081" w:type="dxa"/>
            <w:vMerge/>
            <w:tcBorders>
              <w:left w:val="single" w:sz="4" w:space="0" w:color="000000"/>
              <w:bottom w:val="single" w:sz="4" w:space="0" w:color="000000"/>
              <w:right w:val="single" w:sz="4" w:space="0" w:color="000000"/>
            </w:tcBorders>
            <w:shd w:val="clear" w:color="auto" w:fill="C0C0C0"/>
          </w:tcPr>
          <w:p>
            <w:pPr/>
          </w:p>
        </w:tc>
        <w:tc>
          <w:tcPr>
            <w:tcW w:w="1320" w:type="dxa"/>
            <w:vMerge/>
            <w:tcBorders>
              <w:left w:val="single" w:sz="4" w:space="0" w:color="000000"/>
              <w:bottom w:val="single" w:sz="4" w:space="0" w:color="000000"/>
              <w:right w:val="single" w:sz="4" w:space="0" w:color="000000"/>
            </w:tcBorders>
            <w:shd w:val="clear" w:color="auto" w:fill="C0C0C0"/>
          </w:tcPr>
          <w:p>
            <w:pPr/>
          </w:p>
        </w:tc>
        <w:tc>
          <w:tcPr>
            <w:tcW w:w="21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9" w:right="103" w:hanging="16"/>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9"/>
              <w:ind w:left="175" w:right="173"/>
              <w:jc w:val="center"/>
              <w:rPr>
                <w:rFonts w:ascii="宋体" w:hAnsi="宋体" w:cs="宋体" w:eastAsia="宋体" w:hint="default"/>
                <w:sz w:val="18"/>
                <w:szCs w:val="18"/>
              </w:rPr>
            </w:pPr>
            <w:r>
              <w:rPr>
                <w:rFonts w:ascii="宋体" w:hAnsi="宋体" w:cs="宋体" w:eastAsia="宋体" w:hint="default"/>
                <w:sz w:val="18"/>
                <w:szCs w:val="18"/>
              </w:rPr>
              <w:t>占营业成 本比重</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8,937,680,153.84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57.86%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8,142,722,115.68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58.69%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-0.83%</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835,613,946.74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691,496,021.37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0.43%</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157,709,922.20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176,284,242.35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1,893,067,781.92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12.25%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1,867,223,312.21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-1.21%</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2,346,525,338.83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15.19%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2,093,338,487.76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0.10%</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1,277,613,441.39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8.27%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903,521,746.63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1.76%</w:t>
            </w:r>
          </w:p>
        </w:tc>
      </w:tr>
      <w:tr>
        <w:trPr>
          <w:trHeight w:val="322" w:hRule="exact"/>
        </w:trPr>
        <w:tc>
          <w:tcPr>
            <w:tcW w:w="108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15,448,210,584.92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13,874,585,926.00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446" w:right="173" w:hanging="270"/>
              <w:jc w:val="left"/>
              <w:rPr>
                <w:rFonts w:ascii="宋体" w:hAnsi="宋体" w:cs="宋体" w:eastAsia="宋体" w:hint="default"/>
                <w:sz w:val="18"/>
                <w:szCs w:val="18"/>
              </w:rPr>
            </w:pPr>
            <w:r>
              <w:rPr>
                <w:rFonts w:ascii="宋体" w:hAnsi="宋体" w:cs="宋体" w:eastAsia="宋体" w:hint="default"/>
                <w:sz w:val="18"/>
                <w:szCs w:val="18"/>
              </w:rPr>
              <w:t>电力及热 力</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508,500,185.20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84.33%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516,372,685.38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85.90%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-1.57%</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47,921,265.73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45,243,255.92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0.42%</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20,637,762.46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15,610,694.24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0.82%</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1,876,044.44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2,009,793.12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976,450.67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600,970.52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0.06%</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23,106,207.91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3.83%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21,289,774.35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0.29%</w:t>
            </w:r>
          </w:p>
        </w:tc>
      </w:tr>
      <w:tr>
        <w:trPr>
          <w:trHeight w:val="322" w:hRule="exact"/>
        </w:trPr>
        <w:tc>
          <w:tcPr>
            <w:tcW w:w="108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603,017,916.41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601,127,173.53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220,811,751.70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73.27%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208,554,013.38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2"/>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1081"/>
        <w:gridCol w:w="1320"/>
        <w:gridCol w:w="2140"/>
        <w:gridCol w:w="1120"/>
        <w:gridCol w:w="1901"/>
        <w:gridCol w:w="1080"/>
        <w:gridCol w:w="1080"/>
      </w:tblGrid>
      <w:tr>
        <w:trPr>
          <w:trHeight w:val="317" w:hRule="exact"/>
        </w:trPr>
        <w:tc>
          <w:tcPr>
            <w:tcW w:w="1081" w:type="dxa"/>
            <w:vMerge w:val="restart"/>
            <w:tcBorders>
              <w:top w:val="nil" w:sz="6" w:space="0" w:color="auto"/>
              <w:left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19,089,842.87</w:t>
            </w:r>
          </w:p>
        </w:tc>
        <w:tc>
          <w:tcPr>
            <w:tcW w:w="1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6.33%</w:t>
            </w:r>
          </w:p>
        </w:tc>
        <w:tc>
          <w:tcPr>
            <w:tcW w:w="19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21,174,941.44</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7.41%</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-1.08%</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10,526,181.03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8,847,687.33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0.39%</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26,814,129.05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8.90%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26,508,016.44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-0.38%</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5,808,752.64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7,404,391.76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-0.66%</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18,334,270.30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13,203,681.45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1.46%</w:t>
            </w:r>
          </w:p>
        </w:tc>
      </w:tr>
      <w:tr>
        <w:trPr>
          <w:trHeight w:val="323" w:hRule="exact"/>
        </w:trPr>
        <w:tc>
          <w:tcPr>
            <w:tcW w:w="108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301,384,927.59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285,692,731.80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化工产品</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35,481,558.88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75.18%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53,303,091.45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-0.07%</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603,926.63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207,757.45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0.99%</w:t>
            </w:r>
          </w:p>
        </w:tc>
      </w:tr>
      <w:tr>
        <w:trPr>
          <w:trHeight w:val="323"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1,682,012.34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2,587,027.16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-0.09%</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8,078,738.69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12,602,462.82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-0.67%</w:t>
            </w:r>
          </w:p>
        </w:tc>
      </w:tr>
      <w:tr>
        <w:trPr>
          <w:trHeight w:val="322" w:hRule="exact"/>
        </w:trPr>
        <w:tc>
          <w:tcPr>
            <w:tcW w:w="1081" w:type="dxa"/>
            <w:vMerge/>
            <w:tcBorders>
              <w:left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1,346,955.24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2,136,341.49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-0.17%</w:t>
            </w:r>
          </w:p>
        </w:tc>
      </w:tr>
      <w:tr>
        <w:trPr>
          <w:trHeight w:val="323" w:hRule="exact"/>
        </w:trPr>
        <w:tc>
          <w:tcPr>
            <w:tcW w:w="108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47,193,191.78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70,836,680.37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0"/>
        <w:jc w:val="left"/>
      </w:pPr>
      <w:r>
        <w:rPr/>
        <w:t>产品分类</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95"/>
        <w:gridCol w:w="1296"/>
        <w:gridCol w:w="2297"/>
        <w:gridCol w:w="996"/>
        <w:gridCol w:w="2276"/>
        <w:gridCol w:w="998"/>
        <w:gridCol w:w="996"/>
      </w:tblGrid>
      <w:tr>
        <w:trPr>
          <w:trHeight w:val="322" w:hRule="exact"/>
        </w:trPr>
        <w:tc>
          <w:tcPr>
            <w:tcW w:w="99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9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3"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5"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995" w:type="dxa"/>
            <w:vMerge/>
            <w:tcBorders>
              <w:left w:val="single" w:sz="4" w:space="0" w:color="000000"/>
              <w:bottom w:val="single" w:sz="4" w:space="0" w:color="000000"/>
              <w:right w:val="single" w:sz="4" w:space="0" w:color="000000"/>
            </w:tcBorders>
            <w:shd w:val="clear" w:color="auto" w:fill="C0C0C0"/>
          </w:tcPr>
          <w:p>
            <w:pPr/>
          </w:p>
        </w:tc>
        <w:tc>
          <w:tcPr>
            <w:tcW w:w="1296" w:type="dxa"/>
            <w:vMerge/>
            <w:tcBorders>
              <w:left w:val="single" w:sz="4" w:space="0" w:color="000000"/>
              <w:bottom w:val="single" w:sz="4" w:space="0" w:color="000000"/>
              <w:right w:val="single" w:sz="4" w:space="0" w:color="000000"/>
            </w:tcBorders>
            <w:shd w:val="clear" w:color="auto" w:fill="C0C0C0"/>
          </w:tcPr>
          <w:p>
            <w:pPr/>
          </w:p>
        </w:tc>
        <w:tc>
          <w:tcPr>
            <w:tcW w:w="22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33" w:right="131"/>
              <w:jc w:val="center"/>
              <w:rPr>
                <w:rFonts w:ascii="宋体" w:hAnsi="宋体" w:cs="宋体" w:eastAsia="宋体" w:hint="default"/>
                <w:sz w:val="18"/>
                <w:szCs w:val="18"/>
              </w:rPr>
            </w:pPr>
            <w:r>
              <w:rPr>
                <w:rFonts w:ascii="宋体" w:hAnsi="宋体" w:cs="宋体" w:eastAsia="宋体" w:hint="default"/>
                <w:sz w:val="18"/>
                <w:szCs w:val="18"/>
              </w:rPr>
              <w:t>占营业成 本比重</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34" w:right="132"/>
              <w:jc w:val="center"/>
              <w:rPr>
                <w:rFonts w:ascii="宋体" w:hAnsi="宋体" w:cs="宋体" w:eastAsia="宋体" w:hint="default"/>
                <w:sz w:val="18"/>
                <w:szCs w:val="18"/>
              </w:rPr>
            </w:pPr>
            <w:r>
              <w:rPr>
                <w:rFonts w:ascii="宋体" w:hAnsi="宋体" w:cs="宋体" w:eastAsia="宋体" w:hint="default"/>
                <w:sz w:val="18"/>
                <w:szCs w:val="18"/>
              </w:rPr>
              <w:t>占营业成 本比重</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6" w:type="dxa"/>
            <w:vMerge/>
            <w:tcBorders>
              <w:left w:val="single" w:sz="4" w:space="0" w:color="000000"/>
              <w:bottom w:val="single" w:sz="4" w:space="0" w:color="000000"/>
              <w:right w:val="single" w:sz="4" w:space="0" w:color="000000"/>
            </w:tcBorders>
            <w:shd w:val="clear" w:color="auto" w:fill="C0C0C0"/>
          </w:tcPr>
          <w:p>
            <w:pPr/>
          </w:p>
        </w:tc>
      </w:tr>
      <w:tr>
        <w:trPr>
          <w:trHeight w:val="323"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507,950,556.55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48.86%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574,874,121.71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49.54%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-0.68%</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51,339,028.14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49,500,433.55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0.67%</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10,691,865.84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9,914,663.75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0.85%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0.18%</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152,571,848.79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14.68%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175,394,319.07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-0.43%</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233,311,822.57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22.43%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270,636,847.88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23.32%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-0.89%</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83,744,330.02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8.06%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80,195,593.88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1.15%</w:t>
            </w:r>
          </w:p>
        </w:tc>
      </w:tr>
      <w:tr>
        <w:trPr>
          <w:trHeight w:val="323"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1,039,609,451.91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1,160,515,979.84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1,508,544,683.40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60.68%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1,276,873,233.91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122,719,701.81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53,319,576.83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2.34%</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29,052,082.36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34,018,587.90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-0.49%</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326,870,055.15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13.15%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334,446,204.05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16.29%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-3.14%</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302,470,956.31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12.16%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246,424,092.16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11.99%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0.17%</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196,472,313.58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108,458,153.56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2.62%</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2,486,129,792.61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2,053,539,848.41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180,898,992.93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68.10%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226,893,188.57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70.42%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-2.32%</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3,997,172.13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3,869,927.46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0.30%</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6,123,857.73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6,228,544.88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0.38%</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37,581,044.15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14.15%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45,388,093.37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14.09%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0.06%</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22,894,310.91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8.62%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26,983,470.16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0.24%</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14,122,914.39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5.32%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12,826,438.89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1.34%</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265,618,292.24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322,189,663.33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10"/>
              <w:ind w:left="2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852,071,358.78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67.99%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1,038,430,436.61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73.58%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-5.59%</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68,739,327.76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73,055,263.23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0.31%</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3,761,372.30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3,781,548.88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0.03%</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177,942,102.33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14.20%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176,450,048.58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1.70%</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51,081,098.80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35,557,667.87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900"/>
        </w:sectPr>
      </w:pPr>
    </w:p>
    <w:p>
      <w:pPr>
        <w:spacing w:line="240" w:lineRule="auto" w:before="2"/>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95"/>
        <w:gridCol w:w="1296"/>
        <w:gridCol w:w="2297"/>
        <w:gridCol w:w="996"/>
        <w:gridCol w:w="2276"/>
        <w:gridCol w:w="998"/>
        <w:gridCol w:w="996"/>
      </w:tblGrid>
      <w:tr>
        <w:trPr>
          <w:trHeight w:val="317" w:hRule="exact"/>
        </w:trPr>
        <w:tc>
          <w:tcPr>
            <w:tcW w:w="995" w:type="dxa"/>
            <w:vMerge w:val="restart"/>
            <w:tcBorders>
              <w:top w:val="nil" w:sz="6" w:space="0" w:color="auto"/>
              <w:left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99,588,746.51</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7.95%</w:t>
            </w:r>
          </w:p>
        </w:tc>
        <w:tc>
          <w:tcPr>
            <w:tcW w:w="2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84,050,209.30</w:t>
            </w:r>
          </w:p>
        </w:tc>
        <w:tc>
          <w:tcPr>
            <w:tcW w:w="9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5.96%</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1.99%</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1,253,184,006.48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1,411,325,174.47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385,462,371.32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75.07%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446,695,437.31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0.97%</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12,785,582.16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11,489,112.28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0.58%</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2,887,586.26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3,272,865.22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64,353,647.64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80,253,041.62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-0.78%</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26,924,910.64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37,482,581.70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-0.97%</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21,054,380.92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23,662,970.84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0.17%</w:t>
            </w:r>
          </w:p>
        </w:tc>
      </w:tr>
      <w:tr>
        <w:trPr>
          <w:trHeight w:val="323"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513,468,478.94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602,856,008.97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998,152,198.57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60.63%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1,065,612,181.18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1.05%</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105,596,006.42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108,106,376.56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0.37%</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4,207,558.55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10,391,957.14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-0.32%</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140,013,026.36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8.51%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172,113,802.60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-1.11%</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261,022,549.61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15.85%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292,566,722.99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16.35%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137,218,957.59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140,121,150.89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0.51%</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1,646,210,297.10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1,788,912,191.36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860,183,425.70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70.18%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68,747,070.62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69.68%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60,695,729.78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2,884,771.30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2.03%</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11,416,394.06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1,564,944.07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-0.66%</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63,678,054.97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9,073,628.09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-4.00%</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133,355,981.35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10.88%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7,310,319.24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3.47%</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96,368,721.89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9,080,841.17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-1.34%</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1,225,698,307.75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98,661,574.49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1,682,510,037.15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44.70%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1,682,758,370.66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52.55%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-7.85%</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271,583,736.25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7.22%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186,674,908.89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5.83%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1.39%</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23,953,033.14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28,867,691.07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-0.26%</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449,106,353.39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11.93%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362,481,804.01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11.32%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0.61%</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1,048,680,994.79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27.86%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804,234,082.54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2.75%</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287,957,484.19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137,241,312.08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3.36%</w:t>
            </w:r>
          </w:p>
        </w:tc>
      </w:tr>
      <w:tr>
        <w:trPr>
          <w:trHeight w:val="323"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3,763,791,638.91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3,202,258,169.25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其他纸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2,257,093,872.24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69.35%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1,870,839,565.53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57.85%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11.50%</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122,365,618.94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169,131,304.73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-1.47%</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39,395,106.84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74,513,046.82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-1.09%</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333,801,245.48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10.26%</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511,103,493.72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-5.54%</w:t>
            </w:r>
          </w:p>
        </w:tc>
      </w:tr>
      <w:tr>
        <w:trPr>
          <w:trHeight w:val="322"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272,498,936.32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350,586,269.25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10.84%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-2.47%</w:t>
            </w:r>
          </w:p>
        </w:tc>
      </w:tr>
      <w:tr>
        <w:trPr>
          <w:trHeight w:val="323" w:hRule="exact"/>
        </w:trPr>
        <w:tc>
          <w:tcPr>
            <w:tcW w:w="995" w:type="dxa"/>
            <w:vMerge/>
            <w:tcBorders>
              <w:left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229,345,539.16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258,153,635.83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-0.93%</w:t>
            </w:r>
          </w:p>
        </w:tc>
      </w:tr>
      <w:tr>
        <w:trPr>
          <w:trHeight w:val="322" w:hRule="exact"/>
        </w:trPr>
        <w:tc>
          <w:tcPr>
            <w:tcW w:w="99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3,254,500,318.98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3,234,327,315.88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21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1,814,601,327.42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10.68%</w:t>
            </w:r>
          </w:p>
        </w:tc>
      </w:tr>
    </w:tbl>
    <w:p>
      <w:pPr>
        <w:pStyle w:val="BodyText"/>
        <w:spacing w:line="240" w:lineRule="auto" w:before="51"/>
        <w:ind w:left="214" w:right="0"/>
        <w:jc w:val="left"/>
      </w:pPr>
      <w:r>
        <w:rPr/>
        <w:pict>
          <v:group style="position:absolute;margin-left:269.820007pt;margin-top:-20.687981pt;width:263.9pt;height:20.7pt;mso-position-horizontal-relative:page;mso-position-vertical-relative:paragraph;z-index:-1371400" coordorigin="5396,-414" coordsize="5278,414">
            <v:group style="position:absolute;left:5408;top:-402;width:2;height:392" coordorigin="5408,-402" coordsize="2,392">
              <v:shape style="position:absolute;left:5408;top:-402;width:2;height:392" coordorigin="5408,-402" coordsize="0,392" path="m5408,-402l5408,-11e" filled="false" stroked="true" strokeweight="1.140pt" strokecolor="#ffffff">
                <v:path arrowok="t"/>
              </v:shape>
            </v:group>
            <v:group style="position:absolute;left:5419;top:-404;width:5255;height:393" coordorigin="5419,-404" coordsize="5255,393">
              <v:shape style="position:absolute;left:5419;top:-404;width:5255;height:393" coordorigin="5419,-404" coordsize="5255,393" path="m5419,-11l10674,-11,10674,-404,5419,-404,5419,-11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82" w:top="1060" w:bottom="1180" w:left="920" w:right="90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德国福伊特公司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777,032,693.22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ITOCHU    HONG KONG</w:t>
            </w:r>
            <w:r>
              <w:rPr>
                <w:rFonts w:ascii="Times New Roman"/>
                <w:spacing w:val="-12"/>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395,027,835.67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湛江鑫晨商贸有限公司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266,065,732.66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湛江市金端木业有限公司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190,423,613.25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Central National Gottesman</w:t>
            </w:r>
            <w:r>
              <w:rPr>
                <w:rFonts w:ascii="Times New Roman"/>
                <w:spacing w:val="-23"/>
                <w:sz w:val="18"/>
              </w:rPr>
              <w:t> </w:t>
            </w:r>
            <w:r>
              <w:rPr>
                <w:rFonts w:ascii="Times New Roman"/>
                <w:sz w:val="18"/>
              </w:rPr>
              <w:t>INC.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186,051,452.62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1,814,601,327.42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3100"/>
        <w:gridCol w:w="2347"/>
        <w:gridCol w:w="2341"/>
        <w:gridCol w:w="1660"/>
      </w:tblGrid>
      <w:tr>
        <w:trPr>
          <w:trHeight w:val="329" w:hRule="exact"/>
        </w:trPr>
        <w:tc>
          <w:tcPr>
            <w:tcW w:w="3100" w:type="dxa"/>
            <w:tcBorders>
              <w:top w:val="nil" w:sz="6" w:space="0" w:color="auto"/>
              <w:left w:val="nil" w:sz="6" w:space="0" w:color="auto"/>
              <w:bottom w:val="single" w:sz="6" w:space="0" w:color="000000"/>
              <w:right w:val="single" w:sz="6" w:space="0" w:color="000000"/>
            </w:tcBorders>
            <w:shd w:val="clear" w:color="auto" w:fill="D9D9D9"/>
          </w:tcPr>
          <w:p>
            <w:pPr>
              <w:pStyle w:val="TableParagraph"/>
              <w:spacing w:line="240" w:lineRule="auto" w:before="15"/>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7"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本年累计数</w:t>
            </w:r>
          </w:p>
        </w:tc>
        <w:tc>
          <w:tcPr>
            <w:tcW w:w="234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5"/>
              <w:ind w:left="712" w:right="0"/>
              <w:jc w:val="left"/>
              <w:rPr>
                <w:rFonts w:ascii="宋体" w:hAnsi="宋体" w:cs="宋体" w:eastAsia="宋体" w:hint="default"/>
                <w:sz w:val="18"/>
                <w:szCs w:val="18"/>
              </w:rPr>
            </w:pPr>
            <w:r>
              <w:rPr>
                <w:rFonts w:ascii="宋体" w:hAnsi="宋体" w:cs="宋体" w:eastAsia="宋体" w:hint="default"/>
                <w:sz w:val="18"/>
                <w:szCs w:val="18"/>
              </w:rPr>
              <w:t>上年累计数</w:t>
            </w:r>
          </w:p>
        </w:tc>
        <w:tc>
          <w:tcPr>
            <w:tcW w:w="1660"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5"/>
              <w:ind w:left="20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310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15"/>
              <w:ind w:left="7"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347"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1,144,489,246.04</w:t>
            </w:r>
          </w:p>
        </w:tc>
        <w:tc>
          <w:tcPr>
            <w:tcW w:w="234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932,884,617.97</w:t>
            </w:r>
          </w:p>
        </w:tc>
        <w:tc>
          <w:tcPr>
            <w:tcW w:w="166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22.68%</w:t>
            </w:r>
          </w:p>
        </w:tc>
      </w:tr>
      <w:tr>
        <w:trPr>
          <w:trHeight w:val="337" w:hRule="exact"/>
        </w:trPr>
        <w:tc>
          <w:tcPr>
            <w:tcW w:w="310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1,110,246,902.75</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1,014,494,608.5</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9.44%</w:t>
            </w:r>
          </w:p>
        </w:tc>
      </w:tr>
      <w:tr>
        <w:trPr>
          <w:trHeight w:val="337" w:hRule="exact"/>
        </w:trPr>
        <w:tc>
          <w:tcPr>
            <w:tcW w:w="310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3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1,092,760,015.04</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432,022,027.84</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152.94%</w:t>
            </w:r>
          </w:p>
        </w:tc>
      </w:tr>
      <w:tr>
        <w:trPr>
          <w:trHeight w:val="337" w:hRule="exact"/>
        </w:trPr>
        <w:tc>
          <w:tcPr>
            <w:tcW w:w="310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3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70,250,158.94</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41,216,449.59</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z w:val="18"/>
              </w:rPr>
              <w:t>70.44%</w:t>
            </w:r>
          </w:p>
        </w:tc>
      </w:tr>
      <w:tr>
        <w:trPr>
          <w:trHeight w:val="337" w:hRule="exact"/>
        </w:trPr>
        <w:tc>
          <w:tcPr>
            <w:tcW w:w="310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3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-62,826,238.51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110,263,113.88</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-156.98%</w:t>
            </w:r>
          </w:p>
        </w:tc>
      </w:tr>
    </w:tbl>
    <w:p>
      <w:pPr>
        <w:pStyle w:val="BodyText"/>
        <w:spacing w:line="240" w:lineRule="auto" w:before="10"/>
        <w:ind w:right="0"/>
        <w:jc w:val="both"/>
      </w:pPr>
      <w:r>
        <w:rPr/>
        <w:t>主要变动因素说明：</w:t>
      </w:r>
    </w:p>
    <w:p>
      <w:pPr>
        <w:pStyle w:val="BodyText"/>
        <w:spacing w:line="300" w:lineRule="auto" w:before="117"/>
        <w:ind w:left="153" w:right="181" w:firstLine="360"/>
        <w:jc w:val="left"/>
      </w:pPr>
      <w:r>
        <w:rPr/>
        <w:t>（</w:t>
      </w:r>
      <w:r>
        <w:rPr>
          <w:rFonts w:ascii="Times New Roman" w:hAnsi="Times New Roman" w:cs="Times New Roman" w:eastAsia="Times New Roman" w:hint="default"/>
        </w:rPr>
        <w:t>1</w:t>
      </w:r>
      <w:r>
        <w:rPr/>
        <w:t>）财务费用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1,092,760,015.04</w:t>
      </w:r>
      <w:r>
        <w:rPr/>
        <w:t>元，比上年数增加</w:t>
      </w:r>
      <w:r>
        <w:rPr>
          <w:rFonts w:ascii="Times New Roman" w:hAnsi="Times New Roman" w:cs="Times New Roman" w:eastAsia="Times New Roman" w:hint="default"/>
        </w:rPr>
        <w:t>152.94%</w:t>
      </w:r>
      <w:r>
        <w:rPr/>
        <w:t>，其主要原因是：受项目投入影响，借款 增加，同时项目完工转资后资本化利息费用化。</w:t>
      </w:r>
    </w:p>
    <w:p>
      <w:pPr>
        <w:pStyle w:val="BodyText"/>
        <w:spacing w:line="302" w:lineRule="auto" w:before="71"/>
        <w:ind w:left="153" w:right="181" w:firstLine="359"/>
        <w:jc w:val="left"/>
      </w:pPr>
      <w:r>
        <w:rPr/>
        <w:t>（</w:t>
      </w:r>
      <w:r>
        <w:rPr>
          <w:rFonts w:ascii="Times New Roman" w:hAnsi="Times New Roman" w:cs="Times New Roman" w:eastAsia="Times New Roman" w:hint="default"/>
        </w:rPr>
        <w:t>2</w:t>
      </w:r>
      <w:r>
        <w:rPr/>
        <w:t>）资产减值损失</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70,250,158.94</w:t>
      </w:r>
      <w:r>
        <w:rPr/>
        <w:t>元，比上年数增加</w:t>
      </w:r>
      <w:r>
        <w:rPr>
          <w:rFonts w:ascii="Times New Roman" w:hAnsi="Times New Roman" w:cs="Times New Roman" w:eastAsia="Times New Roman" w:hint="default"/>
        </w:rPr>
        <w:t>70.44%</w:t>
      </w:r>
      <w:r>
        <w:rPr/>
        <w:t>，其主要原因是：坏账准备增加，同时公</w:t>
      </w:r>
      <w:r>
        <w:rPr>
          <w:spacing w:val="1"/>
        </w:rPr>
        <w:t> </w:t>
      </w:r>
      <w:r>
        <w:rPr/>
        <w:t>司子公司海拉尔晨鸣纸业有限责任公司处于清算期，对其资产提取减值。</w:t>
      </w:r>
    </w:p>
    <w:p>
      <w:pPr>
        <w:pStyle w:val="BodyText"/>
        <w:spacing w:line="302" w:lineRule="auto" w:before="68"/>
        <w:ind w:left="153" w:right="181" w:firstLine="360"/>
        <w:jc w:val="left"/>
      </w:pPr>
      <w:r>
        <w:rPr/>
        <w:t>（</w:t>
      </w:r>
      <w:r>
        <w:rPr>
          <w:rFonts w:ascii="Times New Roman" w:hAnsi="Times New Roman" w:cs="Times New Roman" w:eastAsia="Times New Roman" w:hint="default"/>
        </w:rPr>
        <w:t>3</w:t>
      </w:r>
      <w:r>
        <w:rPr/>
        <w:t>）所得税费用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-62,826,238.51</w:t>
      </w:r>
      <w:r>
        <w:rPr/>
        <w:t>元，比上年数减少</w:t>
      </w:r>
      <w:r>
        <w:rPr>
          <w:rFonts w:ascii="Times New Roman" w:hAnsi="Times New Roman" w:cs="Times New Roman" w:eastAsia="Times New Roman" w:hint="default"/>
        </w:rPr>
        <w:t>156.98%</w:t>
      </w:r>
      <w:r>
        <w:rPr/>
        <w:t>，其主要原因是：部分公司亏损提取递延 所得税。</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3" w:right="181" w:firstLine="360"/>
        <w:jc w:val="left"/>
      </w:pPr>
      <w:r>
        <w:rPr>
          <w:rFonts w:ascii="Times New Roman" w:hAnsi="Times New Roman" w:cs="Times New Roman" w:eastAsia="Times New Roman" w:hint="default"/>
        </w:rPr>
        <w:t>2012</w:t>
      </w:r>
      <w:r>
        <w:rPr/>
        <w:t>年度研发支出总额</w:t>
      </w:r>
      <w:r>
        <w:rPr>
          <w:rFonts w:ascii="Times New Roman" w:hAnsi="Times New Roman" w:cs="Times New Roman" w:eastAsia="Times New Roman" w:hint="default"/>
        </w:rPr>
        <w:t>29,369.83</w:t>
      </w:r>
      <w:r>
        <w:rPr/>
        <w:t>万元，较上年同期</w:t>
      </w:r>
      <w:r>
        <w:rPr>
          <w:rFonts w:ascii="Times New Roman" w:hAnsi="Times New Roman" w:cs="Times New Roman" w:eastAsia="Times New Roman" w:hint="default"/>
        </w:rPr>
        <w:t>27,286.31</w:t>
      </w:r>
      <w:r>
        <w:rPr/>
        <w:t>万元增加</w:t>
      </w:r>
      <w:r>
        <w:rPr>
          <w:rFonts w:ascii="Times New Roman" w:hAnsi="Times New Roman" w:cs="Times New Roman" w:eastAsia="Times New Roman" w:hint="default"/>
        </w:rPr>
        <w:t>2,083.52</w:t>
      </w:r>
      <w:r>
        <w:rPr/>
        <w:t>万元，增幅</w:t>
      </w:r>
      <w:r>
        <w:rPr>
          <w:rFonts w:ascii="Times New Roman" w:hAnsi="Times New Roman" w:cs="Times New Roman" w:eastAsia="Times New Roman" w:hint="default"/>
        </w:rPr>
        <w:t>7.64%</w:t>
      </w:r>
      <w:r>
        <w:rPr/>
        <w:t>，研发支出占净资产的</w:t>
      </w:r>
      <w:r>
        <w:rPr>
          <w:spacing w:val="2"/>
        </w:rPr>
        <w:t> </w:t>
      </w:r>
      <w:r>
        <w:rPr/>
        <w:t>比率（</w:t>
      </w:r>
      <w:r>
        <w:rPr>
          <w:rFonts w:ascii="Times New Roman" w:hAnsi="Times New Roman" w:cs="Times New Roman" w:eastAsia="Times New Roman" w:hint="default"/>
        </w:rPr>
        <w:t>2.05%</w:t>
      </w:r>
      <w:r>
        <w:rPr/>
        <w:t>）较上年同期（</w:t>
      </w:r>
      <w:r>
        <w:rPr>
          <w:rFonts w:ascii="Times New Roman" w:hAnsi="Times New Roman" w:cs="Times New Roman" w:eastAsia="Times New Roman" w:hint="default"/>
        </w:rPr>
        <w:t>1.82%</w:t>
      </w:r>
      <w:r>
        <w:rPr/>
        <w:t>）增加</w:t>
      </w:r>
      <w:r>
        <w:rPr>
          <w:rFonts w:ascii="Times New Roman" w:hAnsi="Times New Roman" w:cs="Times New Roman" w:eastAsia="Times New Roman" w:hint="default"/>
        </w:rPr>
        <w:t>0.23%</w:t>
      </w:r>
      <w:r>
        <w:rPr/>
        <w:t>，研发支出占营业收入的比率（</w:t>
      </w:r>
      <w:r>
        <w:rPr>
          <w:rFonts w:ascii="Times New Roman" w:hAnsi="Times New Roman" w:cs="Times New Roman" w:eastAsia="Times New Roman" w:hint="default"/>
        </w:rPr>
        <w:t>1.49%</w:t>
      </w:r>
      <w:r>
        <w:rPr/>
        <w:t>）较上年同期（</w:t>
      </w:r>
      <w:r>
        <w:rPr>
          <w:rFonts w:ascii="Times New Roman" w:hAnsi="Times New Roman" w:cs="Times New Roman" w:eastAsia="Times New Roman" w:hint="default"/>
        </w:rPr>
        <w:t>1.54%</w:t>
      </w:r>
      <w:r>
        <w:rPr/>
        <w:t>）减少</w:t>
      </w:r>
      <w:r>
        <w:rPr>
          <w:rFonts w:ascii="Times New Roman" w:hAnsi="Times New Roman" w:cs="Times New Roman" w:eastAsia="Times New Roman" w:hint="default"/>
        </w:rPr>
        <w:t>0.05%</w:t>
      </w:r>
      <w:r>
        <w:rPr/>
        <w:t>。</w:t>
      </w:r>
    </w:p>
    <w:p>
      <w:pPr>
        <w:pStyle w:val="BodyText"/>
        <w:spacing w:line="240" w:lineRule="auto" w:before="49"/>
        <w:ind w:left="513" w:right="181"/>
        <w:jc w:val="left"/>
      </w:pPr>
      <w:r>
        <w:rPr/>
        <w:t>主要项目研发建设情况：</w:t>
      </w:r>
    </w:p>
    <w:p>
      <w:pPr>
        <w:spacing w:line="300" w:lineRule="auto" w:before="76"/>
        <w:ind w:left="573" w:right="18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）晨鸣纸业技术中心创新能力建设</w:t>
      </w:r>
      <w:r>
        <w:rPr>
          <w:rFonts w:ascii="宋体" w:hAnsi="宋体" w:cs="宋体" w:eastAsia="宋体" w:hint="default"/>
          <w:b/>
          <w:bCs/>
          <w:w w:val="99"/>
          <w:sz w:val="18"/>
          <w:szCs w:val="18"/>
        </w:rPr>
        <w:t> </w:t>
      </w:r>
      <w:r>
        <w:rPr>
          <w:rFonts w:ascii="宋体" w:hAnsi="宋体" w:cs="宋体" w:eastAsia="宋体" w:hint="default"/>
          <w:b/>
          <w:bCs/>
          <w:sz w:val="18"/>
          <w:szCs w:val="18"/>
        </w:rPr>
        <w:t>研发项目的目的：</w:t>
      </w:r>
      <w:r>
        <w:rPr>
          <w:rFonts w:ascii="宋体" w:hAnsi="宋体" w:cs="宋体" w:eastAsia="宋体" w:hint="default"/>
          <w:sz w:val="18"/>
          <w:szCs w:val="18"/>
        </w:rPr>
        <w:t>该创新能力建设项目，以科学发展观为指导，以增强我国造纸行业在清洁制浆及其应用技术领域的</w:t>
      </w:r>
    </w:p>
    <w:p>
      <w:pPr>
        <w:pStyle w:val="BodyText"/>
        <w:spacing w:line="316" w:lineRule="auto" w:before="31"/>
        <w:ind w:left="153" w:right="191"/>
        <w:jc w:val="both"/>
      </w:pPr>
      <w:r>
        <w:rPr>
          <w:spacing w:val="-2"/>
        </w:rPr>
        <w:t>自主创新能力和企业的核心竞争力为目标，充分发挥企业在造纸行业的龙头作用，为解决我国面临的资源高效利用、节水节</w:t>
      </w:r>
      <w:r>
        <w:rPr>
          <w:spacing w:val="-66"/>
        </w:rPr>
        <w:t> </w:t>
      </w:r>
      <w:r>
        <w:rPr>
          <w:spacing w:val="-66"/>
        </w:rPr>
      </w:r>
      <w:r>
        <w:rPr>
          <w:spacing w:val="-2"/>
        </w:rPr>
        <w:t>能、环境污染治理等关键技术问题进行前瞻性的研究开发，并打造出一个创新能力强、知识体系齐全、规范化、具有国际领</w:t>
      </w:r>
      <w:r>
        <w:rPr>
          <w:spacing w:val="-66"/>
        </w:rPr>
        <w:t> </w:t>
      </w:r>
      <w:r>
        <w:rPr>
          <w:spacing w:val="-66"/>
        </w:rPr>
      </w:r>
      <w:r>
        <w:rPr>
          <w:spacing w:val="-2"/>
        </w:rPr>
        <w:t>先水平的清洁制浆及其应用技术创新团队，构建以企业为主体、产学研相结合的国内领先、国际一流水平的清洁制浆及其应</w:t>
      </w:r>
      <w:r>
        <w:rPr>
          <w:spacing w:val="-66"/>
        </w:rPr>
        <w:t> </w:t>
      </w:r>
      <w:r>
        <w:rPr>
          <w:spacing w:val="-66"/>
        </w:rPr>
      </w:r>
      <w:r>
        <w:rPr>
          <w:spacing w:val="-2"/>
        </w:rPr>
        <w:t>用技术创新研发体系，不断优化硬件设施的升级和配置，完善管理运行体制，努力建设成为造纸行业具有国际先进水平的清</w:t>
      </w:r>
      <w:r>
        <w:rPr>
          <w:spacing w:val="-66"/>
        </w:rPr>
        <w:t> </w:t>
      </w:r>
      <w:r>
        <w:rPr>
          <w:spacing w:val="-66"/>
        </w:rPr>
      </w:r>
      <w:r>
        <w:rPr/>
        <w:t>洁制浆及其应用研究开发实验室，为造纸行业的持续发展和技术升级提供有力的技术支持和硬件保障。</w:t>
      </w:r>
    </w:p>
    <w:p>
      <w:pPr>
        <w:pStyle w:val="BodyText"/>
        <w:spacing w:line="316" w:lineRule="auto" w:before="18"/>
        <w:ind w:left="153" w:right="91" w:firstLine="419"/>
        <w:jc w:val="left"/>
      </w:pPr>
      <w:r>
        <w:rPr>
          <w:rFonts w:ascii="宋体" w:hAnsi="宋体" w:cs="宋体" w:eastAsia="宋体" w:hint="default"/>
          <w:b/>
          <w:bCs/>
        </w:rPr>
        <w:t>研发项目的进展：</w:t>
      </w:r>
      <w:r>
        <w:rPr/>
        <w:t>目前项目建设任务已经基本完成。通过该项目的实施，已经引进了纤维分析仪、制浆分析仪、气体 分析系统、纸张物性自动测试仪、纤维筛分仪、多功能印刷适性仪等多台具有国际上先进水平的实验仪器和试验验证设备， </w:t>
      </w:r>
      <w:r>
        <w:rPr>
          <w:spacing w:val="-2"/>
        </w:rPr>
        <w:t>建成了以技术中心为核心，辐射全集团的清洁制浆及其应用研究开发实验室，大大提升了技术中心的基础研发设施水平，提</w:t>
      </w:r>
      <w:r>
        <w:rPr>
          <w:spacing w:val="-66"/>
        </w:rPr>
        <w:t> </w:t>
      </w:r>
      <w:r>
        <w:rPr>
          <w:spacing w:val="-66"/>
        </w:rPr>
      </w:r>
      <w:r>
        <w:rPr>
          <w:spacing w:val="-2"/>
        </w:rPr>
        <w:t>高了在清洁制浆及其应用技术领域的实验检测分析能力、研究开发能力和成果转化能力，形成了一整套完善的清洁制浆及其</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73" w:right="181" w:hanging="420"/>
        <w:jc w:val="left"/>
      </w:pPr>
      <w:r>
        <w:rPr/>
        <w:t>应用基础研究、设计、开发、生产、检测的技术研发体系，大大缩短了与国际先进水平的差距。 </w:t>
      </w:r>
      <w:r>
        <w:rPr>
          <w:rFonts w:ascii="宋体" w:hAnsi="宋体" w:cs="宋体" w:eastAsia="宋体" w:hint="default"/>
          <w:b/>
          <w:bCs/>
        </w:rPr>
        <w:t>研发项目拟达到的目标：</w:t>
      </w:r>
      <w:r>
        <w:rPr/>
        <w:t>①按期完成清洁制浆及其应用研究开发实验室建设，保证项目顺利通过验收；②具备开展高</w:t>
      </w:r>
    </w:p>
    <w:p>
      <w:pPr>
        <w:pStyle w:val="BodyText"/>
        <w:spacing w:line="304" w:lineRule="auto" w:before="18"/>
        <w:ind w:left="153" w:right="188"/>
        <w:jc w:val="both"/>
      </w:pPr>
      <w:r>
        <w:rPr>
          <w:spacing w:val="-2"/>
        </w:rPr>
        <w:t>得率制浆、再生纤维制浆清洁制浆及其应用技术领域从原材料到成品过程中的实验、检测、验证等研发工作的能力；③培养</w:t>
      </w:r>
      <w:r>
        <w:rPr>
          <w:spacing w:val="-66"/>
        </w:rPr>
        <w:t> </w:t>
      </w:r>
      <w:r>
        <w:rPr>
          <w:spacing w:val="-66"/>
        </w:rPr>
      </w:r>
      <w:r>
        <w:rPr>
          <w:spacing w:val="-2"/>
        </w:rPr>
        <w:t>一支</w:t>
      </w:r>
      <w:r>
        <w:rPr>
          <w:rFonts w:ascii="Times New Roman" w:hAnsi="Times New Roman" w:cs="Times New Roman" w:eastAsia="Times New Roman" w:hint="default"/>
          <w:spacing w:val="-2"/>
        </w:rPr>
        <w:t>20</w:t>
      </w:r>
      <w:r>
        <w:rPr>
          <w:spacing w:val="-2"/>
        </w:rPr>
        <w:t>人的知识层次合理、技术水平高，具有丰富实践经验的清洁制浆及其应用研发创新团队，强化平台建设，使之成为国</w:t>
      </w:r>
      <w:r>
        <w:rPr>
          <w:spacing w:val="-64"/>
        </w:rPr>
        <w:t> </w:t>
      </w:r>
      <w:r>
        <w:rPr>
          <w:spacing w:val="-64"/>
        </w:rPr>
      </w:r>
      <w:r>
        <w:rPr/>
        <w:t>内清洁制浆及其应用领域高水平专家人才的培养和交流平台；④该项目结束后，年均申报专利</w:t>
      </w:r>
      <w:r>
        <w:rPr>
          <w:rFonts w:ascii="Times New Roman" w:hAnsi="Times New Roman" w:cs="Times New Roman" w:eastAsia="Times New Roman" w:hint="default"/>
        </w:rPr>
        <w:t>5</w:t>
      </w:r>
      <w:r>
        <w:rPr/>
        <w:t>项，年可完成科研技术成果</w:t>
      </w:r>
      <w:r>
        <w:rPr>
          <w:spacing w:val="-84"/>
        </w:rPr>
        <w:t> </w:t>
      </w:r>
      <w:r>
        <w:rPr>
          <w:spacing w:val="-84"/>
        </w:rPr>
      </w:r>
      <w:r>
        <w:rPr>
          <w:spacing w:val="-2"/>
        </w:rPr>
        <w:t>转化</w:t>
      </w:r>
      <w:r>
        <w:rPr>
          <w:rFonts w:ascii="Times New Roman" w:hAnsi="Times New Roman" w:cs="Times New Roman" w:eastAsia="Times New Roman" w:hint="default"/>
          <w:spacing w:val="-2"/>
        </w:rPr>
        <w:t>10</w:t>
      </w:r>
      <w:r>
        <w:rPr>
          <w:spacing w:val="-2"/>
        </w:rPr>
        <w:t>项，另外，将在清洁制浆及其应用技术的研发方面获得突破，及时将成果推广应用到生产中，每年可实现直接经济效</w:t>
      </w:r>
      <w:r>
        <w:rPr>
          <w:spacing w:val="-64"/>
        </w:rPr>
        <w:t> </w:t>
      </w:r>
      <w:r>
        <w:rPr>
          <w:spacing w:val="-64"/>
        </w:rPr>
      </w:r>
      <w:r>
        <w:rPr/>
        <w:t>益</w:t>
      </w:r>
      <w:r>
        <w:rPr>
          <w:rFonts w:ascii="Times New Roman" w:hAnsi="Times New Roman" w:cs="Times New Roman" w:eastAsia="Times New Roman" w:hint="default"/>
        </w:rPr>
        <w:t>1</w:t>
      </w:r>
      <w:r>
        <w:rPr/>
        <w:t>亿元以上。</w:t>
      </w:r>
    </w:p>
    <w:p>
      <w:pPr>
        <w:pStyle w:val="BodyText"/>
        <w:spacing w:line="316" w:lineRule="auto" w:before="9"/>
        <w:ind w:left="153" w:right="188" w:firstLine="419"/>
        <w:jc w:val="both"/>
      </w:pPr>
      <w:r>
        <w:rPr>
          <w:rFonts w:ascii="宋体" w:hAnsi="宋体" w:cs="宋体" w:eastAsia="宋体" w:hint="default"/>
          <w:b/>
          <w:bCs/>
        </w:rPr>
        <w:t>研发项目预计对未来发展的影响：</w:t>
      </w:r>
      <w:r>
        <w:rPr/>
        <w:t>该项目建设完成后，将有效地提高晨鸣集团的整体技术装备、产品开发水平及试验 </w:t>
      </w:r>
      <w:r>
        <w:rPr>
          <w:spacing w:val="-2"/>
        </w:rPr>
        <w:t>验证能力，从而形成一整套完善的清洁制浆及其应用技术基础研究、设计、开发、生产、检测的技术研发体系，为研发自主</w:t>
      </w:r>
      <w:r>
        <w:rPr>
          <w:spacing w:val="-67"/>
        </w:rPr>
        <w:t> </w:t>
      </w:r>
      <w:r>
        <w:rPr>
          <w:spacing w:val="-67"/>
        </w:rPr>
      </w:r>
      <w:r>
        <w:rPr>
          <w:spacing w:val="-2"/>
        </w:rPr>
        <w:t>知识产权产品提供实验支撑条件。项目建设还可以促进人才培养，在晨鸣集团打造出一支强有力的技术创新团队，更多地掌</w:t>
      </w:r>
      <w:r>
        <w:rPr>
          <w:spacing w:val="-66"/>
        </w:rPr>
        <w:t> </w:t>
      </w:r>
      <w:r>
        <w:rPr>
          <w:spacing w:val="-66"/>
        </w:rPr>
      </w:r>
      <w:r>
        <w:rPr>
          <w:spacing w:val="-2"/>
        </w:rPr>
        <w:t>握新技术，为企业乃至整个行业的可持续发展提供保证。借助这一平台优势，还可以促进产学研合作，大大增强企业争创国</w:t>
      </w:r>
      <w:r>
        <w:rPr>
          <w:spacing w:val="-66"/>
        </w:rPr>
        <w:t> </w:t>
      </w:r>
      <w:r>
        <w:rPr>
          <w:spacing w:val="-66"/>
        </w:rPr>
      </w:r>
      <w:r>
        <w:rPr/>
        <w:t>际领先水平的实力。</w:t>
      </w:r>
    </w:p>
    <w:p>
      <w:pPr>
        <w:pStyle w:val="BodyText"/>
        <w:spacing w:line="316" w:lineRule="auto" w:before="18"/>
        <w:ind w:left="153" w:right="187" w:firstLine="419"/>
        <w:jc w:val="both"/>
      </w:pPr>
      <w:r>
        <w:rPr/>
        <w:t>通过对清洁制浆及其应用研究开发实验室的建设，将极大地增强晨鸣集团科研实力，新技术、新工艺、新产品的综合</w:t>
      </w:r>
      <w:r>
        <w:rPr>
          <w:spacing w:val="1"/>
        </w:rPr>
        <w:t> </w:t>
      </w:r>
      <w:r>
        <w:rPr>
          <w:spacing w:val="-2"/>
        </w:rPr>
        <w:t>研发能力，提高模拟实验分析能力，缩短新技术、新工艺、新产品的研发周期，提高新技术、新工艺、新产品的试验检测水</w:t>
      </w:r>
      <w:r>
        <w:rPr>
          <w:spacing w:val="-72"/>
        </w:rPr>
        <w:t> </w:t>
      </w:r>
      <w:r>
        <w:rPr>
          <w:spacing w:val="-72"/>
        </w:rPr>
      </w:r>
      <w:r>
        <w:rPr>
          <w:spacing w:val="-2"/>
        </w:rPr>
        <w:t>平和开发的成功率，有效解决行业、企业发展的瓶颈问题和行业急需的关键技术，特别是在高得率制浆、再生纤维制浆等清</w:t>
      </w:r>
      <w:r>
        <w:rPr>
          <w:spacing w:val="-66"/>
        </w:rPr>
        <w:t> </w:t>
      </w:r>
      <w:r>
        <w:rPr>
          <w:spacing w:val="-66"/>
        </w:rPr>
      </w:r>
      <w:r>
        <w:rPr>
          <w:spacing w:val="-2"/>
        </w:rPr>
        <w:t>洁制浆技术方面的研发和自主创新能力将会显著提高，将带动整个造纸行业清洁制浆技术的发展，使山东晨鸣纸业集团成为</w:t>
      </w:r>
      <w:r>
        <w:rPr>
          <w:spacing w:val="-64"/>
        </w:rPr>
        <w:t> </w:t>
      </w:r>
      <w:r>
        <w:rPr>
          <w:spacing w:val="-64"/>
        </w:rPr>
      </w:r>
      <w:r>
        <w:rPr/>
        <w:t>国内该领域研究、开发、推广的示范性基地。</w:t>
      </w:r>
    </w:p>
    <w:p>
      <w:pPr>
        <w:spacing w:line="300" w:lineRule="auto" w:before="18"/>
        <w:ind w:left="573" w:right="18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）高档涂布白色牛皮卡纸技术开发</w:t>
      </w:r>
      <w:r>
        <w:rPr>
          <w:rFonts w:ascii="宋体" w:hAnsi="宋体" w:cs="宋体" w:eastAsia="宋体" w:hint="default"/>
          <w:b/>
          <w:bCs/>
          <w:w w:val="99"/>
          <w:sz w:val="18"/>
          <w:szCs w:val="18"/>
        </w:rPr>
        <w:t> </w:t>
      </w:r>
      <w:r>
        <w:rPr>
          <w:rFonts w:ascii="宋体" w:hAnsi="宋体" w:cs="宋体" w:eastAsia="宋体" w:hint="default"/>
          <w:b/>
          <w:bCs/>
          <w:sz w:val="18"/>
          <w:szCs w:val="18"/>
        </w:rPr>
        <w:t>研发项目的目的：</w:t>
      </w:r>
      <w:r>
        <w:rPr>
          <w:rFonts w:ascii="宋体" w:hAnsi="宋体" w:cs="宋体" w:eastAsia="宋体" w:hint="default"/>
          <w:sz w:val="18"/>
          <w:szCs w:val="18"/>
        </w:rPr>
        <w:t>本项目结合国家及山东省造纸工业结构调整主导思想，根据国内高档包装纸市场当前及未来发展需</w:t>
      </w:r>
    </w:p>
    <w:p>
      <w:pPr>
        <w:pStyle w:val="BodyText"/>
        <w:spacing w:line="302" w:lineRule="auto" w:before="31"/>
        <w:ind w:left="153" w:right="190"/>
        <w:jc w:val="both"/>
      </w:pPr>
      <w:r>
        <w:rPr>
          <w:spacing w:val="-1"/>
        </w:rPr>
        <w:t>求，研究以</w:t>
      </w:r>
      <w:r>
        <w:rPr>
          <w:rFonts w:ascii="Times New Roman" w:hAnsi="Times New Roman" w:cs="Times New Roman" w:eastAsia="Times New Roman" w:hint="default"/>
          <w:spacing w:val="-1"/>
        </w:rPr>
        <w:t>OCC</w:t>
      </w:r>
      <w:r>
        <w:rPr>
          <w:spacing w:val="-1"/>
        </w:rPr>
        <w:t>（箱板纸废纸浆）和现有生产系统提供的</w:t>
      </w:r>
      <w:r>
        <w:rPr>
          <w:rFonts w:ascii="Times New Roman" w:hAnsi="Times New Roman" w:cs="Times New Roman" w:eastAsia="Times New Roman" w:hint="default"/>
          <w:spacing w:val="-1"/>
        </w:rPr>
        <w:t>DIP</w:t>
      </w:r>
      <w:r>
        <w:rPr>
          <w:spacing w:val="-1"/>
        </w:rPr>
        <w:t>（脱墨浆）浆为主要原料，配用少量阔叶木漂白化学浆开发的</w:t>
      </w:r>
      <w:r>
        <w:rPr>
          <w:spacing w:val="-62"/>
        </w:rPr>
        <w:t> </w:t>
      </w:r>
      <w:r>
        <w:rPr>
          <w:spacing w:val="-62"/>
        </w:rPr>
      </w:r>
      <w:r>
        <w:rPr>
          <w:spacing w:val="-2"/>
        </w:rPr>
        <w:t>高档涂布白色牛皮卡纸，可替代目前广泛使用的涂布白板纸和箱板纸，项目研究开发国内先进的清洁生产技术和白色牛卡纸</w:t>
      </w:r>
      <w:r>
        <w:rPr>
          <w:spacing w:val="-64"/>
        </w:rPr>
        <w:t> </w:t>
      </w:r>
      <w:r>
        <w:rPr>
          <w:spacing w:val="-64"/>
        </w:rPr>
      </w:r>
      <w:r>
        <w:rPr/>
        <w:t>施胶、涂布新技术，吨纸综合耗水量仅为</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z w:val="20"/>
          <w:szCs w:val="20"/>
        </w:rPr>
        <w:t>m³</w:t>
      </w:r>
      <w:r>
        <w:rPr/>
        <w:t>（行业清洁生产评价基数</w:t>
      </w:r>
      <w:r>
        <w:rPr>
          <w:rFonts w:ascii="Times New Roman" w:hAnsi="Times New Roman" w:cs="Times New Roman" w:eastAsia="Times New Roman" w:hint="default"/>
        </w:rPr>
        <w:t>30</w:t>
      </w:r>
      <w:r>
        <w:rPr>
          <w:sz w:val="20"/>
          <w:szCs w:val="20"/>
        </w:rPr>
        <w:t>m³</w:t>
      </w:r>
      <w:r>
        <w:rPr>
          <w:rFonts w:ascii="Times New Roman" w:hAnsi="Times New Roman" w:cs="Times New Roman" w:eastAsia="Times New Roman" w:hint="default"/>
        </w:rPr>
        <w:t>/t</w:t>
      </w:r>
      <w:r>
        <w:rPr/>
        <w:t>纸）。</w:t>
      </w:r>
    </w:p>
    <w:p>
      <w:pPr>
        <w:pStyle w:val="BodyText"/>
        <w:spacing w:line="316" w:lineRule="auto"/>
        <w:ind w:right="99" w:firstLine="419"/>
        <w:jc w:val="left"/>
      </w:pPr>
      <w:r>
        <w:rPr>
          <w:rFonts w:ascii="宋体" w:hAnsi="宋体" w:cs="宋体" w:eastAsia="宋体" w:hint="default"/>
          <w:b/>
          <w:bCs/>
        </w:rPr>
        <w:t>研发项目的进展：</w:t>
      </w:r>
      <w:r>
        <w:rPr/>
        <w:t>通过项目研究和技术攻关，依托现有的国家级技术中心、博士后科研工作站及新建成的达到国际先 </w:t>
      </w:r>
      <w:r>
        <w:rPr>
          <w:spacing w:val="-4"/>
        </w:rPr>
        <w:t>进水平的生产线，研发出专用表面施胶技术、自然流平涂布新工艺，研制的高档涂布白色牛卡纸耐破指数、横向环压指数高、</w:t>
      </w:r>
      <w:r>
        <w:rPr>
          <w:spacing w:val="-46"/>
        </w:rPr>
        <w:t> </w:t>
      </w:r>
      <w:r>
        <w:rPr>
          <w:spacing w:val="-46"/>
        </w:rPr>
      </w:r>
      <w:r>
        <w:rPr>
          <w:spacing w:val="-2"/>
        </w:rPr>
        <w:t>层间结合力好，产品不易断裂、分层；纸面颜料层覆盖好，油墨吸收性均匀，纸面平滑度好、印刷表面粗糙度低，印刷表面</w:t>
      </w:r>
      <w:r>
        <w:rPr>
          <w:spacing w:val="-72"/>
        </w:rPr>
        <w:t> </w:t>
      </w:r>
      <w:r>
        <w:rPr>
          <w:spacing w:val="-72"/>
        </w:rPr>
      </w:r>
      <w:r>
        <w:rPr>
          <w:spacing w:val="-2"/>
        </w:rPr>
        <w:t>强度高，产品不易爆皮、掉粉，印刷适性好；正反面吸水性低，产品抗水性能优异，市场竞争性强。项目技术申请国家专利</w:t>
      </w:r>
      <w:r>
        <w:rPr>
          <w:spacing w:val="-72"/>
        </w:rPr>
        <w:t> </w:t>
      </w:r>
      <w:r>
        <w:rPr>
          <w:spacing w:val="-72"/>
        </w:rPr>
      </w:r>
      <w:r>
        <w:rPr>
          <w:rFonts w:ascii="Times New Roman" w:hAnsi="Times New Roman" w:cs="Times New Roman" w:eastAsia="Times New Roman" w:hint="default"/>
        </w:rPr>
        <w:t>3</w:t>
      </w:r>
      <w:r>
        <w:rPr/>
        <w:t>项，其中发明专利</w:t>
      </w:r>
      <w:r>
        <w:rPr>
          <w:rFonts w:ascii="Times New Roman" w:hAnsi="Times New Roman" w:cs="Times New Roman" w:eastAsia="Times New Roman" w:hint="default"/>
        </w:rPr>
        <w:t>2</w:t>
      </w:r>
      <w:r>
        <w:rPr/>
        <w:t>项。</w:t>
      </w:r>
    </w:p>
    <w:p>
      <w:pPr>
        <w:pStyle w:val="BodyText"/>
        <w:spacing w:line="309" w:lineRule="auto"/>
        <w:ind w:left="153" w:right="91" w:firstLine="420"/>
        <w:jc w:val="left"/>
      </w:pPr>
      <w:r>
        <w:rPr>
          <w:rFonts w:ascii="宋体" w:hAnsi="宋体" w:cs="宋体" w:eastAsia="宋体" w:hint="default"/>
          <w:b/>
          <w:bCs/>
          <w:spacing w:val="-2"/>
        </w:rPr>
        <w:t>研发项目拟达到的目标：</w:t>
      </w:r>
      <w:r>
        <w:rPr>
          <w:spacing w:val="-2"/>
        </w:rPr>
        <w:t>本项目以</w:t>
      </w:r>
      <w:r>
        <w:rPr>
          <w:rFonts w:ascii="Times New Roman" w:hAnsi="Times New Roman" w:cs="Times New Roman" w:eastAsia="Times New Roman" w:hint="default"/>
          <w:spacing w:val="-2"/>
        </w:rPr>
        <w:t>OCC</w:t>
      </w:r>
      <w:r>
        <w:rPr>
          <w:spacing w:val="-2"/>
        </w:rPr>
        <w:t>和现有生产系统提供的</w:t>
      </w:r>
      <w:r>
        <w:rPr>
          <w:rFonts w:ascii="Times New Roman" w:hAnsi="Times New Roman" w:cs="Times New Roman" w:eastAsia="Times New Roman" w:hint="default"/>
          <w:spacing w:val="-2"/>
        </w:rPr>
        <w:t>DIP</w:t>
      </w:r>
      <w:r>
        <w:rPr>
          <w:spacing w:val="-2"/>
        </w:rPr>
        <w:t>浆为主要原料，配用少量阔叶木漂白化学浆研究开发</w:t>
      </w:r>
      <w:r>
        <w:rPr/>
        <w:t> </w:t>
      </w:r>
      <w:r>
        <w:rPr>
          <w:spacing w:val="-2"/>
        </w:rPr>
        <w:t>高档涂布白色牛皮卡纸，其研究内容主要包括科学合理的浆料配比工艺、湿布加填技术、纸张干、湿强增强技术、专用涂料</w:t>
      </w:r>
      <w:r>
        <w:rPr>
          <w:spacing w:val="-66"/>
        </w:rPr>
        <w:t> </w:t>
      </w:r>
      <w:r>
        <w:rPr>
          <w:spacing w:val="-66"/>
        </w:rPr>
      </w:r>
      <w:r>
        <w:rPr/>
        <w:t>配方及涂布工艺，以及清洁生产新技术，拟申报国家发明专利</w:t>
      </w:r>
      <w:r>
        <w:rPr>
          <w:rFonts w:ascii="Times New Roman" w:hAnsi="Times New Roman" w:cs="Times New Roman" w:eastAsia="Times New Roman" w:hint="default"/>
        </w:rPr>
        <w:t>1</w:t>
      </w:r>
      <w:r>
        <w:rPr/>
        <w:t>项以上，形成自主知识产权，产品定量范围110～220 g/㎡。 </w:t>
      </w:r>
      <w:r>
        <w:rPr>
          <w:spacing w:val="-2"/>
        </w:rPr>
        <w:t>高档涂布白色牛皮卡纸作为现有市场白板包装纸的升级换代产品，同时替代同类进口产品，产品质量技术指标及生产技术填</w:t>
      </w:r>
      <w:r>
        <w:rPr>
          <w:spacing w:val="-64"/>
        </w:rPr>
        <w:t> </w:t>
      </w:r>
      <w:r>
        <w:rPr>
          <w:spacing w:val="-64"/>
        </w:rPr>
      </w:r>
      <w:r>
        <w:rPr/>
        <w:t>补国内空白，达到国际先进水平。</w:t>
      </w:r>
    </w:p>
    <w:p>
      <w:pPr>
        <w:pStyle w:val="BodyText"/>
        <w:spacing w:line="316" w:lineRule="auto" w:before="24"/>
        <w:ind w:left="153" w:right="190" w:firstLine="419"/>
        <w:jc w:val="both"/>
      </w:pPr>
      <w:r>
        <w:rPr>
          <w:rFonts w:ascii="宋体" w:hAnsi="宋体" w:cs="宋体" w:eastAsia="宋体" w:hint="default"/>
          <w:b/>
          <w:bCs/>
        </w:rPr>
        <w:t>研发项目预计对未来发展的影响：</w:t>
      </w:r>
      <w:r>
        <w:rPr/>
        <w:t>研发生产的高档涂布白色牛皮卡纸具有质轻、表面平滑、韧性好、表面适印性好、 </w:t>
      </w:r>
      <w:r>
        <w:rPr>
          <w:spacing w:val="-2"/>
        </w:rPr>
        <w:t>美观大方等特点，适用于制造各种高档商品的礼盒和包装箱盒，具备印刷适应性和纸张性能优势，适合各行业对纸品包装材</w:t>
      </w:r>
      <w:r>
        <w:rPr>
          <w:spacing w:val="-66"/>
        </w:rPr>
        <w:t> </w:t>
      </w:r>
      <w:r>
        <w:rPr>
          <w:spacing w:val="-66"/>
        </w:rPr>
      </w:r>
      <w:r>
        <w:rPr/>
        <w:t>料持续增长的需求，物料和能源消耗较低，可节约大量的资源，将推动企业乃至整个行业的可持续发展进程。</w:t>
      </w:r>
    </w:p>
    <w:p>
      <w:pPr>
        <w:spacing w:line="300" w:lineRule="auto" w:before="18"/>
        <w:ind w:left="573" w:right="18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）国家</w:t>
      </w:r>
      <w:r>
        <w:rPr>
          <w:rFonts w:ascii="Times New Roman" w:hAnsi="Times New Roman" w:cs="Times New Roman" w:eastAsia="Times New Roman" w:hint="default"/>
          <w:b/>
          <w:bCs/>
          <w:sz w:val="18"/>
          <w:szCs w:val="18"/>
        </w:rPr>
        <w:t>“863”</w:t>
      </w:r>
      <w:r>
        <w:rPr>
          <w:rFonts w:ascii="宋体" w:hAnsi="宋体" w:cs="宋体" w:eastAsia="宋体" w:hint="default"/>
          <w:b/>
          <w:bCs/>
          <w:sz w:val="18"/>
          <w:szCs w:val="18"/>
        </w:rPr>
        <w:t>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生物造纸用酶研制与生物造纸工艺</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子课题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生物造纸工艺优化及产业化示范</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研发项目的目的：</w:t>
      </w:r>
      <w:r>
        <w:rPr>
          <w:rFonts w:ascii="宋体" w:hAnsi="宋体" w:cs="宋体" w:eastAsia="宋体" w:hint="default"/>
          <w:sz w:val="18"/>
          <w:szCs w:val="18"/>
        </w:rPr>
        <w:t>本课题从造纸工业过程转型升级对工业酶的需求出发，基于我国造纸用酶制剂性能差、成本高、应</w:t>
      </w:r>
    </w:p>
    <w:p>
      <w:pPr>
        <w:pStyle w:val="BodyText"/>
        <w:spacing w:line="316" w:lineRule="auto" w:before="31"/>
        <w:ind w:left="153" w:right="190"/>
        <w:jc w:val="both"/>
      </w:pPr>
      <w:r>
        <w:rPr>
          <w:spacing w:val="-2"/>
        </w:rPr>
        <w:t>用难等核心技术问题，重点开展造纸用的木聚糖酶、漆酶、纤维素酶和脂肪酶的酶制剂研制及其工程化应用研究，着力突破</w:t>
      </w:r>
      <w:r>
        <w:rPr>
          <w:spacing w:val="-66"/>
        </w:rPr>
        <w:t> </w:t>
      </w:r>
      <w:r>
        <w:rPr>
          <w:spacing w:val="-66"/>
        </w:rPr>
      </w:r>
      <w:r>
        <w:rPr>
          <w:spacing w:val="-2"/>
        </w:rPr>
        <w:t>造纸用酶基因高通量筛选、酶蛋白结构功能解析与分子设计改造、蛋白质高效表达、酶制剂规模化制备与复配、应用性能系</w:t>
      </w:r>
      <w:r>
        <w:rPr>
          <w:spacing w:val="-66"/>
        </w:rPr>
        <w:t> </w:t>
      </w:r>
      <w:r>
        <w:rPr>
          <w:spacing w:val="-66"/>
        </w:rPr>
      </w:r>
      <w:r>
        <w:rPr>
          <w:spacing w:val="-2"/>
        </w:rPr>
        <w:t>统评价及工程化应用工艺等关键技术，获得包括制浆和漂白用的碱性木聚糖酶和漆酶，脱墨用脂肪酶和纤维素酶等等适用工</w:t>
      </w:r>
      <w:r>
        <w:rPr>
          <w:spacing w:val="-64"/>
        </w:rPr>
        <w:t> </w:t>
      </w:r>
      <w:r>
        <w:rPr>
          <w:spacing w:val="-64"/>
        </w:rPr>
      </w:r>
      <w:r>
        <w:rPr>
          <w:spacing w:val="-2"/>
        </w:rPr>
        <w:t>艺应用性能新型造纸用工业酶，建立典型造纸工业过程的绿色化转型升级的新工艺，推动造纸用酶在制浆、漂白与脱墨等造</w:t>
      </w:r>
      <w:r>
        <w:rPr>
          <w:spacing w:val="-66"/>
        </w:rPr>
        <w:t> </w:t>
      </w:r>
      <w:r>
        <w:rPr>
          <w:spacing w:val="-66"/>
        </w:rPr>
      </w:r>
      <w:r>
        <w:rPr/>
        <w:t>纸工业领域的大规模应用，为发展节能减排和绿色经济提供重要技术支撑。</w:t>
      </w:r>
    </w:p>
    <w:p>
      <w:pPr>
        <w:pStyle w:val="BodyText"/>
        <w:spacing w:line="316" w:lineRule="auto" w:before="18"/>
        <w:ind w:left="153" w:right="191" w:firstLine="419"/>
        <w:jc w:val="both"/>
      </w:pPr>
      <w:r>
        <w:rPr>
          <w:rFonts w:ascii="宋体" w:hAnsi="宋体" w:cs="宋体" w:eastAsia="宋体" w:hint="default"/>
          <w:b/>
          <w:bCs/>
        </w:rPr>
        <w:t>研发项目的进展：</w:t>
      </w:r>
      <w:r>
        <w:rPr/>
        <w:t>目前，已联合课题组各单位，对生物酶在制浆造纸过程中应用，特别是生物酶对化学浆漂白、脱墨 制浆等进行理论性探讨研究，为科学开发适合大规模生产应用的高效的制浆造纸专用酶创造条件。</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right="101" w:firstLine="419"/>
        <w:jc w:val="left"/>
      </w:pPr>
      <w:r>
        <w:rPr>
          <w:rFonts w:ascii="宋体" w:hAnsi="宋体" w:cs="宋体" w:eastAsia="宋体" w:hint="default"/>
          <w:b/>
          <w:bCs/>
        </w:rPr>
        <w:t>研发项目拟达到的目标：</w:t>
      </w:r>
      <w:r>
        <w:rPr/>
        <w:t>根据现行的制浆、漂白工艺，协助课题组开展对造纸用酶的筛选和复配、制备工作，并进一 </w:t>
      </w:r>
      <w:r>
        <w:rPr>
          <w:spacing w:val="-2"/>
        </w:rPr>
        <w:t>步研究课题组研制的生物酶在化学浆漂白等工艺过程中的应用，进行生产中试并实现规模化应用，建立生物酶应用万吨级示</w:t>
      </w:r>
      <w:r>
        <w:rPr>
          <w:spacing w:val="-64"/>
        </w:rPr>
        <w:t> </w:t>
      </w:r>
      <w:r>
        <w:rPr>
          <w:spacing w:val="-64"/>
        </w:rPr>
      </w:r>
      <w:r>
        <w:rPr>
          <w:spacing w:val="-1"/>
        </w:rPr>
        <w:t>范生产线，提高制浆漂白白度和纸浆强度</w:t>
      </w:r>
      <w:r>
        <w:rPr>
          <w:rFonts w:ascii="Times New Roman" w:hAnsi="Times New Roman" w:cs="Times New Roman" w:eastAsia="Times New Roman" w:hint="default"/>
          <w:spacing w:val="-1"/>
        </w:rPr>
        <w:t>5%</w:t>
      </w:r>
      <w:r>
        <w:rPr>
          <w:spacing w:val="-1"/>
        </w:rPr>
        <w:t>以上，废水回用率达到</w:t>
      </w:r>
      <w:r>
        <w:rPr>
          <w:rFonts w:ascii="Times New Roman" w:hAnsi="Times New Roman" w:cs="Times New Roman" w:eastAsia="Times New Roman" w:hint="default"/>
          <w:spacing w:val="-1"/>
        </w:rPr>
        <w:t>80%</w:t>
      </w:r>
      <w:r>
        <w:rPr>
          <w:spacing w:val="-1"/>
        </w:rPr>
        <w:t>，减少碱用量</w:t>
      </w:r>
      <w:r>
        <w:rPr>
          <w:rFonts w:ascii="Times New Roman" w:hAnsi="Times New Roman" w:cs="Times New Roman" w:eastAsia="Times New Roman" w:hint="default"/>
          <w:spacing w:val="-1"/>
        </w:rPr>
        <w:t>60%</w:t>
      </w:r>
      <w:r>
        <w:rPr>
          <w:spacing w:val="-1"/>
        </w:rPr>
        <w:t>，减少化学漂白试剂用量</w:t>
      </w:r>
      <w:r>
        <w:rPr>
          <w:rFonts w:ascii="Times New Roman" w:hAnsi="Times New Roman" w:cs="Times New Roman" w:eastAsia="Times New Roman" w:hint="default"/>
          <w:spacing w:val="-1"/>
        </w:rPr>
        <w:t>20-40%</w:t>
      </w:r>
      <w:r>
        <w:rPr>
          <w:spacing w:val="-1"/>
        </w:rPr>
        <w:t>，</w:t>
      </w:r>
      <w:r>
        <w:rPr>
          <w:spacing w:val="-53"/>
        </w:rPr>
        <w:t> </w:t>
      </w:r>
      <w:r>
        <w:rPr/>
        <w:t>达到课题预期目标，申报发明专利</w:t>
      </w:r>
      <w:r>
        <w:rPr>
          <w:rFonts w:ascii="Times New Roman" w:hAnsi="Times New Roman" w:cs="Times New Roman" w:eastAsia="Times New Roman" w:hint="default"/>
        </w:rPr>
        <w:t>1</w:t>
      </w:r>
      <w:r>
        <w:rPr/>
        <w:t>项。</w:t>
      </w:r>
    </w:p>
    <w:p>
      <w:pPr>
        <w:pStyle w:val="BodyText"/>
        <w:spacing w:line="316" w:lineRule="auto" w:before="3"/>
        <w:ind w:right="181" w:firstLine="419"/>
        <w:jc w:val="left"/>
      </w:pPr>
      <w:r>
        <w:rPr>
          <w:rFonts w:ascii="宋体" w:hAnsi="宋体" w:cs="宋体" w:eastAsia="宋体" w:hint="default"/>
          <w:b/>
          <w:bCs/>
        </w:rPr>
        <w:t>研发项目预计对未来发展的影响：</w:t>
      </w:r>
      <w:r>
        <w:rPr/>
        <w:t>通过本课题实施，将建立我国绿色、低污染造纸工艺示范基地，促进学校、企业、 科研机构间技术创新联盟的紧密合作，加速技术成果转化，促进全行业技术水平和产品质量的提高。</w:t>
      </w:r>
    </w:p>
    <w:p>
      <w:pPr>
        <w:spacing w:line="240" w:lineRule="auto" w:before="7"/>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400"/>
        <w:gridCol w:w="2434"/>
        <w:gridCol w:w="2424"/>
        <w:gridCol w:w="2424"/>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19,399,885,121.58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18,658,276,342.80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17,443,018,643.59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19,095,739,353.69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1,956,866,477.99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-437,463,010.89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547.32%</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1,020,659,994.81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901,333,011.56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13.24%</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3,666,784,910.10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5,176,504,226.10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-29.16%</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-2,646,124,915.29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-4,275,171,214.54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38.10%</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25,318,157,575.12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20,350,721,078.39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24.41%</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24,594,961,130.78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15,165,670,072.07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62.18%</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723,196,444.34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5,185,051,006.32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-86.05%</w:t>
            </w:r>
          </w:p>
        </w:tc>
      </w:tr>
      <w:tr>
        <w:trPr>
          <w:trHeight w:val="403"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26,501,565.92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461,812,639.73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-94.26%</w:t>
            </w:r>
          </w:p>
        </w:tc>
      </w:tr>
    </w:tbl>
    <w:p>
      <w:pPr>
        <w:pStyle w:val="BodyText"/>
        <w:spacing w:line="240" w:lineRule="auto" w:before="51"/>
        <w:ind w:right="18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81"/>
        <w:jc w:val="left"/>
      </w:pPr>
      <w:r>
        <w:rPr/>
        <w:t>√ 适用 □ 不适用</w:t>
      </w:r>
    </w:p>
    <w:p>
      <w:pPr>
        <w:pStyle w:val="BodyText"/>
        <w:spacing w:line="302" w:lineRule="auto" w:before="116"/>
        <w:ind w:left="153" w:right="99" w:firstLine="360"/>
        <w:jc w:val="left"/>
      </w:pPr>
      <w:r>
        <w:rPr>
          <w:spacing w:val="-1"/>
        </w:rPr>
        <w:t>（</w:t>
      </w:r>
      <w:r>
        <w:rPr>
          <w:rFonts w:ascii="Times New Roman" w:hAnsi="Times New Roman" w:cs="Times New Roman" w:eastAsia="Times New Roman" w:hint="default"/>
          <w:spacing w:val="-1"/>
        </w:rPr>
        <w:t>1</w:t>
      </w:r>
      <w:r>
        <w:rPr>
          <w:spacing w:val="-1"/>
        </w:rPr>
        <w:t>）经营活动产生的现金净流量比上年同期增加</w:t>
      </w:r>
      <w:r>
        <w:rPr>
          <w:rFonts w:ascii="Times New Roman" w:hAnsi="Times New Roman" w:cs="Times New Roman" w:eastAsia="Times New Roman" w:hint="default"/>
          <w:spacing w:val="-1"/>
        </w:rPr>
        <w:t>547.32%</w:t>
      </w:r>
      <w:r>
        <w:rPr>
          <w:spacing w:val="-1"/>
        </w:rPr>
        <w:t>，主要是公司加大货款回收力度，销售商品收到的现金增加，</w:t>
      </w:r>
      <w:r>
        <w:rPr/>
        <w:t> 同时公司增加票据支付货款的支付比例。</w:t>
      </w:r>
    </w:p>
    <w:p>
      <w:pPr>
        <w:pStyle w:val="BodyText"/>
        <w:spacing w:line="240" w:lineRule="auto" w:before="69"/>
        <w:ind w:left="513" w:right="181"/>
        <w:jc w:val="left"/>
      </w:pPr>
      <w:r>
        <w:rPr/>
        <w:t>（</w:t>
      </w:r>
      <w:r>
        <w:rPr>
          <w:rFonts w:ascii="Times New Roman" w:hAnsi="Times New Roman" w:cs="Times New Roman" w:eastAsia="Times New Roman" w:hint="default"/>
        </w:rPr>
        <w:t>2</w:t>
      </w:r>
      <w:r>
        <w:rPr/>
        <w:t>）投资活动产生的现金净流量比上年同期增加</w:t>
      </w:r>
      <w:r>
        <w:rPr>
          <w:rFonts w:ascii="Times New Roman" w:hAnsi="Times New Roman" w:cs="Times New Roman" w:eastAsia="Times New Roman" w:hint="default"/>
        </w:rPr>
        <w:t>38.10%</w:t>
      </w:r>
      <w:r>
        <w:rPr/>
        <w:t>，主要是公司新增项目投资较上年度下降。</w:t>
      </w:r>
    </w:p>
    <w:p>
      <w:pPr>
        <w:pStyle w:val="BodyText"/>
        <w:spacing w:line="302" w:lineRule="auto" w:before="101"/>
        <w:ind w:right="181" w:firstLine="290"/>
        <w:jc w:val="left"/>
      </w:pPr>
      <w:r>
        <w:rPr/>
        <w:t>（</w:t>
      </w:r>
      <w:r>
        <w:rPr>
          <w:rFonts w:ascii="Times New Roman" w:hAnsi="Times New Roman" w:cs="Times New Roman" w:eastAsia="Times New Roman" w:hint="default"/>
        </w:rPr>
        <w:t>3</w:t>
      </w:r>
      <w:r>
        <w:rPr/>
        <w:t>）筹资活动产生的现金净流量比上年同期增加减少</w:t>
      </w:r>
      <w:r>
        <w:rPr>
          <w:rFonts w:ascii="Times New Roman" w:hAnsi="Times New Roman" w:cs="Times New Roman" w:eastAsia="Times New Roman" w:hint="default"/>
        </w:rPr>
        <w:t>86.05%</w:t>
      </w:r>
      <w:r>
        <w:rPr/>
        <w:t>，主要是公司新增项目投资较上年度下降，投资资金需求 较上年度明显下降。</w:t>
      </w:r>
    </w:p>
    <w:p>
      <w:pPr>
        <w:pStyle w:val="BodyText"/>
        <w:spacing w:line="240" w:lineRule="auto" w:before="70"/>
        <w:ind w:right="181"/>
        <w:jc w:val="left"/>
      </w:pPr>
      <w:r>
        <w:rPr/>
        <w:t>报告期内公司经营活动的现金流量与本年度净利润存在重大差异的原因说明</w:t>
      </w:r>
    </w:p>
    <w:p>
      <w:pPr>
        <w:pStyle w:val="BodyText"/>
        <w:spacing w:line="240" w:lineRule="auto" w:before="116"/>
        <w:ind w:right="181"/>
        <w:jc w:val="left"/>
      </w:pPr>
      <w:r>
        <w:rPr/>
        <w:t>√ 适用 □ 不适用</w:t>
      </w:r>
    </w:p>
    <w:p>
      <w:pPr>
        <w:pStyle w:val="BodyText"/>
        <w:spacing w:line="302" w:lineRule="auto" w:before="115"/>
        <w:ind w:right="177" w:firstLine="449"/>
        <w:jc w:val="left"/>
      </w:pPr>
      <w:r>
        <w:rPr/>
        <w:t>经营活动现金净流量比上年同期增加</w:t>
      </w:r>
      <w:r>
        <w:rPr>
          <w:spacing w:val="-58"/>
        </w:rPr>
        <w:t> </w:t>
      </w:r>
      <w:r>
        <w:rPr>
          <w:rFonts w:ascii="Times New Roman" w:hAnsi="Times New Roman" w:cs="Times New Roman" w:eastAsia="Times New Roman" w:hint="default"/>
        </w:rPr>
        <w:t>547.32%</w:t>
      </w:r>
      <w:r>
        <w:rPr/>
        <w:t>，归属于母公司净利润比上年同期减少</w:t>
      </w:r>
      <w:r>
        <w:rPr>
          <w:spacing w:val="-58"/>
        </w:rPr>
        <w:t> </w:t>
      </w:r>
      <w:r>
        <w:rPr>
          <w:rFonts w:ascii="Times New Roman" w:hAnsi="Times New Roman" w:cs="Times New Roman" w:eastAsia="Times New Roman" w:hint="default"/>
        </w:rPr>
        <w:t>63.66%</w:t>
      </w:r>
      <w:r>
        <w:rPr/>
        <w:t>，主要原因是：①本期净 利润减少主要由于利息支出增加</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亿元，影响筹资活动现金净流量；②公司加强对两项资金占用管理，库存减少。</w:t>
      </w:r>
    </w:p>
    <w:p>
      <w:pPr>
        <w:spacing w:line="240" w:lineRule="auto" w:before="1"/>
        <w:rPr>
          <w:rFonts w:ascii="宋体" w:hAnsi="宋体" w:cs="宋体" w:eastAsia="宋体" w:hint="default"/>
          <w:sz w:val="20"/>
          <w:szCs w:val="20"/>
        </w:rPr>
      </w:pPr>
    </w:p>
    <w:p>
      <w:pPr>
        <w:pStyle w:val="Heading2"/>
        <w:spacing w:line="240" w:lineRule="auto"/>
        <w:ind w:right="181"/>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767" w:right="19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74"/>
        <w:gridCol w:w="1405"/>
        <w:gridCol w:w="1406"/>
        <w:gridCol w:w="1374"/>
        <w:gridCol w:w="1378"/>
        <w:gridCol w:w="1376"/>
        <w:gridCol w:w="1380"/>
      </w:tblGrid>
      <w:tr>
        <w:trPr>
          <w:trHeight w:val="714" w:hRule="exact"/>
        </w:trPr>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53"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53"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9" w:right="54"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74"/>
        <w:gridCol w:w="1405"/>
        <w:gridCol w:w="1406"/>
        <w:gridCol w:w="1374"/>
        <w:gridCol w:w="1378"/>
        <w:gridCol w:w="1376"/>
        <w:gridCol w:w="1380"/>
      </w:tblGrid>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18,148,184,354.47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15,448,210,584.92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63,109,642.95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-36.39%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48,334,822.55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13,647,487.73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1,170,332,533.70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1,039,609,451.91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2,893,040,859.96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2,486,129,792.61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278,621,119.55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265,618,292.24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4,039,555,866.49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3,763,791,638.91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1,774,456,795.28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1,253,184,006.48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14.68%</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527,059,863.45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513,468,478.94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2,009,960,531.99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1,646,210,297.10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1,590,707,172.04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1,225,698,307.75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1,146.35%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1,142.33%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3,864,449,612.01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3,254,500,318.98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63,109,642.95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-36.39%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48,334,822.55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13,647,487.73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16,652,392,812.02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13,832,363,392.83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2,765,992,633.39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2,590,429,387.24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1.12%</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89"/>
        <w:gridCol w:w="1430"/>
        <w:gridCol w:w="970"/>
        <w:gridCol w:w="1429"/>
        <w:gridCol w:w="982"/>
        <w:gridCol w:w="724"/>
        <w:gridCol w:w="2870"/>
      </w:tblGrid>
      <w:tr>
        <w:trPr>
          <w:trHeight w:val="201" w:hRule="exact"/>
        </w:trPr>
        <w:tc>
          <w:tcPr>
            <w:tcW w:w="1289" w:type="dxa"/>
            <w:vMerge w:val="restart"/>
            <w:tcBorders>
              <w:top w:val="single" w:sz="4" w:space="0" w:color="000000"/>
              <w:left w:val="single" w:sz="4" w:space="0" w:color="000000"/>
              <w:right w:val="single" w:sz="4" w:space="0" w:color="000000"/>
            </w:tcBorders>
            <w:shd w:val="clear" w:color="auto" w:fill="D3D3D3"/>
          </w:tcPr>
          <w:p>
            <w:pP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24" w:type="dxa"/>
            <w:tcBorders>
              <w:top w:val="single" w:sz="4" w:space="0" w:color="000000"/>
              <w:left w:val="single" w:sz="4" w:space="0" w:color="000000"/>
              <w:bottom w:val="nil" w:sz="6" w:space="0" w:color="auto"/>
              <w:right w:val="single" w:sz="4" w:space="0" w:color="000000"/>
            </w:tcBorders>
            <w:shd w:val="clear" w:color="auto" w:fill="D3D3D3"/>
          </w:tcPr>
          <w:p>
            <w:pPr/>
          </w:p>
        </w:tc>
        <w:tc>
          <w:tcPr>
            <w:tcW w:w="2870"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289" w:type="dxa"/>
            <w:vMerge/>
            <w:tcBorders>
              <w:left w:val="single" w:sz="4" w:space="0" w:color="000000"/>
              <w:bottom w:val="nil" w:sz="6" w:space="0" w:color="auto"/>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2411" w:type="dxa"/>
            <w:gridSpan w:val="2"/>
            <w:vMerge/>
            <w:tcBorders>
              <w:left w:val="single" w:sz="4" w:space="0" w:color="000000"/>
              <w:bottom w:val="single" w:sz="4" w:space="0" w:color="000000"/>
              <w:right w:val="single" w:sz="4" w:space="0" w:color="000000"/>
            </w:tcBorders>
            <w:shd w:val="clear" w:color="auto" w:fill="D3D3D3"/>
          </w:tcPr>
          <w:p>
            <w:pPr/>
          </w:p>
        </w:tc>
        <w:tc>
          <w:tcPr>
            <w:tcW w:w="72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3" w:right="1" w:firstLine="63"/>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289" w:type="dxa"/>
            <w:vMerge w:val="restart"/>
            <w:tcBorders>
              <w:top w:val="nil" w:sz="6" w:space="0" w:color="auto"/>
              <w:left w:val="single" w:sz="4" w:space="0" w:color="000000"/>
              <w:right w:val="single" w:sz="4" w:space="0" w:color="000000"/>
            </w:tcBorders>
            <w:shd w:val="clear" w:color="auto" w:fill="D3D3D3"/>
          </w:tcPr>
          <w:p>
            <w:pPr/>
          </w:p>
        </w:tc>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35" w:right="2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9" w:type="dxa"/>
            <w:tcBorders>
              <w:top w:val="single" w:sz="4" w:space="0" w:color="000000"/>
              <w:left w:val="single" w:sz="4" w:space="0" w:color="000000"/>
              <w:bottom w:val="nil" w:sz="6" w:space="0" w:color="auto"/>
              <w:right w:val="single" w:sz="4" w:space="0" w:color="000000"/>
            </w:tcBorders>
            <w:shd w:val="clear" w:color="auto" w:fill="D3D3D3"/>
          </w:tcPr>
          <w:p>
            <w:pPr/>
          </w:p>
        </w:tc>
        <w:tc>
          <w:tcPr>
            <w:tcW w:w="9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35" w:right="40"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4" w:type="dxa"/>
            <w:vMerge/>
            <w:tcBorders>
              <w:left w:val="single" w:sz="4" w:space="0" w:color="000000"/>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289" w:type="dxa"/>
            <w:vMerge/>
            <w:tcBorders>
              <w:left w:val="single" w:sz="4" w:space="0" w:color="000000"/>
              <w:bottom w:val="nil" w:sz="6" w:space="0" w:color="auto"/>
              <w:right w:val="single" w:sz="4" w:space="0" w:color="000000"/>
            </w:tcBorders>
            <w:shd w:val="clear" w:color="auto" w:fill="D3D3D3"/>
          </w:tcPr>
          <w:p>
            <w:pPr/>
          </w:p>
        </w:tc>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vMerge/>
            <w:tcBorders>
              <w:left w:val="single" w:sz="4" w:space="0" w:color="000000"/>
              <w:right w:val="single" w:sz="4" w:space="0" w:color="000000"/>
            </w:tcBorders>
            <w:shd w:val="clear" w:color="auto" w:fill="D3D3D3"/>
          </w:tcPr>
          <w:p>
            <w:pPr/>
          </w:p>
        </w:tc>
        <w:tc>
          <w:tcPr>
            <w:tcW w:w="14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289" w:type="dxa"/>
            <w:vMerge w:val="restart"/>
            <w:tcBorders>
              <w:top w:val="nil" w:sz="6" w:space="0" w:color="auto"/>
              <w:left w:val="single" w:sz="4" w:space="0" w:color="000000"/>
              <w:right w:val="single" w:sz="4" w:space="0" w:color="000000"/>
            </w:tcBorders>
            <w:shd w:val="clear" w:color="auto" w:fill="D3D3D3"/>
          </w:tcPr>
          <w:p>
            <w:pPr/>
          </w:p>
        </w:tc>
        <w:tc>
          <w:tcPr>
            <w:tcW w:w="1430" w:type="dxa"/>
            <w:vMerge/>
            <w:tcBorders>
              <w:left w:val="single" w:sz="4" w:space="0" w:color="000000"/>
              <w:bottom w:val="nil" w:sz="6" w:space="0" w:color="auto"/>
              <w:right w:val="single" w:sz="4" w:space="0" w:color="000000"/>
            </w:tcBorders>
            <w:shd w:val="clear" w:color="auto" w:fill="D3D3D3"/>
          </w:tcPr>
          <w:p>
            <w:pPr/>
          </w:p>
        </w:tc>
        <w:tc>
          <w:tcPr>
            <w:tcW w:w="970" w:type="dxa"/>
            <w:vMerge/>
            <w:tcBorders>
              <w:left w:val="single" w:sz="4" w:space="0" w:color="000000"/>
              <w:right w:val="single" w:sz="4" w:space="0" w:color="000000"/>
            </w:tcBorders>
            <w:shd w:val="clear" w:color="auto" w:fill="D3D3D3"/>
          </w:tcPr>
          <w:p>
            <w:pPr/>
          </w:p>
        </w:tc>
        <w:tc>
          <w:tcPr>
            <w:tcW w:w="1429" w:type="dxa"/>
            <w:vMerge/>
            <w:tcBorders>
              <w:left w:val="single" w:sz="4" w:space="0" w:color="000000"/>
              <w:bottom w:val="nil" w:sz="6" w:space="0" w:color="auto"/>
              <w:right w:val="single" w:sz="4" w:space="0" w:color="000000"/>
            </w:tcBorders>
            <w:shd w:val="clear" w:color="auto" w:fill="D3D3D3"/>
          </w:tcPr>
          <w:p>
            <w:pPr/>
          </w:p>
        </w:tc>
        <w:tc>
          <w:tcPr>
            <w:tcW w:w="98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bottom w:val="nil" w:sz="6" w:space="0" w:color="auto"/>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289" w:type="dxa"/>
            <w:vMerge/>
            <w:tcBorders>
              <w:left w:val="single" w:sz="4" w:space="0" w:color="000000"/>
              <w:bottom w:val="single" w:sz="4" w:space="0" w:color="000000"/>
              <w:right w:val="single" w:sz="4" w:space="0" w:color="000000"/>
            </w:tcBorders>
            <w:shd w:val="clear" w:color="auto" w:fill="D3D3D3"/>
          </w:tcPr>
          <w:p>
            <w:pPr/>
          </w:p>
        </w:tc>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1429" w:type="dxa"/>
            <w:tcBorders>
              <w:top w:val="nil" w:sz="6" w:space="0" w:color="auto"/>
              <w:left w:val="single" w:sz="4" w:space="0" w:color="000000"/>
              <w:bottom w:val="single" w:sz="4" w:space="0" w:color="000000"/>
              <w:right w:val="single" w:sz="4" w:space="0" w:color="000000"/>
            </w:tcBorders>
            <w:shd w:val="clear" w:color="auto" w:fill="D3D3D3"/>
          </w:tcPr>
          <w:p>
            <w:pPr/>
          </w:p>
        </w:tc>
        <w:tc>
          <w:tcPr>
            <w:tcW w:w="982" w:type="dxa"/>
            <w:vMerge/>
            <w:tcBorders>
              <w:left w:val="single" w:sz="4" w:space="0" w:color="000000"/>
              <w:bottom w:val="single" w:sz="4" w:space="0" w:color="000000"/>
              <w:right w:val="single" w:sz="4" w:space="0" w:color="000000"/>
            </w:tcBorders>
            <w:shd w:val="clear" w:color="auto" w:fill="D3D3D3"/>
          </w:tcPr>
          <w:p>
            <w:pPr/>
          </w:p>
        </w:tc>
        <w:tc>
          <w:tcPr>
            <w:tcW w:w="724" w:type="dxa"/>
            <w:tcBorders>
              <w:top w:val="nil" w:sz="6" w:space="0" w:color="auto"/>
              <w:left w:val="single" w:sz="4" w:space="0" w:color="000000"/>
              <w:bottom w:val="single" w:sz="4" w:space="0" w:color="000000"/>
              <w:right w:val="single" w:sz="4" w:space="0" w:color="000000"/>
            </w:tcBorders>
            <w:shd w:val="clear" w:color="auto" w:fill="D3D3D3"/>
          </w:tcPr>
          <w:p>
            <w:pPr/>
          </w:p>
        </w:tc>
        <w:tc>
          <w:tcPr>
            <w:tcW w:w="28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4,456,217,362.86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9.34%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3,529,938,211.47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7.74%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1.6%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5"/>
                <w:sz w:val="18"/>
                <w:szCs w:val="18"/>
              </w:rPr>
              <w:t>主要是公司新建项目逐步投产，公司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05"/>
        <w:jc w:val="right"/>
      </w:pPr>
      <w:r>
        <w:rPr/>
        <w:pict>
          <v:shape style="position:absolute;margin-left:55.080002pt;margin-top:-70.26796pt;width:485.4pt;height:402.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1406"/>
                    <w:gridCol w:w="992"/>
                    <w:gridCol w:w="1406"/>
                    <w:gridCol w:w="992"/>
                    <w:gridCol w:w="725"/>
                    <w:gridCol w:w="2870"/>
                  </w:tblGrid>
                  <w:tr>
                    <w:trPr>
                      <w:trHeight w:val="674"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经营规模扩大，流动资金需求量增加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公司发行公司债增加货币资金。</w:t>
                        </w:r>
                      </w:p>
                    </w:tc>
                  </w:tr>
                  <w:tr>
                    <w:trPr>
                      <w:trHeight w:val="714"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3,602,955,051.18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2,886,437,754.69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主要是新建项目投产，公司规模扩 大，销售收入增加。</w:t>
                        </w:r>
                      </w:p>
                    </w:tc>
                  </w:tr>
                  <w:tr>
                    <w:trPr>
                      <w:trHeight w:val="1026"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4,412,548,700.68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5,586,472,121.37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both"/>
                          <w:rPr>
                            <w:rFonts w:ascii="宋体" w:hAnsi="宋体" w:cs="宋体" w:eastAsia="宋体" w:hint="default"/>
                            <w:sz w:val="18"/>
                            <w:szCs w:val="18"/>
                          </w:rPr>
                        </w:pPr>
                        <w:r>
                          <w:rPr>
                            <w:rFonts w:ascii="宋体" w:hAnsi="宋体" w:cs="宋体" w:eastAsia="宋体" w:hint="default"/>
                            <w:sz w:val="18"/>
                            <w:szCs w:val="18"/>
                          </w:rPr>
                          <w:t>主要是市场变化以及公司规模扩大 产成品及原材料库存增加公司加大 发货力度，降低库存占用。</w:t>
                        </w:r>
                      </w:p>
                    </w:tc>
                  </w:tr>
                  <w:tr>
                    <w:trPr>
                      <w:trHeight w:val="402"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21,211,699.99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22,949,956.03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356,796,777.78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77,434,005.49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公司子公司上海润晨股权投资基金 有限公司对外投资。</w:t>
                        </w:r>
                      </w:p>
                    </w:tc>
                  </w:tr>
                  <w:tr>
                    <w:trPr>
                      <w:trHeight w:val="1026"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19,751,339,991.06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22,740,904,031.02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主要是本期计提折旧，出售子公司齐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河晨鸣、鄄城晨鸣及吉林晨鸣搬迁 固定资产处置。</w:t>
                        </w:r>
                      </w:p>
                    </w:tc>
                  </w:tr>
                  <w:tr>
                    <w:trPr>
                      <w:trHeight w:val="714" w:hRule="exact"/>
                    </w:trPr>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5,017,604,821.59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2,618,039,624.85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吉林晨鸣新厂迁建项目、白牛卡项目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及电厂三期再扩建等项目投入。</w:t>
                        </w:r>
                      </w:p>
                    </w:tc>
                  </w:tr>
                  <w:tr>
                    <w:trPr>
                      <w:trHeight w:val="714" w:hRule="exact"/>
                    </w:trPr>
                    <w:tc>
                      <w:tcPr>
                        <w:tcW w:w="13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1,169,269,054.15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959,061,500.85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主要是公司林木资产购买、繁育及公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允价值变动。</w:t>
                        </w:r>
                      </w:p>
                    </w:tc>
                  </w:tr>
                  <w:tr>
                    <w:trPr>
                      <w:trHeight w:val="714" w:hRule="exact"/>
                    </w:trPr>
                    <w:tc>
                      <w:tcPr>
                        <w:tcW w:w="13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1,636,233,924.64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764,880,237.90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公司子公司广东慧锐投资有限公司 预付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建设项目款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r>
                  <w:tr>
                    <w:trPr>
                      <w:trHeight w:val="1338" w:hRule="exact"/>
                    </w:trPr>
                    <w:tc>
                      <w:tcPr>
                        <w:tcW w:w="13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1,284,655,342.63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325,550,913.72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公司应收出售子公司山东晨鸣纸业 集团齐河晨鸣板纸有限公司股权转 让款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2.74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亿元及往来债权</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亿元未 支付。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291"/>
        <w:gridCol w:w="1405"/>
        <w:gridCol w:w="994"/>
        <w:gridCol w:w="1406"/>
        <w:gridCol w:w="992"/>
        <w:gridCol w:w="724"/>
        <w:gridCol w:w="2870"/>
      </w:tblGrid>
      <w:tr>
        <w:trPr>
          <w:trHeight w:val="200" w:hRule="exact"/>
        </w:trPr>
        <w:tc>
          <w:tcPr>
            <w:tcW w:w="1291" w:type="dxa"/>
            <w:vMerge w:val="restart"/>
            <w:tcBorders>
              <w:top w:val="single" w:sz="4" w:space="0" w:color="000000"/>
              <w:left w:val="single" w:sz="4" w:space="0" w:color="000000"/>
              <w:right w:val="single" w:sz="4" w:space="0" w:color="000000"/>
            </w:tcBorders>
            <w:shd w:val="clear" w:color="auto" w:fill="D3D3D3"/>
          </w:tcPr>
          <w:p>
            <w:pP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24" w:type="dxa"/>
            <w:tcBorders>
              <w:top w:val="single" w:sz="4" w:space="0" w:color="000000"/>
              <w:left w:val="single" w:sz="4" w:space="0" w:color="000000"/>
              <w:bottom w:val="nil" w:sz="6" w:space="0" w:color="auto"/>
              <w:right w:val="single" w:sz="4" w:space="0" w:color="000000"/>
            </w:tcBorders>
            <w:shd w:val="clear" w:color="auto" w:fill="D3D3D3"/>
          </w:tcPr>
          <w:p>
            <w:pPr/>
          </w:p>
        </w:tc>
        <w:tc>
          <w:tcPr>
            <w:tcW w:w="2870"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291" w:type="dxa"/>
            <w:vMerge/>
            <w:tcBorders>
              <w:left w:val="single" w:sz="4" w:space="0" w:color="000000"/>
              <w:bottom w:val="nil" w:sz="6" w:space="0" w:color="auto"/>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72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 w:right="1" w:firstLine="63"/>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291" w:type="dxa"/>
            <w:vMerge w:val="restart"/>
            <w:tcBorders>
              <w:top w:val="nil" w:sz="6" w:space="0" w:color="auto"/>
              <w:left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47" w:right="41"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46" w:right="41"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4" w:type="dxa"/>
            <w:vMerge/>
            <w:tcBorders>
              <w:left w:val="single" w:sz="4" w:space="0" w:color="000000"/>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291" w:type="dxa"/>
            <w:vMerge/>
            <w:tcBorders>
              <w:left w:val="single" w:sz="4" w:space="0" w:color="000000"/>
              <w:bottom w:val="nil" w:sz="6" w:space="0" w:color="auto"/>
              <w:right w:val="single" w:sz="4" w:space="0" w:color="000000"/>
            </w:tcBorders>
            <w:shd w:val="clear" w:color="auto" w:fill="D3D3D3"/>
          </w:tcPr>
          <w:p>
            <w:pPr/>
          </w:p>
        </w:tc>
        <w:tc>
          <w:tcPr>
            <w:tcW w:w="14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3D3D3"/>
          </w:tcPr>
          <w:p>
            <w:pPr/>
          </w:p>
        </w:tc>
        <w:tc>
          <w:tcPr>
            <w:tcW w:w="14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291" w:type="dxa"/>
            <w:vMerge w:val="restart"/>
            <w:tcBorders>
              <w:top w:val="nil" w:sz="6" w:space="0" w:color="auto"/>
              <w:left w:val="single" w:sz="4" w:space="0" w:color="000000"/>
              <w:right w:val="single" w:sz="4" w:space="0" w:color="000000"/>
            </w:tcBorders>
            <w:shd w:val="clear" w:color="auto" w:fill="D3D3D3"/>
          </w:tcPr>
          <w:p>
            <w:pPr/>
          </w:p>
        </w:tc>
        <w:tc>
          <w:tcPr>
            <w:tcW w:w="1405" w:type="dxa"/>
            <w:vMerge/>
            <w:tcBorders>
              <w:left w:val="single" w:sz="4" w:space="0" w:color="000000"/>
              <w:bottom w:val="nil" w:sz="6" w:space="0" w:color="auto"/>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406"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bottom w:val="nil" w:sz="6" w:space="0" w:color="auto"/>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291" w:type="dxa"/>
            <w:vMerge/>
            <w:tcBorders>
              <w:left w:val="single" w:sz="4" w:space="0" w:color="000000"/>
              <w:bottom w:val="single" w:sz="4" w:space="0" w:color="000000"/>
              <w:right w:val="single" w:sz="4" w:space="0" w:color="000000"/>
            </w:tcBorders>
            <w:shd w:val="clear" w:color="auto" w:fill="D3D3D3"/>
          </w:tcPr>
          <w:p>
            <w:pPr/>
          </w:p>
        </w:tc>
        <w:tc>
          <w:tcPr>
            <w:tcW w:w="1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40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724" w:type="dxa"/>
            <w:tcBorders>
              <w:top w:val="nil" w:sz="6" w:space="0" w:color="auto"/>
              <w:left w:val="single" w:sz="4" w:space="0" w:color="000000"/>
              <w:bottom w:val="single" w:sz="4" w:space="0" w:color="000000"/>
              <w:right w:val="single" w:sz="4" w:space="0" w:color="000000"/>
            </w:tcBorders>
            <w:shd w:val="clear" w:color="auto" w:fill="D3D3D3"/>
          </w:tcPr>
          <w:p>
            <w:pPr/>
          </w:p>
        </w:tc>
        <w:tc>
          <w:tcPr>
            <w:tcW w:w="287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12,876,398,495.16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12,086,984,606.69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0.49%</w:t>
            </w:r>
          </w:p>
        </w:tc>
        <w:tc>
          <w:tcPr>
            <w:tcW w:w="2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3,933,167,835.94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5,143,067,496.05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-3.03%</w:t>
            </w:r>
          </w:p>
        </w:tc>
        <w:tc>
          <w:tcPr>
            <w:tcW w:w="2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1,285,627,762.07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615,327,402.85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7"/>
                <w:sz w:val="18"/>
                <w:szCs w:val="18"/>
              </w:rPr>
              <w:t>公司本期开具银行承兑汇票支付货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款增加。</w:t>
            </w:r>
          </w:p>
        </w:tc>
      </w:tr>
      <w:tr>
        <w:trPr>
          <w:trHeight w:val="402" w:hRule="exact"/>
        </w:trPr>
        <w:tc>
          <w:tcPr>
            <w:tcW w:w="1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3,239,781,724.81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4,685,585,997.60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公司本期支付货款增加。</w:t>
            </w:r>
          </w:p>
        </w:tc>
      </w:tr>
      <w:tr>
        <w:trPr>
          <w:trHeight w:val="1339" w:hRule="exact"/>
        </w:trPr>
        <w:tc>
          <w:tcPr>
            <w:tcW w:w="12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435,772,288.98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763,621,538.95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both"/>
              <w:rPr>
                <w:rFonts w:ascii="宋体" w:hAnsi="宋体" w:cs="宋体" w:eastAsia="宋体" w:hint="default"/>
                <w:sz w:val="18"/>
                <w:szCs w:val="18"/>
              </w:rPr>
            </w:pPr>
            <w:r>
              <w:rPr>
                <w:rFonts w:ascii="宋体" w:hAnsi="宋体" w:cs="宋体" w:eastAsia="宋体" w:hint="default"/>
                <w:spacing w:val="7"/>
                <w:sz w:val="18"/>
                <w:szCs w:val="18"/>
              </w:rPr>
              <w:t>公司子公司湛江晨鸣浆纸有限公司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2011 </w:t>
            </w:r>
            <w:r>
              <w:rPr>
                <w:rFonts w:ascii="宋体" w:hAnsi="宋体" w:cs="宋体" w:eastAsia="宋体" w:hint="default"/>
                <w:sz w:val="18"/>
                <w:szCs w:val="18"/>
              </w:rPr>
              <w:t>年收到的湛江市财政款项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亿 </w:t>
            </w:r>
            <w:r>
              <w:rPr>
                <w:rFonts w:ascii="宋体" w:hAnsi="宋体" w:cs="宋体" w:eastAsia="宋体" w:hint="default"/>
                <w:spacing w:val="-5"/>
                <w:sz w:val="18"/>
                <w:szCs w:val="18"/>
              </w:rPr>
              <w:t>元，本期转入其他非流动负债；以及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出售子公司导致合并范围的变化。</w:t>
            </w:r>
          </w:p>
        </w:tc>
      </w:tr>
    </w:tbl>
    <w:p>
      <w:pPr>
        <w:spacing w:after="0" w:line="312" w:lineRule="auto"/>
        <w:jc w:val="both"/>
        <w:rPr>
          <w:rFonts w:ascii="宋体" w:hAnsi="宋体" w:cs="宋体" w:eastAsia="宋体" w:hint="default"/>
          <w:sz w:val="18"/>
          <w:szCs w:val="18"/>
        </w:rPr>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290"/>
        <w:gridCol w:w="1417"/>
        <w:gridCol w:w="994"/>
        <w:gridCol w:w="1406"/>
        <w:gridCol w:w="992"/>
        <w:gridCol w:w="724"/>
        <w:gridCol w:w="2870"/>
      </w:tblGrid>
      <w:tr>
        <w:trPr>
          <w:trHeight w:val="402" w:hRule="exact"/>
        </w:trPr>
        <w:tc>
          <w:tcPr>
            <w:tcW w:w="12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6,256,263,237.00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13.11%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2,476,942,694.79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5.43%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7.68%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亿公司债。</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16"/>
        <w:gridCol w:w="1261"/>
        <w:gridCol w:w="1246"/>
        <w:gridCol w:w="1400"/>
        <w:gridCol w:w="948"/>
        <w:gridCol w:w="1092"/>
        <w:gridCol w:w="995"/>
        <w:gridCol w:w="1336"/>
      </w:tblGrid>
      <w:tr>
        <w:trPr>
          <w:trHeight w:val="161" w:hRule="exact"/>
        </w:trPr>
        <w:tc>
          <w:tcPr>
            <w:tcW w:w="1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5" w:right="78"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4" w:right="6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4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8" w:right="108"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50" w:right="9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99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5" w:right="37"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1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46" w:type="dxa"/>
            <w:vMerge/>
            <w:tcBorders>
              <w:left w:val="single" w:sz="4" w:space="0" w:color="000000"/>
              <w:right w:val="single" w:sz="4" w:space="0" w:color="000000"/>
            </w:tcBorders>
            <w:shd w:val="clear" w:color="auto" w:fill="D3D3D3"/>
          </w:tcPr>
          <w:p>
            <w:pPr/>
          </w:p>
        </w:tc>
        <w:tc>
          <w:tcPr>
            <w:tcW w:w="1400" w:type="dxa"/>
            <w:vMerge/>
            <w:tcBorders>
              <w:left w:val="single" w:sz="4" w:space="0" w:color="000000"/>
              <w:right w:val="single" w:sz="4" w:space="0" w:color="000000"/>
            </w:tcBorders>
            <w:shd w:val="clear" w:color="auto" w:fill="D3D3D3"/>
          </w:tcPr>
          <w:p>
            <w:pPr/>
          </w:p>
        </w:tc>
        <w:tc>
          <w:tcPr>
            <w:tcW w:w="948"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right w:val="single" w:sz="4" w:space="0" w:color="000000"/>
            </w:tcBorders>
            <w:shd w:val="clear" w:color="auto" w:fill="D3D3D3"/>
          </w:tcPr>
          <w:p>
            <w:pPr/>
          </w:p>
        </w:tc>
        <w:tc>
          <w:tcPr>
            <w:tcW w:w="995" w:type="dxa"/>
            <w:vMerge/>
            <w:tcBorders>
              <w:left w:val="single" w:sz="4" w:space="0" w:color="000000"/>
              <w:right w:val="single" w:sz="4" w:space="0" w:color="000000"/>
            </w:tcBorders>
            <w:shd w:val="clear" w:color="auto" w:fill="D3D3D3"/>
          </w:tcPr>
          <w:p>
            <w:pPr/>
          </w:p>
        </w:tc>
        <w:tc>
          <w:tcPr>
            <w:tcW w:w="13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2" w:hRule="exact"/>
        </w:trPr>
        <w:tc>
          <w:tcPr>
            <w:tcW w:w="1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6" w:type="dxa"/>
            <w:vMerge/>
            <w:tcBorders>
              <w:left w:val="single" w:sz="4" w:space="0" w:color="000000"/>
              <w:bottom w:val="single" w:sz="4" w:space="0" w:color="000000"/>
              <w:right w:val="single" w:sz="4" w:space="0" w:color="000000"/>
            </w:tcBorders>
            <w:shd w:val="clear" w:color="auto" w:fill="D3D3D3"/>
          </w:tcPr>
          <w:p>
            <w:pPr/>
          </w:p>
        </w:tc>
        <w:tc>
          <w:tcPr>
            <w:tcW w:w="1400" w:type="dxa"/>
            <w:vMerge/>
            <w:tcBorders>
              <w:left w:val="single" w:sz="4" w:space="0" w:color="000000"/>
              <w:bottom w:val="single" w:sz="4" w:space="0" w:color="000000"/>
              <w:right w:val="single" w:sz="4" w:space="0" w:color="000000"/>
            </w:tcBorders>
            <w:shd w:val="clear" w:color="auto" w:fill="D3D3D3"/>
          </w:tcPr>
          <w:p>
            <w:pPr/>
          </w:p>
        </w:tc>
        <w:tc>
          <w:tcPr>
            <w:tcW w:w="948"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995" w:type="dxa"/>
            <w:vMerge/>
            <w:tcBorders>
              <w:left w:val="single" w:sz="4" w:space="0" w:color="000000"/>
              <w:bottom w:val="single" w:sz="4" w:space="0" w:color="000000"/>
              <w:right w:val="single" w:sz="4" w:space="0" w:color="000000"/>
            </w:tcBorders>
            <w:shd w:val="clear" w:color="auto" w:fill="D3D3D3"/>
          </w:tcPr>
          <w:p>
            <w:pPr/>
          </w:p>
        </w:tc>
        <w:tc>
          <w:tcPr>
            <w:tcW w:w="13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7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959,061,500.85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47,822,076.87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177,821,813.40</w:t>
            </w:r>
          </w:p>
        </w:tc>
        <w:tc>
          <w:tcPr>
            <w:tcW w:w="94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12,030,651.26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6,275,089.72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1,169,269,054.15</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959,061,500.85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47,822,076.87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177,821,813.40</w:t>
            </w:r>
          </w:p>
        </w:tc>
        <w:tc>
          <w:tcPr>
            <w:tcW w:w="94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12,030,651.26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6,275,089.72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r>
      <w:tr>
        <w:trPr>
          <w:trHeight w:val="402"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81"/>
        <w:jc w:val="left"/>
      </w:pPr>
      <w:r>
        <w:rPr/>
        <w:t>报告期内公司主要资产计量属性是否发生重大变化</w:t>
      </w:r>
    </w:p>
    <w:p>
      <w:pPr>
        <w:pStyle w:val="BodyText"/>
        <w:spacing w:line="240" w:lineRule="auto" w:before="117"/>
        <w:ind w:left="153" w:right="181"/>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181"/>
        <w:jc w:val="left"/>
        <w:rPr>
          <w:b w:val="0"/>
          <w:bCs w:val="0"/>
        </w:rPr>
      </w:pP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81"/>
        <w:jc w:val="left"/>
      </w:pPr>
      <w:r>
        <w:rPr/>
        <w:t>公司是国内最大的造纸企业。与同行业其他企业相比，本公司具有以下优势：</w:t>
      </w:r>
    </w:p>
    <w:p>
      <w:pPr>
        <w:pStyle w:val="BodyText"/>
        <w:spacing w:line="309" w:lineRule="auto" w:before="115"/>
        <w:ind w:left="153" w:right="91" w:firstLine="360"/>
        <w:jc w:val="left"/>
      </w:pPr>
      <w:r>
        <w:rPr/>
        <w:t>（</w:t>
      </w:r>
      <w:r>
        <w:rPr>
          <w:rFonts w:ascii="Times New Roman" w:hAnsi="Times New Roman" w:cs="Times New Roman" w:eastAsia="Times New Roman" w:hint="default"/>
        </w:rPr>
        <w:t>1</w:t>
      </w:r>
      <w:r>
        <w:rPr/>
        <w:t>）规模优势。作为中国最大的国有控股造纸企业，通过多年的发展，公司目前已形成年产超过</w:t>
      </w:r>
      <w:r>
        <w:rPr>
          <w:rFonts w:ascii="Times New Roman" w:hAnsi="Times New Roman" w:cs="Times New Roman" w:eastAsia="Times New Roman" w:hint="default"/>
        </w:rPr>
        <w:t>600</w:t>
      </w:r>
      <w:r>
        <w:rPr/>
        <w:t>万吨的生产能力， </w:t>
      </w:r>
      <w:r>
        <w:rPr>
          <w:spacing w:val="-2"/>
        </w:rPr>
        <w:t>具备与国际造纸企业相抗衡的规模。大规模集中的生产使公司具有明显的经济效益，不仅体现在产品的制造成本上，而且公</w:t>
      </w:r>
      <w:r>
        <w:rPr>
          <w:spacing w:val="-66"/>
        </w:rPr>
        <w:t> </w:t>
      </w:r>
      <w:r>
        <w:rPr>
          <w:spacing w:val="-66"/>
        </w:rPr>
      </w:r>
      <w:r>
        <w:rPr/>
        <w:t>司在原材料采购、产品定价、行业政策制订等方面都具有很强的市场影响力。</w:t>
      </w:r>
    </w:p>
    <w:p>
      <w:pPr>
        <w:pStyle w:val="BodyText"/>
        <w:spacing w:line="314" w:lineRule="auto" w:before="62"/>
        <w:ind w:left="153" w:right="99" w:firstLine="360"/>
        <w:jc w:val="left"/>
      </w:pPr>
      <w:r>
        <w:rPr/>
        <w:t>（</w:t>
      </w:r>
      <w:r>
        <w:rPr>
          <w:rFonts w:ascii="Times New Roman" w:hAnsi="Times New Roman" w:cs="Times New Roman" w:eastAsia="Times New Roman" w:hint="default"/>
        </w:rPr>
        <w:t>2</w:t>
      </w:r>
      <w:r>
        <w:rPr/>
        <w:t>）产品优势。公司在产品规模迅速扩大的同时，产品结构也在不断优化。近年来，公司先后建设了高档铜版纸、高 </w:t>
      </w:r>
      <w:r>
        <w:rPr>
          <w:spacing w:val="-2"/>
        </w:rPr>
        <w:t>档低定量涂布纸、高档白卡纸、高档双胶纸等生产线，引进国际领先的技术装备，产品技术含量和附加值较高，毛利率水平</w:t>
      </w:r>
      <w:r>
        <w:rPr>
          <w:spacing w:val="-66"/>
        </w:rPr>
        <w:t> </w:t>
      </w:r>
      <w:r>
        <w:rPr>
          <w:spacing w:val="-66"/>
        </w:rPr>
      </w:r>
      <w:r>
        <w:rPr>
          <w:spacing w:val="-2"/>
        </w:rPr>
        <w:t>较高。公司产品结构已由过去的普通胶版纸为主发展成为拥有包括书写纸、双胶纸、轻涂纸、新闻纸、铜版纸、白卡纸、生</w:t>
      </w:r>
      <w:r>
        <w:rPr>
          <w:spacing w:val="-71"/>
        </w:rPr>
        <w:t> </w:t>
      </w:r>
      <w:r>
        <w:rPr>
          <w:spacing w:val="-71"/>
        </w:rPr>
      </w:r>
      <w:r>
        <w:rPr>
          <w:spacing w:val="-4"/>
        </w:rPr>
        <w:t>活纸等产品系列的造纸企业，成为中国造纸行业中产品品种最多的公司。未来公司高档产品的比重还将进一步提升。多元化、</w:t>
      </w:r>
      <w:r>
        <w:rPr>
          <w:spacing w:val="-44"/>
        </w:rPr>
        <w:t> </w:t>
      </w:r>
      <w:r>
        <w:rPr>
          <w:spacing w:val="-44"/>
        </w:rPr>
      </w:r>
      <w:r>
        <w:rPr/>
        <w:t>高档化的产品结构不仅使得公司抵御市场风险的能力大大增强，还可以使公司保持相对较强的盈利能力。</w:t>
      </w:r>
    </w:p>
    <w:p>
      <w:pPr>
        <w:pStyle w:val="BodyText"/>
        <w:spacing w:line="312" w:lineRule="auto" w:before="60"/>
        <w:ind w:left="153" w:right="181" w:firstLine="360"/>
        <w:jc w:val="left"/>
      </w:pPr>
      <w:r>
        <w:rPr/>
        <w:t>（</w:t>
      </w:r>
      <w:r>
        <w:rPr>
          <w:rFonts w:ascii="Times New Roman" w:hAnsi="Times New Roman" w:cs="Times New Roman" w:eastAsia="Times New Roman" w:hint="default"/>
        </w:rPr>
        <w:t>3</w:t>
      </w:r>
      <w:r>
        <w:rPr/>
        <w:t>）技术装备优势。公司总体技术装备具有世界先进水平，主要生产设备均引进国际知名的芬兰美卓、奥斯龙、德国 福依特、奥地利安德里兹和美国</w:t>
      </w:r>
      <w:r>
        <w:rPr>
          <w:rFonts w:ascii="Times New Roman" w:hAnsi="Times New Roman" w:cs="Times New Roman" w:eastAsia="Times New Roman" w:hint="default"/>
        </w:rPr>
        <w:t>ABB</w:t>
      </w:r>
      <w:r>
        <w:rPr/>
        <w:t>等厂家产品，达到国际先进水平，其中包括世界先进的稀释水流浆箱、叠网成型、单 </w:t>
      </w:r>
      <w:r>
        <w:rPr>
          <w:spacing w:val="-2"/>
        </w:rPr>
        <w:t>挂式烘干部、机内薄膜涂布机、非接触式热风干燥和在线双面软密压光机，并配备有在线纸病监测系统、横幅厚度控制系统</w:t>
      </w:r>
      <w:r>
        <w:rPr>
          <w:spacing w:val="-66"/>
        </w:rPr>
        <w:t> </w:t>
      </w:r>
      <w:r>
        <w:rPr>
          <w:spacing w:val="-66"/>
        </w:rPr>
      </w:r>
      <w:r>
        <w:rPr>
          <w:spacing w:val="-2"/>
        </w:rPr>
        <w:t>和智能化质量控制系统等先进的技术装备。公司采用的技术装备集中体现了当今造纸工业技术密集、机电一体的特点。浆料</w:t>
      </w:r>
      <w:r>
        <w:rPr>
          <w:spacing w:val="-66"/>
        </w:rPr>
        <w:t> </w:t>
      </w:r>
      <w:r>
        <w:rPr>
          <w:spacing w:val="-66"/>
        </w:rPr>
      </w:r>
      <w:r>
        <w:rPr>
          <w:spacing w:val="-2"/>
        </w:rPr>
        <w:t>系统的除气技术、湿部化学技术、纸页智能横向控制技术、涂料制备技术、自由喷射上料涂布技术、多压区压力平衡压光技</w:t>
      </w:r>
      <w:r>
        <w:rPr>
          <w:spacing w:val="-66"/>
        </w:rPr>
        <w:t> </w:t>
      </w:r>
      <w:r>
        <w:rPr>
          <w:spacing w:val="-66"/>
        </w:rPr>
      </w:r>
      <w:r>
        <w:rPr/>
        <w:t>术及自主开发的工艺流程，都达到了国际先进水平。</w:t>
      </w:r>
    </w:p>
    <w:p>
      <w:pPr>
        <w:pStyle w:val="BodyText"/>
        <w:spacing w:line="314" w:lineRule="auto" w:before="61"/>
        <w:ind w:left="153" w:right="91" w:firstLine="360"/>
        <w:jc w:val="left"/>
      </w:pPr>
      <w:r>
        <w:rPr/>
        <w:t>（</w:t>
      </w:r>
      <w:r>
        <w:rPr>
          <w:rFonts w:ascii="Times New Roman" w:hAnsi="Times New Roman" w:cs="Times New Roman" w:eastAsia="Times New Roman" w:hint="default"/>
        </w:rPr>
        <w:t>4</w:t>
      </w:r>
      <w:r>
        <w:rPr/>
        <w:t>）科研创新优势。公司发挥自身强大的科研优势，以国家级企业技术中心和博士后科研工作站为依托，构建完善的 知识产权体系，不断加大技术创新能力和科研开发力度，积极开发科技含量高、附加值高的新产品和企业专有技术。同时， </w:t>
      </w:r>
      <w:r>
        <w:rPr>
          <w:spacing w:val="-2"/>
        </w:rPr>
        <w:t>晨鸣纸业技术中心积极与大专院校、科研单位和国际先进企业进行技术合作，国内方面分别与天津科技大学、山东造纸研究</w:t>
      </w:r>
      <w:r>
        <w:rPr>
          <w:spacing w:val="-66"/>
        </w:rPr>
        <w:t> </w:t>
      </w:r>
      <w:r>
        <w:rPr>
          <w:spacing w:val="-66"/>
        </w:rPr>
      </w:r>
      <w:r>
        <w:rPr/>
        <w:t>院、中国制浆造纸研究院建立制浆造纸研究所、特种纸技术开发研究所、造纸涂布技术研究所等科研开发机构，国际方面， </w:t>
      </w:r>
      <w:r>
        <w:rPr>
          <w:spacing w:val="-2"/>
        </w:rPr>
        <w:t>与美国陶氏化学品公司建立了造纸胶粘剂研究所，与韩国茂林公司进行优势对接，全面进行技术合作，分别建立了涂布纸研</w:t>
      </w:r>
      <w:r>
        <w:rPr>
          <w:spacing w:val="-66"/>
        </w:rPr>
        <w:t> </w:t>
      </w:r>
      <w:r>
        <w:rPr>
          <w:spacing w:val="-66"/>
        </w:rPr>
      </w:r>
      <w:r>
        <w:rPr>
          <w:spacing w:val="-2"/>
        </w:rPr>
        <w:t>究所和制浆造纸工艺研究所；形成了立足国内，辐射国际先进造纸研究基地的研究开发网络，有力保证了晨鸣纸业在国内同</w:t>
      </w:r>
      <w:r>
        <w:rPr>
          <w:spacing w:val="-66"/>
        </w:rPr>
        <w:t> </w:t>
      </w:r>
      <w:r>
        <w:rPr>
          <w:spacing w:val="-66"/>
        </w:rPr>
      </w:r>
      <w:r>
        <w:rPr/>
        <w:t>行业科研中的领先地位。</w:t>
      </w:r>
    </w:p>
    <w:p>
      <w:pPr>
        <w:pStyle w:val="BodyText"/>
        <w:spacing w:line="300" w:lineRule="auto" w:before="61"/>
        <w:ind w:left="153" w:right="191" w:firstLine="360"/>
        <w:jc w:val="both"/>
      </w:pPr>
      <w:r>
        <w:rPr/>
        <w:t>（</w:t>
      </w:r>
      <w:r>
        <w:rPr>
          <w:rFonts w:ascii="Times New Roman" w:hAnsi="Times New Roman" w:cs="Times New Roman" w:eastAsia="Times New Roman" w:hint="default"/>
        </w:rPr>
        <w:t>5</w:t>
      </w:r>
      <w:r>
        <w:rPr/>
        <w:t>）综合成本优势。公司拥有较为突出的综合成本优势，主要体现在：一是公司通过严格的管理，优化了生产线运作 </w:t>
      </w:r>
      <w:r>
        <w:rPr>
          <w:spacing w:val="-1"/>
        </w:rPr>
        <w:t>水平，较大幅度减少了跑、冒、滴、漏等资源浪费，公司吨纸能耗也控制在较低的水平；二是公司建成了</w:t>
      </w:r>
      <w:r>
        <w:rPr>
          <w:rFonts w:ascii="Times New Roman" w:hAnsi="Times New Roman" w:cs="Times New Roman" w:eastAsia="Times New Roman" w:hint="default"/>
          <w:spacing w:val="-1"/>
        </w:rPr>
        <w:t>150</w:t>
      </w:r>
      <w:r>
        <w:rPr>
          <w:spacing w:val="-1"/>
        </w:rPr>
        <w:t>吨</w:t>
      </w:r>
      <w:r>
        <w:rPr>
          <w:rFonts w:ascii="Times New Roman" w:hAnsi="Times New Roman" w:cs="Times New Roman" w:eastAsia="Times New Roman" w:hint="default"/>
          <w:spacing w:val="-1"/>
        </w:rPr>
        <w:t>/</w:t>
      </w:r>
      <w:r>
        <w:rPr>
          <w:spacing w:val="-1"/>
        </w:rPr>
        <w:t>天化机浆生</w:t>
      </w:r>
      <w:r>
        <w:rPr>
          <w:spacing w:val="-82"/>
        </w:rPr>
        <w:t> </w:t>
      </w:r>
      <w:r>
        <w:rPr/>
        <w:t>产线及年产</w:t>
      </w:r>
      <w:r>
        <w:rPr>
          <w:rFonts w:ascii="Times New Roman" w:hAnsi="Times New Roman" w:cs="Times New Roman" w:eastAsia="Times New Roman" w:hint="default"/>
        </w:rPr>
        <w:t>25</w:t>
      </w:r>
      <w:r>
        <w:rPr/>
        <w:t>万吨</w:t>
      </w:r>
      <w:r>
        <w:rPr>
          <w:rFonts w:ascii="Times New Roman" w:hAnsi="Times New Roman" w:cs="Times New Roman" w:eastAsia="Times New Roman" w:hint="default"/>
        </w:rPr>
        <w:t>BCTMP</w:t>
      </w:r>
      <w:r>
        <w:rPr/>
        <w:t>制浆生产线，还通过建设湛江</w:t>
      </w:r>
      <w:r>
        <w:rPr>
          <w:rFonts w:ascii="Times New Roman" w:hAnsi="Times New Roman" w:cs="Times New Roman" w:eastAsia="Times New Roman" w:hint="default"/>
        </w:rPr>
        <w:t>70</w:t>
      </w:r>
      <w:r>
        <w:rPr/>
        <w:t>万吨木浆项目加大了对主要原材料的供应建设；三是公司通过兴 建自备电厂来保证公司能源供应，降低了成本。</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4" w:lineRule="auto" w:before="44"/>
        <w:ind w:left="153" w:right="150" w:firstLine="360"/>
        <w:jc w:val="both"/>
      </w:pPr>
      <w:r>
        <w:rPr/>
        <w:t>（</w:t>
      </w:r>
      <w:r>
        <w:rPr>
          <w:rFonts w:ascii="Times New Roman" w:hAnsi="Times New Roman" w:cs="Times New Roman" w:eastAsia="Times New Roman" w:hint="default"/>
        </w:rPr>
        <w:t>6</w:t>
      </w:r>
      <w:r>
        <w:rPr/>
        <w:t>）资金优势造纸行业是资金密集型行业，资金是对造纸行业发展最为重要的要素之一。公司具有良好的盈利能力和 </w:t>
      </w:r>
      <w:r>
        <w:rPr>
          <w:spacing w:val="-2"/>
        </w:rPr>
        <w:t>资信状况，长期与银行保持较为稳定的合作关系，使公司具有较为通畅的间接融资能力。公司近年来充分借助间接融资渠道</w:t>
      </w:r>
      <w:r>
        <w:rPr>
          <w:spacing w:val="-66"/>
        </w:rPr>
        <w:t> </w:t>
      </w:r>
      <w:r>
        <w:rPr>
          <w:spacing w:val="-66"/>
        </w:rPr>
      </w:r>
      <w:r>
        <w:rPr>
          <w:spacing w:val="-2"/>
        </w:rPr>
        <w:t>加快发展，在借款增加的同时，保持了较高的净资产收益率，提高了公司的盈利水平，较好的发挥财务杠杆优势，符合实现</w:t>
      </w:r>
      <w:r>
        <w:rPr>
          <w:spacing w:val="-66"/>
        </w:rPr>
        <w:t> </w:t>
      </w:r>
      <w:r>
        <w:rPr>
          <w:spacing w:val="-66"/>
        </w:rPr>
      </w:r>
      <w:r>
        <w:rPr>
          <w:spacing w:val="-2"/>
        </w:rPr>
        <w:t>股东财富最大化的财务目标。公司自上市以来一直保持良好的经营业绩，具备较为完善的法人治理结构，公司先后通过境内</w:t>
      </w:r>
      <w:r>
        <w:rPr>
          <w:spacing w:val="-66"/>
        </w:rPr>
        <w:t> </w:t>
      </w:r>
      <w:r>
        <w:rPr>
          <w:spacing w:val="-66"/>
        </w:rPr>
      </w:r>
      <w:r>
        <w:rPr>
          <w:spacing w:val="-2"/>
        </w:rPr>
        <w:t>外证券市场实现多次融资，且融资获取的资金使用效果良好，市场形象较好，这也使公司具备了较强的通过证券市场直接融</w:t>
      </w:r>
      <w:r>
        <w:rPr>
          <w:spacing w:val="-66"/>
        </w:rPr>
        <w:t> </w:t>
      </w:r>
      <w:r>
        <w:rPr>
          <w:spacing w:val="-66"/>
        </w:rPr>
      </w:r>
      <w:r>
        <w:rPr/>
        <w:t>资的能力。</w:t>
      </w:r>
    </w:p>
    <w:p>
      <w:pPr>
        <w:pStyle w:val="BodyText"/>
        <w:spacing w:line="309" w:lineRule="auto" w:before="61"/>
        <w:ind w:left="153" w:right="150" w:firstLine="290"/>
        <w:jc w:val="both"/>
      </w:pPr>
      <w:r>
        <w:rPr>
          <w:spacing w:val="-2"/>
        </w:rPr>
        <w:t>（</w:t>
      </w:r>
      <w:r>
        <w:rPr>
          <w:rFonts w:ascii="Times New Roman" w:hAnsi="Times New Roman" w:cs="Times New Roman" w:eastAsia="Times New Roman" w:hint="default"/>
          <w:spacing w:val="-2"/>
        </w:rPr>
        <w:t>7</w:t>
      </w:r>
      <w:r>
        <w:rPr>
          <w:spacing w:val="-2"/>
        </w:rPr>
        <w:t>）环保治理能力优势。多年来，公司上下牢固树立起了</w:t>
      </w:r>
      <w:r>
        <w:rPr>
          <w:rFonts w:ascii="Times New Roman" w:hAnsi="Times New Roman" w:cs="Times New Roman" w:eastAsia="Times New Roman" w:hint="default"/>
          <w:spacing w:val="-2"/>
        </w:rPr>
        <w:t>“</w:t>
      </w:r>
      <w:r>
        <w:rPr>
          <w:spacing w:val="-2"/>
        </w:rPr>
        <w:t>规模膨胀、环保先行</w:t>
      </w:r>
      <w:r>
        <w:rPr>
          <w:rFonts w:ascii="Times New Roman" w:hAnsi="Times New Roman" w:cs="Times New Roman" w:eastAsia="Times New Roman" w:hint="default"/>
          <w:spacing w:val="-2"/>
        </w:rPr>
        <w:t>”</w:t>
      </w:r>
      <w:r>
        <w:rPr>
          <w:spacing w:val="-2"/>
        </w:rPr>
        <w:t>的发展意识，做到一手抓环保，一手抓</w:t>
      </w:r>
      <w:r>
        <w:rPr/>
        <w:t> </w:t>
      </w:r>
      <w:r>
        <w:rPr>
          <w:spacing w:val="-2"/>
        </w:rPr>
        <w:t>生产，保证经济效益和环保效益同步提高。公司及控股子公司近年来投资建设了碱回收系统、中段水处理系统、白水回收系</w:t>
      </w:r>
      <w:r>
        <w:rPr>
          <w:spacing w:val="-66"/>
        </w:rPr>
        <w:t> </w:t>
      </w:r>
      <w:r>
        <w:rPr>
          <w:spacing w:val="-66"/>
        </w:rPr>
      </w:r>
      <w:r>
        <w:rPr/>
        <w:t>统、红液综合利用系统以及污水处理厂等污染治理设施，保证了环保设施适应公司的快速扩张速度。</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1362"/>
        <w:gridCol w:w="182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669,306,351.20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2,846,854,109.16</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-76.49%</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3" w:right="98" w:hanging="106"/>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菱镁石、滑石加工销售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纸品、原材料贸易</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both"/>
              <w:rPr>
                <w:rFonts w:ascii="宋体" w:hAnsi="宋体" w:cs="宋体" w:eastAsia="宋体" w:hint="default"/>
                <w:sz w:val="18"/>
                <w:szCs w:val="18"/>
              </w:rPr>
            </w:pPr>
            <w:r>
              <w:rPr>
                <w:rFonts w:ascii="宋体" w:hAnsi="宋体" w:cs="宋体" w:eastAsia="宋体" w:hint="default"/>
                <w:sz w:val="18"/>
                <w:szCs w:val="18"/>
              </w:rPr>
              <w:t>实业投资，海洋工程项目投资，旅游项目投资，园林绿化 项目投资，市政工程及配套项目投资；销售：五金交电、 机电产品。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主要从事高档纸、纸板（新闻纸除外）及自制浆的生产和 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加工、销售纸浆等</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林木种植、加工、销售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潍坊新业资本投资有限公司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创业投资业务，带领其他创业投资企业机构与个人的创业 投资服务，创业投资咨询业务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山东虹桥创业投资有限公司</w:t>
            </w:r>
          </w:p>
        </w:tc>
        <w:tc>
          <w:tcPr>
            <w:tcW w:w="4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创业投资与咨询，参与设立创业投资企业与企业投资管理 顾问机构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16"/>
        <w:gridCol w:w="958"/>
        <w:gridCol w:w="1182"/>
        <w:gridCol w:w="1182"/>
        <w:gridCol w:w="1182"/>
        <w:gridCol w:w="1182"/>
        <w:gridCol w:w="1182"/>
        <w:gridCol w:w="1182"/>
      </w:tblGrid>
      <w:tr>
        <w:trPr>
          <w:trHeight w:val="1026" w:hRule="exact"/>
        </w:trPr>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2"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5" w:right="44" w:hanging="450"/>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5" w:right="44"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 w:right="44"/>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714"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江西晨鸣纸业有限 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置换银行贷款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江西晨鸣纸业有限 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置换银行贷款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江西晨鸣纸业有限 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置换银行贷款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9" w:lineRule="auto" w:before="51"/>
        <w:ind w:right="150"/>
        <w:jc w:val="both"/>
      </w:pPr>
      <w:r>
        <w:rPr>
          <w:spacing w:val="-2"/>
        </w:rPr>
        <w:t>说明：为降低财务费用，公司第五届董事会第十八次会议同意公司通过相关银行以委托贷款的形式将自有资金放贷给公司相</w:t>
      </w:r>
      <w:r>
        <w:rPr>
          <w:spacing w:val="-64"/>
        </w:rPr>
        <w:t> </w:t>
      </w:r>
      <w:r>
        <w:rPr>
          <w:spacing w:val="-64"/>
        </w:rPr>
      </w:r>
      <w:r>
        <w:rPr/>
        <w:t>关控股子公司使用，用于其归还将要到期的借款。详情请参阅公司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04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日在巨潮资讯网上的公告，公告编号： </w:t>
      </w:r>
      <w:r>
        <w:rPr>
          <w:rFonts w:ascii="Times New Roman" w:hAnsi="Times New Roman" w:cs="Times New Roman" w:eastAsia="Times New Roman" w:hint="default"/>
        </w:rPr>
        <w:t>2010-014</w:t>
      </w:r>
      <w:r>
        <w:rPr/>
        <w:t>。</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主要子公司、参股公司情况</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10"/>
        <w:gridCol w:w="506"/>
        <w:gridCol w:w="508"/>
        <w:gridCol w:w="1138"/>
        <w:gridCol w:w="1069"/>
        <w:gridCol w:w="1111"/>
        <w:gridCol w:w="955"/>
        <w:gridCol w:w="1115"/>
        <w:gridCol w:w="941"/>
        <w:gridCol w:w="941"/>
      </w:tblGrid>
      <w:tr>
        <w:trPr>
          <w:trHeight w:val="754" w:hRule="exact"/>
        </w:trPr>
        <w:tc>
          <w:tcPr>
            <w:tcW w:w="1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68" w:right="6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69" w:right="66"/>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474" w:right="23"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 本</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7"/>
              <w:ind w:left="18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7"/>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7"/>
              <w:ind w:left="1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武汉晨鸣汉阳纸 业股份有限公司</w:t>
            </w:r>
          </w:p>
        </w:tc>
        <w:tc>
          <w:tcPr>
            <w:tcW w:w="506" w:type="dxa"/>
            <w:tcBorders>
              <w:top w:val="single" w:sz="12" w:space="0" w:color="D3D3D3"/>
              <w:left w:val="single" w:sz="4" w:space="0" w:color="000000"/>
              <w:bottom w:val="single" w:sz="4" w:space="0" w:color="000000"/>
              <w:right w:val="single" w:sz="4" w:space="0" w:color="000000"/>
            </w:tcBorders>
          </w:tcPr>
          <w:p>
            <w:pPr>
              <w:pStyle w:val="TableParagraph"/>
              <w:spacing w:line="319" w:lineRule="auto" w:before="4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12" w:space="0" w:color="D3D3D3"/>
              <w:left w:val="single" w:sz="4" w:space="0" w:color="000000"/>
              <w:bottom w:val="single" w:sz="4" w:space="0" w:color="000000"/>
              <w:right w:val="single" w:sz="4" w:space="0" w:color="000000"/>
            </w:tcBorders>
          </w:tcPr>
          <w:p>
            <w:pPr>
              <w:pStyle w:val="TableParagraph"/>
              <w:spacing w:line="319" w:lineRule="auto" w:before="41"/>
              <w:ind w:left="22" w:right="23"/>
              <w:jc w:val="left"/>
              <w:rPr>
                <w:rFonts w:ascii="宋体" w:hAnsi="宋体" w:cs="宋体" w:eastAsia="宋体" w:hint="default"/>
                <w:sz w:val="18"/>
                <w:szCs w:val="18"/>
              </w:rPr>
            </w:pPr>
            <w:r>
              <w:rPr>
                <w:rFonts w:ascii="宋体" w:hAnsi="宋体" w:cs="宋体" w:eastAsia="宋体" w:hint="default"/>
                <w:sz w:val="18"/>
                <w:szCs w:val="18"/>
              </w:rPr>
              <w:t>书写纸、新闻 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220,903.74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52,063.82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152,962.07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-20,914.60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-17,636.13</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延边晨鸣纸业有 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浆、化工用品</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8,163.30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32,572.65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13,231.45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22,357.52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-4,591.07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-2,770.51</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海拉尔晨鸣纸业 有限责任公司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书写纸、双胶 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8,789.32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8,326.73</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5,436.58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-4,402.29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-4,399.41</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山东晨鸣热电股 份有限公司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电力、热力生 产和销售</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9,955.31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43,489.40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30,512.66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50,693.46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4,867.08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5,623.36</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江西晨鸣纸业有 限责任公司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涂布纸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17200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万美元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328,759.62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171,081.61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169,737.13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-4,561.46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-1,872.23</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吉林晨鸣纸业有 限责任公司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新闻纸、轻涂 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228,819.90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117,762.01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67,384.45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-17,073.55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-2,030.92</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湛江晨鸣浆纸有 限责任公司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浆、涂布纸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1,119,540.82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358,035.44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410,817.75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49,978.42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39,269.45</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寿光晨鸣美术纸 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双胶纸、铜版 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96,570.64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15,953.52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65,740.51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-5,516.17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-4,115.23</w:t>
            </w:r>
          </w:p>
        </w:tc>
      </w:tr>
      <w:tr>
        <w:trPr>
          <w:trHeight w:val="71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山东晨鸣纸业销 售有限公司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纸品 贸易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625,249.07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4,170.80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1,527,074.86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-7,948.12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-4,877.27</w:t>
            </w:r>
          </w:p>
        </w:tc>
      </w:tr>
      <w:tr>
        <w:trPr>
          <w:trHeight w:val="715"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寿光美伦纸业有 限责任公司</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铜版纸、生活 用纸</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220,000.00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863,852.24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190,981.34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225,348.97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-30,226.71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-20,717.60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主要子公司、参股公司情况说明</w:t>
      </w:r>
    </w:p>
    <w:p>
      <w:pPr>
        <w:pStyle w:val="BodyText"/>
        <w:spacing w:line="319" w:lineRule="auto" w:before="115"/>
        <w:ind w:left="153" w:right="141"/>
        <w:jc w:val="left"/>
      </w:pPr>
      <w:r>
        <w:rPr>
          <w:rFonts w:ascii="Times New Roman" w:hAnsi="Times New Roman" w:cs="Times New Roman" w:eastAsia="Times New Roman" w:hint="default"/>
        </w:rPr>
        <w:t>1</w:t>
      </w:r>
      <w:r>
        <w:rPr/>
        <w:t>、武汉晨鸣一厂因淘汰落后产能停产，主要产品市场不景气，毛利率较低；海拉尔晨鸣由于淘汰落后产能而停产清算，导 致亏损；吉林晨鸣整体进行环保拆迁，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月份开始停产，亏损由搬迁补助弥补。 </w:t>
      </w:r>
      <w:r>
        <w:rPr>
          <w:rFonts w:ascii="Times New Roman" w:hAnsi="Times New Roman" w:cs="Times New Roman" w:eastAsia="Times New Roman" w:hint="default"/>
        </w:rPr>
        <w:t>2</w:t>
      </w:r>
      <w:r>
        <w:rPr/>
        <w:t>、延边晨鸣主要产品化纤浆由于市场不景气，毛利率较低；江西晨鸣、寿光美伦是因为整个市场大环境不是很理想，毛利</w:t>
      </w:r>
    </w:p>
    <w:p>
      <w:pPr>
        <w:pStyle w:val="BodyText"/>
        <w:spacing w:line="348" w:lineRule="auto"/>
        <w:ind w:left="153" w:right="4641"/>
        <w:jc w:val="left"/>
      </w:pPr>
      <w:r>
        <w:rPr/>
        <w:t>率较低。 </w:t>
      </w:r>
      <w:r>
        <w:rPr>
          <w:rFonts w:ascii="Times New Roman" w:hAnsi="Times New Roman" w:cs="Times New Roman" w:eastAsia="Times New Roman" w:hint="default"/>
        </w:rPr>
        <w:t>3</w:t>
      </w:r>
      <w:r>
        <w:rPr/>
        <w:t>、湛江晨鸣在</w:t>
      </w:r>
      <w:r>
        <w:rPr>
          <w:rFonts w:ascii="Times New Roman" w:hAnsi="Times New Roman" w:cs="Times New Roman" w:eastAsia="Times New Roman" w:hint="default"/>
        </w:rPr>
        <w:t>2012</w:t>
      </w:r>
      <w:r>
        <w:rPr/>
        <w:t>年全面投产，产品市场相对较好，收益增加。 报告期内取得和处置子公司的情况</w:t>
      </w:r>
    </w:p>
    <w:p>
      <w:pPr>
        <w:pStyle w:val="BodyText"/>
        <w:spacing w:line="240" w:lineRule="auto" w:before="36"/>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23"/>
        <w:gridCol w:w="2424"/>
        <w:gridCol w:w="1536"/>
        <w:gridCol w:w="3311"/>
      </w:tblGrid>
      <w:tr>
        <w:trPr>
          <w:trHeight w:val="714" w:hRule="exact"/>
        </w:trPr>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6" w:right="36" w:hanging="1080"/>
              <w:jc w:val="left"/>
              <w:rPr>
                <w:rFonts w:ascii="宋体" w:hAnsi="宋体" w:cs="宋体" w:eastAsia="宋体" w:hint="default"/>
                <w:sz w:val="18"/>
                <w:szCs w:val="18"/>
              </w:rPr>
            </w:pPr>
            <w:r>
              <w:rPr>
                <w:rFonts w:ascii="宋体" w:hAnsi="宋体" w:cs="宋体" w:eastAsia="宋体" w:hint="default"/>
                <w:sz w:val="18"/>
                <w:szCs w:val="18"/>
              </w:rPr>
              <w:t>报告期内取得和处置子公司目 的</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报告期内取得和处 置子公司方式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7" w:hRule="exact"/>
        </w:trPr>
        <w:tc>
          <w:tcPr>
            <w:tcW w:w="2423" w:type="dxa"/>
            <w:tcBorders>
              <w:top w:val="single" w:sz="4" w:space="0" w:color="000000"/>
              <w:left w:val="single" w:sz="4" w:space="0" w:color="000000"/>
              <w:bottom w:val="nil" w:sz="6" w:space="0" w:color="auto"/>
              <w:right w:val="single" w:sz="4" w:space="0" w:color="000000"/>
            </w:tcBorders>
          </w:tcPr>
          <w:p>
            <w:pPr/>
          </w:p>
        </w:tc>
        <w:tc>
          <w:tcPr>
            <w:tcW w:w="2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扩大公司产品在日本市场的占</w:t>
            </w:r>
          </w:p>
        </w:tc>
        <w:tc>
          <w:tcPr>
            <w:tcW w:w="1536" w:type="dxa"/>
            <w:tcBorders>
              <w:top w:val="single" w:sz="4" w:space="0" w:color="000000"/>
              <w:left w:val="single" w:sz="4" w:space="0" w:color="000000"/>
              <w:bottom w:val="nil" w:sz="6" w:space="0" w:color="auto"/>
              <w:right w:val="single" w:sz="4" w:space="0" w:color="000000"/>
            </w:tcBorders>
          </w:tcPr>
          <w:p>
            <w:pPr/>
          </w:p>
        </w:tc>
        <w:tc>
          <w:tcPr>
            <w:tcW w:w="3311"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有份额，建立更加广泛、更加</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02"/>
              <w:jc w:val="right"/>
              <w:rPr>
                <w:rFonts w:ascii="宋体" w:hAnsi="宋体" w:cs="宋体" w:eastAsia="宋体" w:hint="default"/>
                <w:sz w:val="18"/>
                <w:szCs w:val="18"/>
              </w:rPr>
            </w:pPr>
            <w:r>
              <w:rPr>
                <w:rFonts w:ascii="宋体" w:hAnsi="宋体" w:cs="宋体" w:eastAsia="宋体" w:hint="default"/>
                <w:sz w:val="18"/>
                <w:szCs w:val="18"/>
              </w:rPr>
              <w:t>出资设立</w:t>
            </w: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-1,853.64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51" w:hRule="exact"/>
        </w:trPr>
        <w:tc>
          <w:tcPr>
            <w:tcW w:w="2423" w:type="dxa"/>
            <w:tcBorders>
              <w:top w:val="nil" w:sz="6" w:space="0" w:color="auto"/>
              <w:left w:val="single" w:sz="4" w:space="0" w:color="000000"/>
              <w:bottom w:val="single" w:sz="4" w:space="0" w:color="000000"/>
              <w:right w:val="single" w:sz="4" w:space="0" w:color="000000"/>
            </w:tcBorders>
          </w:tcPr>
          <w:p>
            <w:pPr/>
          </w:p>
        </w:tc>
        <w:tc>
          <w:tcPr>
            <w:tcW w:w="2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完善的营销网络</w:t>
            </w:r>
          </w:p>
        </w:tc>
        <w:tc>
          <w:tcPr>
            <w:tcW w:w="1536" w:type="dxa"/>
            <w:tcBorders>
              <w:top w:val="nil" w:sz="6" w:space="0" w:color="auto"/>
              <w:left w:val="single" w:sz="4" w:space="0" w:color="000000"/>
              <w:bottom w:val="single" w:sz="4" w:space="0" w:color="000000"/>
              <w:right w:val="single" w:sz="4" w:space="0" w:color="000000"/>
            </w:tcBorders>
          </w:tcPr>
          <w:p>
            <w:pPr/>
          </w:p>
        </w:tc>
        <w:tc>
          <w:tcPr>
            <w:tcW w:w="3311"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丰富产业结构，为公司资产的 保值、增值发挥良好的促进作 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出资设立</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丰富了公司的产业结构，对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年业绩无 影响。</w:t>
            </w:r>
          </w:p>
        </w:tc>
      </w:tr>
      <w:tr>
        <w:trPr>
          <w:trHeight w:val="357" w:hRule="exact"/>
        </w:trPr>
        <w:tc>
          <w:tcPr>
            <w:tcW w:w="2423" w:type="dxa"/>
            <w:tcBorders>
              <w:top w:val="single" w:sz="4" w:space="0" w:color="000000"/>
              <w:left w:val="single" w:sz="4" w:space="0" w:color="000000"/>
              <w:bottom w:val="nil" w:sz="6" w:space="0" w:color="auto"/>
              <w:right w:val="single" w:sz="4" w:space="0" w:color="000000"/>
            </w:tcBorders>
          </w:tcPr>
          <w:p>
            <w:pPr/>
          </w:p>
        </w:tc>
        <w:tc>
          <w:tcPr>
            <w:tcW w:w="2424"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
        </w:tc>
        <w:tc>
          <w:tcPr>
            <w:tcW w:w="33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广东慧锐具有环境治理工程方面的丰富经</w:t>
            </w:r>
          </w:p>
        </w:tc>
      </w:tr>
      <w:tr>
        <w:trPr>
          <w:trHeight w:val="316" w:hRule="exact"/>
        </w:trPr>
        <w:tc>
          <w:tcPr>
            <w:tcW w:w="2423"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验，中标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建设项目有利于广东慧锐治</w:t>
            </w:r>
          </w:p>
        </w:tc>
      </w:tr>
      <w:tr>
        <w:trPr>
          <w:trHeight w:val="308" w:hRule="exact"/>
        </w:trPr>
        <w:tc>
          <w:tcPr>
            <w:tcW w:w="2423"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为保证湛江晨鸣的持续稳定运</w:t>
            </w:r>
          </w:p>
        </w:tc>
        <w:tc>
          <w:tcPr>
            <w:tcW w:w="1536" w:type="dxa"/>
            <w:tcBorders>
              <w:top w:val="nil" w:sz="6" w:space="0" w:color="auto"/>
              <w:left w:val="single" w:sz="4" w:space="0" w:color="000000"/>
              <w:bottom w:val="nil" w:sz="6" w:space="0" w:color="auto"/>
              <w:right w:val="single" w:sz="4" w:space="0" w:color="000000"/>
            </w:tcBorders>
          </w:tcPr>
          <w:p>
            <w:pP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理工程方面的技术和品牌推广，有利于广</w:t>
            </w:r>
          </w:p>
        </w:tc>
      </w:tr>
      <w:tr>
        <w:trPr>
          <w:trHeight w:val="312" w:hRule="exact"/>
        </w:trPr>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营和增加收入，充分利用湛江</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02"/>
              <w:jc w:val="right"/>
              <w:rPr>
                <w:rFonts w:ascii="宋体" w:hAnsi="宋体" w:cs="宋体" w:eastAsia="宋体" w:hint="default"/>
                <w:sz w:val="18"/>
                <w:szCs w:val="18"/>
              </w:rPr>
            </w:pPr>
            <w:r>
              <w:rPr>
                <w:rFonts w:ascii="宋体" w:hAnsi="宋体" w:cs="宋体" w:eastAsia="宋体" w:hint="default"/>
                <w:sz w:val="18"/>
                <w:szCs w:val="18"/>
              </w:rPr>
              <w:t>股权受让</w:t>
            </w: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东慧锐业务在当地的发展。根据合同的相</w:t>
            </w:r>
          </w:p>
        </w:tc>
      </w:tr>
      <w:tr>
        <w:trPr>
          <w:trHeight w:val="316" w:hRule="exact"/>
        </w:trPr>
        <w:tc>
          <w:tcPr>
            <w:tcW w:w="2423"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晨鸣所处地理优势和公司实力</w:t>
            </w:r>
          </w:p>
        </w:tc>
        <w:tc>
          <w:tcPr>
            <w:tcW w:w="1536" w:type="dxa"/>
            <w:tcBorders>
              <w:top w:val="nil" w:sz="6" w:space="0" w:color="auto"/>
              <w:left w:val="single" w:sz="4" w:space="0" w:color="000000"/>
              <w:bottom w:val="nil" w:sz="6" w:space="0" w:color="auto"/>
              <w:right w:val="single" w:sz="4" w:space="0" w:color="000000"/>
            </w:tcBorders>
          </w:tcPr>
          <w:p>
            <w:pP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关条款约定，公司将获得土地纯收益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3" w:hRule="exact"/>
        </w:trPr>
        <w:tc>
          <w:tcPr>
            <w:tcW w:w="2423" w:type="dxa"/>
            <w:tcBorders>
              <w:top w:val="nil" w:sz="6" w:space="0" w:color="auto"/>
              <w:left w:val="single" w:sz="4" w:space="0" w:color="000000"/>
              <w:bottom w:val="nil" w:sz="6" w:space="0" w:color="auto"/>
              <w:right w:val="single" w:sz="4" w:space="0" w:color="000000"/>
            </w:tcBorders>
          </w:tcPr>
          <w:p>
            <w:pPr/>
          </w:p>
        </w:tc>
        <w:tc>
          <w:tcPr>
            <w:tcW w:w="2424" w:type="dxa"/>
            <w:tcBorders>
              <w:top w:val="nil" w:sz="6" w:space="0" w:color="auto"/>
              <w:left w:val="single" w:sz="4" w:space="0" w:color="000000"/>
              <w:bottom w:val="nil" w:sz="6" w:space="0" w:color="auto"/>
              <w:right w:val="single" w:sz="4" w:space="0" w:color="000000"/>
            </w:tcBorders>
          </w:tcPr>
          <w:p>
            <w:pPr/>
          </w:p>
        </w:tc>
        <w:tc>
          <w:tcPr>
            <w:tcW w:w="1536" w:type="dxa"/>
            <w:tcBorders>
              <w:top w:val="nil" w:sz="6" w:space="0" w:color="auto"/>
              <w:left w:val="single" w:sz="4" w:space="0" w:color="000000"/>
              <w:bottom w:val="nil" w:sz="6" w:space="0" w:color="auto"/>
              <w:right w:val="single" w:sz="4" w:space="0" w:color="000000"/>
            </w:tcBorders>
          </w:tcPr>
          <w:p>
            <w:pP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的分成，有利于公司的持续盈利。对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r>
      <w:tr>
        <w:trPr>
          <w:trHeight w:val="352" w:hRule="exact"/>
        </w:trPr>
        <w:tc>
          <w:tcPr>
            <w:tcW w:w="2423" w:type="dxa"/>
            <w:tcBorders>
              <w:top w:val="nil" w:sz="6" w:space="0" w:color="auto"/>
              <w:left w:val="single" w:sz="4" w:space="0" w:color="000000"/>
              <w:bottom w:val="single" w:sz="4" w:space="0" w:color="000000"/>
              <w:right w:val="single" w:sz="4" w:space="0" w:color="000000"/>
            </w:tcBorders>
          </w:tcPr>
          <w:p>
            <w:pPr/>
          </w:p>
        </w:tc>
        <w:tc>
          <w:tcPr>
            <w:tcW w:w="2424"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33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年业绩无影响。</w:t>
            </w:r>
          </w:p>
        </w:tc>
      </w:tr>
      <w:tr>
        <w:trPr>
          <w:trHeight w:val="102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山东晨鸣纸业集团齐河板纸有 限责任公司（合并全资子公司 齐河废旧）</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提升高端优势产品、提高经济 效益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处置股权损失为</w:t>
            </w:r>
            <w:r>
              <w:rPr>
                <w:rFonts w:ascii="Times New Roman" w:hAnsi="Times New Roman" w:cs="Times New Roman" w:eastAsia="Times New Roman" w:hint="default"/>
                <w:sz w:val="18"/>
                <w:szCs w:val="18"/>
              </w:rPr>
              <w:t>-5,408.39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57" w:hRule="exact"/>
        </w:trPr>
        <w:tc>
          <w:tcPr>
            <w:tcW w:w="2423" w:type="dxa"/>
            <w:tcBorders>
              <w:top w:val="single" w:sz="4" w:space="0" w:color="000000"/>
              <w:left w:val="single" w:sz="4" w:space="0" w:color="000000"/>
              <w:bottom w:val="nil" w:sz="6" w:space="0" w:color="auto"/>
              <w:right w:val="single" w:sz="4" w:space="0" w:color="000000"/>
            </w:tcBorders>
          </w:tcPr>
          <w:p>
            <w:pPr/>
          </w:p>
        </w:tc>
        <w:tc>
          <w:tcPr>
            <w:tcW w:w="2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优化公司产品结构、淘汰落后</w:t>
            </w:r>
          </w:p>
        </w:tc>
        <w:tc>
          <w:tcPr>
            <w:tcW w:w="1536" w:type="dxa"/>
            <w:tcBorders>
              <w:top w:val="single" w:sz="4" w:space="0" w:color="000000"/>
              <w:left w:val="single" w:sz="4" w:space="0" w:color="000000"/>
              <w:bottom w:val="nil" w:sz="6" w:space="0" w:color="auto"/>
              <w:right w:val="single" w:sz="4" w:space="0" w:color="000000"/>
            </w:tcBorders>
          </w:tcPr>
          <w:p>
            <w:pPr/>
          </w:p>
        </w:tc>
        <w:tc>
          <w:tcPr>
            <w:tcW w:w="3311"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2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鄄城晨鸣板材有限公司</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产能、集中资金和资源做好产</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02"/>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3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处置股权收益为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1" w:hRule="exact"/>
        </w:trPr>
        <w:tc>
          <w:tcPr>
            <w:tcW w:w="2423" w:type="dxa"/>
            <w:tcBorders>
              <w:top w:val="nil" w:sz="6" w:space="0" w:color="auto"/>
              <w:left w:val="single" w:sz="4" w:space="0" w:color="000000"/>
              <w:bottom w:val="single" w:sz="4" w:space="0" w:color="000000"/>
              <w:right w:val="single" w:sz="4" w:space="0" w:color="000000"/>
            </w:tcBorders>
          </w:tcPr>
          <w:p>
            <w:pPr/>
          </w:p>
        </w:tc>
        <w:tc>
          <w:tcPr>
            <w:tcW w:w="2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品高端化发展</w:t>
            </w:r>
          </w:p>
        </w:tc>
        <w:tc>
          <w:tcPr>
            <w:tcW w:w="1536" w:type="dxa"/>
            <w:tcBorders>
              <w:top w:val="nil" w:sz="6" w:space="0" w:color="auto"/>
              <w:left w:val="single" w:sz="4" w:space="0" w:color="000000"/>
              <w:bottom w:val="single" w:sz="4" w:space="0" w:color="000000"/>
              <w:right w:val="single" w:sz="4" w:space="0" w:color="000000"/>
            </w:tcBorders>
          </w:tcPr>
          <w:p>
            <w:pPr/>
          </w:p>
        </w:tc>
        <w:tc>
          <w:tcPr>
            <w:tcW w:w="331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齐河晨鸣板材有限公司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发展战略需要</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2"/>
              <w:jc w:val="right"/>
              <w:rPr>
                <w:rFonts w:ascii="宋体" w:hAnsi="宋体" w:cs="宋体" w:eastAsia="宋体" w:hint="default"/>
                <w:sz w:val="18"/>
                <w:szCs w:val="18"/>
              </w:rPr>
            </w:pPr>
            <w:r>
              <w:rPr>
                <w:rFonts w:ascii="宋体" w:hAnsi="宋体" w:cs="宋体" w:eastAsia="宋体" w:hint="default"/>
                <w:sz w:val="18"/>
                <w:szCs w:val="18"/>
              </w:rPr>
              <w:t>股权转让</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处置股权收益为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寿光丽奔制纸有限公司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发展战略需要</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2"/>
              <w:jc w:val="right"/>
              <w:rPr>
                <w:rFonts w:ascii="宋体" w:hAnsi="宋体" w:cs="宋体" w:eastAsia="宋体" w:hint="default"/>
                <w:sz w:val="18"/>
                <w:szCs w:val="18"/>
              </w:rPr>
            </w:pPr>
            <w:r>
              <w:rPr>
                <w:rFonts w:ascii="宋体" w:hAnsi="宋体" w:cs="宋体" w:eastAsia="宋体" w:hint="default"/>
                <w:sz w:val="18"/>
                <w:szCs w:val="18"/>
              </w:rPr>
              <w:t>吸收合并</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72"/>
        <w:gridCol w:w="1668"/>
        <w:gridCol w:w="1667"/>
        <w:gridCol w:w="1667"/>
        <w:gridCol w:w="1348"/>
        <w:gridCol w:w="1673"/>
      </w:tblGrid>
      <w:tr>
        <w:trPr>
          <w:trHeight w:val="714" w:hRule="exact"/>
        </w:trPr>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9" w:right="107"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万吨白牛卡项目</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93,100.18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248,862.32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尚未转资</w:t>
            </w:r>
          </w:p>
        </w:tc>
      </w:tr>
      <w:tr>
        <w:trPr>
          <w:trHeight w:val="40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吉林晨鸣迁建</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125,148.29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135,816.07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40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19,611.89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19,611.89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60"/>
        <w:gridCol w:w="1679"/>
        <w:gridCol w:w="1667"/>
        <w:gridCol w:w="1667"/>
        <w:gridCol w:w="1348"/>
        <w:gridCol w:w="1673"/>
      </w:tblGrid>
      <w:tr>
        <w:trPr>
          <w:trHeight w:val="402" w:hRule="exact"/>
        </w:trPr>
        <w:tc>
          <w:tcPr>
            <w:tcW w:w="1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053" w:right="0"/>
              <w:jc w:val="left"/>
              <w:rPr>
                <w:rFonts w:ascii="Times New Roman" w:hAnsi="Times New Roman" w:cs="Times New Roman" w:eastAsia="Times New Roman" w:hint="default"/>
                <w:sz w:val="18"/>
                <w:szCs w:val="18"/>
              </w:rPr>
            </w:pPr>
            <w:r>
              <w:rPr>
                <w:rFonts w:ascii="Times New Roman"/>
                <w:sz w:val="18"/>
              </w:rPr>
              <w:t>540,000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3" w:right="0"/>
              <w:jc w:val="left"/>
              <w:rPr>
                <w:rFonts w:ascii="Times New Roman" w:hAnsi="Times New Roman" w:cs="Times New Roman" w:eastAsia="Times New Roman" w:hint="default"/>
                <w:sz w:val="18"/>
                <w:szCs w:val="18"/>
              </w:rPr>
            </w:pPr>
            <w:r>
              <w:rPr>
                <w:rFonts w:ascii="Times New Roman"/>
                <w:sz w:val="18"/>
              </w:rPr>
              <w:t>237,860.36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4" w:right="0"/>
              <w:jc w:val="left"/>
              <w:rPr>
                <w:rFonts w:ascii="Times New Roman" w:hAnsi="Times New Roman" w:cs="Times New Roman" w:eastAsia="Times New Roman" w:hint="default"/>
                <w:sz w:val="18"/>
                <w:szCs w:val="18"/>
              </w:rPr>
            </w:pPr>
            <w:r>
              <w:rPr>
                <w:rFonts w:ascii="Times New Roman"/>
                <w:sz w:val="18"/>
              </w:rPr>
              <w:t>404,290.28</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注：项目进度以资金投入比例测算。</w:t>
            </w:r>
          </w:p>
        </w:tc>
      </w:tr>
      <w:tr>
        <w:trPr>
          <w:trHeight w:val="402" w:hRule="exact"/>
        </w:trPr>
        <w:tc>
          <w:tcPr>
            <w:tcW w:w="96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658" w:hRule="exact"/>
        </w:trPr>
        <w:tc>
          <w:tcPr>
            <w:tcW w:w="96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万吨白牛卡项目</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年第一次临时股东大会审议，在寿光本埠建设年产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万吨高档涂布白牛卡纸项目，该项目计划总投资额约</w:t>
            </w:r>
          </w:p>
          <w:p>
            <w:pPr>
              <w:pStyle w:val="TableParagraph"/>
              <w:spacing w:line="300" w:lineRule="auto" w:before="6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亿元人民币，项目建设期为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个月，项目建成达产后年可生产高档涂布白牛卡纸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万吨。该项目投产后可以扩大公司 生产高端纸品的比例，增强公司综合竞争力。目前该项目土建部分和安装部分总体已完工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w:t>
            </w: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年底试生产，截止 报告期末尚未转固，累计完成投资额人民币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）吉林晨鸣迁建</w:t>
            </w:r>
          </w:p>
          <w:p>
            <w:pPr>
              <w:pStyle w:val="TableParagraph"/>
              <w:spacing w:line="309" w:lineRule="auto" w:before="101"/>
              <w:ind w:left="22" w:right="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日，吉林市人民政府及其国开吉林投资有限公司与公司及吉林晨鸣纸业有限责任公司就位于吉林市昌 </w:t>
            </w:r>
            <w:r>
              <w:rPr>
                <w:rFonts w:ascii="宋体" w:hAnsi="宋体" w:cs="宋体" w:eastAsia="宋体" w:hint="default"/>
                <w:spacing w:val="-2"/>
                <w:sz w:val="18"/>
                <w:szCs w:val="18"/>
              </w:rPr>
              <w:t>邑区的吉林晨鸣厂区土地拆迁事宜协商一致，四方签订了《吉林晨鸣纸业有限责任公司环保迁建合作协议》。目前该项目厂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房基建基本完工，总体项目进度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w:t>
            </w:r>
            <w:r>
              <w:rPr>
                <w:rFonts w:ascii="宋体" w:hAnsi="宋体" w:cs="宋体" w:eastAsia="宋体" w:hint="default"/>
                <w:sz w:val="18"/>
                <w:szCs w:val="18"/>
              </w:rPr>
              <w:t>，截至报告期末累计完成投资额人民币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）菱镁矿开采</w:t>
            </w:r>
          </w:p>
          <w:p>
            <w:pPr>
              <w:pStyle w:val="TableParagraph"/>
              <w:spacing w:line="309" w:lineRule="auto" w:before="101"/>
              <w:ind w:left="22"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日公司第六届董事会第四次临时会议审议通过了《关于成立海城海鸣矿业有限责任公司》的议案，公 </w:t>
            </w:r>
            <w:r>
              <w:rPr>
                <w:rFonts w:ascii="宋体" w:hAnsi="宋体" w:cs="宋体" w:eastAsia="宋体" w:hint="default"/>
                <w:spacing w:val="-2"/>
                <w:sz w:val="18"/>
                <w:szCs w:val="18"/>
              </w:rPr>
              <w:t>司与辽宁北海实业（集团）有限公司在辽宁省海城市共同出资成立海城海鸣矿业有限责任公司，主要经营菱镁矿的开采、加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工、销售。公司投资金额为人民币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万元，占注册资本的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；北海集团投资金额为人民币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万元，占注册资本的</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。截至报告期末，菱镁矿开采项目已累计完成投资额人民币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bl>
    <w:p>
      <w:pPr>
        <w:spacing w:line="240" w:lineRule="auto" w:before="2"/>
        <w:rPr>
          <w:rFonts w:ascii="宋体" w:hAnsi="宋体" w:cs="宋体" w:eastAsia="宋体" w:hint="default"/>
          <w:sz w:val="18"/>
          <w:szCs w:val="18"/>
        </w:rPr>
      </w:pPr>
    </w:p>
    <w:p>
      <w:pPr>
        <w:pStyle w:val="Heading2"/>
        <w:spacing w:line="240" w:lineRule="auto" w:before="26"/>
        <w:ind w:right="181"/>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报告期内，公司不存在控制下的特殊目的主体。</w:t>
      </w:r>
    </w:p>
    <w:p>
      <w:pPr>
        <w:spacing w:line="240" w:lineRule="auto" w:before="13"/>
        <w:rPr>
          <w:rFonts w:ascii="宋体" w:hAnsi="宋体" w:cs="宋体" w:eastAsia="宋体" w:hint="default"/>
          <w:sz w:val="24"/>
          <w:szCs w:val="24"/>
        </w:rPr>
      </w:pPr>
    </w:p>
    <w:p>
      <w:pPr>
        <w:pStyle w:val="Heading2"/>
        <w:spacing w:line="240" w:lineRule="auto"/>
        <w:ind w:right="181"/>
        <w:jc w:val="left"/>
        <w:rPr>
          <w:b w:val="0"/>
          <w:bCs w:val="0"/>
        </w:rPr>
      </w:pPr>
      <w:r>
        <w:rPr/>
        <w:t>八、公司未来发展的展望</w:t>
      </w:r>
      <w:r>
        <w:rPr>
          <w:b w:val="0"/>
          <w:bCs w:val="0"/>
        </w:rPr>
      </w:r>
    </w:p>
    <w:p>
      <w:pPr>
        <w:spacing w:line="240" w:lineRule="auto" w:before="7"/>
        <w:rPr>
          <w:rFonts w:ascii="宋体" w:hAnsi="宋体" w:cs="宋体" w:eastAsia="宋体" w:hint="default"/>
          <w:b/>
          <w:bCs/>
          <w:sz w:val="26"/>
          <w:szCs w:val="26"/>
        </w:rPr>
      </w:pPr>
    </w:p>
    <w:p>
      <w:pPr>
        <w:spacing w:line="300" w:lineRule="auto" w:before="0"/>
        <w:ind w:left="513" w:right="181"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、行业竞争格局和发展趋势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公司所处的行业为轻工造纸业，作为与国民经济和社会事业发展关系密切的重要基础原材料产业，造纸产业具有资金技</w:t>
      </w:r>
    </w:p>
    <w:p>
      <w:pPr>
        <w:pStyle w:val="BodyText"/>
        <w:spacing w:line="316" w:lineRule="auto" w:before="31"/>
        <w:ind w:left="153" w:right="181"/>
        <w:jc w:val="left"/>
      </w:pPr>
      <w:r>
        <w:rPr/>
        <w:t>术密集、规模效益显著等特点，其增长率与GDP增长率有很强的正相关性。国家发改委、工信部、国家林业局联合印发《造</w:t>
      </w:r>
      <w:r>
        <w:rPr>
          <w:spacing w:val="-83"/>
        </w:rPr>
        <w:t> </w:t>
      </w:r>
      <w:r>
        <w:rPr>
          <w:spacing w:val="-83"/>
        </w:rPr>
      </w:r>
      <w:r>
        <w:rPr/>
        <w:t>纸工业发展“十二五”规划》，明确指出“控制总量、促进集中、优化原料、节能减排”的大方向，公司有望长期受益。</w:t>
      </w:r>
    </w:p>
    <w:p>
      <w:pPr>
        <w:pStyle w:val="BodyText"/>
        <w:spacing w:line="316" w:lineRule="auto" w:before="18"/>
        <w:ind w:left="153" w:right="99" w:firstLine="360"/>
        <w:jc w:val="left"/>
      </w:pPr>
      <w:r>
        <w:rPr>
          <w:spacing w:val="-4"/>
        </w:rPr>
        <w:t>近几年公司致力于林浆纸一体化发展，产业链较长，纸种比较全面，2012年在前景较好的纸种上进行了一系列产能扩张，</w:t>
      </w:r>
      <w:r>
        <w:rPr/>
        <w:t> </w:t>
      </w:r>
      <w:r>
        <w:rPr>
          <w:spacing w:val="-2"/>
        </w:rPr>
        <w:t>公司发展道路符合整个造纸工业发展规划要求，同时公司延伸了产业链，产业布局更加合理，竞争实力和发展后劲将进一步</w:t>
      </w:r>
      <w:r>
        <w:rPr>
          <w:spacing w:val="-66"/>
        </w:rPr>
        <w:t> </w:t>
      </w:r>
      <w:r>
        <w:rPr>
          <w:spacing w:val="-66"/>
        </w:rPr>
      </w:r>
      <w:r>
        <w:rPr/>
        <w:t>增强，随着经济形势好转，行业复苏，公司业绩将会出现稳步增长，公司未来业绩值得期待。</w:t>
      </w:r>
    </w:p>
    <w:p>
      <w:pPr>
        <w:pStyle w:val="Heading6"/>
        <w:spacing w:line="240" w:lineRule="auto" w:before="18"/>
        <w:ind w:left="515" w:right="181"/>
        <w:jc w:val="left"/>
        <w:rPr>
          <w:b w:val="0"/>
          <w:bCs w:val="0"/>
        </w:rPr>
      </w:pPr>
      <w:r>
        <w:rPr>
          <w:rFonts w:ascii="Times New Roman" w:hAnsi="Times New Roman" w:cs="Times New Roman" w:eastAsia="Times New Roman" w:hint="default"/>
        </w:rPr>
        <w:t>2</w:t>
      </w:r>
      <w:r>
        <w:rPr/>
        <w:t>、公司发展战略</w:t>
      </w:r>
      <w:r>
        <w:rPr>
          <w:b w:val="0"/>
          <w:bCs w:val="0"/>
        </w:rPr>
      </w:r>
    </w:p>
    <w:p>
      <w:pPr>
        <w:pStyle w:val="BodyText"/>
        <w:spacing w:line="300" w:lineRule="auto" w:before="62"/>
        <w:ind w:right="190" w:firstLine="360"/>
        <w:jc w:val="both"/>
      </w:pPr>
      <w:r>
        <w:rPr/>
        <w:t>（</w:t>
      </w:r>
      <w:r>
        <w:rPr>
          <w:rFonts w:ascii="Times New Roman" w:hAnsi="Times New Roman" w:cs="Times New Roman" w:eastAsia="Times New Roman" w:hint="default"/>
        </w:rPr>
        <w:t>1</w:t>
      </w:r>
      <w:r>
        <w:rPr/>
        <w:t>）在稳定现有市场的基础上，重点发展高端纸品的生产。公司</w:t>
      </w:r>
      <w:r>
        <w:rPr>
          <w:rFonts w:ascii="Times New Roman" w:hAnsi="Times New Roman" w:cs="Times New Roman" w:eastAsia="Times New Roman" w:hint="default"/>
        </w:rPr>
        <w:t>80</w:t>
      </w:r>
      <w:r>
        <w:rPr/>
        <w:t>万吨高档低定量铜版纸项目、</w:t>
      </w:r>
      <w:r>
        <w:rPr>
          <w:rFonts w:ascii="Times New Roman" w:hAnsi="Times New Roman" w:cs="Times New Roman" w:eastAsia="Times New Roman" w:hint="default"/>
        </w:rPr>
        <w:t>45</w:t>
      </w:r>
      <w:r>
        <w:rPr/>
        <w:t>万吨高级文化纸项 </w:t>
      </w:r>
      <w:r>
        <w:rPr>
          <w:spacing w:val="-2"/>
        </w:rPr>
        <w:t>目、</w:t>
      </w:r>
      <w:r>
        <w:rPr>
          <w:rFonts w:ascii="Times New Roman" w:hAnsi="Times New Roman" w:cs="Times New Roman" w:eastAsia="Times New Roman" w:hint="default"/>
          <w:spacing w:val="-2"/>
        </w:rPr>
        <w:t>60</w:t>
      </w:r>
      <w:r>
        <w:rPr>
          <w:spacing w:val="-2"/>
        </w:rPr>
        <w:t>万吨高档涂布白牛卡纸项目已经建成投产。公司将以此为契机进一步提高产品档次，力争在未来一段时间内逐步步入</w:t>
      </w:r>
      <w:r>
        <w:rPr>
          <w:spacing w:val="-64"/>
        </w:rPr>
        <w:t> </w:t>
      </w:r>
      <w:r>
        <w:rPr>
          <w:spacing w:val="-64"/>
        </w:rPr>
      </w:r>
      <w:r>
        <w:rPr/>
        <w:t>国际造纸行业前列。</w:t>
      </w:r>
    </w:p>
    <w:p>
      <w:pPr>
        <w:pStyle w:val="BodyText"/>
        <w:spacing w:line="316" w:lineRule="auto" w:before="31"/>
        <w:ind w:right="198" w:firstLine="360"/>
        <w:jc w:val="both"/>
      </w:pPr>
      <w:r>
        <w:rPr/>
        <w:t>（2）为丰富公司的产业结构，增强公司的持续盈利能力，公司在2012年投资设立了海城海鸣矿业有限责任公司进行菱 镁矿的开采，涉足矿业行业；收购广东慧锐投资有限公司51%股权，中标海岸线综合治理工程，涉足环境治理行业，以期实 现公司稳定运营并增加收入。</w:t>
      </w:r>
    </w:p>
    <w:p>
      <w:pPr>
        <w:pStyle w:val="BodyText"/>
        <w:spacing w:line="300" w:lineRule="auto" w:before="18"/>
        <w:ind w:right="189" w:firstLine="360"/>
        <w:jc w:val="both"/>
      </w:pPr>
      <w:r>
        <w:rPr/>
        <w:t>（</w:t>
      </w:r>
      <w:r>
        <w:rPr>
          <w:rFonts w:ascii="Times New Roman" w:hAnsi="Times New Roman" w:cs="Times New Roman" w:eastAsia="Times New Roman" w:hint="default"/>
        </w:rPr>
        <w:t>3</w:t>
      </w:r>
      <w:r>
        <w:rPr/>
        <w:t>）解决制约公司发展的原材料瓶颈，提高产品成本控制能力。公司以建设湛江木浆项目及配套原料林基地为发展重 </w:t>
      </w:r>
      <w:r>
        <w:rPr>
          <w:spacing w:val="-2"/>
        </w:rPr>
        <w:t>点，同时加快湖北林业项目基地建设，打造</w:t>
      </w:r>
      <w:r>
        <w:rPr>
          <w:rFonts w:ascii="Times New Roman" w:hAnsi="Times New Roman" w:cs="Times New Roman" w:eastAsia="Times New Roman" w:hint="default"/>
          <w:spacing w:val="-2"/>
        </w:rPr>
        <w:t>“</w:t>
      </w:r>
      <w:r>
        <w:rPr>
          <w:spacing w:val="-2"/>
        </w:rPr>
        <w:t>林浆纸一体化</w:t>
      </w:r>
      <w:r>
        <w:rPr>
          <w:rFonts w:ascii="Times New Roman" w:hAnsi="Times New Roman" w:cs="Times New Roman" w:eastAsia="Times New Roman" w:hint="default"/>
          <w:spacing w:val="-2"/>
        </w:rPr>
        <w:t>”</w:t>
      </w:r>
      <w:r>
        <w:rPr>
          <w:spacing w:val="-2"/>
        </w:rPr>
        <w:t>的产业链，从而摆脱上游资源对公司的制约，增强公司的可持续</w:t>
      </w:r>
      <w:r>
        <w:rPr>
          <w:spacing w:val="-44"/>
        </w:rPr>
        <w:t> </w:t>
      </w:r>
      <w:r>
        <w:rPr>
          <w:spacing w:val="-44"/>
        </w:rPr>
      </w:r>
      <w:r>
        <w:rPr/>
        <w:t>发展能力。</w:t>
      </w:r>
    </w:p>
    <w:p>
      <w:pPr>
        <w:pStyle w:val="BodyText"/>
        <w:spacing w:line="300" w:lineRule="auto" w:before="31"/>
        <w:ind w:right="190" w:firstLine="359"/>
        <w:jc w:val="both"/>
      </w:pPr>
      <w:r>
        <w:rPr/>
        <w:t>（</w:t>
      </w:r>
      <w:r>
        <w:rPr>
          <w:rFonts w:ascii="Times New Roman" w:hAnsi="Times New Roman" w:cs="Times New Roman" w:eastAsia="Times New Roman" w:hint="default"/>
        </w:rPr>
        <w:t>4</w:t>
      </w:r>
      <w:r>
        <w:rPr/>
        <w:t>）高度重视环保建设，以</w:t>
      </w:r>
      <w:r>
        <w:rPr>
          <w:rFonts w:ascii="Times New Roman" w:hAnsi="Times New Roman" w:cs="Times New Roman" w:eastAsia="Times New Roman" w:hint="default"/>
        </w:rPr>
        <w:t>“</w:t>
      </w:r>
      <w:r>
        <w:rPr/>
        <w:t>节能减排、和谐发展</w:t>
      </w:r>
      <w:r>
        <w:rPr>
          <w:rFonts w:ascii="Times New Roman" w:hAnsi="Times New Roman" w:cs="Times New Roman" w:eastAsia="Times New Roman" w:hint="default"/>
        </w:rPr>
        <w:t>”</w:t>
      </w:r>
      <w:r>
        <w:rPr/>
        <w:t>为目标。随着国家新环保标准的实施、环保治理力度的加大，公司 </w:t>
      </w:r>
      <w:r>
        <w:rPr>
          <w:spacing w:val="-2"/>
        </w:rPr>
        <w:t>将大力发展循环经济，以废物交换、循环利用，最大限度的提高资源利用率，同时加大环保项目建设力度，切实保证公司废</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81"/>
        <w:jc w:val="left"/>
      </w:pPr>
      <w:r>
        <w:rPr/>
        <w:t>弃物的达标排放。</w:t>
      </w:r>
    </w:p>
    <w:p>
      <w:pPr>
        <w:pStyle w:val="BodyText"/>
        <w:spacing w:line="300" w:lineRule="auto" w:before="76"/>
        <w:ind w:left="153" w:right="181" w:firstLine="360"/>
        <w:jc w:val="left"/>
      </w:pPr>
      <w:r>
        <w:rPr/>
        <w:t>（</w:t>
      </w:r>
      <w:r>
        <w:rPr>
          <w:rFonts w:ascii="Times New Roman" w:hAnsi="Times New Roman" w:cs="Times New Roman" w:eastAsia="Times New Roman" w:hint="default"/>
        </w:rPr>
        <w:t>5</w:t>
      </w:r>
      <w:r>
        <w:rPr/>
        <w:t>）加强技术创新与人才培养与国际造纸企业比较，目前技术与人才两个方面是薄弱环节，一方面公司将坚持内培外 引，提高队伍素质；另一方面坚持科技兴企，增强自主创新能力。</w:t>
      </w:r>
    </w:p>
    <w:p>
      <w:pPr>
        <w:pStyle w:val="Heading6"/>
        <w:spacing w:line="240" w:lineRule="auto" w:before="31"/>
        <w:ind w:left="515" w:right="181"/>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年经营计划</w:t>
      </w:r>
      <w:r>
        <w:rPr>
          <w:b w:val="0"/>
          <w:bCs w:val="0"/>
        </w:rPr>
      </w:r>
    </w:p>
    <w:p>
      <w:pPr>
        <w:pStyle w:val="BodyText"/>
        <w:spacing w:line="307" w:lineRule="auto" w:before="103"/>
        <w:ind w:left="153" w:right="91" w:firstLine="35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）坚持战略导航，做好集团发展规划。</w:t>
      </w:r>
      <w:r>
        <w:rPr/>
        <w:t>一是抓好项目建设。把抓投入、上项目作为加快结构调整，促进转型升级的 </w:t>
      </w:r>
      <w:r>
        <w:rPr>
          <w:spacing w:val="-4"/>
        </w:rPr>
        <w:t>重要举措，突出抓好吉林晨鸣、湛江晨鸣、武汉晨鸣、寿光</w:t>
      </w:r>
      <w:r>
        <w:rPr>
          <w:rFonts w:ascii="Times New Roman" w:hAnsi="Times New Roman" w:cs="Times New Roman" w:eastAsia="Times New Roman" w:hint="default"/>
          <w:spacing w:val="-4"/>
        </w:rPr>
        <w:t>10</w:t>
      </w:r>
      <w:r>
        <w:rPr>
          <w:spacing w:val="-4"/>
        </w:rPr>
        <w:t>万吨造纸助剂等项目在建、升级改造，对项目建设、人员培训、</w:t>
      </w:r>
      <w:r>
        <w:rPr>
          <w:spacing w:val="-43"/>
        </w:rPr>
        <w:t> </w:t>
      </w:r>
      <w:r>
        <w:rPr>
          <w:spacing w:val="-43"/>
        </w:rPr>
      </w:r>
      <w:r>
        <w:rPr>
          <w:spacing w:val="-2"/>
        </w:rPr>
        <w:t>原料供应及后续运行等工作，科学组织，统筹安排，确保按期投运。二是加强技术改造。把技术改造作为优化结构、提高运</w:t>
      </w:r>
      <w:r>
        <w:rPr>
          <w:spacing w:val="-67"/>
        </w:rPr>
        <w:t> </w:t>
      </w:r>
      <w:r>
        <w:rPr>
          <w:spacing w:val="-67"/>
        </w:rPr>
      </w:r>
      <w:r>
        <w:rPr>
          <w:spacing w:val="-2"/>
        </w:rPr>
        <w:t>行的重要途径，对寿光</w:t>
      </w:r>
      <w:r>
        <w:rPr>
          <w:rFonts w:ascii="Times New Roman" w:hAnsi="Times New Roman" w:cs="Times New Roman" w:eastAsia="Times New Roman" w:hint="default"/>
          <w:spacing w:val="-2"/>
        </w:rPr>
        <w:t>12</w:t>
      </w:r>
      <w:r>
        <w:rPr>
          <w:spacing w:val="-2"/>
        </w:rPr>
        <w:t>万吨美术涂布印刷纸节能升级项目、武汉晨鸣</w:t>
      </w:r>
      <w:r>
        <w:rPr>
          <w:rFonts w:ascii="Times New Roman" w:hAnsi="Times New Roman" w:cs="Times New Roman" w:eastAsia="Times New Roman" w:hint="default"/>
          <w:spacing w:val="-2"/>
        </w:rPr>
        <w:t>4800</w:t>
      </w:r>
      <w:r>
        <w:rPr>
          <w:spacing w:val="-2"/>
        </w:rPr>
        <w:t>文化纸机格拉辛纸改造项目等技改项目，做好论</w:t>
      </w:r>
      <w:r>
        <w:rPr>
          <w:spacing w:val="-60"/>
        </w:rPr>
        <w:t> </w:t>
      </w:r>
      <w:r>
        <w:rPr>
          <w:spacing w:val="-60"/>
        </w:rPr>
      </w:r>
      <w:r>
        <w:rPr/>
        <w:t>证，加快进度，确保落实质量和效果。三是加大科研力度。完善产、学、研、用密切合作的渠道与机制，在表面增强技术、 </w:t>
      </w:r>
      <w:r>
        <w:rPr>
          <w:spacing w:val="-2"/>
        </w:rPr>
        <w:t>成纸灰分技术等方面加大开发力度，全年获专利</w:t>
      </w:r>
      <w:r>
        <w:rPr>
          <w:rFonts w:ascii="Times New Roman" w:hAnsi="Times New Roman" w:cs="Times New Roman" w:eastAsia="Times New Roman" w:hint="default"/>
          <w:spacing w:val="-2"/>
        </w:rPr>
        <w:t>10</w:t>
      </w:r>
      <w:r>
        <w:rPr>
          <w:spacing w:val="-2"/>
        </w:rPr>
        <w:t>项以上。同时，落实好节能环保政策，推广应用新技术、新工艺，推进循</w:t>
      </w:r>
      <w:r>
        <w:rPr>
          <w:spacing w:val="-66"/>
        </w:rPr>
        <w:t> </w:t>
      </w:r>
      <w:r>
        <w:rPr>
          <w:spacing w:val="-66"/>
        </w:rPr>
      </w:r>
      <w:r>
        <w:rPr/>
        <w:t>环经济，加强资源综合利用，促进节能减排。</w:t>
      </w:r>
    </w:p>
    <w:p>
      <w:pPr>
        <w:pStyle w:val="BodyText"/>
        <w:spacing w:line="312" w:lineRule="auto" w:before="65"/>
        <w:ind w:right="90" w:firstLine="361"/>
        <w:jc w:val="left"/>
      </w:pPr>
      <w:r>
        <w:rPr>
          <w:rFonts w:ascii="宋体" w:hAnsi="宋体" w:cs="宋体" w:eastAsia="宋体" w:hint="default"/>
          <w:b/>
          <w:bCs/>
        </w:rPr>
        <w:t>（2)加强创新管理，提升工作效能。</w:t>
      </w:r>
      <w:r>
        <w:rPr/>
        <w:t>一是加强标准管理。从管理入手，加强制度建设，进一步建立岗位工作标准，真 </w:t>
      </w:r>
      <w:r>
        <w:rPr>
          <w:spacing w:val="-2"/>
        </w:rPr>
        <w:t>正做到用制度管人，按标准做事，用事实、数据说话，提升工作效能。二是提升财务管理。成立财务公司，加大集团资金集</w:t>
      </w:r>
      <w:r>
        <w:rPr>
          <w:spacing w:val="-72"/>
        </w:rPr>
        <w:t> </w:t>
      </w:r>
      <w:r>
        <w:rPr>
          <w:spacing w:val="-72"/>
        </w:rPr>
      </w:r>
      <w:r>
        <w:rPr>
          <w:spacing w:val="-2"/>
        </w:rPr>
        <w:t>中管理力度，提高资金使用效率，提升资金结算、管理和投融资水平；充分利用香港市场融资平台，对香港晨鸣增资并增加</w:t>
      </w:r>
      <w:r>
        <w:rPr>
          <w:spacing w:val="-66"/>
        </w:rPr>
        <w:t> </w:t>
      </w:r>
      <w:r>
        <w:rPr>
          <w:spacing w:val="-66"/>
        </w:rPr>
      </w:r>
      <w:r>
        <w:rPr>
          <w:spacing w:val="-2"/>
        </w:rPr>
        <w:t>其授信额度，扩大业务范围；发挥好地处省、市子公司位置优势，储备好低成本金融机构授信额度资源，提升集团的资金结</w:t>
      </w:r>
      <w:r>
        <w:rPr>
          <w:spacing w:val="-66"/>
        </w:rPr>
        <w:t> </w:t>
      </w:r>
      <w:r>
        <w:rPr>
          <w:spacing w:val="-66"/>
        </w:rPr>
      </w:r>
      <w:r>
        <w:rPr/>
        <w:t>算、管理与投融资水平，降低财务费用，提高盈利水平。三是优化采购管理。引进先进的管理模式，开拓期货、现货市场， </w:t>
      </w:r>
      <w:r>
        <w:rPr>
          <w:spacing w:val="-3"/>
        </w:rPr>
        <w:t>与优质客户建立战略合作关系，试行</w:t>
      </w:r>
      <w:r>
        <w:rPr>
          <w:rFonts w:ascii="Times New Roman" w:hAnsi="Times New Roman" w:cs="Times New Roman" w:eastAsia="Times New Roman" w:hint="default"/>
          <w:spacing w:val="-3"/>
        </w:rPr>
        <w:t>“</w:t>
      </w:r>
      <w:r>
        <w:rPr>
          <w:spacing w:val="-3"/>
        </w:rPr>
        <w:t>寄库采购</w:t>
      </w:r>
      <w:r>
        <w:rPr>
          <w:rFonts w:ascii="Times New Roman" w:hAnsi="Times New Roman" w:cs="Times New Roman" w:eastAsia="Times New Roman" w:hint="default"/>
          <w:spacing w:val="-3"/>
        </w:rPr>
        <w:t>”</w:t>
      </w:r>
      <w:r>
        <w:rPr>
          <w:spacing w:val="-3"/>
        </w:rPr>
        <w:t>模式。四是加强内控体系建设。优化内部控制流程，健全风险防范管理体系，</w:t>
      </w:r>
      <w:r>
        <w:rPr>
          <w:spacing w:val="-78"/>
        </w:rPr>
        <w:t> </w:t>
      </w:r>
      <w:r>
        <w:rPr>
          <w:spacing w:val="-78"/>
        </w:rPr>
      </w:r>
      <w:r>
        <w:rPr>
          <w:spacing w:val="-2"/>
        </w:rPr>
        <w:t>强化并推动内审工作向管理、风险审计转型，完善企业法律风险防范机制，加强过程监督和重大风险管控。五是强化质量管</w:t>
      </w:r>
      <w:r>
        <w:rPr>
          <w:spacing w:val="-66"/>
        </w:rPr>
        <w:t> </w:t>
      </w:r>
      <w:r>
        <w:rPr>
          <w:spacing w:val="-66"/>
        </w:rPr>
      </w:r>
      <w:r>
        <w:rPr/>
        <w:t>理。质量是企业的生命，以提高质量和增加经济效益为目的，做到</w:t>
      </w:r>
      <w:r>
        <w:rPr>
          <w:rFonts w:ascii="Times New Roman" w:hAnsi="Times New Roman" w:cs="Times New Roman" w:eastAsia="Times New Roman" w:hint="default"/>
        </w:rPr>
        <w:t>“</w:t>
      </w:r>
      <w:r>
        <w:rPr/>
        <w:t>全员、全过程、全企业</w:t>
      </w:r>
      <w:r>
        <w:rPr>
          <w:rFonts w:ascii="Times New Roman" w:hAnsi="Times New Roman" w:cs="Times New Roman" w:eastAsia="Times New Roman" w:hint="default"/>
        </w:rPr>
        <w:t>”</w:t>
      </w:r>
      <w:r>
        <w:rPr/>
        <w:t>质量管理。六是构建规范安全体 系。强化</w:t>
      </w:r>
      <w:r>
        <w:rPr>
          <w:rFonts w:ascii="Times New Roman" w:hAnsi="Times New Roman" w:cs="Times New Roman" w:eastAsia="Times New Roman" w:hint="default"/>
        </w:rPr>
        <w:t>“</w:t>
      </w:r>
      <w:r>
        <w:rPr/>
        <w:t>安全也是效益</w:t>
      </w:r>
      <w:r>
        <w:rPr>
          <w:rFonts w:ascii="Times New Roman" w:hAnsi="Times New Roman" w:cs="Times New Roman" w:eastAsia="Times New Roman" w:hint="default"/>
        </w:rPr>
        <w:t>”</w:t>
      </w:r>
      <w:r>
        <w:rPr/>
        <w:t>的意识，以</w:t>
      </w:r>
      <w:r>
        <w:rPr>
          <w:rFonts w:ascii="Times New Roman" w:hAnsi="Times New Roman" w:cs="Times New Roman" w:eastAsia="Times New Roman" w:hint="default"/>
        </w:rPr>
        <w:t>“</w:t>
      </w:r>
      <w:r>
        <w:rPr/>
        <w:t>安全文化、安全法规、安全责任、安全科技和安全投入</w:t>
      </w:r>
      <w:r>
        <w:rPr>
          <w:rFonts w:ascii="Times New Roman" w:hAnsi="Times New Roman" w:cs="Times New Roman" w:eastAsia="Times New Roman" w:hint="default"/>
        </w:rPr>
        <w:t>”</w:t>
      </w:r>
      <w:r>
        <w:rPr/>
        <w:t>五大要素为着力点，认真处理 好发展、效益、稳定与安全的关系，以安全增效益，以安全保稳定，以稳定促发展。</w:t>
      </w:r>
    </w:p>
    <w:p>
      <w:pPr>
        <w:pStyle w:val="BodyText"/>
        <w:spacing w:line="319" w:lineRule="auto" w:before="61"/>
        <w:ind w:right="187" w:firstLine="361"/>
        <w:jc w:val="both"/>
      </w:pPr>
      <w:r>
        <w:rPr>
          <w:rFonts w:ascii="宋体" w:hAnsi="宋体" w:cs="宋体" w:eastAsia="宋体" w:hint="default"/>
          <w:b/>
          <w:bCs/>
          <w:w w:val="95"/>
        </w:rPr>
        <w:t>（3）调整产品结构，开拓新的市场空间。</w:t>
      </w:r>
      <w:r>
        <w:rPr>
          <w:w w:val="95"/>
        </w:rPr>
        <w:t>加强产品质量管理，加大高附加值产品开发，生产适销对路的产品，增强产</w:t>
      </w:r>
      <w:r>
        <w:rPr>
          <w:spacing w:val="-2"/>
          <w:w w:val="95"/>
        </w:rPr>
        <w:t> </w:t>
      </w:r>
      <w:r>
        <w:rPr>
          <w:spacing w:val="-2"/>
          <w:w w:val="95"/>
        </w:rPr>
      </w:r>
      <w:r>
        <w:rPr>
          <w:spacing w:val="-2"/>
        </w:rPr>
        <w:t>品市场竞争力。一是突出重点。以效益为中心，坚持高档次、高附加值，向高端产品发展；坚持低成本、低档次，以满足客</w:t>
      </w:r>
      <w:r>
        <w:rPr>
          <w:spacing w:val="-70"/>
        </w:rPr>
        <w:t> </w:t>
      </w:r>
      <w:r>
        <w:rPr>
          <w:spacing w:val="-70"/>
        </w:rPr>
      </w:r>
      <w:r>
        <w:rPr>
          <w:spacing w:val="-2"/>
        </w:rPr>
        <w:t>户需求为标准，突出低成本优势，拓宽效益空间。二是提高经营意识。各子公司要强化经营意识，在贯彻集团决策部署的基</w:t>
      </w:r>
      <w:r>
        <w:rPr>
          <w:spacing w:val="-66"/>
        </w:rPr>
        <w:t> </w:t>
      </w:r>
      <w:r>
        <w:rPr>
          <w:spacing w:val="-66"/>
        </w:rPr>
      </w:r>
      <w:r>
        <w:rPr>
          <w:spacing w:val="-2"/>
        </w:rPr>
        <w:t>础上，围绕经济效益这个中心，从产供销各环节入手，把握工作主动权，不断提高运行质量，全面提升经营管理水平。三是</w:t>
      </w:r>
      <w:r>
        <w:rPr>
          <w:spacing w:val="-68"/>
        </w:rPr>
        <w:t> </w:t>
      </w:r>
      <w:r>
        <w:rPr>
          <w:spacing w:val="-68"/>
        </w:rPr>
      </w:r>
      <w:r>
        <w:rPr>
          <w:spacing w:val="-2"/>
        </w:rPr>
        <w:t>扩大直销力度与海外销售渠道。对大型直销客户重点攻关，同时，开发有实力的大经销商，利用其销售渠道，扩大产品的海</w:t>
      </w:r>
      <w:r>
        <w:rPr>
          <w:spacing w:val="-66"/>
        </w:rPr>
        <w:t> </w:t>
      </w:r>
      <w:r>
        <w:rPr>
          <w:spacing w:val="-66"/>
        </w:rPr>
      </w:r>
      <w:r>
        <w:rPr>
          <w:spacing w:val="-2"/>
        </w:rPr>
        <w:t>外市场占有率。重点抓好扩大低克重铜版纸在日本市场的销售。四是开拓品牌宣传渠道。根据产品公司、片区市场推广活动</w:t>
      </w:r>
      <w:r>
        <w:rPr>
          <w:spacing w:val="-66"/>
        </w:rPr>
        <w:t> </w:t>
      </w:r>
      <w:r>
        <w:rPr>
          <w:spacing w:val="-66"/>
        </w:rPr>
      </w:r>
      <w:r>
        <w:rPr/>
        <w:t>需求，策划新产品推介会等推广活动，提升客户对晨鸣品牌的认知度，全面提升公司品牌形象与影响力。</w:t>
      </w:r>
    </w:p>
    <w:p>
      <w:pPr>
        <w:pStyle w:val="BodyText"/>
        <w:spacing w:line="312" w:lineRule="auto" w:before="55"/>
        <w:ind w:right="90" w:firstLine="361"/>
        <w:jc w:val="left"/>
      </w:pPr>
      <w:r>
        <w:rPr>
          <w:rFonts w:ascii="宋体" w:hAnsi="宋体" w:cs="宋体" w:eastAsia="宋体" w:hint="default"/>
          <w:b/>
          <w:bCs/>
        </w:rPr>
        <w:t>（4）加强队伍建设，提升员工素质。</w:t>
      </w:r>
      <w:r>
        <w:rPr/>
        <w:t>人才是企业发展的</w:t>
      </w:r>
      <w:r>
        <w:rPr>
          <w:rFonts w:ascii="Times New Roman" w:hAnsi="Times New Roman" w:cs="Times New Roman" w:eastAsia="Times New Roman" w:hint="default"/>
        </w:rPr>
        <w:t>“</w:t>
      </w:r>
      <w:r>
        <w:rPr/>
        <w:t>第一要素</w:t>
      </w:r>
      <w:r>
        <w:rPr>
          <w:rFonts w:ascii="Times New Roman" w:hAnsi="Times New Roman" w:cs="Times New Roman" w:eastAsia="Times New Roman" w:hint="default"/>
        </w:rPr>
        <w:t>”</w:t>
      </w:r>
      <w:r>
        <w:rPr/>
        <w:t>。一是创新人才发展机制。根据公司发展需求，做 </w:t>
      </w:r>
      <w:r>
        <w:rPr>
          <w:spacing w:val="-2"/>
        </w:rPr>
        <w:t>好高新、管理人才的引进力度，造就一支与公司价值取向一致、适应发展战略需要的高素质人才队伍。二是做好选人、育人</w:t>
      </w:r>
      <w:r>
        <w:rPr>
          <w:spacing w:val="-66"/>
        </w:rPr>
        <w:t> </w:t>
      </w:r>
      <w:r>
        <w:rPr>
          <w:spacing w:val="-66"/>
        </w:rPr>
      </w:r>
      <w:r>
        <w:rPr/>
        <w:t>工作。完善人才公平竞争机制，坚持德才兼备的原则，对干部队伍不断进行优化。三是加大员工培训力度。坚持以人为本， </w:t>
      </w:r>
      <w:r>
        <w:rPr>
          <w:spacing w:val="-3"/>
        </w:rPr>
        <w:t>加大培训力度，提高岗位技能水平，将公司办成</w:t>
      </w:r>
      <w:r>
        <w:rPr>
          <w:rFonts w:ascii="Times New Roman" w:hAnsi="Times New Roman" w:cs="Times New Roman" w:eastAsia="Times New Roman" w:hint="default"/>
          <w:spacing w:val="-3"/>
        </w:rPr>
        <w:t>“</w:t>
      </w:r>
      <w:r>
        <w:rPr>
          <w:spacing w:val="-3"/>
        </w:rPr>
        <w:t>学习型企业、知识型企业</w:t>
      </w:r>
      <w:r>
        <w:rPr>
          <w:rFonts w:ascii="Times New Roman" w:hAnsi="Times New Roman" w:cs="Times New Roman" w:eastAsia="Times New Roman" w:hint="default"/>
          <w:spacing w:val="-3"/>
        </w:rPr>
        <w:t>”</w:t>
      </w:r>
      <w:r>
        <w:rPr>
          <w:spacing w:val="-3"/>
        </w:rPr>
        <w:t>。四是抓好作风建设。各级管理干部要求真务实，</w:t>
      </w:r>
      <w:r>
        <w:rPr>
          <w:spacing w:val="-79"/>
        </w:rPr>
        <w:t> </w:t>
      </w:r>
      <w:r>
        <w:rPr>
          <w:spacing w:val="-79"/>
        </w:rPr>
      </w:r>
      <w:r>
        <w:rPr/>
        <w:t>真抓实干，善谋思进，不断提升自身管理水平和做事能力，想员工所想，解企业所需，铺下身子抓落实，深入一线解难题， </w:t>
      </w:r>
      <w:r>
        <w:rPr>
          <w:spacing w:val="-2"/>
        </w:rPr>
        <w:t>打造和谐、高效的干事团队。五是营造良好氛围。从员工最关心、最现实的利益问题入手，为员工真心诚意办实事、扎扎实</w:t>
      </w:r>
      <w:r>
        <w:rPr>
          <w:spacing w:val="-68"/>
        </w:rPr>
        <w:t> </w:t>
      </w:r>
      <w:r>
        <w:rPr>
          <w:spacing w:val="-68"/>
        </w:rPr>
      </w:r>
      <w:r>
        <w:rPr/>
        <w:t>实做好事，使员工真正分享到企业发展的成果，营造良好的工作、生活氛围，增强公司的向心力与凝聚力。</w:t>
      </w:r>
    </w:p>
    <w:p>
      <w:pPr>
        <w:pStyle w:val="BodyText"/>
        <w:spacing w:line="309" w:lineRule="auto" w:before="62"/>
        <w:ind w:left="155" w:right="188" w:firstLine="361"/>
        <w:jc w:val="both"/>
      </w:pPr>
      <w:r>
        <w:rPr>
          <w:rFonts w:ascii="宋体" w:hAnsi="宋体" w:cs="宋体" w:eastAsia="宋体" w:hint="default"/>
          <w:b/>
          <w:bCs/>
          <w:spacing w:val="-2"/>
        </w:rPr>
        <w:t>（5）打造晨鸣特色文化，推进文化宣贯落地。</w:t>
      </w:r>
      <w:r>
        <w:rPr>
          <w:spacing w:val="-2"/>
        </w:rPr>
        <w:t>注重企业文化建设，规范员工言行，落实</w:t>
      </w:r>
      <w:r>
        <w:rPr>
          <w:rFonts w:ascii="Times New Roman" w:hAnsi="Times New Roman" w:cs="Times New Roman" w:eastAsia="Times New Roman" w:hint="default"/>
          <w:spacing w:val="-2"/>
        </w:rPr>
        <w:t>“</w:t>
      </w:r>
      <w:r>
        <w:rPr>
          <w:spacing w:val="-2"/>
        </w:rPr>
        <w:t>努力实现企业管理与企业文化</w:t>
      </w:r>
      <w:r>
        <w:rPr/>
        <w:t> 的高度融合</w:t>
      </w:r>
      <w:r>
        <w:rPr>
          <w:rFonts w:ascii="Times New Roman" w:hAnsi="Times New Roman" w:cs="Times New Roman" w:eastAsia="Times New Roman" w:hint="default"/>
        </w:rPr>
        <w:t>”</w:t>
      </w:r>
      <w:r>
        <w:rPr/>
        <w:t>的目标，确保企业内部团结协作，各项工作有序进行。加强文化制度建设与宣贯落地，结合丰富多彩的文化活</w:t>
      </w:r>
      <w:r>
        <w:rPr>
          <w:spacing w:val="-77"/>
        </w:rPr>
        <w:t> </w:t>
      </w:r>
      <w:r>
        <w:rPr>
          <w:spacing w:val="-77"/>
        </w:rPr>
      </w:r>
      <w:r>
        <w:rPr>
          <w:spacing w:val="-2"/>
        </w:rPr>
        <w:t>动，引导全员进一步学习把握晨鸣企业文化内涵，自觉践行文化理念，反思思想观念、管理手段、工作作风、价值取向、制</w:t>
      </w:r>
      <w:r>
        <w:rPr>
          <w:spacing w:val="-71"/>
        </w:rPr>
        <w:t> </w:t>
      </w:r>
      <w:r>
        <w:rPr>
          <w:spacing w:val="-71"/>
        </w:rPr>
      </w:r>
      <w:r>
        <w:rPr>
          <w:spacing w:val="-2"/>
        </w:rPr>
        <w:t>度建设等方面的偏失，促进文化融入思想、融入管理，用文化理念指导工作，提高素质修养和执行力，从而打造晨鸣崭新的</w:t>
      </w:r>
      <w:r>
        <w:rPr>
          <w:spacing w:val="-66"/>
        </w:rPr>
        <w:t> </w:t>
      </w:r>
      <w:r>
        <w:rPr>
          <w:spacing w:val="-66"/>
        </w:rPr>
      </w:r>
      <w:r>
        <w:rPr/>
        <w:t>企业文化力。</w:t>
      </w:r>
    </w:p>
    <w:p>
      <w:pPr>
        <w:spacing w:line="300" w:lineRule="auto" w:before="62"/>
        <w:ind w:left="515" w:right="181"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、因维持当前业务并完成在建项目公司所需的资金需求</w:t>
      </w:r>
      <w:r>
        <w:rPr>
          <w:rFonts w:ascii="宋体" w:hAnsi="宋体" w:cs="宋体" w:eastAsia="宋体" w:hint="default"/>
          <w:b/>
          <w:bCs/>
          <w:w w:val="99"/>
          <w:sz w:val="18"/>
          <w:szCs w:val="18"/>
        </w:rPr>
        <w:t> </w:t>
      </w:r>
      <w:r>
        <w:rPr>
          <w:rFonts w:ascii="宋体" w:hAnsi="宋体" w:cs="宋体" w:eastAsia="宋体" w:hint="default"/>
          <w:spacing w:val="-2"/>
          <w:sz w:val="18"/>
          <w:szCs w:val="18"/>
        </w:rPr>
        <w:t>公司新建项目陆续投产，但因市场原因还未能及时发挥盈利能力，公司目前借贷规模较大，国家存贷款利率的波动将直</w:t>
      </w:r>
    </w:p>
    <w:p>
      <w:pPr>
        <w:pStyle w:val="BodyText"/>
        <w:spacing w:line="316" w:lineRule="auto" w:before="31"/>
        <w:ind w:left="155" w:right="89"/>
        <w:jc w:val="left"/>
      </w:pPr>
      <w:r>
        <w:rPr/>
        <w:t>接使公司承担的利息总额发动波动，进而影响公司盈利水平。为此，公司明确了以下措施：一是进一步健全国际营销网络， 完善海外公司组织结构，调整销售渠道，下大力气拓展国外市场，尤其是涂布纸产品、高档双胶纸、静电小纸等高档产品，</w:t>
      </w:r>
    </w:p>
    <w:p>
      <w:pPr>
        <w:spacing w:after="0" w:line="316" w:lineRule="auto"/>
        <w:jc w:val="left"/>
        <w:sectPr>
          <w:footerReference w:type="default" r:id="rId16"/>
          <w:pgSz w:w="11910" w:h="16840"/>
          <w:pgMar w:footer="982" w:header="747" w:top="1060" w:bottom="1180" w:left="980" w:right="940"/>
          <w:pgNumType w:start="26"/>
        </w:sectPr>
      </w:pPr>
    </w:p>
    <w:p>
      <w:pPr>
        <w:spacing w:line="240" w:lineRule="auto" w:before="12"/>
        <w:rPr>
          <w:rFonts w:ascii="宋体" w:hAnsi="宋体" w:cs="宋体" w:eastAsia="宋体" w:hint="default"/>
          <w:sz w:val="25"/>
          <w:szCs w:val="25"/>
        </w:rPr>
      </w:pPr>
    </w:p>
    <w:p>
      <w:pPr>
        <w:pStyle w:val="BodyText"/>
        <w:spacing w:line="316" w:lineRule="auto" w:before="44"/>
        <w:ind w:left="153" w:right="190"/>
        <w:jc w:val="both"/>
      </w:pPr>
      <w:r>
        <w:rPr>
          <w:spacing w:val="-2"/>
        </w:rPr>
        <w:t>加大出口力度和回款力度，缓解国内市场压力；二是充分利用香港市场融资平台，寻找香港、内地业务结合点，增加香港晨</w:t>
      </w:r>
      <w:r>
        <w:rPr>
          <w:spacing w:val="-66"/>
        </w:rPr>
        <w:t> </w:t>
      </w:r>
      <w:r>
        <w:rPr>
          <w:spacing w:val="-66"/>
        </w:rPr>
      </w:r>
      <w:r>
        <w:rPr>
          <w:spacing w:val="-2"/>
        </w:rPr>
        <w:t>鸣授信额度，扩大香港晨鸣的业务；三是积极成立集团财务公司，加强集团资金集中管理、提高资金使用效率，进一步提升</w:t>
      </w:r>
      <w:r>
        <w:rPr>
          <w:spacing w:val="-66"/>
        </w:rPr>
        <w:t> </w:t>
      </w:r>
      <w:r>
        <w:rPr>
          <w:spacing w:val="-66"/>
        </w:rPr>
      </w:r>
      <w:r>
        <w:rPr/>
        <w:t>集团的资金结算、管理与投融资水平，降低融资成本。</w:t>
      </w:r>
    </w:p>
    <w:p>
      <w:pPr>
        <w:pStyle w:val="BodyText"/>
        <w:spacing w:line="340" w:lineRule="auto" w:before="18"/>
        <w:ind w:left="513" w:right="99" w:firstLine="1"/>
        <w:jc w:val="left"/>
      </w:pPr>
      <w:r>
        <w:rPr>
          <w:rFonts w:ascii="Times New Roman" w:hAnsi="Times New Roman" w:cs="Times New Roman" w:eastAsia="Times New Roman" w:hint="default"/>
          <w:b/>
          <w:bCs/>
        </w:rPr>
        <w:t>5</w:t>
      </w:r>
      <w:r>
        <w:rPr>
          <w:rFonts w:ascii="宋体" w:hAnsi="宋体" w:cs="宋体" w:eastAsia="宋体" w:hint="default"/>
          <w:b/>
          <w:bCs/>
        </w:rPr>
        <w:t>、可能面对的风险</w:t>
      </w:r>
      <w:r>
        <w:rPr>
          <w:rFonts w:ascii="宋体" w:hAnsi="宋体" w:cs="宋体" w:eastAsia="宋体" w:hint="default"/>
          <w:b/>
          <w:bCs/>
          <w:spacing w:val="1"/>
          <w:w w:val="99"/>
        </w:rPr>
        <w:t> </w:t>
      </w:r>
      <w:r>
        <w:rPr>
          <w:spacing w:val="-4"/>
        </w:rPr>
        <w:t>造纸行业作为国民经济的基础原材料工业，行业整体效益与国家宏观经济景气程度有较大相关性，表现出较强的周期性。</w:t>
      </w:r>
    </w:p>
    <w:p>
      <w:pPr>
        <w:pStyle w:val="BodyText"/>
        <w:spacing w:line="319" w:lineRule="auto"/>
        <w:ind w:left="153" w:right="190"/>
        <w:jc w:val="both"/>
      </w:pPr>
      <w:r>
        <w:rPr>
          <w:spacing w:val="-2"/>
        </w:rPr>
        <w:t>国家宏观经济景气程度将较大程度影响纸产品的市场需求量，进而影响产品价格和原材料成本，最终影响本公司在内的造纸</w:t>
      </w:r>
      <w:r>
        <w:rPr>
          <w:spacing w:val="-64"/>
        </w:rPr>
        <w:t> </w:t>
      </w:r>
      <w:r>
        <w:rPr>
          <w:spacing w:val="-64"/>
        </w:rPr>
      </w:r>
      <w:r>
        <w:rPr>
          <w:spacing w:val="-2"/>
        </w:rPr>
        <w:t>企业的经营业绩。未来我国宏观经济走向仍存在一定的不确定性和复杂性，公司仍面临盈利水平受到宏观经济波动影响的风</w:t>
      </w:r>
      <w:r>
        <w:rPr>
          <w:spacing w:val="-64"/>
        </w:rPr>
        <w:t> </w:t>
      </w:r>
      <w:r>
        <w:rPr>
          <w:spacing w:val="-64"/>
        </w:rPr>
      </w:r>
      <w:r>
        <w:rPr/>
        <w:t>险。</w:t>
      </w:r>
    </w:p>
    <w:p>
      <w:pPr>
        <w:pStyle w:val="BodyText"/>
        <w:spacing w:line="309" w:lineRule="auto" w:before="56"/>
        <w:ind w:left="153" w:right="190" w:firstLine="354"/>
        <w:jc w:val="both"/>
      </w:pPr>
      <w:r>
        <w:rPr>
          <w:rFonts w:ascii="宋体" w:hAnsi="宋体" w:cs="宋体" w:eastAsia="宋体" w:hint="default"/>
          <w:b/>
          <w:bCs/>
          <w:spacing w:val="-2"/>
        </w:rPr>
        <w:t>经营风险。</w:t>
      </w:r>
      <w:r>
        <w:rPr>
          <w:spacing w:val="-2"/>
        </w:rPr>
        <w:t>公司生产主要原材料为木浆和废纸。公司产品多为高档纸，且国家鼓励加大木浆使用比例，故木浆占生产成</w:t>
      </w:r>
      <w:r>
        <w:rPr/>
        <w:t> </w:t>
      </w:r>
      <w:r>
        <w:rPr>
          <w:spacing w:val="-1"/>
        </w:rPr>
        <w:t>本的比重较高，约占</w:t>
      </w:r>
      <w:r>
        <w:rPr>
          <w:rFonts w:ascii="Times New Roman" w:hAnsi="Times New Roman" w:cs="Times New Roman" w:eastAsia="Times New Roman" w:hint="default"/>
          <w:spacing w:val="-1"/>
        </w:rPr>
        <w:t>70%</w:t>
      </w:r>
      <w:r>
        <w:rPr>
          <w:spacing w:val="-1"/>
        </w:rPr>
        <w:t>；废纸仅在一些低端产品中应用，约占总采购额的</w:t>
      </w:r>
      <w:r>
        <w:rPr>
          <w:rFonts w:ascii="Times New Roman" w:hAnsi="Times New Roman" w:cs="Times New Roman" w:eastAsia="Times New Roman" w:hint="default"/>
          <w:spacing w:val="-1"/>
        </w:rPr>
        <w:t>20%</w:t>
      </w:r>
      <w:r>
        <w:rPr>
          <w:spacing w:val="-1"/>
        </w:rPr>
        <w:t>。木浆、废纸市场价格波动较大，影响公司</w:t>
      </w:r>
      <w:r>
        <w:rPr>
          <w:spacing w:val="-58"/>
        </w:rPr>
        <w:t> </w:t>
      </w:r>
      <w:r>
        <w:rPr>
          <w:spacing w:val="-58"/>
        </w:rPr>
      </w:r>
      <w:r>
        <w:rPr/>
        <w:t>机制纸产品的生产成本，对公司业绩产生影响。</w:t>
      </w:r>
    </w:p>
    <w:p>
      <w:pPr>
        <w:pStyle w:val="BodyText"/>
        <w:spacing w:line="309" w:lineRule="auto" w:before="24"/>
        <w:ind w:left="153" w:right="188" w:firstLine="354"/>
        <w:jc w:val="both"/>
      </w:pPr>
      <w:r>
        <w:rPr>
          <w:rFonts w:ascii="宋体" w:hAnsi="宋体" w:cs="宋体" w:eastAsia="宋体" w:hint="default"/>
          <w:b/>
          <w:bCs/>
        </w:rPr>
        <w:t>行业风险。</w:t>
      </w:r>
      <w:r>
        <w:rPr/>
        <w:t>随着国民经济快速增长、经济全球化和中国加入</w:t>
      </w:r>
      <w:r>
        <w:rPr>
          <w:rFonts w:ascii="Times New Roman" w:hAnsi="Times New Roman" w:cs="Times New Roman" w:eastAsia="Times New Roman" w:hint="default"/>
        </w:rPr>
        <w:t>WTO</w:t>
      </w:r>
      <w:r>
        <w:rPr/>
        <w:t>，我国造纸行业竞争日趋激烈。国内企业在经过多年 </w:t>
      </w:r>
      <w:r>
        <w:rPr>
          <w:spacing w:val="-2"/>
        </w:rPr>
        <w:t>发展后具备了一定的规模实力和资金实力，进一步扩大企业规模、提高技术水平、提升产品档次，同行业企业纷纷上马新项</w:t>
      </w:r>
      <w:r>
        <w:rPr>
          <w:spacing w:val="-66"/>
        </w:rPr>
        <w:t> </w:t>
      </w:r>
      <w:r>
        <w:rPr>
          <w:spacing w:val="-66"/>
        </w:rPr>
      </w:r>
      <w:r>
        <w:rPr>
          <w:spacing w:val="-2"/>
        </w:rPr>
        <w:t>目，引进先进设备、扩大产能、加强销售；国外知名造纸企业也通过独资、合资的方式将生产基地直接设立在中国，凭借其</w:t>
      </w:r>
      <w:r>
        <w:rPr>
          <w:spacing w:val="-68"/>
        </w:rPr>
        <w:t> </w:t>
      </w:r>
      <w:r>
        <w:rPr>
          <w:spacing w:val="-68"/>
        </w:rPr>
      </w:r>
      <w:r>
        <w:rPr/>
        <w:t>规模、技术等方面的优势直接参与国内市场竞争；此外，中国加入</w:t>
      </w:r>
      <w:r>
        <w:rPr>
          <w:rFonts w:ascii="Times New Roman" w:hAnsi="Times New Roman" w:cs="Times New Roman" w:eastAsia="Times New Roman" w:hint="default"/>
        </w:rPr>
        <w:t>WTO</w:t>
      </w:r>
      <w:r>
        <w:rPr/>
        <w:t>后关税减让导致国际市场冲击进一步加剧。国内造 纸行业市场竞争加剧，会对公司未来经营业绩产生一定影响。</w:t>
      </w:r>
    </w:p>
    <w:p>
      <w:pPr>
        <w:pStyle w:val="BodyText"/>
        <w:spacing w:line="309" w:lineRule="auto" w:before="65"/>
        <w:ind w:left="153" w:right="99" w:firstLine="361"/>
        <w:jc w:val="left"/>
      </w:pPr>
      <w:r>
        <w:rPr>
          <w:rFonts w:ascii="宋体" w:hAnsi="宋体" w:cs="宋体" w:eastAsia="宋体" w:hint="default"/>
          <w:b/>
          <w:bCs/>
          <w:w w:val="95"/>
        </w:rPr>
        <w:t>政策风险。</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30</w:t>
      </w:r>
      <w:r>
        <w:rPr>
          <w:w w:val="95"/>
        </w:rPr>
        <w:t>日，国家发改委、工信部和国家林业局联合发布的《造纸工业发展</w:t>
      </w:r>
      <w:r>
        <w:rPr>
          <w:rFonts w:ascii="Times New Roman" w:hAnsi="Times New Roman" w:cs="Times New Roman" w:eastAsia="Times New Roman" w:hint="default"/>
          <w:w w:val="95"/>
        </w:rPr>
        <w:t>“</w:t>
      </w:r>
      <w:r>
        <w:rPr>
          <w:w w:val="95"/>
        </w:rPr>
        <w:t>十二五</w:t>
      </w:r>
      <w:r>
        <w:rPr>
          <w:rFonts w:ascii="Times New Roman" w:hAnsi="Times New Roman" w:cs="Times New Roman" w:eastAsia="Times New Roman" w:hint="default"/>
          <w:w w:val="95"/>
        </w:rPr>
        <w:t>”</w:t>
      </w:r>
      <w:r>
        <w:rPr>
          <w:w w:val="95"/>
        </w:rPr>
        <w:t>规划》，对造纸工</w:t>
      </w:r>
      <w:r>
        <w:rPr>
          <w:spacing w:val="-50"/>
          <w:w w:val="95"/>
        </w:rPr>
        <w:t> </w:t>
      </w:r>
      <w:r>
        <w:rPr>
          <w:spacing w:val="-50"/>
          <w:w w:val="95"/>
        </w:rPr>
      </w:r>
      <w:r>
        <w:rPr>
          <w:spacing w:val="-3"/>
        </w:rPr>
        <w:t>业</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期间发展的指导思想、基本原则、发展目标、主要任务、重点工程、政策措施和规划实施做出了明确规定。目前，</w:t>
      </w:r>
      <w:r>
        <w:rPr>
          <w:spacing w:val="-79"/>
        </w:rPr>
        <w:t> </w:t>
      </w:r>
      <w:r>
        <w:rPr>
          <w:spacing w:val="-79"/>
        </w:rPr>
      </w:r>
      <w:r>
        <w:rPr>
          <w:spacing w:val="-2"/>
        </w:rPr>
        <w:t>行业已进入重要转型期，过去支撑造纸工业高速发展的模式，现正面临资源和环境方面双重压力。从我国政策导向来看，我</w:t>
      </w:r>
      <w:r>
        <w:rPr>
          <w:spacing w:val="-66"/>
        </w:rPr>
        <w:t> </w:t>
      </w:r>
      <w:r>
        <w:rPr>
          <w:spacing w:val="-66"/>
        </w:rPr>
      </w:r>
      <w:r>
        <w:rPr>
          <w:spacing w:val="-2"/>
        </w:rPr>
        <w:t>国将通过优化造纸产业布局和原料结构、产品结构，转变增长方式，构建林业和造纸业结合，循环节约的现代造纸行业，会</w:t>
      </w:r>
      <w:r>
        <w:rPr>
          <w:spacing w:val="-66"/>
        </w:rPr>
        <w:t> </w:t>
      </w:r>
      <w:r>
        <w:rPr>
          <w:spacing w:val="-66"/>
        </w:rPr>
      </w:r>
      <w:r>
        <w:rPr/>
        <w:t>对公司经营业绩产生一定的影响。</w:t>
      </w:r>
    </w:p>
    <w:p>
      <w:pPr>
        <w:pStyle w:val="BodyText"/>
        <w:spacing w:line="319" w:lineRule="auto" w:before="62"/>
        <w:ind w:right="190" w:firstLine="361"/>
        <w:jc w:val="both"/>
      </w:pPr>
      <w:r>
        <w:rPr>
          <w:rFonts w:ascii="宋体" w:hAnsi="宋体" w:cs="宋体" w:eastAsia="宋体" w:hint="default"/>
          <w:b/>
          <w:bCs/>
          <w:spacing w:val="-2"/>
        </w:rPr>
        <w:t>环保风险。</w:t>
      </w:r>
      <w:r>
        <w:rPr>
          <w:spacing w:val="-2"/>
        </w:rPr>
        <w:t>造纸行业属污染行业，随着全社会和全行业环保意识的提高，造纸行业环保政策频出且日趋严厉，多管齐下</w:t>
      </w:r>
      <w:r>
        <w:rPr/>
        <w:t> </w:t>
      </w:r>
      <w:r>
        <w:rPr>
          <w:spacing w:val="-2"/>
        </w:rPr>
        <w:t>进行产业调整，造纸行业进入重要转型发展期，排放标准的提高势必加大公司环保成本，标准的提高将导致企业规模扩张趋</w:t>
      </w:r>
      <w:r>
        <w:rPr>
          <w:spacing w:val="-66"/>
        </w:rPr>
        <w:t> </w:t>
      </w:r>
      <w:r>
        <w:rPr>
          <w:spacing w:val="-66"/>
        </w:rPr>
      </w:r>
      <w:r>
        <w:rPr/>
        <w:t>缓，若公司环保不能符合未来推出的环保政策，将面临较大环保风险，从而影响其生产经营。</w:t>
      </w:r>
    </w:p>
    <w:p>
      <w:pPr>
        <w:pStyle w:val="BodyText"/>
        <w:spacing w:line="316" w:lineRule="auto" w:before="56"/>
        <w:ind w:right="189" w:firstLine="361"/>
        <w:jc w:val="both"/>
      </w:pPr>
      <w:r>
        <w:rPr>
          <w:rFonts w:ascii="宋体" w:hAnsi="宋体" w:cs="宋体" w:eastAsia="宋体" w:hint="default"/>
          <w:b/>
          <w:bCs/>
          <w:spacing w:val="-2"/>
        </w:rPr>
        <w:t>利率风险。</w:t>
      </w:r>
      <w:r>
        <w:rPr>
          <w:spacing w:val="-2"/>
        </w:rPr>
        <w:t>近年来，人民币贷款基准利率水平变动幅度较大，影响了公司债务融资的成本，中国人民银行未来可能根据</w:t>
      </w:r>
      <w:r>
        <w:rPr/>
        <w:t> 宏观经济形势变化继续调整基准利率水平，并可能导致公司财务费用产生较大波动，从而对经营业绩产生一定影响。</w:t>
      </w:r>
    </w:p>
    <w:p>
      <w:pPr>
        <w:pStyle w:val="BodyText"/>
        <w:spacing w:line="316" w:lineRule="auto" w:before="59"/>
        <w:ind w:right="189" w:firstLine="361"/>
        <w:jc w:val="both"/>
      </w:pPr>
      <w:r>
        <w:rPr>
          <w:rFonts w:ascii="宋体" w:hAnsi="宋体" w:cs="宋体" w:eastAsia="宋体" w:hint="default"/>
          <w:b/>
          <w:bCs/>
          <w:spacing w:val="-2"/>
        </w:rPr>
        <w:t>汇率风险。</w:t>
      </w:r>
      <w:r>
        <w:rPr>
          <w:spacing w:val="-2"/>
        </w:rPr>
        <w:t>目前我国实行以市场供求为基础、参考一篮子货币进行调节、有管理的浮动汇率制度，人民币的币值受国内</w:t>
      </w:r>
      <w:r>
        <w:rPr/>
        <w:t> </w:t>
      </w:r>
      <w:r>
        <w:rPr>
          <w:spacing w:val="-2"/>
        </w:rPr>
        <w:t>和国际经济、政治形势和货币供求关系的影响。作为进出口企业，未来人民币针对其他货币的汇率变动将对公司的经营业绩</w:t>
      </w:r>
      <w:r>
        <w:rPr>
          <w:spacing w:val="-66"/>
        </w:rPr>
        <w:t> </w:t>
      </w:r>
      <w:r>
        <w:rPr>
          <w:spacing w:val="-66"/>
        </w:rPr>
      </w:r>
      <w:r>
        <w:rPr>
          <w:spacing w:val="-2"/>
        </w:rPr>
        <w:t>产生一定影响。公司外币交易主要以美元计价，原材料进口、产品出口，同时拥有美元借款等业务均面临一定的汇率变动风</w:t>
      </w:r>
      <w:r>
        <w:rPr>
          <w:spacing w:val="-66"/>
        </w:rPr>
        <w:t> </w:t>
      </w:r>
      <w:r>
        <w:rPr>
          <w:spacing w:val="-66"/>
        </w:rPr>
      </w:r>
      <w:r>
        <w:rPr/>
        <w:t>险。</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九、与上年度财务报告相比，会计政策、会计估计和核算方法发生变化的情况说明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本报告期公司主要会计政策、会计估计和核算方法未发生变更。</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27" w:right="0"/>
        <w:jc w:val="both"/>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十一、与上年度财务报告相比，合并报表范围发生变化的情况说明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508" w:right="181"/>
        <w:jc w:val="left"/>
        <w:rPr>
          <w:b w:val="0"/>
          <w:bCs w:val="0"/>
        </w:rPr>
      </w:pPr>
      <w:r>
        <w:rPr>
          <w:rFonts w:ascii="Times New Roman" w:hAnsi="Times New Roman" w:cs="Times New Roman" w:eastAsia="Times New Roman" w:hint="default"/>
        </w:rPr>
        <w:t>1</w:t>
      </w:r>
      <w:r>
        <w:rPr/>
        <w:t>、与上期相比，本期新增合并单位</w:t>
      </w:r>
      <w:r>
        <w:rPr>
          <w:rFonts w:ascii="Times New Roman" w:hAnsi="Times New Roman" w:cs="Times New Roman" w:eastAsia="Times New Roman" w:hint="default"/>
        </w:rPr>
        <w:t>3</w:t>
      </w:r>
      <w:r>
        <w:rPr/>
        <w:t>家，详细情况如下：</w:t>
      </w:r>
      <w:r>
        <w:rPr>
          <w:b w:val="0"/>
          <w:bCs w:val="0"/>
        </w:rPr>
      </w:r>
    </w:p>
    <w:p>
      <w:pPr>
        <w:pStyle w:val="BodyText"/>
        <w:spacing w:line="300" w:lineRule="auto" w:before="101"/>
        <w:ind w:left="153" w:right="188" w:firstLine="360"/>
        <w:jc w:val="both"/>
      </w:pPr>
      <w:r>
        <w:rPr/>
        <w:t>（</w:t>
      </w:r>
      <w:r>
        <w:rPr>
          <w:rFonts w:ascii="Times New Roman" w:hAnsi="Times New Roman" w:cs="Times New Roman" w:eastAsia="Times New Roman" w:hint="default"/>
        </w:rPr>
        <w:t>1</w:t>
      </w:r>
      <w:r>
        <w:rPr/>
        <w:t>）报告期内，公司与辽宁北海实业（集团）有限公司共同出资成立海城海鸣矿业有限责任公司，并完成相关工商注 </w:t>
      </w:r>
      <w:r>
        <w:rPr>
          <w:spacing w:val="-2"/>
        </w:rPr>
        <w:t>册登记手续。营业执照注册号为：</w:t>
      </w:r>
      <w:r>
        <w:rPr>
          <w:rFonts w:ascii="Times New Roman" w:hAnsi="Times New Roman" w:cs="Times New Roman" w:eastAsia="Times New Roman" w:hint="default"/>
          <w:spacing w:val="-2"/>
        </w:rPr>
        <w:t>210381009188233</w:t>
      </w:r>
      <w:r>
        <w:rPr>
          <w:spacing w:val="-2"/>
        </w:rPr>
        <w:t>，主要经营菱镁石、滑石的加工、销售，注册资金人民币</w:t>
      </w:r>
      <w:r>
        <w:rPr>
          <w:rFonts w:ascii="Times New Roman" w:hAnsi="Times New Roman" w:cs="Times New Roman" w:eastAsia="Times New Roman" w:hint="default"/>
          <w:spacing w:val="-2"/>
        </w:rPr>
        <w:t>1</w:t>
      </w:r>
      <w:r>
        <w:rPr>
          <w:spacing w:val="-2"/>
        </w:rPr>
        <w:t>亿元，公司投</w:t>
      </w:r>
    </w:p>
    <w:p>
      <w:pPr>
        <w:spacing w:after="0" w:line="300" w:lineRule="auto"/>
        <w:jc w:val="both"/>
        <w:sectPr>
          <w:footerReference w:type="default" r:id="rId17"/>
          <w:pgSz w:w="11910" w:h="16840"/>
          <w:pgMar w:footer="982" w:header="747" w:top="1060" w:bottom="1180" w:left="980" w:right="940"/>
          <w:pgNumType w:start="27"/>
        </w:sectPr>
      </w:pPr>
    </w:p>
    <w:p>
      <w:pPr>
        <w:spacing w:line="240" w:lineRule="auto" w:before="12"/>
        <w:rPr>
          <w:rFonts w:ascii="宋体" w:hAnsi="宋体" w:cs="宋体" w:eastAsia="宋体" w:hint="default"/>
          <w:sz w:val="25"/>
          <w:szCs w:val="25"/>
        </w:rPr>
      </w:pPr>
    </w:p>
    <w:p>
      <w:pPr>
        <w:pStyle w:val="BodyText"/>
        <w:spacing w:line="302" w:lineRule="auto" w:before="44"/>
        <w:ind w:left="153" w:right="191"/>
        <w:jc w:val="both"/>
      </w:pPr>
      <w:r>
        <w:rPr/>
        <w:t>资金额为人民币</w:t>
      </w:r>
      <w:r>
        <w:rPr>
          <w:rFonts w:ascii="Times New Roman" w:hAnsi="Times New Roman" w:cs="Times New Roman" w:eastAsia="Times New Roman" w:hint="default"/>
        </w:rPr>
        <w:t>7,000</w:t>
      </w:r>
      <w:r>
        <w:rPr/>
        <w:t>万元，占注册资本的</w:t>
      </w:r>
      <w:r>
        <w:rPr>
          <w:rFonts w:ascii="Times New Roman" w:hAnsi="Times New Roman" w:cs="Times New Roman" w:eastAsia="Times New Roman" w:hint="default"/>
        </w:rPr>
        <w:t>70%</w:t>
      </w:r>
      <w:r>
        <w:rPr/>
        <w:t>；北海集团投资金额为人民币</w:t>
      </w:r>
      <w:r>
        <w:rPr>
          <w:rFonts w:ascii="Times New Roman" w:hAnsi="Times New Roman" w:cs="Times New Roman" w:eastAsia="Times New Roman" w:hint="default"/>
        </w:rPr>
        <w:t>3,000</w:t>
      </w:r>
      <w:r>
        <w:rPr/>
        <w:t>万元，占注册资本的</w:t>
      </w:r>
      <w:r>
        <w:rPr>
          <w:rFonts w:ascii="Times New Roman" w:hAnsi="Times New Roman" w:cs="Times New Roman" w:eastAsia="Times New Roman" w:hint="default"/>
        </w:rPr>
        <w:t>30%</w:t>
      </w:r>
      <w:r>
        <w:rPr/>
        <w:t>。公司拥有对其</w:t>
      </w:r>
      <w:r>
        <w:rPr>
          <w:spacing w:val="-37"/>
        </w:rPr>
        <w:t> </w:t>
      </w:r>
      <w:r>
        <w:rPr>
          <w:spacing w:val="-37"/>
        </w:rPr>
      </w:r>
      <w:r>
        <w:rPr/>
        <w:t>的实质控制权，故自该公司成立之日起，将其纳入合并财务报表范围。</w:t>
      </w:r>
    </w:p>
    <w:p>
      <w:pPr>
        <w:pStyle w:val="BodyText"/>
        <w:spacing w:line="307" w:lineRule="auto" w:before="68"/>
        <w:ind w:left="153" w:right="99" w:firstLine="360"/>
        <w:jc w:val="left"/>
      </w:pPr>
      <w:r>
        <w:rPr/>
        <w:t>（</w:t>
      </w:r>
      <w:r>
        <w:rPr>
          <w:rFonts w:ascii="Times New Roman" w:hAnsi="Times New Roman" w:cs="Times New Roman" w:eastAsia="Times New Roman" w:hint="default"/>
        </w:rPr>
        <w:t>2</w:t>
      </w:r>
      <w:r>
        <w:rPr/>
        <w:t>）报告期内，公司全资子公司湛江晨鸣浆纸有限公司与湛江华森投资有限公司签订了《股权转让协议》，以人民币 </w:t>
      </w:r>
      <w:r>
        <w:rPr>
          <w:rFonts w:ascii="Times New Roman" w:hAnsi="Times New Roman" w:cs="Times New Roman" w:eastAsia="Times New Roman" w:hint="default"/>
        </w:rPr>
        <w:t>13,155.51</w:t>
      </w:r>
      <w:r>
        <w:rPr/>
        <w:t>万元受让湛江华森持有的湛江慧锐投资有限公司</w:t>
      </w:r>
      <w:r>
        <w:rPr>
          <w:rFonts w:ascii="Times New Roman" w:hAnsi="Times New Roman" w:cs="Times New Roman" w:eastAsia="Times New Roman" w:hint="default"/>
        </w:rPr>
        <w:t>51%</w:t>
      </w:r>
      <w:r>
        <w:rPr/>
        <w:t>的股权，并于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日完成相关工商变更登记手续。湛 </w:t>
      </w:r>
      <w:r>
        <w:rPr>
          <w:spacing w:val="-4"/>
        </w:rPr>
        <w:t>江晨鸣对其拥有实质控制权，自股权变更之日起，将其纳入湛江晨鸣合并财务报表范围，因湛江晨鸣是本公司的全资子公司，</w:t>
      </w:r>
      <w:r>
        <w:rPr>
          <w:spacing w:val="-44"/>
        </w:rPr>
        <w:t> </w:t>
      </w:r>
      <w:r>
        <w:rPr>
          <w:spacing w:val="-44"/>
        </w:rPr>
      </w:r>
      <w:r>
        <w:rPr/>
        <w:t>因此自股权变更之日起，将其纳入合并报表范围。</w:t>
      </w:r>
    </w:p>
    <w:p>
      <w:pPr>
        <w:pStyle w:val="BodyText"/>
        <w:spacing w:line="300" w:lineRule="auto" w:before="65"/>
        <w:ind w:left="153" w:right="188" w:firstLine="360"/>
        <w:jc w:val="both"/>
      </w:pPr>
      <w:r>
        <w:rPr/>
        <w:t>（</w:t>
      </w:r>
      <w:r>
        <w:rPr>
          <w:rFonts w:ascii="Times New Roman" w:hAnsi="Times New Roman" w:cs="Times New Roman" w:eastAsia="Times New Roman" w:hint="default"/>
        </w:rPr>
        <w:t>3</w:t>
      </w:r>
      <w:r>
        <w:rPr/>
        <w:t>）报告期内，为加强公司纸品销售工作，进一步扩大公司产品在日本市场的占有份额，建立更加广泛、更加完善的 营销网络，公司以自有资金在日本成立全资子公司晨鸣纸业日本株式会社，主要经营纸品、原材料的销售，注册资本</w:t>
      </w:r>
      <w:r>
        <w:rPr>
          <w:rFonts w:ascii="Times New Roman" w:hAnsi="Times New Roman" w:cs="Times New Roman" w:eastAsia="Times New Roman" w:hint="default"/>
        </w:rPr>
        <w:t>150</w:t>
      </w:r>
      <w:r>
        <w:rPr/>
        <w:t>万</w:t>
      </w:r>
      <w:r>
        <w:rPr>
          <w:spacing w:val="-84"/>
        </w:rPr>
        <w:t> </w:t>
      </w:r>
      <w:r>
        <w:rPr/>
        <w:t>美元。公司拥有对其的实质控制权，自成立之日起，将其纳入公司合并报表范围。</w:t>
      </w:r>
    </w:p>
    <w:p>
      <w:pPr>
        <w:pStyle w:val="Heading6"/>
        <w:spacing w:line="240" w:lineRule="auto" w:before="71"/>
        <w:ind w:left="507" w:right="181"/>
        <w:jc w:val="left"/>
        <w:rPr>
          <w:b w:val="0"/>
          <w:bCs w:val="0"/>
        </w:rPr>
      </w:pPr>
      <w:r>
        <w:rPr>
          <w:rFonts w:ascii="Times New Roman" w:hAnsi="Times New Roman" w:cs="Times New Roman" w:eastAsia="Times New Roman" w:hint="default"/>
        </w:rPr>
        <w:t>2</w:t>
      </w:r>
      <w:r>
        <w:rPr/>
        <w:t>、本期减少合并单位</w:t>
      </w:r>
      <w:r>
        <w:rPr>
          <w:rFonts w:ascii="Times New Roman" w:hAnsi="Times New Roman" w:cs="Times New Roman" w:eastAsia="Times New Roman" w:hint="default"/>
        </w:rPr>
        <w:t>5</w:t>
      </w:r>
      <w:r>
        <w:rPr/>
        <w:t>家，详细情况如下：</w:t>
      </w:r>
      <w:r>
        <w:rPr>
          <w:b w:val="0"/>
          <w:bCs w:val="0"/>
        </w:rPr>
      </w:r>
    </w:p>
    <w:p>
      <w:pPr>
        <w:pStyle w:val="BodyText"/>
        <w:spacing w:line="304" w:lineRule="auto" w:before="101"/>
        <w:ind w:left="153" w:right="187" w:firstLine="360"/>
        <w:jc w:val="both"/>
      </w:pPr>
      <w:r>
        <w:rPr/>
        <w:t>（</w:t>
      </w:r>
      <w:r>
        <w:rPr>
          <w:rFonts w:ascii="Times New Roman" w:hAnsi="Times New Roman" w:cs="Times New Roman" w:eastAsia="Times New Roman" w:hint="default"/>
        </w:rPr>
        <w:t>1</w:t>
      </w:r>
      <w:r>
        <w:rPr/>
        <w:t>）报告期内，公司经与河南江河纸业股份有限公司友好协商，就山东晨鸣纸业集团齐河板纸有限责任公司股权转让 </w:t>
      </w:r>
      <w:r>
        <w:rPr>
          <w:spacing w:val="-2"/>
        </w:rPr>
        <w:t>和债务承担达成了一致意见，分别签订了《股权转让合同》、《债务承担合同》、《补充协议》和《股权质押协议》，以人</w:t>
      </w:r>
      <w:r>
        <w:rPr>
          <w:spacing w:val="-72"/>
        </w:rPr>
        <w:t> </w:t>
      </w:r>
      <w:r>
        <w:rPr>
          <w:spacing w:val="-72"/>
        </w:rPr>
      </w:r>
      <w:r>
        <w:rPr/>
        <w:t>民币</w:t>
      </w:r>
      <w:r>
        <w:rPr>
          <w:rFonts w:ascii="Times New Roman" w:hAnsi="Times New Roman" w:cs="Times New Roman" w:eastAsia="Times New Roman" w:hint="default"/>
        </w:rPr>
        <w:t>37,185</w:t>
      </w:r>
      <w:r>
        <w:rPr/>
        <w:t>万元向江河纸业转让公司所持齐河晨鸣</w:t>
      </w:r>
      <w:r>
        <w:rPr>
          <w:rFonts w:ascii="Times New Roman" w:hAnsi="Times New Roman" w:cs="Times New Roman" w:eastAsia="Times New Roman" w:hint="default"/>
        </w:rPr>
        <w:t>100%</w:t>
      </w:r>
      <w:r>
        <w:rPr/>
        <w:t>的股权，江河纸业全额承担齐河晨鸣欠公司的债务。自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spacing w:val="-24"/>
        </w:rPr>
        <w:t> </w:t>
      </w:r>
      <w:r>
        <w:rPr>
          <w:rFonts w:ascii="Times New Roman" w:hAnsi="Times New Roman" w:cs="Times New Roman" w:eastAsia="Times New Roman" w:hint="default"/>
        </w:rPr>
        <w:t>06</w:t>
      </w:r>
      <w:r>
        <w:rPr/>
        <w:t>日起，公司对齐河晨鸣不再控制，不再纳入合并报表范围。因齐河晨鸣持有齐河晨鸣废旧物资收购有限公司</w:t>
      </w:r>
      <w:r>
        <w:rPr>
          <w:rFonts w:ascii="Times New Roman" w:hAnsi="Times New Roman" w:cs="Times New Roman" w:eastAsia="Times New Roman" w:hint="default"/>
        </w:rPr>
        <w:t>100%</w:t>
      </w:r>
      <w:r>
        <w:rPr/>
        <w:t>股权，</w:t>
      </w:r>
      <w:r>
        <w:rPr>
          <w:spacing w:val="-74"/>
        </w:rPr>
        <w:t> </w:t>
      </w:r>
      <w:r>
        <w:rPr>
          <w:spacing w:val="-74"/>
        </w:rPr>
      </w:r>
      <w:r>
        <w:rPr/>
        <w:t>同时也不再纳入合并报表范围。</w:t>
      </w:r>
    </w:p>
    <w:p>
      <w:pPr>
        <w:pStyle w:val="BodyText"/>
        <w:spacing w:line="300" w:lineRule="auto" w:before="67"/>
        <w:ind w:left="153" w:right="91" w:firstLine="360"/>
        <w:jc w:val="left"/>
      </w:pPr>
      <w:r>
        <w:rPr>
          <w:spacing w:val="-5"/>
        </w:rPr>
        <w:t>（</w:t>
      </w:r>
      <w:r>
        <w:rPr>
          <w:rFonts w:ascii="Times New Roman" w:hAnsi="Times New Roman" w:cs="Times New Roman" w:eastAsia="Times New Roman" w:hint="default"/>
          <w:spacing w:val="-5"/>
        </w:rPr>
        <w:t>2</w:t>
      </w:r>
      <w:r>
        <w:rPr>
          <w:spacing w:val="-5"/>
        </w:rPr>
        <w:t>）报告期内，公司控股子公司山东晨鸣板材有限责任公司与山东全福元商业集团有限责任公司签订《股权转让合同》，</w:t>
      </w:r>
      <w:r>
        <w:rPr/>
        <w:t> 以人民币</w:t>
      </w:r>
      <w:r>
        <w:rPr>
          <w:rFonts w:ascii="Times New Roman" w:hAnsi="Times New Roman" w:cs="Times New Roman" w:eastAsia="Times New Roman" w:hint="default"/>
        </w:rPr>
        <w:t>1000</w:t>
      </w:r>
      <w:r>
        <w:rPr/>
        <w:t>万元转让其所持齐河晨鸣板材有限公司</w:t>
      </w:r>
      <w:r>
        <w:rPr>
          <w:rFonts w:ascii="Times New Roman" w:hAnsi="Times New Roman" w:cs="Times New Roman" w:eastAsia="Times New Roman" w:hint="default"/>
        </w:rPr>
        <w:t>100%</w:t>
      </w:r>
      <w:r>
        <w:rPr/>
        <w:t>的股权。自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日，股权转让完成后，寿光晨鸣板材有</w:t>
      </w:r>
      <w:r>
        <w:rPr>
          <w:spacing w:val="-72"/>
        </w:rPr>
        <w:t> </w:t>
      </w:r>
      <w:r>
        <w:rPr>
          <w:spacing w:val="-72"/>
        </w:rPr>
      </w:r>
      <w:r>
        <w:rPr/>
        <w:t>限责任公司不再持有齐河板材的股权，公司不再将其纳入合并报表范围。</w:t>
      </w:r>
    </w:p>
    <w:p>
      <w:pPr>
        <w:pStyle w:val="BodyText"/>
        <w:spacing w:line="302" w:lineRule="auto" w:before="70"/>
        <w:ind w:left="153" w:right="181" w:firstLine="360"/>
        <w:jc w:val="left"/>
      </w:pPr>
      <w:r>
        <w:rPr/>
        <w:t>（</w:t>
      </w:r>
      <w:r>
        <w:rPr>
          <w:rFonts w:ascii="Times New Roman" w:hAnsi="Times New Roman" w:cs="Times New Roman" w:eastAsia="Times New Roman" w:hint="default"/>
        </w:rPr>
        <w:t>3</w:t>
      </w:r>
      <w:r>
        <w:rPr/>
        <w:t>）报告期内，公司与寿光市东宇鸿翔木业有限公司签订了《股权转让协议》，以</w:t>
      </w:r>
      <w:r>
        <w:rPr>
          <w:rFonts w:ascii="Times New Roman" w:hAnsi="Times New Roman" w:cs="Times New Roman" w:eastAsia="Times New Roman" w:hint="default"/>
        </w:rPr>
        <w:t>1500</w:t>
      </w:r>
      <w:r>
        <w:rPr/>
        <w:t>万元转让公司所持鄄城晨鸣板 材有限公司</w:t>
      </w:r>
      <w:r>
        <w:rPr>
          <w:rFonts w:ascii="Times New Roman" w:hAnsi="Times New Roman" w:cs="Times New Roman" w:eastAsia="Times New Roman" w:hint="default"/>
        </w:rPr>
        <w:t>100%</w:t>
      </w:r>
      <w:r>
        <w:rPr/>
        <w:t>的股权。自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日公司对鄄城晨鸣不再控制，不再将其纳入合并报表范围。</w:t>
      </w:r>
    </w:p>
    <w:p>
      <w:pPr>
        <w:pStyle w:val="BodyText"/>
        <w:spacing w:line="302" w:lineRule="auto" w:before="50"/>
        <w:ind w:right="181" w:firstLine="359"/>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01</w:t>
      </w:r>
      <w:r>
        <w:rPr/>
        <w:t>日，公司吸收合并全资子公司寿光丽奔制纸有限公司，自寿光丽奔制纸有限公司注销之日起，不再 将其纳入合并报表范围。</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81" w:hanging="360"/>
        <w:jc w:val="left"/>
      </w:pPr>
      <w:r>
        <w:rPr/>
        <w:t>报告期内利润分配政策特别是现金分红政策的制定、执行或调整情况 </w:t>
      </w:r>
      <w:r>
        <w:rPr>
          <w:spacing w:val="-2"/>
        </w:rPr>
        <w:t>报告期内，根据中国证券监督管理委员会、深圳证券交易所和中国证券监督管理委员会山东监管局的有关规定，结合公</w:t>
      </w:r>
    </w:p>
    <w:p>
      <w:pPr>
        <w:pStyle w:val="BodyText"/>
        <w:spacing w:line="224" w:lineRule="exact"/>
        <w:ind w:left="153" w:right="0"/>
        <w:jc w:val="both"/>
      </w:pPr>
      <w:r>
        <w:rPr/>
        <w:t>司实际情况，对现金分红政策进行了进一步的细化，明确了分红决策机制及分红监督约束机制，修订了《公司章程》中的利</w:t>
      </w:r>
    </w:p>
    <w:p>
      <w:pPr>
        <w:pStyle w:val="BodyText"/>
        <w:spacing w:line="309" w:lineRule="auto" w:before="76"/>
        <w:ind w:left="153" w:right="188"/>
        <w:jc w:val="both"/>
      </w:pPr>
      <w:r>
        <w:rPr>
          <w:spacing w:val="-2"/>
        </w:rPr>
        <w:t>润分配政策，并分别经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日召开的第六届董事会第十三次会议和</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2012</w:t>
      </w:r>
      <w:r>
        <w:rPr>
          <w:spacing w:val="-2"/>
        </w:rPr>
        <w:t>年第二次临时股东大会</w:t>
      </w:r>
      <w:r>
        <w:rPr>
          <w:spacing w:val="-46"/>
        </w:rPr>
        <w:t> </w:t>
      </w:r>
      <w:r>
        <w:rPr/>
        <w:t>审议通过，独立董事相应发表了独立意见。</w:t>
      </w:r>
      <w:r>
        <w:rPr>
          <w:rFonts w:ascii="Times New Roman" w:hAnsi="Times New Roman" w:cs="Times New Roman" w:eastAsia="Times New Roman" w:hint="default"/>
        </w:rPr>
        <w:t>2011</w:t>
      </w:r>
      <w:r>
        <w:rPr/>
        <w:t>年度股东大会审议通过的《</w:t>
      </w:r>
      <w:r>
        <w:rPr>
          <w:rFonts w:ascii="Times New Roman" w:hAnsi="Times New Roman" w:cs="Times New Roman" w:eastAsia="Times New Roman" w:hint="default"/>
        </w:rPr>
        <w:t>2011</w:t>
      </w:r>
      <w:r>
        <w:rPr/>
        <w:t>年度利润分配方案》已于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日实 </w:t>
      </w:r>
      <w:r>
        <w:rPr>
          <w:spacing w:val="-2"/>
        </w:rPr>
        <w:t>施完成。公司严格按照《公司章程》执行利润分配政策，公司现金分红政策制定及执行均符合《公司章程》的规定和股东大</w:t>
      </w:r>
      <w:r>
        <w:rPr>
          <w:spacing w:val="-68"/>
        </w:rPr>
        <w:t> </w:t>
      </w:r>
      <w:r>
        <w:rPr>
          <w:spacing w:val="-68"/>
        </w:rPr>
      </w:r>
      <w:r>
        <w:rPr>
          <w:spacing w:val="-2"/>
        </w:rPr>
        <w:t>会决议的要求，分红标准和比例明确和清晰，相关的决策程序和机制完备，独立董事的职责明确，能发挥应有的作用，中小</w:t>
      </w:r>
      <w:r>
        <w:rPr>
          <w:spacing w:val="-66"/>
        </w:rPr>
        <w:t> </w:t>
      </w:r>
      <w:r>
        <w:rPr>
          <w:spacing w:val="-66"/>
        </w:rPr>
      </w:r>
      <w:r>
        <w:rPr/>
        <w:t>股东有充分表达意见和诉求的机会，中小股东的合法权益得到了维护。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right="2972"/>
        <w:jc w:val="left"/>
      </w:pPr>
      <w:r>
        <w:rPr/>
        <w:t>公司报告期利润分配预案及资本公积金转增股本预案符合公司章程等的相关规定。 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2"/>
        <w:ind w:left="513" w:right="18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年度利润分配预案 </w:t>
      </w:r>
      <w:r>
        <w:rPr>
          <w:spacing w:val="-2"/>
        </w:rPr>
        <w:t>以分红派息股权登记日股份数为基数，向全体股东每</w:t>
      </w:r>
      <w:r>
        <w:rPr>
          <w:rFonts w:ascii="Times New Roman" w:hAnsi="Times New Roman" w:cs="Times New Roman" w:eastAsia="Times New Roman" w:hint="default"/>
          <w:spacing w:val="-2"/>
        </w:rPr>
        <w:t>10</w:t>
      </w:r>
      <w:r>
        <w:rPr>
          <w:spacing w:val="-2"/>
        </w:rPr>
        <w:t>股派发人民币现金红利</w:t>
      </w:r>
      <w:r>
        <w:rPr>
          <w:rFonts w:ascii="Times New Roman" w:hAnsi="Times New Roman" w:cs="Times New Roman" w:eastAsia="Times New Roman" w:hint="default"/>
          <w:spacing w:val="-2"/>
        </w:rPr>
        <w:t>0.6</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。以2012年12月31日公司总股</w:t>
      </w:r>
    </w:p>
    <w:p>
      <w:pPr>
        <w:pStyle w:val="BodyText"/>
        <w:spacing w:line="300" w:lineRule="auto" w:before="13"/>
        <w:ind w:left="153" w:right="189"/>
        <w:jc w:val="both"/>
      </w:pPr>
      <w:r>
        <w:rPr/>
        <w:t>份</w:t>
      </w:r>
      <w:r>
        <w:rPr>
          <w:rFonts w:ascii="Times New Roman" w:hAnsi="Times New Roman" w:cs="Times New Roman" w:eastAsia="Times New Roman" w:hint="default"/>
        </w:rPr>
        <w:t>2,062,045,941</w:t>
      </w:r>
      <w:r>
        <w:rPr/>
        <w:t>股计算，2012年度共派发人民币现金红利</w:t>
      </w:r>
      <w:r>
        <w:rPr>
          <w:rFonts w:ascii="Times New Roman" w:hAnsi="Times New Roman" w:cs="Times New Roman" w:eastAsia="Times New Roman" w:hint="default"/>
        </w:rPr>
        <w:t>123,722,756.46</w:t>
      </w:r>
      <w:r>
        <w:rPr/>
        <w:t>元（含税</w:t>
      </w:r>
      <w:r>
        <w:rPr>
          <w:rFonts w:ascii="Times New Roman" w:hAnsi="Times New Roman" w:cs="Times New Roman" w:eastAsia="Times New Roman" w:hint="default"/>
        </w:rPr>
        <w:t>)</w:t>
      </w:r>
      <w:r>
        <w:rPr/>
        <w:t>，占</w:t>
      </w:r>
      <w:r>
        <w:rPr>
          <w:rFonts w:ascii="Times New Roman" w:hAnsi="Times New Roman" w:cs="Times New Roman" w:eastAsia="Times New Roman" w:hint="default"/>
        </w:rPr>
        <w:t>2012</w:t>
      </w:r>
      <w:r>
        <w:rPr/>
        <w:t>年按照企业会计准则编制的合并</w:t>
      </w:r>
      <w:r>
        <w:rPr>
          <w:spacing w:val="-84"/>
        </w:rPr>
        <w:t> </w:t>
      </w:r>
      <w:r>
        <w:rPr>
          <w:spacing w:val="-84"/>
        </w:rPr>
      </w:r>
      <w:r>
        <w:rPr/>
        <w:t>报表中归属于上市公司股东的净利润的比率为55.97%。</w:t>
      </w:r>
    </w:p>
    <w:p>
      <w:pPr>
        <w:pStyle w:val="BodyText"/>
        <w:spacing w:line="240" w:lineRule="auto" w:before="31"/>
        <w:ind w:left="513" w:right="18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w:t>
      </w:r>
    </w:p>
    <w:p>
      <w:pPr>
        <w:pStyle w:val="BodyText"/>
        <w:spacing w:line="240" w:lineRule="auto" w:before="62"/>
        <w:ind w:left="513" w:right="181"/>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日，公司召开</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r>
        <w:rPr>
          <w:spacing w:val="2"/>
        </w:rPr>
        <w:t>年度利润分配方案：以公司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p>
    <w:p>
      <w:pPr>
        <w:pStyle w:val="BodyText"/>
        <w:spacing w:line="240" w:lineRule="auto" w:before="62"/>
        <w:ind w:left="153" w:right="0"/>
        <w:jc w:val="both"/>
        <w:rPr>
          <w:rFonts w:ascii="Times New Roman" w:hAnsi="Times New Roman" w:cs="Times New Roman" w:eastAsia="Times New Roman" w:hint="default"/>
        </w:rPr>
      </w:pPr>
      <w:r>
        <w:rPr>
          <w:rFonts w:ascii="Times New Roman" w:hAnsi="Times New Roman" w:cs="Times New Roman" w:eastAsia="Times New Roman" w:hint="default"/>
        </w:rPr>
        <w:t>2,062,045,941</w:t>
      </w:r>
      <w:r>
        <w:rPr/>
        <w:t>股为基数，向全体股东每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，本次分配共派发人民币现金红利</w:t>
      </w:r>
      <w:r>
        <w:rPr>
          <w:rFonts w:ascii="Times New Roman" w:hAnsi="Times New Roman" w:cs="Times New Roman" w:eastAsia="Times New Roman" w:hint="default"/>
        </w:rPr>
        <w:t>309,306,891.20</w:t>
      </w:r>
    </w:p>
    <w:p>
      <w:pPr>
        <w:spacing w:after="0" w:line="240" w:lineRule="auto"/>
        <w:jc w:val="both"/>
        <w:rPr>
          <w:rFonts w:ascii="Times New Roman" w:hAnsi="Times New Roman" w:cs="Times New Roman" w:eastAsia="Times New Roman" w:hint="default"/>
        </w:rPr>
        <w:sectPr>
          <w:footerReference w:type="default" r:id="rId18"/>
          <w:pgSz w:w="11910" w:h="16840"/>
          <w:pgMar w:footer="982" w:header="747" w:top="1060" w:bottom="1180" w:left="980" w:right="940"/>
          <w:pgNumType w:start="28"/>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181"/>
        <w:jc w:val="left"/>
      </w:pPr>
      <w:r>
        <w:rPr/>
        <w:t>元（含税</w:t>
      </w:r>
      <w:r>
        <w:rPr>
          <w:rFonts w:ascii="Times New Roman" w:hAnsi="Times New Roman" w:cs="Times New Roman" w:eastAsia="Times New Roman" w:hint="default"/>
        </w:rPr>
        <w:t>)</w:t>
      </w:r>
      <w:r>
        <w:rPr/>
        <w:t>。</w:t>
      </w:r>
    </w:p>
    <w:p>
      <w:pPr>
        <w:pStyle w:val="BodyText"/>
        <w:spacing w:line="319" w:lineRule="auto" w:before="62"/>
        <w:ind w:left="153" w:right="181"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年度利润分配方案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2010</w:t>
      </w:r>
      <w:r>
        <w:rPr/>
        <w:t>年度股东大会，审议通过了</w:t>
      </w:r>
      <w:r>
        <w:rPr>
          <w:rFonts w:ascii="Times New Roman" w:hAnsi="Times New Roman" w:cs="Times New Roman" w:eastAsia="Times New Roman" w:hint="default"/>
        </w:rPr>
        <w:t>2010</w:t>
      </w:r>
      <w:r>
        <w:rPr/>
        <w:t>年度利润分配方案：以</w:t>
      </w:r>
      <w:r>
        <w:rPr>
          <w:rFonts w:ascii="Times New Roman" w:hAnsi="Times New Roman" w:cs="Times New Roman" w:eastAsia="Times New Roman" w:hint="default"/>
        </w:rPr>
        <w:t>2010</w:t>
      </w:r>
      <w:r>
        <w:rPr/>
        <w:t>年底的总股本</w:t>
      </w:r>
      <w:r>
        <w:rPr>
          <w:rFonts w:ascii="Times New Roman" w:hAnsi="Times New Roman" w:cs="Times New Roman" w:eastAsia="Times New Roman" w:hint="default"/>
        </w:rPr>
        <w:t>2,062,045,941</w:t>
      </w:r>
      <w:r>
        <w:rPr/>
        <w:t>股为</w:t>
      </w:r>
      <w:r>
        <w:rPr>
          <w:spacing w:val="-50"/>
        </w:rPr>
        <w:t> </w:t>
      </w:r>
      <w:r>
        <w:rPr>
          <w:spacing w:val="-3"/>
        </w:rPr>
        <w:t>基数，向全体股东每</w:t>
      </w:r>
      <w:r>
        <w:rPr>
          <w:rFonts w:ascii="Times New Roman" w:hAnsi="Times New Roman" w:cs="Times New Roman" w:eastAsia="Times New Roman" w:hint="default"/>
          <w:spacing w:val="-3"/>
        </w:rPr>
        <w:t>10</w:t>
      </w:r>
      <w:r>
        <w:rPr>
          <w:spacing w:val="-3"/>
        </w:rPr>
        <w:t>股派发人民币</w:t>
      </w:r>
      <w:r>
        <w:rPr>
          <w:rFonts w:ascii="Times New Roman" w:hAnsi="Times New Roman" w:cs="Times New Roman" w:eastAsia="Times New Roman" w:hint="default"/>
          <w:spacing w:val="-3"/>
        </w:rPr>
        <w:t>3.00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现金红利，本次分配共派发现金红利人民币</w:t>
      </w:r>
      <w:r>
        <w:rPr>
          <w:rFonts w:ascii="Times New Roman" w:hAnsi="Times New Roman" w:cs="Times New Roman" w:eastAsia="Times New Roman" w:hint="default"/>
          <w:spacing w:val="-3"/>
        </w:rPr>
        <w:t>618,613,782.30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，占</w:t>
      </w:r>
      <w:r>
        <w:rPr>
          <w:rFonts w:ascii="Times New Roman" w:hAnsi="Times New Roman" w:cs="Times New Roman" w:eastAsia="Times New Roman" w:hint="default"/>
          <w:spacing w:val="-3"/>
        </w:rPr>
        <w:t>2010</w:t>
      </w:r>
    </w:p>
    <w:p>
      <w:pPr>
        <w:pStyle w:val="BodyText"/>
        <w:spacing w:line="302" w:lineRule="auto"/>
        <w:ind w:left="153" w:right="181"/>
        <w:jc w:val="left"/>
      </w:pPr>
      <w:r>
        <w:rPr/>
        <w:t>年按企业会计准则编制的合并财务报表归属于母公司所有者净利润扣除法定公积金后的</w:t>
      </w:r>
      <w:r>
        <w:rPr>
          <w:rFonts w:ascii="Times New Roman" w:hAnsi="Times New Roman" w:cs="Times New Roman" w:eastAsia="Times New Roman" w:hint="default"/>
        </w:rPr>
        <w:t>60.43%</w:t>
      </w:r>
      <w:r>
        <w:rPr/>
        <w:t>。利润分配后余额滚存以后</w:t>
      </w:r>
      <w:r>
        <w:rPr>
          <w:spacing w:val="-25"/>
        </w:rPr>
        <w:t> </w:t>
      </w:r>
      <w:r>
        <w:rPr>
          <w:spacing w:val="-25"/>
        </w:rPr>
      </w:r>
      <w:r>
        <w:rPr/>
        <w:t>年度分配。</w:t>
      </w:r>
    </w:p>
    <w:p>
      <w:pPr>
        <w:pStyle w:val="BodyText"/>
        <w:spacing w:line="240" w:lineRule="auto" w:before="70"/>
        <w:ind w:left="153" w:right="181"/>
        <w:jc w:val="left"/>
      </w:pPr>
      <w:r>
        <w:rPr/>
        <w:t>公司近三年现金分红情况表</w:t>
      </w:r>
    </w:p>
    <w:p>
      <w:pPr>
        <w:pStyle w:val="BodyText"/>
        <w:spacing w:line="240" w:lineRule="auto" w:before="116"/>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6"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123,722,756.46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221,034,822.54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309,306,891.20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608,271,256.29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618,613,782.30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1,163,341,066.21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53.18%</w:t>
            </w:r>
          </w:p>
        </w:tc>
      </w:tr>
    </w:tbl>
    <w:p>
      <w:pPr>
        <w:pStyle w:val="BodyText"/>
        <w:spacing w:line="240" w:lineRule="auto" w:before="51"/>
        <w:ind w:right="0"/>
        <w:jc w:val="both"/>
      </w:pPr>
      <w:r>
        <w:rPr/>
        <w:t>公司报告期内盈利且母公司未分配利润为正但未提出现金红利分配预案</w:t>
      </w:r>
    </w:p>
    <w:p>
      <w:pPr>
        <w:pStyle w:val="BodyText"/>
        <w:spacing w:line="240" w:lineRule="auto" w:before="116"/>
        <w:ind w:left="153"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十三、社会责任情况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公司按照《公司法》、《证券法》、《公司章程》和其他有关法律法规的要求，结合公司实际，建立了规范的法人治理</w:t>
      </w:r>
      <w:r>
        <w:rPr/>
        <w:t> </w:t>
      </w:r>
      <w:r>
        <w:rPr>
          <w:spacing w:val="-2"/>
        </w:rPr>
        <w:t>结构，股东大会、董事会、监事会和总经理负责的经理层责权分明，建立了所有权、经营权分离，决策权、执行权、监督权</w:t>
      </w:r>
      <w:r>
        <w:rPr>
          <w:spacing w:val="-67"/>
        </w:rPr>
        <w:t> </w:t>
      </w:r>
      <w:r>
        <w:rPr>
          <w:spacing w:val="-67"/>
        </w:rPr>
      </w:r>
      <w:r>
        <w:rPr>
          <w:spacing w:val="-2"/>
        </w:rPr>
        <w:t>分立，股东大会、董事会、监事会并存的法人制衡管理机制。严格规定了股东大会、董事会、监事会、总经理的权利、义务</w:t>
      </w:r>
      <w:r>
        <w:rPr>
          <w:spacing w:val="-67"/>
        </w:rPr>
        <w:t> </w:t>
      </w:r>
      <w:r>
        <w:rPr>
          <w:spacing w:val="-67"/>
        </w:rPr>
      </w:r>
      <w:r>
        <w:rPr>
          <w:spacing w:val="-2"/>
        </w:rPr>
        <w:t>及职责范围。公司重视履行社会责任，超越了把利润作为唯一目标的理念，在生产经营和业务发展的过程中，在为股东创造</w:t>
      </w:r>
      <w:r>
        <w:rPr>
          <w:spacing w:val="-66"/>
        </w:rPr>
        <w:t> </w:t>
      </w:r>
      <w:r>
        <w:rPr>
          <w:spacing w:val="-66"/>
        </w:rPr>
      </w:r>
      <w:r>
        <w:rPr>
          <w:spacing w:val="-2"/>
        </w:rPr>
        <w:t>价值的同时，顺应国家和社会的全面发展，努力做到经济效益与社会效益、短期利益与长期利益、自身发展与社会发展相互</w:t>
      </w:r>
      <w:r>
        <w:rPr>
          <w:spacing w:val="-66"/>
        </w:rPr>
        <w:t> </w:t>
      </w:r>
      <w:r>
        <w:rPr>
          <w:spacing w:val="-66"/>
        </w:rPr>
      </w:r>
      <w:r>
        <w:rPr/>
        <w:t>协调，实现公司与员工、公司与社会、公司与环境的健康和谐发展。</w:t>
      </w:r>
    </w:p>
    <w:p>
      <w:pPr>
        <w:pStyle w:val="BodyText"/>
        <w:spacing w:line="314" w:lineRule="auto" w:before="59"/>
        <w:ind w:left="153" w:right="189" w:firstLine="360"/>
        <w:jc w:val="both"/>
      </w:pPr>
      <w:r>
        <w:rPr>
          <w:spacing w:val="-2"/>
        </w:rPr>
        <w:t>公司以打造纸业精品，真诚回报社会为企业使命，以建设国际一流企业为目标，矢志不渝走科学创新发展之路，不断创</w:t>
      </w:r>
      <w:r>
        <w:rPr/>
        <w:t> </w:t>
      </w:r>
      <w:r>
        <w:rPr>
          <w:spacing w:val="-2"/>
        </w:rPr>
        <w:t>新企业管理，提升产品质量，加大新产品研发力度，生产社会需求的高质量、高科技含量的纸业产品，全力打造民族纸业品</w:t>
      </w:r>
      <w:r>
        <w:rPr>
          <w:spacing w:val="-66"/>
        </w:rPr>
        <w:t> </w:t>
      </w:r>
      <w:r>
        <w:rPr>
          <w:spacing w:val="-66"/>
        </w:rPr>
      </w:r>
      <w:r>
        <w:rPr/>
        <w:t>牌的精品工程，创造环保、质优的社会财富。真诚回报社会，是晨鸣人积极履行社会责任的最好诠释，是</w:t>
      </w:r>
      <w:r>
        <w:rPr>
          <w:rFonts w:ascii="Times New Roman" w:hAnsi="Times New Roman" w:cs="Times New Roman" w:eastAsia="Times New Roman" w:hint="default"/>
        </w:rPr>
        <w:t>“</w:t>
      </w:r>
      <w:r>
        <w:rPr/>
        <w:t>打造纸业精品</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2"/>
        </w:rPr>
        <w:t>的高层次价值体现。晨鸣人在实现利益的同时，坚持发展成果与社会共享，努力追求与社会发展的和谐统一，不断推动社会</w:t>
      </w:r>
      <w:r>
        <w:rPr>
          <w:spacing w:val="-66"/>
        </w:rPr>
        <w:t> </w:t>
      </w:r>
      <w:r>
        <w:rPr>
          <w:spacing w:val="-66"/>
        </w:rPr>
      </w:r>
      <w:r>
        <w:rPr/>
        <w:t>经济的发展和进步，以优异业绩回报社会、奉献社会。</w:t>
      </w:r>
    </w:p>
    <w:p>
      <w:pPr>
        <w:pStyle w:val="BodyText"/>
        <w:spacing w:line="312" w:lineRule="auto" w:before="59"/>
        <w:ind w:right="111" w:firstLine="359"/>
        <w:jc w:val="left"/>
      </w:pPr>
      <w:r>
        <w:rPr>
          <w:rFonts w:ascii="Times New Roman" w:hAnsi="Times New Roman" w:cs="Times New Roman" w:eastAsia="Times New Roman" w:hint="default"/>
        </w:rPr>
        <w:t>“</w:t>
      </w:r>
      <w:r>
        <w:rPr/>
        <w:t>诚信双赢，共创未来</w:t>
      </w:r>
      <w:r>
        <w:rPr>
          <w:rFonts w:ascii="Times New Roman" w:hAnsi="Times New Roman" w:cs="Times New Roman" w:eastAsia="Times New Roman" w:hint="default"/>
        </w:rPr>
        <w:t>”</w:t>
      </w:r>
      <w:r>
        <w:rPr/>
        <w:t>是晨鸣人对社会和广大客户最庄严的承诺。是企业适应市场竞争要求，占领市场制高点的法宝， </w:t>
      </w:r>
      <w:r>
        <w:rPr>
          <w:spacing w:val="-2"/>
        </w:rPr>
        <w:t>是企业取得更大发展的基石。晨鸣人始终将诚信作为习惯，将双赢作为方向，将心比心，站在客户的角度考虑问题，坚持诚</w:t>
      </w:r>
      <w:r>
        <w:rPr>
          <w:spacing w:val="-66"/>
        </w:rPr>
        <w:t> </w:t>
      </w:r>
      <w:r>
        <w:rPr>
          <w:spacing w:val="-66"/>
        </w:rPr>
      </w:r>
      <w:r>
        <w:rPr>
          <w:spacing w:val="-2"/>
        </w:rPr>
        <w:t>信管理、诚信经营、诚信服务，发挥品牌效应，不断提升产品质量和服务水平，赢得客户和合作伙伴的真正信任和更长远的</w:t>
      </w:r>
      <w:r>
        <w:rPr>
          <w:spacing w:val="-66"/>
        </w:rPr>
        <w:t> </w:t>
      </w:r>
      <w:r>
        <w:rPr>
          <w:spacing w:val="-66"/>
        </w:rPr>
      </w:r>
      <w:r>
        <w:rPr/>
        <w:t>合作，实现经济效益和社会效益的有效统一。</w:t>
      </w:r>
    </w:p>
    <w:p>
      <w:pPr>
        <w:pStyle w:val="BodyText"/>
        <w:spacing w:line="319" w:lineRule="auto" w:before="61"/>
        <w:ind w:right="90" w:firstLine="360"/>
        <w:jc w:val="left"/>
      </w:pPr>
      <w:r>
        <w:rPr>
          <w:spacing w:val="-2"/>
        </w:rPr>
        <w:t>公司致力于建设绿色生态、持续发展的国际一流造纸企业，作为国内造纸龙头企业，公司在多年发展过程中，始终把发</w:t>
      </w:r>
      <w:r>
        <w:rPr/>
        <w:t> 展绿色生态纸业作为自己的目标，积极淘汰落后产能，上马高效、节能、环保的国际一流高端生产线，促进企业转型升级。 同时，高标准、高质量上马环保设施，大力发展原料林基地，都突出体现出了建设绿色生态、发展循环经济这一理念。</w:t>
      </w:r>
    </w:p>
    <w:p>
      <w:pPr>
        <w:pStyle w:val="BodyText"/>
        <w:spacing w:line="300" w:lineRule="auto" w:before="56"/>
        <w:ind w:left="153" w:right="188"/>
        <w:jc w:val="both"/>
      </w:pPr>
      <w:r>
        <w:rPr/>
        <w:t>晨鸣人坚持在为社会创造财富的同时，以为子孙后代留下一片蓝天碧水为理念，实现企业与环境、资源相协调发展，走</w:t>
      </w:r>
      <w:r>
        <w:rPr>
          <w:rFonts w:ascii="Times New Roman" w:hAnsi="Times New Roman" w:cs="Times New Roman" w:eastAsia="Times New Roman" w:hint="default"/>
        </w:rPr>
        <w:t>“</w:t>
      </w:r>
      <w:r>
        <w:rPr/>
        <w:t>林</w:t>
      </w:r>
      <w:r>
        <w:rPr>
          <w:spacing w:val="-77"/>
        </w:rPr>
        <w:t> </w:t>
      </w:r>
      <w:r>
        <w:rPr/>
        <w:t>浆纸一体化</w:t>
      </w:r>
      <w:r>
        <w:rPr>
          <w:rFonts w:ascii="Times New Roman" w:hAnsi="Times New Roman" w:cs="Times New Roman" w:eastAsia="Times New Roman" w:hint="default"/>
        </w:rPr>
        <w:t>”</w:t>
      </w:r>
      <w:r>
        <w:rPr/>
        <w:t>道路，发展循环经济，打造绿色生态纸业，达到人与自然和谐共处，赢得社会的支持和关心，为企业持续健康</w:t>
      </w:r>
      <w:r>
        <w:rPr>
          <w:spacing w:val="-77"/>
        </w:rPr>
        <w:t> </w:t>
      </w:r>
      <w:r>
        <w:rPr>
          <w:spacing w:val="-77"/>
        </w:rPr>
      </w:r>
      <w:r>
        <w:rPr>
          <w:spacing w:val="-1"/>
        </w:rPr>
        <w:t>发展创造有利条件。始终坚持</w:t>
      </w:r>
      <w:r>
        <w:rPr>
          <w:rFonts w:ascii="Times New Roman" w:hAnsi="Times New Roman" w:cs="Times New Roman" w:eastAsia="Times New Roman" w:hint="default"/>
          <w:spacing w:val="-1"/>
        </w:rPr>
        <w:t>“</w:t>
      </w:r>
      <w:r>
        <w:rPr>
          <w:spacing w:val="-1"/>
        </w:rPr>
        <w:t>规模膨胀，环保先行</w:t>
      </w:r>
      <w:r>
        <w:rPr>
          <w:rFonts w:ascii="Times New Roman" w:hAnsi="Times New Roman" w:cs="Times New Roman" w:eastAsia="Times New Roman" w:hint="default"/>
          <w:spacing w:val="-1"/>
        </w:rPr>
        <w:t>”</w:t>
      </w:r>
      <w:r>
        <w:rPr>
          <w:spacing w:val="-1"/>
        </w:rPr>
        <w:t>的指导思想，把污染治理作为企业的</w:t>
      </w:r>
      <w:r>
        <w:rPr>
          <w:rFonts w:ascii="Times New Roman" w:hAnsi="Times New Roman" w:cs="Times New Roman" w:eastAsia="Times New Roman" w:hint="default"/>
          <w:spacing w:val="-1"/>
        </w:rPr>
        <w:t>“</w:t>
      </w:r>
      <w:r>
        <w:rPr>
          <w:spacing w:val="-1"/>
        </w:rPr>
        <w:t>生命工程</w:t>
      </w:r>
      <w:r>
        <w:rPr>
          <w:rFonts w:ascii="Times New Roman" w:hAnsi="Times New Roman" w:cs="Times New Roman" w:eastAsia="Times New Roman" w:hint="default"/>
          <w:spacing w:val="-1"/>
        </w:rPr>
        <w:t>”</w:t>
      </w:r>
      <w:r>
        <w:rPr>
          <w:spacing w:val="-1"/>
        </w:rPr>
        <w:t>来抓，紧紧依靠科技创</w:t>
      </w:r>
      <w:r>
        <w:rPr>
          <w:spacing w:val="-78"/>
        </w:rPr>
        <w:t> </w:t>
      </w:r>
      <w:r>
        <w:rPr>
          <w:spacing w:val="-78"/>
        </w:rPr>
      </w:r>
      <w:r>
        <w:rPr>
          <w:spacing w:val="-2"/>
        </w:rPr>
        <w:t>新，全面推行清洁生产和资源循环利用。近年来，累计投资</w:t>
      </w:r>
      <w:r>
        <w:rPr>
          <w:rFonts w:ascii="Times New Roman" w:hAnsi="Times New Roman" w:cs="Times New Roman" w:eastAsia="Times New Roman" w:hint="default"/>
          <w:spacing w:val="-2"/>
        </w:rPr>
        <w:t>30</w:t>
      </w:r>
      <w:r>
        <w:rPr>
          <w:spacing w:val="-2"/>
        </w:rPr>
        <w:t>多亿元，引进当前世界上最先进的环保技术，配套建设了碱回</w:t>
      </w:r>
      <w:r>
        <w:rPr>
          <w:spacing w:val="-65"/>
        </w:rPr>
        <w:t> </w:t>
      </w:r>
      <w:r>
        <w:rPr>
          <w:spacing w:val="-65"/>
        </w:rPr>
      </w:r>
      <w:r>
        <w:rPr>
          <w:spacing w:val="-3"/>
        </w:rPr>
        <w:t>收、中段水、中水回用等环保项目。整体治理能力达到日处理</w:t>
      </w:r>
      <w:r>
        <w:rPr>
          <w:rFonts w:ascii="Times New Roman" w:hAnsi="Times New Roman" w:cs="Times New Roman" w:eastAsia="Times New Roman" w:hint="default"/>
          <w:spacing w:val="-3"/>
        </w:rPr>
        <w:t>450</w:t>
      </w:r>
      <w:r>
        <w:rPr>
          <w:spacing w:val="-3"/>
        </w:rPr>
        <w:t>吨自制浆黑液配套</w:t>
      </w:r>
      <w:r>
        <w:rPr>
          <w:rFonts w:ascii="Times New Roman" w:hAnsi="Times New Roman" w:cs="Times New Roman" w:eastAsia="Times New Roman" w:hint="default"/>
          <w:spacing w:val="-3"/>
        </w:rPr>
        <w:t>3000kWh</w:t>
      </w:r>
      <w:r>
        <w:rPr>
          <w:spacing w:val="-3"/>
        </w:rPr>
        <w:t>发电机组的碱回收、日处理</w:t>
      </w:r>
      <w:r>
        <w:rPr>
          <w:rFonts w:ascii="Times New Roman" w:hAnsi="Times New Roman" w:cs="Times New Roman" w:eastAsia="Times New Roman" w:hint="default"/>
          <w:spacing w:val="-3"/>
        </w:rPr>
        <w:t>13.5</w:t>
      </w:r>
      <w:r>
        <w:rPr>
          <w:rFonts w:ascii="Times New Roman" w:hAnsi="Times New Roman" w:cs="Times New Roman" w:eastAsia="Times New Roman" w:hint="default"/>
          <w:spacing w:val="14"/>
        </w:rPr>
        <w:t> </w:t>
      </w:r>
      <w:r>
        <w:rPr/>
        <w:t>万立方米中段水、日处理</w:t>
      </w:r>
      <w:r>
        <w:rPr>
          <w:rFonts w:ascii="Times New Roman" w:hAnsi="Times New Roman" w:cs="Times New Roman" w:eastAsia="Times New Roman" w:hint="default"/>
        </w:rPr>
        <w:t>13</w:t>
      </w:r>
      <w:r>
        <w:rPr/>
        <w:t>万方中水回用，各项排放指标优于相关控制标准。公司在全国同行业率先通过</w:t>
      </w:r>
      <w:r>
        <w:rPr>
          <w:rFonts w:ascii="Times New Roman" w:hAnsi="Times New Roman" w:cs="Times New Roman" w:eastAsia="Times New Roman" w:hint="default"/>
        </w:rPr>
        <w:t>ISO14001</w:t>
      </w:r>
      <w:r>
        <w:rPr/>
        <w:t>环境管</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理体系认证，先后荣获山东省环境友好企业、山东省循环经济示范企业、山东省节约增效先进单位、山东省资源综合利用先</w:t>
      </w:r>
      <w:r>
        <w:rPr>
          <w:spacing w:val="-66"/>
        </w:rPr>
        <w:t> </w:t>
      </w:r>
      <w:r>
        <w:rPr>
          <w:spacing w:val="-66"/>
        </w:rPr>
      </w:r>
      <w:r>
        <w:rPr/>
        <w:t>进单位等荣誉称号，实现了经济效益和环境保护的协调发展、同步提高。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r>
        <w:rPr/>
        <w:t>十四、报告期内接待调研、沟通、采访等活动登记表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531"/>
        <w:gridCol w:w="1199"/>
        <w:gridCol w:w="1080"/>
        <w:gridCol w:w="1260"/>
        <w:gridCol w:w="2701"/>
        <w:gridCol w:w="1922"/>
      </w:tblGrid>
      <w:tr>
        <w:trPr>
          <w:trHeight w:val="714" w:hRule="exact"/>
        </w:trPr>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6" w:right="54" w:hanging="630"/>
              <w:jc w:val="left"/>
              <w:rPr>
                <w:rFonts w:ascii="宋体" w:hAnsi="宋体" w:cs="宋体" w:eastAsia="宋体" w:hint="default"/>
                <w:sz w:val="18"/>
                <w:szCs w:val="18"/>
              </w:rPr>
            </w:pPr>
            <w:r>
              <w:rPr>
                <w:rFonts w:ascii="宋体" w:hAnsi="宋体" w:cs="宋体" w:eastAsia="宋体" w:hint="default"/>
                <w:sz w:val="18"/>
                <w:szCs w:val="18"/>
              </w:rPr>
              <w:t>谈论的主要内容及提供 的资料</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银河基金、浙商证券、华泰证券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国泰君安、博时基金</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香港西京投资管理公司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富达基金</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日本大和证券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香港西京投资管理公司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r>
        <w:trPr>
          <w:trHeight w:val="403"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山东寿光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美银美林、涌金资产</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公司生产经营情况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十五、</w:t>
      </w:r>
      <w:r>
        <w:rPr>
          <w:spacing w:val="-2"/>
        </w:rPr>
        <w:t> </w:t>
      </w:r>
      <w:r>
        <w:rPr/>
        <w:t>按香港《证券及期货条例》，董事、监事及最高行政人员之证券权益</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151" w:firstLine="360"/>
        <w:jc w:val="left"/>
      </w:pP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日，公司各董事、监事及最高行政人员在公司或其相联法团（定义见《证券及期货条例》第</w:t>
      </w:r>
      <w:r>
        <w:rPr>
          <w:rFonts w:ascii="Times New Roman" w:hAnsi="Times New Roman" w:cs="Times New Roman" w:eastAsia="Times New Roman" w:hint="default"/>
        </w:rPr>
        <w:t>XV</w:t>
      </w:r>
      <w:r>
        <w:rPr/>
        <w:t>部）持 有的权益，根据《证券及期货条例》第</w:t>
      </w:r>
      <w:r>
        <w:rPr>
          <w:rFonts w:ascii="Times New Roman" w:hAnsi="Times New Roman" w:cs="Times New Roman" w:eastAsia="Times New Roman" w:hint="default"/>
        </w:rPr>
        <w:t>352</w:t>
      </w:r>
      <w:r>
        <w:rPr/>
        <w:t>如下：</w:t>
      </w:r>
    </w:p>
    <w:p>
      <w:pPr>
        <w:pStyle w:val="BodyText"/>
        <w:spacing w:line="240" w:lineRule="auto" w:before="50"/>
        <w:ind w:left="153" w:right="0"/>
        <w:jc w:val="left"/>
      </w:pPr>
      <w:r>
        <w:rPr/>
        <w:t>公司</w:t>
      </w:r>
    </w:p>
    <w:p>
      <w:pPr>
        <w:spacing w:line="240" w:lineRule="auto" w:before="3"/>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63"/>
        <w:gridCol w:w="3302"/>
        <w:gridCol w:w="4742"/>
      </w:tblGrid>
      <w:tr>
        <w:trPr>
          <w:trHeight w:val="809"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420" w:lineRule="auto" w:before="44"/>
              <w:ind w:left="35" w:right="1265"/>
              <w:jc w:val="left"/>
              <w:rPr>
                <w:rFonts w:ascii="宋体" w:hAnsi="宋体" w:cs="宋体" w:eastAsia="宋体" w:hint="default"/>
                <w:sz w:val="18"/>
                <w:szCs w:val="18"/>
              </w:rPr>
            </w:pPr>
            <w:r>
              <w:rPr>
                <w:rFonts w:ascii="宋体" w:hAnsi="宋体" w:cs="宋体" w:eastAsia="宋体" w:hint="default"/>
                <w:sz w:val="18"/>
                <w:szCs w:val="18"/>
              </w:rPr>
              <w:t>姓名 董事</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84"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17"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97" w:right="0"/>
              <w:jc w:val="left"/>
              <w:rPr>
                <w:rFonts w:ascii="宋体" w:hAnsi="宋体" w:cs="宋体" w:eastAsia="宋体" w:hint="default"/>
                <w:sz w:val="18"/>
                <w:szCs w:val="18"/>
              </w:rPr>
            </w:pPr>
            <w:r>
              <w:rPr>
                <w:rFonts w:ascii="宋体" w:hAnsi="宋体" w:cs="宋体" w:eastAsia="宋体" w:hint="default"/>
                <w:sz w:val="18"/>
                <w:szCs w:val="18"/>
              </w:rPr>
              <w:t>董事长及总经理</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z w:val="18"/>
              </w:rPr>
              <w:t>6,334,527</w:t>
            </w:r>
          </w:p>
        </w:tc>
      </w:tr>
      <w:tr>
        <w:trPr>
          <w:trHeight w:val="411"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97"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2,423,640</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7"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471,818</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437,433</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185,700</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7"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628,915</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123,007</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7"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7"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9"/>
          <w:szCs w:val="29"/>
        </w:rPr>
      </w:pPr>
    </w:p>
    <w:p>
      <w:pPr>
        <w:pStyle w:val="BodyText"/>
        <w:tabs>
          <w:tab w:pos="2479" w:val="left" w:leader="none"/>
          <w:tab w:pos="9731" w:val="left" w:leader="none"/>
        </w:tabs>
        <w:spacing w:line="240" w:lineRule="auto" w:before="44"/>
        <w:ind w:left="153" w:right="99"/>
        <w:jc w:val="left"/>
        <w:rPr>
          <w:rFonts w:ascii="Times New Roman" w:hAnsi="Times New Roman" w:cs="Times New Roman" w:eastAsia="Times New Roman" w:hint="default"/>
        </w:rPr>
      </w:pPr>
      <w:r>
        <w:rPr/>
        <w:t>张宏</w:t>
        <w:tab/>
        <w:t>独立非执行董事</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王玉玫</w:t>
        <w:tab/>
        <w:t>独立非执行董事</w:t>
        <w:tab/>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王翔飞</w:t>
        <w:tab/>
        <w:t>独立非执行董事</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4"/>
          <w:szCs w:val="14"/>
        </w:rPr>
      </w:pPr>
    </w:p>
    <w:p>
      <w:pPr>
        <w:pStyle w:val="BodyText"/>
        <w:spacing w:line="240" w:lineRule="auto"/>
        <w:ind w:left="153" w:right="181"/>
        <w:jc w:val="left"/>
      </w:pPr>
      <w:r>
        <w:rPr/>
        <w:t>监事</w:t>
      </w:r>
    </w:p>
    <w:p>
      <w:pPr>
        <w:spacing w:line="240" w:lineRule="auto" w:before="6"/>
        <w:rPr>
          <w:rFonts w:ascii="宋体" w:hAnsi="宋体" w:cs="宋体" w:eastAsia="宋体" w:hint="default"/>
          <w:sz w:val="13"/>
          <w:szCs w:val="13"/>
        </w:rPr>
      </w:pPr>
    </w:p>
    <w:p>
      <w:pPr>
        <w:pStyle w:val="BodyText"/>
        <w:tabs>
          <w:tab w:pos="2479" w:val="left" w:leader="none"/>
          <w:tab w:pos="9295" w:val="left" w:leader="none"/>
        </w:tabs>
        <w:spacing w:line="240" w:lineRule="auto"/>
        <w:ind w:left="153" w:right="99"/>
        <w:jc w:val="left"/>
        <w:rPr>
          <w:rFonts w:ascii="Times New Roman" w:hAnsi="Times New Roman" w:cs="Times New Roman" w:eastAsia="Times New Roman" w:hint="default"/>
        </w:rPr>
      </w:pPr>
      <w:r>
        <w:rPr/>
        <w:t>高俊杰</w:t>
        <w:tab/>
        <w:t>监事</w:t>
        <w:tab/>
      </w:r>
      <w:r>
        <w:rPr>
          <w:rFonts w:ascii="Times New Roman" w:hAnsi="Times New Roman" w:cs="Times New Roman" w:eastAsia="Times New Roman" w:hint="default"/>
        </w:rPr>
        <w:t>39,606</w:t>
      </w:r>
    </w:p>
    <w:p>
      <w:pPr>
        <w:spacing w:line="240" w:lineRule="auto" w:before="3"/>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王菊</w:t>
        <w:tab/>
        <w:t>监事</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杨洪芹</w:t>
        <w:tab/>
        <w:t>监事</w:t>
        <w:tab/>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尹启祥</w:t>
        <w:tab/>
        <w:t>监事</w:t>
        <w:tab/>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4"/>
          <w:szCs w:val="14"/>
        </w:rPr>
      </w:pPr>
    </w:p>
    <w:p>
      <w:pPr>
        <w:pStyle w:val="BodyText"/>
        <w:tabs>
          <w:tab w:pos="2479" w:val="left" w:leader="none"/>
          <w:tab w:pos="9731" w:val="left" w:leader="none"/>
        </w:tabs>
        <w:spacing w:line="240" w:lineRule="auto"/>
        <w:ind w:left="153" w:right="99"/>
        <w:jc w:val="left"/>
        <w:rPr>
          <w:rFonts w:ascii="Times New Roman" w:hAnsi="Times New Roman" w:cs="Times New Roman" w:eastAsia="Times New Roman" w:hint="default"/>
        </w:rPr>
      </w:pPr>
      <w:r>
        <w:rPr/>
        <w:t>郭光耀</w:t>
        <w:tab/>
        <w:t>监事</w:t>
        <w:tab/>
      </w:r>
      <w:r>
        <w:rPr>
          <w:rFonts w:ascii="Times New Roman" w:hAnsi="Times New Roman" w:cs="Times New Roman" w:eastAsia="Times New Roman" w:hint="default"/>
        </w:rPr>
        <w:t>-</w:t>
      </w:r>
    </w:p>
    <w:p>
      <w:pPr>
        <w:pStyle w:val="BodyText"/>
        <w:spacing w:line="240" w:lineRule="auto" w:before="153"/>
        <w:ind w:left="153" w:right="181"/>
        <w:jc w:val="left"/>
      </w:pPr>
      <w:r>
        <w:rPr/>
        <w:t>相联法团</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82" w:top="1060" w:bottom="1180" w:left="980" w:right="940"/>
        </w:sectPr>
      </w:pPr>
    </w:p>
    <w:p>
      <w:pPr>
        <w:pStyle w:val="BodyText"/>
        <w:tabs>
          <w:tab w:pos="1908" w:val="left" w:leader="none"/>
          <w:tab w:pos="3500" w:val="left" w:leader="none"/>
          <w:tab w:pos="5484" w:val="left" w:leader="none"/>
        </w:tabs>
        <w:spacing w:line="240" w:lineRule="auto" w:before="44"/>
        <w:ind w:left="671" w:right="-20"/>
        <w:jc w:val="left"/>
      </w:pPr>
      <w:r>
        <w:rPr/>
        <w:t>姓名</w:t>
        <w:tab/>
        <w:t>职务</w:t>
        <w:tab/>
        <w:t>相联法团名称</w:t>
        <w:tab/>
        <w:t>报告期初持有股份</w:t>
      </w:r>
    </w:p>
    <w:p>
      <w:pPr>
        <w:pStyle w:val="BodyText"/>
        <w:spacing w:line="240" w:lineRule="auto" w:before="76"/>
        <w:ind w:left="0" w:right="268"/>
        <w:jc w:val="right"/>
      </w:pPr>
      <w:r>
        <w:rPr/>
        <w:t>数量（股）</w:t>
      </w:r>
    </w:p>
    <w:p>
      <w:pPr>
        <w:pStyle w:val="BodyText"/>
        <w:spacing w:line="240" w:lineRule="auto" w:before="44"/>
        <w:ind w:left="73" w:right="0"/>
        <w:jc w:val="left"/>
      </w:pPr>
      <w:r>
        <w:rPr/>
        <w:br w:type="column"/>
      </w:r>
      <w:r>
        <w:rPr/>
        <w:t>期內变动 </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报告期末持有股份数</w:t>
      </w:r>
    </w:p>
    <w:p>
      <w:pPr>
        <w:pStyle w:val="BodyText"/>
        <w:spacing w:line="240" w:lineRule="auto" w:before="62"/>
        <w:ind w:left="1643" w:right="0"/>
        <w:jc w:val="left"/>
      </w:pPr>
      <w:r>
        <w:rPr/>
        <w:t>量（股）</w:t>
      </w:r>
    </w:p>
    <w:p>
      <w:pPr>
        <w:spacing w:after="0" w:line="240" w:lineRule="auto"/>
        <w:jc w:val="left"/>
        <w:sectPr>
          <w:type w:val="continuous"/>
          <w:pgSz w:w="11910" w:h="16840"/>
          <w:pgMar w:top="1060" w:bottom="1180" w:left="980" w:right="940"/>
          <w:cols w:num="2" w:equalWidth="0">
            <w:col w:w="6925" w:space="40"/>
            <w:col w:w="3025"/>
          </w:cols>
        </w:sectPr>
      </w:pPr>
    </w:p>
    <w:p>
      <w:pPr>
        <w:spacing w:line="240" w:lineRule="auto" w:before="1"/>
        <w:rPr>
          <w:rFonts w:ascii="宋体" w:hAnsi="宋体" w:cs="宋体" w:eastAsia="宋体" w:hint="default"/>
          <w:sz w:val="10"/>
          <w:szCs w:val="10"/>
        </w:rPr>
      </w:pPr>
    </w:p>
    <w:p>
      <w:pPr>
        <w:pStyle w:val="BodyText"/>
        <w:tabs>
          <w:tab w:pos="1817" w:val="left" w:leader="none"/>
          <w:tab w:pos="2824" w:val="left" w:leader="none"/>
          <w:tab w:pos="6034" w:val="left" w:leader="none"/>
          <w:tab w:pos="7509" w:val="left" w:leader="none"/>
          <w:tab w:pos="8890" w:val="left" w:leader="none"/>
        </w:tabs>
        <w:spacing w:line="240" w:lineRule="auto" w:before="44"/>
        <w:ind w:left="580" w:right="99"/>
        <w:jc w:val="left"/>
        <w:rPr>
          <w:rFonts w:ascii="Times New Roman" w:hAnsi="Times New Roman" w:cs="Times New Roman" w:eastAsia="Times New Roman" w:hint="default"/>
        </w:rPr>
      </w:pPr>
      <w:r>
        <w:rPr/>
        <w:t>陈洪国</w:t>
        <w:tab/>
        <w:t>董事长</w:t>
        <w:tab/>
        <w:t>寿光晨鸣控股有限公司（注</w:t>
      </w:r>
      <w:r>
        <w:rPr>
          <w:rFonts w:ascii="Times New Roman" w:hAnsi="Times New Roman" w:cs="Times New Roman" w:eastAsia="Times New Roman" w:hint="default"/>
        </w:rPr>
        <w:t>2</w:t>
      </w:r>
      <w:r>
        <w:rPr/>
        <w:t>）</w:t>
        <w:tab/>
      </w:r>
      <w:r>
        <w:rPr>
          <w:rFonts w:ascii="Times New Roman" w:hAnsi="Times New Roman" w:cs="Times New Roman" w:eastAsia="Times New Roman" w:hint="default"/>
        </w:rPr>
        <w:t>231,000,000</w:t>
        <w:tab/>
        <w:t>-</w:t>
        <w:tab/>
        <w:t>231,000,000</w:t>
      </w:r>
    </w:p>
    <w:p>
      <w:pPr>
        <w:spacing w:line="240" w:lineRule="auto" w:before="3"/>
        <w:rPr>
          <w:rFonts w:ascii="Times New Roman" w:hAnsi="Times New Roman" w:cs="Times New Roman" w:eastAsia="Times New Roman" w:hint="default"/>
          <w:sz w:val="10"/>
          <w:szCs w:val="10"/>
        </w:rPr>
      </w:pPr>
    </w:p>
    <w:p>
      <w:pPr>
        <w:pStyle w:val="BodyText"/>
        <w:tabs>
          <w:tab w:pos="6214" w:val="left" w:leader="none"/>
          <w:tab w:pos="7509" w:val="left" w:leader="none"/>
          <w:tab w:pos="9070" w:val="left" w:leader="none"/>
        </w:tabs>
        <w:spacing w:line="240" w:lineRule="auto" w:before="44"/>
        <w:ind w:left="2644" w:right="99"/>
        <w:jc w:val="left"/>
        <w:rPr>
          <w:rFonts w:ascii="Times New Roman" w:hAnsi="Times New Roman" w:cs="Times New Roman" w:eastAsia="Times New Roman" w:hint="default"/>
        </w:rPr>
      </w:pPr>
      <w:r>
        <w:rPr/>
        <w:t>寿光晨鸣广源地产有限公司（注</w:t>
      </w:r>
      <w:r>
        <w:rPr>
          <w:rFonts w:ascii="Times New Roman" w:hAnsi="Times New Roman" w:cs="Times New Roman" w:eastAsia="Times New Roman" w:hint="default"/>
        </w:rPr>
        <w:t>3</w:t>
      </w:r>
      <w:r>
        <w:rPr/>
        <w:t>）</w:t>
        <w:tab/>
      </w:r>
      <w:r>
        <w:rPr>
          <w:rFonts w:ascii="Times New Roman" w:hAnsi="Times New Roman" w:cs="Times New Roman" w:eastAsia="Times New Roman" w:hint="default"/>
        </w:rPr>
        <w:t>1,371,000</w:t>
        <w:tab/>
        <w:t>-</w:t>
        <w:tab/>
        <w:t>1,371,000</w:t>
      </w:r>
    </w:p>
    <w:p>
      <w:pPr>
        <w:pStyle w:val="BodyText"/>
        <w:spacing w:line="338" w:lineRule="auto" w:before="154"/>
        <w:ind w:left="513" w:right="231"/>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6,334,527</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429,348</w:t>
      </w:r>
      <w:r>
        <w:rPr/>
        <w:t>股</w:t>
      </w:r>
      <w:r>
        <w:rPr>
          <w:rFonts w:ascii="Times New Roman" w:hAnsi="Times New Roman" w:cs="Times New Roman" w:eastAsia="Times New Roman" w:hint="default"/>
        </w:rPr>
        <w:t>A</w:t>
      </w:r>
      <w:r>
        <w:rPr/>
        <w:t>股之权益。 注</w:t>
      </w:r>
      <w:r>
        <w:rPr>
          <w:rFonts w:ascii="Times New Roman" w:hAnsi="Times New Roman" w:cs="Times New Roman" w:eastAsia="Times New Roman" w:hint="default"/>
        </w:rPr>
        <w:t>2</w:t>
      </w:r>
      <w:r>
        <w:rPr/>
        <w:t>：陈洪国及其配偶李雪芹共持有寿光市恒联企业投资有限公司（以下简称</w:t>
      </w:r>
      <w:r>
        <w:rPr>
          <w:rFonts w:ascii="Times New Roman" w:hAnsi="Times New Roman" w:cs="Times New Roman" w:eastAsia="Times New Roman" w:hint="default"/>
        </w:rPr>
        <w:t>“</w:t>
      </w:r>
      <w:r>
        <w:rPr/>
        <w:t>寿光恒联</w:t>
      </w:r>
      <w:r>
        <w:rPr>
          <w:rFonts w:ascii="Times New Roman" w:hAnsi="Times New Roman" w:cs="Times New Roman" w:eastAsia="Times New Roman" w:hint="default"/>
        </w:rPr>
        <w:t>”</w:t>
      </w:r>
      <w:r>
        <w:rPr/>
        <w:t>）</w:t>
      </w:r>
      <w:r>
        <w:rPr>
          <w:rFonts w:ascii="Times New Roman" w:hAnsi="Times New Roman" w:cs="Times New Roman" w:eastAsia="Times New Roman" w:hint="default"/>
        </w:rPr>
        <w:t>43%</w:t>
      </w:r>
      <w:r>
        <w:rPr/>
        <w:t>股权，故寿光恒联被视</w:t>
      </w:r>
    </w:p>
    <w:p>
      <w:pPr>
        <w:pStyle w:val="BodyText"/>
        <w:spacing w:line="230" w:lineRule="exact"/>
        <w:ind w:left="153" w:right="181"/>
        <w:jc w:val="left"/>
      </w:pPr>
      <w:r>
        <w:rPr/>
        <w:t>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13.71%</w:t>
      </w:r>
      <w:r>
        <w:rPr/>
        <w:t>）亦被视为由陈洪国</w:t>
      </w:r>
    </w:p>
    <w:p>
      <w:pPr>
        <w:pStyle w:val="BodyText"/>
        <w:spacing w:line="300" w:lineRule="auto" w:before="62"/>
        <w:ind w:right="181" w:hanging="1"/>
        <w:jc w:val="left"/>
      </w:pPr>
      <w:r>
        <w:rPr>
          <w:spacing w:val="-2"/>
        </w:rPr>
        <w:t>持有。此外，寿光晨鸣控股有限公司之全资控股子公司寿光晨鸣广源地产有限公司（以下简称</w:t>
      </w:r>
      <w:r>
        <w:rPr>
          <w:rFonts w:ascii="Times New Roman" w:hAnsi="Times New Roman" w:cs="Times New Roman" w:eastAsia="Times New Roman" w:hint="default"/>
          <w:spacing w:val="-2"/>
        </w:rPr>
        <w:t>“</w:t>
      </w:r>
      <w:r>
        <w:rPr>
          <w:spacing w:val="-2"/>
        </w:rPr>
        <w:t>广源地产</w:t>
      </w:r>
      <w:r>
        <w:rPr>
          <w:rFonts w:ascii="Times New Roman" w:hAnsi="Times New Roman" w:cs="Times New Roman" w:eastAsia="Times New Roman" w:hint="default"/>
          <w:spacing w:val="-2"/>
        </w:rPr>
        <w:t>”</w:t>
      </w:r>
      <w:r>
        <w:rPr>
          <w:spacing w:val="-2"/>
        </w:rPr>
        <w:t>）亦被视为由陈洪</w:t>
      </w:r>
      <w:r>
        <w:rPr>
          <w:spacing w:val="-44"/>
        </w:rPr>
        <w:t> </w:t>
      </w:r>
      <w:r>
        <w:rPr>
          <w:spacing w:val="-44"/>
        </w:rPr>
      </w:r>
      <w:r>
        <w:rPr/>
        <w:t>国先生持有其中约</w:t>
      </w:r>
      <w:r>
        <w:rPr>
          <w:rFonts w:ascii="Times New Roman" w:hAnsi="Times New Roman" w:cs="Times New Roman" w:eastAsia="Times New Roman" w:hint="default"/>
        </w:rPr>
        <w:t>13.71%</w:t>
      </w:r>
      <w:r>
        <w:rPr/>
        <w:t>权益。</w:t>
      </w:r>
    </w:p>
    <w:p>
      <w:pPr>
        <w:pStyle w:val="BodyText"/>
        <w:spacing w:line="300" w:lineRule="auto" w:before="52"/>
        <w:ind w:right="188" w:firstLine="360"/>
        <w:jc w:val="both"/>
      </w:pPr>
      <w:r>
        <w:rPr/>
        <w:t>注</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月签订的《增资协议书》，寿光市恒泰企业投资有限公司（以下简称</w:t>
      </w:r>
      <w:r>
        <w:rPr>
          <w:rFonts w:ascii="Times New Roman" w:hAnsi="Times New Roman" w:cs="Times New Roman" w:eastAsia="Times New Roman" w:hint="default"/>
        </w:rPr>
        <w:t>“</w:t>
      </w:r>
      <w:r>
        <w:rPr/>
        <w:t>寿光恒泰</w:t>
      </w:r>
      <w:r>
        <w:rPr>
          <w:rFonts w:ascii="Times New Roman" w:hAnsi="Times New Roman" w:cs="Times New Roman" w:eastAsia="Times New Roman" w:hint="default"/>
        </w:rPr>
        <w:t>”</w:t>
      </w:r>
      <w:r>
        <w:rPr/>
        <w:t>，一家于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 </w:t>
      </w:r>
      <w:r>
        <w:rPr>
          <w:rFonts w:ascii="Times New Roman" w:hAnsi="Times New Roman" w:cs="Times New Roman" w:eastAsia="Times New Roman" w:hint="default"/>
          <w:spacing w:val="-1"/>
        </w:rPr>
        <w:t>15</w:t>
      </w:r>
      <w:r>
        <w:rPr>
          <w:spacing w:val="-1"/>
        </w:rPr>
        <w:t>日在中华人民共和国注册成立的有限责任公司，其注册资本现为人民币</w:t>
      </w:r>
      <w:r>
        <w:rPr>
          <w:rFonts w:ascii="Times New Roman" w:hAnsi="Times New Roman" w:cs="Times New Roman" w:eastAsia="Times New Roman" w:hint="default"/>
          <w:spacing w:val="-1"/>
        </w:rPr>
        <w:t>10,000</w:t>
      </w:r>
      <w:r>
        <w:rPr>
          <w:spacing w:val="-1"/>
        </w:rPr>
        <w:t>万元，经营范围为以企业自有资金对外进行</w:t>
      </w:r>
      <w:r>
        <w:rPr>
          <w:spacing w:val="-70"/>
        </w:rPr>
        <w:t> </w:t>
      </w:r>
      <w:r>
        <w:rPr>
          <w:spacing w:val="-70"/>
        </w:rPr>
      </w:r>
      <w:r>
        <w:rPr>
          <w:spacing w:val="-1"/>
        </w:rPr>
        <w:t>项目投资（造纸及相关产业除外，不得从事集资、融资、证券业务），陈洪国先生及其配偶李雪芹女士共持有寿光恒泰</w:t>
      </w:r>
      <w:r>
        <w:rPr>
          <w:rFonts w:ascii="Times New Roman" w:hAnsi="Times New Roman" w:cs="Times New Roman" w:eastAsia="Times New Roman" w:hint="default"/>
          <w:spacing w:val="-1"/>
        </w:rPr>
        <w:t>54%</w:t>
      </w:r>
      <w:r>
        <w:rPr>
          <w:rFonts w:ascii="Times New Roman" w:hAnsi="Times New Roman" w:cs="Times New Roman" w:eastAsia="Times New Roman" w:hint="default"/>
        </w:rPr>
        <w:t> </w:t>
      </w:r>
      <w:r>
        <w:rPr>
          <w:spacing w:val="-2"/>
        </w:rPr>
        <w:t>的权益）持有广源地产</w:t>
      </w:r>
      <w:r>
        <w:rPr>
          <w:rFonts w:ascii="Times New Roman" w:hAnsi="Times New Roman" w:cs="Times New Roman" w:eastAsia="Times New Roman" w:hint="default"/>
          <w:spacing w:val="-2"/>
        </w:rPr>
        <w:t>60%</w:t>
      </w:r>
      <w:r>
        <w:rPr>
          <w:spacing w:val="-2"/>
        </w:rPr>
        <w:t>的股权，而晨鸣控股持有广源地产的股权将由</w:t>
      </w:r>
      <w:r>
        <w:rPr>
          <w:rFonts w:ascii="Times New Roman" w:hAnsi="Times New Roman" w:cs="Times New Roman" w:eastAsia="Times New Roman" w:hint="default"/>
          <w:spacing w:val="-2"/>
        </w:rPr>
        <w:t>100%</w:t>
      </w:r>
      <w:r>
        <w:rPr>
          <w:spacing w:val="-2"/>
        </w:rPr>
        <w:t>变成</w:t>
      </w:r>
      <w:r>
        <w:rPr>
          <w:rFonts w:ascii="Times New Roman" w:hAnsi="Times New Roman" w:cs="Times New Roman" w:eastAsia="Times New Roman" w:hint="default"/>
          <w:spacing w:val="-2"/>
        </w:rPr>
        <w:t>40%</w:t>
      </w:r>
      <w:r>
        <w:rPr>
          <w:spacing w:val="-2"/>
        </w:rPr>
        <w:t>。因此，广源地产将不再是公司的相</w:t>
      </w:r>
      <w:r>
        <w:rPr>
          <w:spacing w:val="-58"/>
        </w:rPr>
        <w:t> </w:t>
      </w:r>
      <w:r>
        <w:rPr>
          <w:spacing w:val="-58"/>
        </w:rPr>
      </w:r>
      <w:r>
        <w:rPr/>
        <w:t>联法团。</w:t>
      </w:r>
    </w:p>
    <w:p>
      <w:pPr>
        <w:pStyle w:val="BodyText"/>
        <w:spacing w:line="300" w:lineRule="auto" w:before="70"/>
        <w:ind w:right="100" w:firstLine="360"/>
        <w:jc w:val="both"/>
      </w:pPr>
      <w:r>
        <w:rPr>
          <w:spacing w:val="-2"/>
        </w:rPr>
        <w:t>除上述所披露者，于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日，公司各董事、监事及最高行政人员概无在公司或其相关法团的股份、相关股份及</w:t>
      </w:r>
      <w:r>
        <w:rPr/>
        <w:t> 债券证中拥有须记录于公司根据《证券及期货条例》第</w:t>
      </w:r>
      <w:r>
        <w:rPr>
          <w:rFonts w:ascii="Times New Roman" w:hAnsi="Times New Roman" w:cs="Times New Roman" w:eastAsia="Times New Roman" w:hint="default"/>
        </w:rPr>
        <w:t>352</w:t>
      </w:r>
      <w:r>
        <w:rPr/>
        <w:t>条规定须予备存的登记册的权益或淡仓，或根据香港联交所上市 </w:t>
      </w:r>
      <w:r>
        <w:rPr>
          <w:spacing w:val="-3"/>
        </w:rPr>
        <w:t>规则（以下简称</w:t>
      </w:r>
      <w:r>
        <w:rPr>
          <w:rFonts w:ascii="Times New Roman" w:hAnsi="Times New Roman" w:cs="Times New Roman" w:eastAsia="Times New Roman" w:hint="default"/>
          <w:spacing w:val="-3"/>
        </w:rPr>
        <w:t>“</w:t>
      </w:r>
      <w:r>
        <w:rPr>
          <w:spacing w:val="-3"/>
        </w:rPr>
        <w:t>香港上市规则</w:t>
      </w:r>
      <w:r>
        <w:rPr>
          <w:rFonts w:ascii="Times New Roman" w:hAnsi="Times New Roman" w:cs="Times New Roman" w:eastAsia="Times New Roman" w:hint="default"/>
          <w:spacing w:val="-3"/>
        </w:rPr>
        <w:t>”</w:t>
      </w:r>
      <w:r>
        <w:rPr>
          <w:spacing w:val="-3"/>
        </w:rPr>
        <w:t>）附录十《上市公司董事进行证券交易的标准守则》须通知公司及香港联交所的权益或淡仓。</w:t>
      </w:r>
    </w:p>
    <w:p>
      <w:pPr>
        <w:pStyle w:val="BodyText"/>
        <w:spacing w:line="302" w:lineRule="auto" w:before="51"/>
        <w:ind w:right="181"/>
        <w:jc w:val="left"/>
      </w:pPr>
      <w:r>
        <w:rPr>
          <w:spacing w:val="-2"/>
        </w:rPr>
        <w:t>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日，公司各董事、监事及最高行政人员或彼等之配偶或</w:t>
      </w:r>
      <w:r>
        <w:rPr>
          <w:rFonts w:ascii="Times New Roman" w:hAnsi="Times New Roman" w:cs="Times New Roman" w:eastAsia="Times New Roman" w:hint="default"/>
          <w:spacing w:val="-2"/>
        </w:rPr>
        <w:t>18</w:t>
      </w:r>
      <w:r>
        <w:rPr>
          <w:spacing w:val="-2"/>
        </w:rPr>
        <w:t>岁以下的子女概无持有可以认购公司或其相联法团</w:t>
      </w:r>
      <w:r>
        <w:rPr>
          <w:spacing w:val="-54"/>
        </w:rPr>
        <w:t> </w:t>
      </w:r>
      <w:r>
        <w:rPr/>
        <w:t>的股本或债权证之权利，彼等亦无行使任何该等权利。</w:t>
      </w:r>
    </w:p>
    <w:p>
      <w:pPr>
        <w:spacing w:line="240" w:lineRule="auto" w:before="7"/>
        <w:rPr>
          <w:rFonts w:ascii="宋体" w:hAnsi="宋体" w:cs="宋体" w:eastAsia="宋体" w:hint="default"/>
          <w:sz w:val="21"/>
          <w:szCs w:val="21"/>
        </w:rPr>
      </w:pPr>
    </w:p>
    <w:p>
      <w:pPr>
        <w:pStyle w:val="Heading2"/>
        <w:spacing w:line="240" w:lineRule="auto"/>
        <w:ind w:right="181"/>
        <w:jc w:val="left"/>
        <w:rPr>
          <w:b w:val="0"/>
          <w:bCs w:val="0"/>
        </w:rPr>
      </w:pPr>
      <w:r>
        <w:rPr/>
        <w:t>十六、</w:t>
      </w:r>
      <w:r>
        <w:rPr>
          <w:spacing w:val="-1"/>
        </w:rPr>
        <w:t> </w:t>
      </w:r>
      <w:r>
        <w:rPr/>
        <w:t>按香港《证券及期货条例》，公司主要股东和其他人士之股份或债券证权益</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89" w:firstLine="359"/>
        <w:jc w:val="both"/>
      </w:pPr>
      <w:r>
        <w:rPr>
          <w:spacing w:val="-5"/>
        </w:rPr>
        <w:t>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日，公司董事、监事或最高行政人员以外的人士，在公司股份及相关股份中拥有的权益或淡仓，根据《证</w:t>
      </w:r>
      <w:r>
        <w:rPr>
          <w:spacing w:val="1"/>
        </w:rPr>
        <w:t> </w:t>
      </w:r>
      <w:r>
        <w:rPr/>
        <w:t>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条规定须备存的登记册所记录者如下：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4807" w:val="left" w:leader="none"/>
          <w:tab w:pos="7451" w:val="left" w:leader="none"/>
        </w:tabs>
        <w:spacing w:line="240" w:lineRule="auto"/>
        <w:ind w:left="1925" w:right="181"/>
        <w:jc w:val="left"/>
      </w:pPr>
      <w:r>
        <w:rPr/>
        <w:t>名称</w:t>
        <w:tab/>
        <w:t>持股数目（股）</w:t>
        <w:tab/>
        <w:t>概约持股百分比（%）</w:t>
      </w:r>
    </w:p>
    <w:p>
      <w:pPr>
        <w:spacing w:line="240" w:lineRule="auto" w:before="1"/>
        <w:rPr>
          <w:rFonts w:ascii="宋体" w:hAnsi="宋体" w:cs="宋体" w:eastAsia="宋体" w:hint="default"/>
          <w:sz w:val="10"/>
          <w:szCs w:val="10"/>
        </w:rPr>
      </w:pPr>
    </w:p>
    <w:p>
      <w:pPr>
        <w:pStyle w:val="BodyText"/>
        <w:tabs>
          <w:tab w:pos="1496" w:val="left" w:leader="none"/>
        </w:tabs>
        <w:spacing w:line="240" w:lineRule="auto" w:before="44"/>
        <w:ind w:left="0" w:right="587"/>
        <w:jc w:val="right"/>
      </w:pPr>
      <w:r>
        <w:rPr/>
        <w:t>占总股本</w:t>
        <w:tab/>
        <w:t>占类別股</w:t>
      </w:r>
    </w:p>
    <w:p>
      <w:pPr>
        <w:pStyle w:val="BodyText"/>
        <w:tabs>
          <w:tab w:pos="4574" w:val="left" w:leader="none"/>
          <w:tab w:pos="7335" w:val="left" w:leader="none"/>
          <w:tab w:pos="9237" w:val="right" w:leader="none"/>
        </w:tabs>
        <w:spacing w:line="240" w:lineRule="auto" w:before="177"/>
        <w:ind w:right="0"/>
        <w:jc w:val="left"/>
        <w:rPr>
          <w:rFonts w:ascii="Times New Roman" w:hAnsi="Times New Roman" w:cs="Times New Roman" w:eastAsia="Times New Roman" w:hint="default"/>
        </w:rPr>
      </w:pPr>
      <w:r>
        <w:rPr/>
        <w:t>寿光晨鸣控股有限公司</w:t>
        <w:tab/>
      </w:r>
      <w:r>
        <w:rPr>
          <w:rFonts w:ascii="Times New Roman" w:hAnsi="Times New Roman" w:cs="Times New Roman" w:eastAsia="Times New Roman" w:hint="default"/>
        </w:rPr>
        <w:t>293,003,657</w:t>
      </w:r>
      <w:r>
        <w:rPr>
          <w:rFonts w:ascii="Times New Roman" w:hAnsi="Times New Roman" w:cs="Times New Roman" w:eastAsia="Times New Roman" w:hint="default"/>
          <w:spacing w:val="-2"/>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L</w:t>
      </w:r>
      <w:r>
        <w:rPr/>
        <w:t>）</w:t>
        <w:tab/>
      </w:r>
      <w:r>
        <w:rPr>
          <w:rFonts w:ascii="Times New Roman" w:hAnsi="Times New Roman" w:cs="Times New Roman" w:eastAsia="Times New Roman" w:hint="default"/>
        </w:rPr>
        <w:t>14.21</w:t>
        <w:tab/>
        <w:t>26.32</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942"/>
        <w:gridCol w:w="2775"/>
        <w:gridCol w:w="1428"/>
        <w:gridCol w:w="1009"/>
      </w:tblGrid>
      <w:tr>
        <w:trPr>
          <w:trHeight w:val="401"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18"/>
                <w:szCs w:val="18"/>
              </w:rPr>
            </w:pPr>
            <w:r>
              <w:rPr>
                <w:rFonts w:ascii="Times New Roman"/>
                <w:sz w:val="18"/>
              </w:rPr>
              <w:t>Cheah Capital Management</w:t>
            </w:r>
            <w:r>
              <w:rPr>
                <w:rFonts w:ascii="Times New Roman"/>
                <w:spacing w:val="-9"/>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Cheah Cheng</w:t>
            </w:r>
            <w:r>
              <w:rPr>
                <w:rFonts w:ascii="Times New Roman"/>
                <w:spacing w:val="-3"/>
                <w:sz w:val="18"/>
              </w:rPr>
              <w:t> </w:t>
            </w:r>
            <w:r>
              <w:rPr>
                <w:rFonts w:ascii="Times New Roman"/>
                <w:sz w:val="18"/>
              </w:rPr>
              <w:t>Hye</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Cheah Company</w:t>
            </w:r>
            <w:r>
              <w:rPr>
                <w:rFonts w:ascii="Times New Roman"/>
                <w:spacing w:val="-10"/>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Hang Seng Bank Trustee International</w:t>
            </w:r>
            <w:r>
              <w:rPr>
                <w:rFonts w:ascii="Times New Roman"/>
                <w:spacing w:val="-10"/>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To Hau</w:t>
            </w:r>
            <w:r>
              <w:rPr>
                <w:rFonts w:ascii="Times New Roman"/>
                <w:spacing w:val="-6"/>
                <w:sz w:val="18"/>
              </w:rPr>
              <w:t> </w:t>
            </w:r>
            <w:r>
              <w:rPr>
                <w:rFonts w:ascii="Times New Roman"/>
                <w:sz w:val="18"/>
              </w:rPr>
              <w:t>Yin</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Value Partners Group</w:t>
            </w:r>
            <w:r>
              <w:rPr>
                <w:rFonts w:ascii="Times New Roman"/>
                <w:spacing w:val="-3"/>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50,977,500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2.47</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13.02</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Value Partners</w:t>
            </w:r>
            <w:r>
              <w:rPr>
                <w:rFonts w:ascii="Times New Roman"/>
                <w:spacing w:val="-4"/>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53,333,500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2.59</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8"/>
                <w:szCs w:val="18"/>
              </w:rPr>
            </w:pPr>
            <w:r>
              <w:rPr>
                <w:rFonts w:ascii="Times New Roman"/>
                <w:sz w:val="18"/>
              </w:rPr>
              <w:t>13.63</w:t>
            </w:r>
          </w:p>
        </w:tc>
      </w:tr>
      <w:tr>
        <w:trPr>
          <w:trHeight w:val="412"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35,570,000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1.72</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8"/>
              <w:jc w:val="right"/>
              <w:rPr>
                <w:rFonts w:ascii="Times New Roman" w:hAnsi="Times New Roman" w:cs="Times New Roman" w:eastAsia="Times New Roman" w:hint="default"/>
                <w:sz w:val="18"/>
                <w:szCs w:val="18"/>
              </w:rPr>
            </w:pPr>
            <w:r>
              <w:rPr>
                <w:rFonts w:ascii="Times New Roman"/>
                <w:sz w:val="18"/>
              </w:rPr>
              <w:t>9.09</w:t>
            </w:r>
          </w:p>
        </w:tc>
      </w:tr>
      <w:tr>
        <w:trPr>
          <w:trHeight w:val="401"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8"/>
                <w:szCs w:val="18"/>
              </w:rPr>
            </w:pPr>
            <w:r>
              <w:rPr>
                <w:rFonts w:ascii="Times New Roman"/>
                <w:sz w:val="18"/>
              </w:rPr>
              <w:t>FIL</w:t>
            </w:r>
            <w:r>
              <w:rPr>
                <w:rFonts w:ascii="Times New Roman"/>
                <w:spacing w:val="-3"/>
                <w:sz w:val="18"/>
              </w:rPr>
              <w:t> </w:t>
            </w:r>
            <w:r>
              <w:rPr>
                <w:rFonts w:ascii="Times New Roman"/>
                <w:sz w:val="18"/>
              </w:rPr>
              <w:t>Limited</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23,474,000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4" w:right="0"/>
              <w:jc w:val="left"/>
              <w:rPr>
                <w:rFonts w:ascii="Times New Roman" w:hAnsi="Times New Roman" w:cs="Times New Roman" w:eastAsia="Times New Roman" w:hint="default"/>
                <w:sz w:val="18"/>
                <w:szCs w:val="18"/>
              </w:rPr>
            </w:pPr>
            <w:r>
              <w:rPr>
                <w:rFonts w:ascii="Times New Roman"/>
                <w:sz w:val="18"/>
              </w:rPr>
              <w:t>1.14</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8"/>
              <w:jc w:val="right"/>
              <w:rPr>
                <w:rFonts w:ascii="Times New Roman" w:hAnsi="Times New Roman" w:cs="Times New Roman" w:eastAsia="Times New Roman" w:hint="default"/>
                <w:sz w:val="18"/>
                <w:szCs w:val="18"/>
              </w:rPr>
            </w:pPr>
            <w:r>
              <w:rPr>
                <w:rFonts w:ascii="Times New Roman"/>
                <w:sz w:val="18"/>
              </w:rPr>
              <w:t>5.99</w:t>
            </w:r>
          </w:p>
        </w:tc>
      </w:tr>
    </w:tbl>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tabs>
          <w:tab w:pos="1933" w:val="left" w:leader="none"/>
          <w:tab w:pos="4161" w:val="left" w:leader="none"/>
        </w:tabs>
        <w:spacing w:line="240" w:lineRule="auto"/>
        <w:ind w:left="153" w:right="0"/>
        <w:jc w:val="left"/>
      </w:pPr>
      <w:r>
        <w:rPr>
          <w:rFonts w:ascii="Times New Roman" w:hAnsi="Times New Roman" w:cs="Times New Roman" w:eastAsia="Times New Roman" w:hint="default"/>
        </w:rPr>
        <w:t>(L) –</w:t>
      </w:r>
      <w:r>
        <w:rPr>
          <w:rFonts w:ascii="Times New Roman" w:hAnsi="Times New Roman" w:cs="Times New Roman" w:eastAsia="Times New Roman" w:hint="default"/>
          <w:spacing w:val="27"/>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25"/>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24"/>
        </w:rPr>
        <w:t> </w:t>
      </w:r>
      <w:r>
        <w:rPr/>
        <w:t>可供借出的股份</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302" w:lineRule="auto"/>
        <w:ind w:right="141" w:hanging="1"/>
        <w:jc w:val="left"/>
      </w:pPr>
      <w:r>
        <w:rPr/>
        <w:t>除上述所披露者，于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日，在根据《证券及期货条例》第</w:t>
      </w:r>
      <w:r>
        <w:rPr>
          <w:rFonts w:ascii="Times New Roman" w:hAnsi="Times New Roman" w:cs="Times New Roman" w:eastAsia="Times New Roman" w:hint="default"/>
        </w:rPr>
        <w:t>336</w:t>
      </w:r>
      <w:r>
        <w:rPr/>
        <w:t>条规定须备存的登记册中，并无其他人在公司股份</w:t>
      </w:r>
      <w:r>
        <w:rPr>
          <w:spacing w:val="-84"/>
        </w:rPr>
        <w:t> </w:t>
      </w:r>
      <w:r>
        <w:rPr>
          <w:spacing w:val="-84"/>
        </w:rPr>
      </w:r>
      <w:r>
        <w:rPr/>
        <w:t>及相关股份中拥有权益或淡仓的记录。</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十七、</w:t>
      </w:r>
      <w:r>
        <w:rPr>
          <w:spacing w:val="-8"/>
        </w:rPr>
        <w:t> </w:t>
      </w:r>
      <w:r>
        <w:rPr/>
        <w:t>竞争业务的权益</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49" w:firstLine="360"/>
        <w:jc w:val="both"/>
      </w:pPr>
      <w:r>
        <w:rPr>
          <w:spacing w:val="-2"/>
        </w:rPr>
        <w:t>本公司董事或控股股东概无于与本公司及其任何附属公司业务竞争或可能竞争的业务中拥有权益，又或与或可能与本公</w:t>
      </w:r>
      <w:r>
        <w:rPr/>
        <w:t> 司及其任何附属公司。</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十八、</w:t>
      </w:r>
      <w:r>
        <w:rPr>
          <w:spacing w:val="-11"/>
        </w:rPr>
        <w:t> </w:t>
      </w:r>
      <w:r>
        <w:rPr/>
        <w:t>董事于重要合约的权益</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300" w:firstLine="290"/>
        <w:jc w:val="left"/>
      </w:pPr>
      <w:r>
        <w:rPr/>
        <w:t>本公司或其附属公司概无订立董事直接或间接拥有重大利益且于财政年度结束时或于报告期内任何时间仍然有效的任 何重大合约。</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十九、</w:t>
      </w:r>
      <w:r>
        <w:rPr>
          <w:spacing w:val="-14"/>
        </w:rPr>
        <w:t> </w:t>
      </w:r>
      <w:r>
        <w:rPr/>
        <w:t>董事酬金及五位最高薪酬人士</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230" w:firstLine="290"/>
        <w:jc w:val="both"/>
      </w:pPr>
      <w:r>
        <w:rPr/>
        <w:t>董事酬金及本公司或及其附属公司五位最高薪酬人士的详情分别载于本报告第八节第三部分和财务报表附注（九）、</w:t>
      </w:r>
      <w:r>
        <w:rPr>
          <w:rFonts w:ascii="Times New Roman" w:hAnsi="Times New Roman" w:cs="Times New Roman" w:eastAsia="Times New Roman" w:hint="default"/>
        </w:rPr>
        <w:t>4 </w:t>
      </w:r>
      <w:r>
        <w:rPr/>
        <w:t>关键管理人员报酬。</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二十、</w:t>
      </w:r>
      <w:r>
        <w:rPr>
          <w:spacing w:val="-13"/>
        </w:rPr>
        <w:t> </w:t>
      </w:r>
      <w:r>
        <w:rPr/>
        <w:t>董事购买股份或债券的权利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49" w:firstLine="360"/>
        <w:jc w:val="both"/>
      </w:pPr>
      <w:r>
        <w:rPr>
          <w:spacing w:val="-2"/>
        </w:rPr>
        <w:t>于本年度任何时间，本公司或其任何附属公司概无订立任何安排致使董事可透过购入本公司或任何其它法人团体的股份</w:t>
      </w:r>
      <w:r>
        <w:rPr/>
        <w:t> 或债券而获益。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二十一、</w:t>
      </w:r>
      <w:r>
        <w:rPr>
          <w:spacing w:val="-2"/>
        </w:rPr>
        <w:t> </w:t>
      </w:r>
      <w:r>
        <w:rPr/>
        <w:t>拨入储备</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firstLine="360"/>
        <w:jc w:val="both"/>
      </w:pPr>
      <w:r>
        <w:rPr>
          <w:spacing w:val="-2"/>
        </w:rPr>
        <w:t>根据公司法规定，本公司的实缴盈余可派发予股东。本公司于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日可用作现金分派及或可作实物分配的储备</w:t>
      </w:r>
      <w:r>
        <w:rPr/>
        <w:t> </w:t>
      </w:r>
      <w:r>
        <w:rPr>
          <w:rFonts w:ascii="Times New Roman" w:hAnsi="Times New Roman" w:cs="Times New Roman" w:eastAsia="Times New Roman" w:hint="default"/>
        </w:rPr>
        <w:t>(</w:t>
      </w:r>
      <w:r>
        <w:rPr/>
        <w:t>包括本公司的实缴盈余</w:t>
      </w:r>
      <w:r>
        <w:rPr>
          <w:rFonts w:ascii="Times New Roman" w:hAnsi="Times New Roman" w:cs="Times New Roman" w:eastAsia="Times New Roman" w:hint="default"/>
        </w:rPr>
        <w:t>)</w:t>
      </w:r>
      <w:r>
        <w:rPr/>
        <w:t>为人民币</w:t>
      </w:r>
      <w:r>
        <w:rPr>
          <w:rFonts w:ascii="Times New Roman" w:hAnsi="Times New Roman" w:cs="Times New Roman" w:eastAsia="Times New Roman" w:hint="default"/>
        </w:rPr>
        <w:t>4,766,116,549.03</w:t>
      </w:r>
      <w:r>
        <w:rPr/>
        <w:t>元。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 </w:t>
      </w:r>
      <w:r>
        <w:rPr/>
        <w:t>人民币</w:t>
      </w:r>
      <w:r>
        <w:rPr>
          <w:rFonts w:ascii="Times New Roman" w:hAnsi="Times New Roman" w:cs="Times New Roman" w:eastAsia="Times New Roman" w:hint="default"/>
        </w:rPr>
        <w:t>4,854,388,617.69</w:t>
      </w:r>
      <w:r>
        <w:rPr/>
        <w:t>元</w:t>
      </w:r>
      <w:r>
        <w:rPr>
          <w:rFonts w:ascii="Times New Roman" w:hAnsi="Times New Roman" w:cs="Times New Roman" w:eastAsia="Times New Roman" w:hint="default"/>
        </w:rPr>
        <w:t>)</w:t>
      </w:r>
      <w:r>
        <w:rPr/>
        <w:t>，载于财务报告第十一节第二部 分、财务报表。</w:t>
      </w:r>
    </w:p>
    <w:p>
      <w:pPr>
        <w:spacing w:after="0" w:line="30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二十二、</w:t>
      </w:r>
      <w:r>
        <w:rPr>
          <w:spacing w:val="-2"/>
        </w:rPr>
        <w:t> </w:t>
      </w:r>
      <w:r>
        <w:rPr/>
        <w:t>购买、出售和赎回股份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本公司及其任何附属公司于报告期间概无购买、出售或赎回任何本公司的已上市流通证券。</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二十三、</w:t>
      </w:r>
      <w:r>
        <w:rPr>
          <w:spacing w:val="-2"/>
        </w:rPr>
        <w:t> </w:t>
      </w:r>
      <w:r>
        <w:rPr/>
        <w:t>优先购股权</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根据</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及中国法律，并无规定公司需对现有的股东按其持股比例给予他们优先购买公司新股的权利。</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二十四、</w:t>
      </w:r>
      <w:r>
        <w:rPr>
          <w:spacing w:val="-2"/>
        </w:rPr>
        <w:t> </w:t>
      </w:r>
      <w:r>
        <w:rPr/>
        <w:t>充足公众持股量</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于本年报日期，根据本公司可得的公开资料及据董事所知，本公司已维持香港上市规则所规定的充足公众持股量。</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二十五、</w:t>
      </w:r>
      <w:r>
        <w:rPr>
          <w:spacing w:val="-8"/>
        </w:rPr>
        <w:t> </w:t>
      </w:r>
      <w:r>
        <w:rPr/>
        <w:t>暂停过户登记</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53" w:right="148" w:firstLine="360"/>
        <w:jc w:val="both"/>
      </w:pPr>
      <w:r>
        <w:rPr>
          <w:spacing w:val="-2"/>
        </w:rPr>
        <w:t>本公司将由二零一三年四月十二日（星期五）至二零一三年五月月十五日（星期三）（包括首尾两日）暂停办理股份过</w:t>
      </w:r>
      <w:r>
        <w:rPr/>
        <w:t> </w:t>
      </w:r>
      <w:r>
        <w:rPr>
          <w:spacing w:val="-2"/>
        </w:rPr>
        <w:t>户登记手续，于该期间内本公司将概不会办理股份过户手续。为确定有权出席于二零一三年五月十五日（星期三）举行之股</w:t>
      </w:r>
      <w:r>
        <w:rPr>
          <w:spacing w:val="-66"/>
        </w:rPr>
        <w:t> </w:t>
      </w:r>
      <w:r>
        <w:rPr>
          <w:spacing w:val="-66"/>
        </w:rPr>
      </w:r>
      <w:r>
        <w:rPr>
          <w:spacing w:val="-2"/>
        </w:rPr>
        <w:t>东周年大会并于会上投票之股东之身份，所有股份过户文件连同有关股票必须不迟于二零一三年四月十一日（星期四）下午</w:t>
      </w:r>
      <w:r>
        <w:rPr>
          <w:spacing w:val="-66"/>
        </w:rPr>
        <w:t> </w:t>
      </w:r>
      <w:r>
        <w:rPr>
          <w:spacing w:val="-66"/>
        </w:rPr>
      </w:r>
      <w:r>
        <w:rPr/>
        <w:t>四时三十分送达本公司的股份过户香港中央证券登记有限公司，地址为香港湾仔皇后大道东</w:t>
      </w:r>
      <w:r>
        <w:rPr>
          <w:rFonts w:ascii="Times New Roman" w:hAnsi="Times New Roman" w:cs="Times New Roman" w:eastAsia="Times New Roman" w:hint="default"/>
        </w:rPr>
        <w:t>183</w:t>
      </w:r>
      <w:r>
        <w:rPr/>
        <w:t>号合和中心</w:t>
      </w:r>
      <w:r>
        <w:rPr>
          <w:rFonts w:ascii="Times New Roman" w:hAnsi="Times New Roman" w:cs="Times New Roman" w:eastAsia="Times New Roman" w:hint="default"/>
        </w:rPr>
        <w:t>17</w:t>
      </w:r>
      <w:r>
        <w:rPr/>
        <w:t>楼</w:t>
      </w:r>
      <w:r>
        <w:rPr>
          <w:rFonts w:ascii="Times New Roman" w:hAnsi="Times New Roman" w:cs="Times New Roman" w:eastAsia="Times New Roman" w:hint="default"/>
        </w:rPr>
        <w:t>1712-1716</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室。</w:t>
      </w:r>
    </w:p>
    <w:p>
      <w:pPr>
        <w:spacing w:after="0" w:line="314"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1"/>
        <w:jc w:val="center"/>
        <w:rPr>
          <w:b w:val="0"/>
          <w:bCs w:val="0"/>
        </w:rPr>
      </w:pPr>
      <w:bookmarkStart w:name="_bookmark5" w:id="7"/>
      <w:bookmarkEnd w:id="7"/>
      <w:r>
        <w:rPr>
          <w:b w:val="0"/>
          <w:bCs w:val="0"/>
        </w:rPr>
      </w:r>
      <w:r>
        <w:rPr/>
        <w:t>第六节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891"/>
        <w:jc w:val="left"/>
      </w:pPr>
      <w:r>
        <w:rPr/>
        <w:t>□ 适用 √ 不适用 本年度公司无重大诉讼、仲裁事项。 媒体质疑情况</w:t>
      </w:r>
    </w:p>
    <w:p>
      <w:pPr>
        <w:pStyle w:val="BodyText"/>
        <w:spacing w:line="240" w:lineRule="auto" w:before="29"/>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80"/>
        <w:gridCol w:w="1702"/>
        <w:gridCol w:w="3187"/>
      </w:tblGrid>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媒体质疑事项说明</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针对媒体质疑</w:t>
            </w:r>
            <w:r>
              <w:rPr>
                <w:rFonts w:ascii="Times New Roman" w:hAnsi="Times New Roman" w:cs="Times New Roman" w:eastAsia="Times New Roman" w:hint="default"/>
                <w:sz w:val="18"/>
                <w:szCs w:val="18"/>
              </w:rPr>
              <w:t>"</w:t>
            </w:r>
            <w:r>
              <w:rPr>
                <w:rFonts w:ascii="宋体" w:hAnsi="宋体" w:cs="宋体" w:eastAsia="宋体" w:hint="default"/>
                <w:sz w:val="18"/>
                <w:szCs w:val="18"/>
              </w:rPr>
              <w:t>董秘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年半退休年薪超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事项的澄清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243" w:right="197" w:hanging="1047"/>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2012-035</w:t>
            </w:r>
          </w:p>
        </w:tc>
      </w:tr>
      <w:tr>
        <w:trPr>
          <w:trHeight w:val="71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针对媒体质疑</w:t>
            </w:r>
            <w:r>
              <w:rPr>
                <w:rFonts w:ascii="Times New Roman" w:hAnsi="Times New Roman" w:cs="Times New Roman" w:eastAsia="Times New Roman" w:hint="default"/>
                <w:sz w:val="18"/>
                <w:szCs w:val="18"/>
              </w:rPr>
              <w:t>"</w:t>
            </w:r>
            <w:r>
              <w:rPr>
                <w:rFonts w:ascii="宋体" w:hAnsi="宋体" w:cs="宋体" w:eastAsia="宋体" w:hint="default"/>
                <w:sz w:val="18"/>
                <w:szCs w:val="18"/>
              </w:rPr>
              <w:t>与蔡伦申兴疑存关联关系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事项的澄清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243" w:right="197" w:hanging="1047"/>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2012-055</w:t>
            </w:r>
          </w:p>
        </w:tc>
      </w:tr>
      <w:tr>
        <w:trPr>
          <w:trHeight w:val="71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
                <w:sz w:val="18"/>
                <w:szCs w:val="18"/>
              </w:rPr>
              <w:t>针对媒体质疑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武汉晨鸣环保不达标，欠薪半年</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事项的澄清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243" w:right="197" w:hanging="1047"/>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，公告编号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2012-090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58" w:firstLine="360"/>
        <w:jc w:val="both"/>
      </w:pPr>
      <w:r>
        <w:rPr/>
        <w:t>为促进海拉尔晨鸣进一步发展壮大，根据工产业（</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122</w:t>
      </w:r>
      <w:r>
        <w:rPr/>
        <w:t>号文件规定和海拉尔区环境保护和城市建设总体规划的 要求，</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日，公司六届五次董事会通过决议，决定对海拉尔晨鸣整体迁址，并在整体搬迁前对现有房产、设备和 土地使用权进行出售及有偿转让。详细内容请参阅公司于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日在巨潮资讯网上披露的《第六届董事会第五次会议 决议公告》。</w:t>
      </w:r>
    </w:p>
    <w:p>
      <w:pPr>
        <w:pStyle w:val="BodyText"/>
        <w:spacing w:line="307" w:lineRule="auto" w:before="72"/>
        <w:ind w:left="153" w:right="148" w:firstLine="360"/>
        <w:jc w:val="both"/>
      </w:pPr>
      <w:r>
        <w:rPr>
          <w:spacing w:val="-2"/>
        </w:rPr>
        <w:t>鉴于市场等要素条件的变化，海拉尔晨鸣迁址扩产已不具备实施条件。为促进产业升级并响应国家节能减排要求，根据</w:t>
      </w:r>
      <w:r>
        <w:rPr/>
        <w:t> 内蒙古自治区人民政府《关于下达</w:t>
      </w:r>
      <w:r>
        <w:rPr>
          <w:rFonts w:ascii="Times New Roman" w:hAnsi="Times New Roman" w:cs="Times New Roman" w:eastAsia="Times New Roman" w:hint="default"/>
        </w:rPr>
        <w:t>2012</w:t>
      </w:r>
      <w:r>
        <w:rPr/>
        <w:t>年淘汰落后产能任务计划的通知》（内政发</w:t>
      </w:r>
      <w:r>
        <w:rPr>
          <w:rFonts w:ascii="Times New Roman" w:hAnsi="Times New Roman" w:cs="Times New Roman" w:eastAsia="Times New Roman" w:hint="default"/>
        </w:rPr>
        <w:t>[2012]28</w:t>
      </w:r>
      <w:r>
        <w:rPr/>
        <w:t>号）精神，公司决定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spacing w:val="-39"/>
        </w:rPr>
        <w:t> </w:t>
      </w:r>
      <w:r>
        <w:rPr/>
        <w:t>底前对海拉尔晨鸣进行关停，按国家规定依法办理清算。详细内容请参阅公司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日在巨潮资讯网上披露的《关于</w:t>
      </w:r>
      <w:r>
        <w:rPr>
          <w:spacing w:val="-84"/>
        </w:rPr>
        <w:t> </w:t>
      </w:r>
      <w:r>
        <w:rPr>
          <w:spacing w:val="-84"/>
        </w:rPr>
      </w:r>
      <w:r>
        <w:rPr/>
        <w:t>关停淘汰落后产能的公告》。</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三、资产交易事项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52"/>
        <w:gridCol w:w="748"/>
        <w:gridCol w:w="748"/>
        <w:gridCol w:w="992"/>
        <w:gridCol w:w="971"/>
        <w:gridCol w:w="1121"/>
        <w:gridCol w:w="749"/>
        <w:gridCol w:w="624"/>
        <w:gridCol w:w="872"/>
        <w:gridCol w:w="996"/>
        <w:gridCol w:w="996"/>
      </w:tblGrid>
      <w:tr>
        <w:trPr>
          <w:trHeight w:val="2898" w:hRule="exact"/>
        </w:trPr>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00" w:right="10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31"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both"/>
              <w:rPr>
                <w:rFonts w:ascii="宋体" w:hAnsi="宋体" w:cs="宋体" w:eastAsia="宋体" w:hint="default"/>
                <w:sz w:val="18"/>
                <w:szCs w:val="18"/>
              </w:rPr>
            </w:pPr>
            <w:r>
              <w:rPr>
                <w:rFonts w:ascii="宋体" w:hAnsi="宋体" w:cs="宋体" w:eastAsia="宋体" w:hint="default"/>
                <w:sz w:val="18"/>
                <w:szCs w:val="18"/>
              </w:rPr>
              <w:t>自购买日起 至报告期末 为上市公司 贡献的净利 润（万元）</w:t>
            </w:r>
          </w:p>
          <w:p>
            <w:pPr>
              <w:pStyle w:val="TableParagraph"/>
              <w:spacing w:line="319" w:lineRule="auto" w:before="19"/>
              <w:ind w:left="30" w:right="29"/>
              <w:jc w:val="center"/>
              <w:rPr>
                <w:rFonts w:ascii="宋体" w:hAnsi="宋体" w:cs="宋体" w:eastAsia="宋体" w:hint="default"/>
                <w:sz w:val="18"/>
                <w:szCs w:val="18"/>
              </w:rPr>
            </w:pPr>
            <w:r>
              <w:rPr>
                <w:rFonts w:ascii="宋体" w:hAnsi="宋体" w:cs="宋体" w:eastAsia="宋体" w:hint="default"/>
                <w:sz w:val="18"/>
                <w:szCs w:val="18"/>
              </w:rPr>
              <w:t>（适用于非 同一控制下 的企业合 并）</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6" w:right="102"/>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9" w:lineRule="auto" w:before="19"/>
              <w:ind w:left="61" w:right="59"/>
              <w:jc w:val="center"/>
              <w:rPr>
                <w:rFonts w:ascii="宋体" w:hAnsi="宋体" w:cs="宋体" w:eastAsia="宋体" w:hint="default"/>
                <w:sz w:val="18"/>
                <w:szCs w:val="18"/>
              </w:rPr>
            </w:pPr>
            <w:r>
              <w:rPr>
                <w:rFonts w:ascii="宋体" w:hAnsi="宋体" w:cs="宋体" w:eastAsia="宋体" w:hint="default"/>
                <w:spacing w:val="-15"/>
                <w:sz w:val="18"/>
                <w:szCs w:val="18"/>
              </w:rPr>
              <w:t>（万元）（适</w:t>
            </w:r>
            <w:r>
              <w:rPr>
                <w:rFonts w:ascii="宋体" w:hAnsi="宋体" w:cs="宋体" w:eastAsia="宋体" w:hint="default"/>
                <w:sz w:val="18"/>
                <w:szCs w:val="18"/>
              </w:rPr>
              <w:t> 用于同一控 制下的企业 合并）</w:t>
            </w:r>
          </w:p>
        </w:tc>
        <w:tc>
          <w:tcPr>
            <w:tcW w:w="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9"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52"/>
        <w:gridCol w:w="748"/>
        <w:gridCol w:w="748"/>
        <w:gridCol w:w="992"/>
        <w:gridCol w:w="255"/>
        <w:gridCol w:w="716"/>
        <w:gridCol w:w="1121"/>
        <w:gridCol w:w="749"/>
        <w:gridCol w:w="624"/>
        <w:gridCol w:w="872"/>
        <w:gridCol w:w="996"/>
        <w:gridCol w:w="996"/>
      </w:tblGrid>
      <w:tr>
        <w:trPr>
          <w:trHeight w:val="365" w:hRule="exact"/>
        </w:trPr>
        <w:tc>
          <w:tcPr>
            <w:tcW w:w="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SAPPI</w:t>
            </w:r>
          </w:p>
        </w:tc>
        <w:tc>
          <w:tcPr>
            <w:tcW w:w="748"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71" w:type="dxa"/>
            <w:gridSpan w:val="2"/>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r>
      <w:tr>
        <w:trPr>
          <w:trHeight w:val="1865"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LIMITE</w:t>
            </w:r>
          </w:p>
          <w:p>
            <w:pPr>
              <w:pStyle w:val="TableParagraph"/>
              <w:spacing w:line="314" w:lineRule="auto" w:before="65"/>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、国际 金融公 司和茂 林制纸 株式会</w:t>
            </w:r>
          </w:p>
        </w:tc>
        <w:tc>
          <w:tcPr>
            <w:tcW w:w="748" w:type="dxa"/>
            <w:tcBorders>
              <w:top w:val="nil" w:sz="6" w:space="0" w:color="auto"/>
              <w:left w:val="single" w:sz="4" w:space="0" w:color="000000"/>
              <w:bottom w:val="nil" w:sz="6" w:space="0" w:color="auto"/>
              <w:right w:val="single" w:sz="13" w:space="0" w:color="FFFFFF"/>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江西晨</w:t>
            </w:r>
          </w:p>
          <w:p>
            <w:pPr>
              <w:pStyle w:val="TableParagraph"/>
              <w:spacing w:line="300" w:lineRule="auto" w:before="75"/>
              <w:ind w:left="22" w:right="-31"/>
              <w:jc w:val="left"/>
              <w:rPr>
                <w:rFonts w:ascii="宋体" w:hAnsi="宋体" w:cs="宋体" w:eastAsia="宋体" w:hint="default"/>
                <w:sz w:val="18"/>
                <w:szCs w:val="18"/>
              </w:rPr>
            </w:pPr>
            <w:r>
              <w:rPr>
                <w:rFonts w:ascii="宋体" w:hAnsi="宋体" w:cs="宋体" w:eastAsia="宋体" w:hint="default"/>
                <w:sz w:val="18"/>
                <w:szCs w:val="18"/>
              </w:rPr>
              <w:t>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和</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48"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3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2" w:lineRule="auto" w:before="61"/>
              <w:ind w:left="24"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日，已</w:t>
            </w:r>
            <w:r>
              <w:rPr>
                <w:rFonts w:ascii="宋体" w:hAnsi="宋体" w:cs="宋体" w:eastAsia="宋体" w:hint="default"/>
                <w:sz w:val="18"/>
                <w:szCs w:val="18"/>
              </w:rPr>
              <w:t> 完成相关工 商变更登记 手续</w:t>
            </w:r>
          </w:p>
        </w:tc>
        <w:tc>
          <w:tcPr>
            <w:tcW w:w="97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773.18</w:t>
            </w: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-47.90%</w:t>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62" w:lineRule="auto"/>
              <w:ind w:left="23" w:right="28"/>
              <w:jc w:val="left"/>
              <w:rPr>
                <w:rFonts w:ascii="Times New Roman" w:hAnsi="Times New Roman" w:cs="Times New Roman" w:eastAsia="Times New Roman" w:hint="default"/>
                <w:sz w:val="18"/>
                <w:szCs w:val="18"/>
              </w:rPr>
            </w:pPr>
            <w:r>
              <w:rPr>
                <w:rFonts w:ascii="Times New Roman"/>
                <w:spacing w:val="-2"/>
                <w:sz w:val="18"/>
              </w:rPr>
              <w:t>http://www.c</w:t>
            </w:r>
            <w:r>
              <w:rPr>
                <w:rFonts w:ascii="Times New Roman"/>
                <w:spacing w:val="-35"/>
                <w:sz w:val="18"/>
              </w:rPr>
              <w:t> </w:t>
            </w:r>
            <w:r>
              <w:rPr>
                <w:rFonts w:ascii="Times New Roman"/>
                <w:spacing w:val="-35"/>
                <w:sz w:val="18"/>
              </w:rPr>
            </w:r>
            <w:r>
              <w:rPr>
                <w:rFonts w:ascii="Times New Roman"/>
                <w:sz w:val="18"/>
              </w:rPr>
              <w:t>ninfo.com.c n</w:t>
            </w:r>
          </w:p>
        </w:tc>
      </w:tr>
      <w:tr>
        <w:trPr>
          <w:trHeight w:val="357" w:hRule="exact"/>
        </w:trPr>
        <w:tc>
          <w:tcPr>
            <w:tcW w:w="7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748"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71" w:type="dxa"/>
            <w:gridSpan w:val="2"/>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52"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255" w:type="dxa"/>
            <w:tcBorders>
              <w:top w:val="single" w:sz="4" w:space="0" w:color="000000"/>
              <w:left w:val="single" w:sz="4" w:space="0" w:color="000000"/>
              <w:bottom w:val="nil" w:sz="6" w:space="0" w:color="auto"/>
              <w:right w:val="nil" w:sz="6" w:space="0" w:color="auto"/>
            </w:tcBorders>
          </w:tcPr>
          <w:p>
            <w:pPr/>
          </w:p>
        </w:tc>
        <w:tc>
          <w:tcPr>
            <w:tcW w:w="716" w:type="dxa"/>
            <w:tcBorders>
              <w:top w:val="single" w:sz="4" w:space="0" w:color="000000"/>
              <w:left w:val="nil" w:sz="6" w:space="0" w:color="auto"/>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52"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日，已</w:t>
            </w:r>
          </w:p>
        </w:tc>
        <w:tc>
          <w:tcPr>
            <w:tcW w:w="255" w:type="dxa"/>
            <w:tcBorders>
              <w:top w:val="nil" w:sz="6" w:space="0" w:color="auto"/>
              <w:left w:val="single" w:sz="4" w:space="0" w:color="000000"/>
              <w:bottom w:val="nil" w:sz="6" w:space="0" w:color="auto"/>
              <w:right w:val="nil" w:sz="6" w:space="0" w:color="auto"/>
            </w:tcBorders>
          </w:tcPr>
          <w:p>
            <w:pPr/>
          </w:p>
        </w:tc>
        <w:tc>
          <w:tcPr>
            <w:tcW w:w="716" w:type="dxa"/>
            <w:tcBorders>
              <w:top w:val="nil" w:sz="6" w:space="0" w:color="auto"/>
              <w:left w:val="nil" w:sz="6" w:space="0" w:color="auto"/>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52"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完成相关工</w:t>
            </w:r>
          </w:p>
        </w:tc>
        <w:tc>
          <w:tcPr>
            <w:tcW w:w="255" w:type="dxa"/>
            <w:tcBorders>
              <w:top w:val="nil" w:sz="6" w:space="0" w:color="auto"/>
              <w:left w:val="single" w:sz="4" w:space="0" w:color="000000"/>
              <w:bottom w:val="nil" w:sz="6" w:space="0" w:color="auto"/>
              <w:right w:val="nil" w:sz="6" w:space="0" w:color="auto"/>
            </w:tcBorders>
          </w:tcPr>
          <w:p>
            <w:pPr/>
          </w:p>
        </w:tc>
        <w:tc>
          <w:tcPr>
            <w:tcW w:w="716" w:type="dxa"/>
            <w:tcBorders>
              <w:top w:val="nil" w:sz="6" w:space="0" w:color="auto"/>
              <w:left w:val="nil" w:sz="6" w:space="0" w:color="auto"/>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179"/>
              <w:jc w:val="both"/>
              <w:rPr>
                <w:rFonts w:ascii="宋体" w:hAnsi="宋体" w:cs="宋体" w:eastAsia="宋体" w:hint="default"/>
                <w:sz w:val="18"/>
                <w:szCs w:val="18"/>
              </w:rPr>
            </w:pPr>
            <w:r>
              <w:rPr>
                <w:rFonts w:ascii="宋体" w:hAnsi="宋体" w:cs="宋体" w:eastAsia="宋体" w:hint="default"/>
                <w:sz w:val="18"/>
                <w:szCs w:val="18"/>
              </w:rPr>
              <w:t>湛江华 森投资 有限公 司</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湛江慧 锐投资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商变更登 记；</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湛江慧锐投 资有限公司</w:t>
            </w:r>
          </w:p>
        </w:tc>
        <w:tc>
          <w:tcPr>
            <w:tcW w:w="25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-34.01</w:t>
            </w: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62" w:lineRule="auto" w:before="128"/>
              <w:ind w:left="23" w:right="28"/>
              <w:jc w:val="left"/>
              <w:rPr>
                <w:rFonts w:ascii="Times New Roman" w:hAnsi="Times New Roman" w:cs="Times New Roman" w:eastAsia="Times New Roman" w:hint="default"/>
                <w:sz w:val="18"/>
                <w:szCs w:val="18"/>
              </w:rPr>
            </w:pPr>
            <w:r>
              <w:rPr>
                <w:rFonts w:ascii="Times New Roman"/>
                <w:spacing w:val="-2"/>
                <w:sz w:val="18"/>
              </w:rPr>
              <w:t>http://www.c</w:t>
            </w:r>
            <w:r>
              <w:rPr>
                <w:rFonts w:ascii="Times New Roman"/>
                <w:spacing w:val="-35"/>
                <w:sz w:val="18"/>
              </w:rPr>
              <w:t> </w:t>
            </w:r>
            <w:r>
              <w:rPr>
                <w:rFonts w:ascii="Times New Roman"/>
                <w:spacing w:val="-35"/>
                <w:sz w:val="18"/>
              </w:rPr>
            </w:r>
            <w:r>
              <w:rPr>
                <w:rFonts w:ascii="Times New Roman"/>
                <w:sz w:val="18"/>
              </w:rPr>
              <w:t>ninfo.com.c n</w:t>
            </w:r>
          </w:p>
        </w:tc>
      </w:tr>
      <w:tr>
        <w:trPr>
          <w:trHeight w:val="311" w:hRule="exact"/>
        </w:trPr>
        <w:tc>
          <w:tcPr>
            <w:tcW w:w="752"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更名为广东</w:t>
            </w:r>
          </w:p>
        </w:tc>
        <w:tc>
          <w:tcPr>
            <w:tcW w:w="255" w:type="dxa"/>
            <w:tcBorders>
              <w:top w:val="nil" w:sz="6" w:space="0" w:color="auto"/>
              <w:left w:val="single" w:sz="4" w:space="0" w:color="000000"/>
              <w:bottom w:val="nil" w:sz="6" w:space="0" w:color="auto"/>
              <w:right w:val="nil" w:sz="6" w:space="0" w:color="auto"/>
            </w:tcBorders>
          </w:tcPr>
          <w:p>
            <w:pPr/>
          </w:p>
        </w:tc>
        <w:tc>
          <w:tcPr>
            <w:tcW w:w="716" w:type="dxa"/>
            <w:tcBorders>
              <w:top w:val="nil" w:sz="6" w:space="0" w:color="auto"/>
              <w:left w:val="nil" w:sz="6" w:space="0" w:color="auto"/>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52"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慧锐投资有</w:t>
            </w:r>
          </w:p>
        </w:tc>
        <w:tc>
          <w:tcPr>
            <w:tcW w:w="255" w:type="dxa"/>
            <w:tcBorders>
              <w:top w:val="nil" w:sz="6" w:space="0" w:color="auto"/>
              <w:left w:val="single" w:sz="4" w:space="0" w:color="000000"/>
              <w:bottom w:val="nil" w:sz="6" w:space="0" w:color="auto"/>
              <w:right w:val="nil" w:sz="6" w:space="0" w:color="auto"/>
            </w:tcBorders>
          </w:tcPr>
          <w:p>
            <w:pPr/>
          </w:p>
        </w:tc>
        <w:tc>
          <w:tcPr>
            <w:tcW w:w="716" w:type="dxa"/>
            <w:tcBorders>
              <w:top w:val="nil" w:sz="6" w:space="0" w:color="auto"/>
              <w:left w:val="nil" w:sz="6" w:space="0" w:color="auto"/>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74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52"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55" w:type="dxa"/>
            <w:tcBorders>
              <w:top w:val="nil" w:sz="6" w:space="0" w:color="auto"/>
              <w:left w:val="single" w:sz="4" w:space="0" w:color="000000"/>
              <w:bottom w:val="single" w:sz="4" w:space="0" w:color="000000"/>
              <w:right w:val="nil" w:sz="6" w:space="0" w:color="auto"/>
            </w:tcBorders>
          </w:tcPr>
          <w:p>
            <w:pPr/>
          </w:p>
        </w:tc>
        <w:tc>
          <w:tcPr>
            <w:tcW w:w="716" w:type="dxa"/>
            <w:tcBorders>
              <w:top w:val="nil" w:sz="6" w:space="0" w:color="auto"/>
              <w:left w:val="nil" w:sz="6" w:space="0" w:color="auto"/>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81"/>
        <w:jc w:val="left"/>
      </w:pPr>
      <w:r>
        <w:rPr/>
        <w:pict>
          <v:group style="position:absolute;margin-left:218.940002pt;margin-top:-98.667969pt;width:46.9pt;height:20.75pt;mso-position-horizontal-relative:page;mso-position-vertical-relative:paragraph;z-index:-1371352" coordorigin="4379,-1973" coordsize="938,415">
            <v:group style="position:absolute;left:4390;top:-1962;width:2;height:392" coordorigin="4390,-1962" coordsize="2,392">
              <v:shape style="position:absolute;left:4390;top:-1962;width:2;height:392" coordorigin="4390,-1962" coordsize="0,392" path="m4390,-1962l4390,-1570e" filled="false" stroked="true" strokeweight="1.140pt" strokecolor="#ffffff">
                <v:path arrowok="t"/>
              </v:shape>
            </v:group>
            <v:group style="position:absolute;left:4402;top:-1962;width:915;height:393" coordorigin="4402,-1962" coordsize="915,393">
              <v:shape style="position:absolute;left:4402;top:-1962;width:915;height:393" coordorigin="4402,-1962" coordsize="915,393" path="m4402,-1570l5316,-1570,5316,-1962,4402,-1962,4402,-1570xe" filled="true" fillcolor="#ffffff" stroked="false">
                <v:path arrowok="t"/>
                <v:fill type="solid"/>
              </v:shape>
            </v:group>
            <w10:wrap type="none"/>
          </v:group>
        </w:pict>
      </w:r>
      <w:r>
        <w:rPr/>
        <w:t>收购资产情况概述</w:t>
      </w:r>
    </w:p>
    <w:p>
      <w:pPr>
        <w:pStyle w:val="BodyText"/>
        <w:spacing w:line="300" w:lineRule="auto" w:before="116"/>
        <w:ind w:right="188" w:firstLine="359"/>
        <w:jc w:val="both"/>
      </w:pPr>
      <w:r>
        <w:rPr/>
        <w:t>（</w:t>
      </w:r>
      <w:r>
        <w:rPr>
          <w:rFonts w:ascii="Times New Roman" w:hAnsi="Times New Roman" w:cs="Times New Roman" w:eastAsia="Times New Roman" w:hint="default"/>
        </w:rPr>
        <w:t>1</w:t>
      </w:r>
      <w:r>
        <w:rPr/>
        <w:t>）</w:t>
      </w:r>
      <w:r>
        <w:rPr>
          <w:spacing w:val="-59"/>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日，公司召开的第六届董事会第一次临时会议审议通过了</w:t>
      </w:r>
      <w:r>
        <w:rPr>
          <w:rFonts w:ascii="Times New Roman" w:hAnsi="Times New Roman" w:cs="Times New Roman" w:eastAsia="Times New Roman" w:hint="default"/>
        </w:rPr>
        <w:t>“</w:t>
      </w:r>
      <w:r>
        <w:rPr/>
        <w:t>关于增持江西晨鸣股权的议案</w:t>
      </w:r>
      <w:r>
        <w:rPr>
          <w:rFonts w:ascii="Times New Roman" w:hAnsi="Times New Roman" w:cs="Times New Roman" w:eastAsia="Times New Roman" w:hint="default"/>
        </w:rPr>
        <w:t>”</w:t>
      </w:r>
      <w:r>
        <w:rPr/>
        <w:t>，并授权公 司管理层根据相关规定履行有关交易程序；江西晨鸣纸业有限责任公司董事会已通过决议，同意</w:t>
      </w:r>
      <w:r>
        <w:rPr>
          <w:rFonts w:ascii="Times New Roman" w:hAnsi="Times New Roman" w:cs="Times New Roman" w:eastAsia="Times New Roman" w:hint="default"/>
        </w:rPr>
        <w:t>SAPPI LIMITED</w:t>
      </w:r>
      <w:r>
        <w:rPr/>
        <w:t>、国际金</w:t>
      </w:r>
      <w:r>
        <w:rPr>
          <w:spacing w:val="-67"/>
        </w:rPr>
        <w:t> </w:t>
      </w:r>
      <w:r>
        <w:rPr/>
        <w:t>融公司和茂林制纸株式会社分别将其持有的江西晨鸣</w:t>
      </w:r>
      <w:r>
        <w:rPr>
          <w:rFonts w:ascii="Times New Roman" w:hAnsi="Times New Roman" w:cs="Times New Roman" w:eastAsia="Times New Roman" w:hint="default"/>
        </w:rPr>
        <w:t>34%</w:t>
      </w:r>
      <w:r>
        <w:rPr/>
        <w:t>、</w:t>
      </w:r>
      <w:r>
        <w:rPr>
          <w:rFonts w:ascii="Times New Roman" w:hAnsi="Times New Roman" w:cs="Times New Roman" w:eastAsia="Times New Roman" w:hint="default"/>
        </w:rPr>
        <w:t>7.5%</w:t>
      </w:r>
      <w:r>
        <w:rPr/>
        <w:t>和</w:t>
      </w:r>
      <w:r>
        <w:rPr>
          <w:rFonts w:ascii="Times New Roman" w:hAnsi="Times New Roman" w:cs="Times New Roman" w:eastAsia="Times New Roman" w:hint="default"/>
        </w:rPr>
        <w:t>7.5%</w:t>
      </w:r>
      <w:r>
        <w:rPr/>
        <w:t>的股权进行转让。</w:t>
      </w:r>
    </w:p>
    <w:p>
      <w:pPr>
        <w:pStyle w:val="BodyText"/>
        <w:spacing w:line="300" w:lineRule="auto" w:before="51"/>
        <w:ind w:left="153" w:right="99"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spacing w:val="-6"/>
        </w:rPr>
        <w:t>公司全资子公司晨鸣（香港）有限公司分别与</w:t>
      </w:r>
      <w:r>
        <w:rPr>
          <w:rFonts w:ascii="Times New Roman" w:hAnsi="Times New Roman" w:cs="Times New Roman" w:eastAsia="Times New Roman" w:hint="default"/>
          <w:spacing w:val="-6"/>
        </w:rPr>
        <w:t>SAPPI</w:t>
      </w:r>
      <w:r>
        <w:rPr>
          <w:spacing w:val="-6"/>
        </w:rPr>
        <w:t>、国际金融公司和茂林制纸签订了《股权转让协议》，</w:t>
      </w:r>
      <w:r>
        <w:rPr/>
        <w:t> 分别以</w:t>
      </w:r>
      <w:r>
        <w:rPr>
          <w:rFonts w:ascii="Times New Roman" w:hAnsi="Times New Roman" w:cs="Times New Roman" w:eastAsia="Times New Roman" w:hint="default"/>
        </w:rPr>
        <w:t>4,158</w:t>
      </w:r>
      <w:r>
        <w:rPr/>
        <w:t>万美元、</w:t>
      </w:r>
      <w:r>
        <w:rPr>
          <w:rFonts w:ascii="Times New Roman" w:hAnsi="Times New Roman" w:cs="Times New Roman" w:eastAsia="Times New Roman" w:hint="default"/>
        </w:rPr>
        <w:t>1,900</w:t>
      </w:r>
      <w:r>
        <w:rPr/>
        <w:t>万美元和</w:t>
      </w:r>
      <w:r>
        <w:rPr>
          <w:rFonts w:ascii="Times New Roman" w:hAnsi="Times New Roman" w:cs="Times New Roman" w:eastAsia="Times New Roman" w:hint="default"/>
        </w:rPr>
        <w:t>2,029</w:t>
      </w:r>
      <w:r>
        <w:rPr/>
        <w:t>万美元收购</w:t>
      </w:r>
      <w:r>
        <w:rPr>
          <w:rFonts w:ascii="Times New Roman" w:hAnsi="Times New Roman" w:cs="Times New Roman" w:eastAsia="Times New Roman" w:hint="default"/>
        </w:rPr>
        <w:t>SAPPI</w:t>
      </w:r>
      <w:r>
        <w:rPr/>
        <w:t>、国际金融公司和茂林制纸所持江西晨鸣</w:t>
      </w:r>
      <w:r>
        <w:rPr>
          <w:rFonts w:ascii="Times New Roman" w:hAnsi="Times New Roman" w:cs="Times New Roman" w:eastAsia="Times New Roman" w:hint="default"/>
        </w:rPr>
        <w:t>34%</w:t>
      </w:r>
      <w:r>
        <w:rPr/>
        <w:t>、</w:t>
      </w:r>
      <w:r>
        <w:rPr>
          <w:rFonts w:ascii="Times New Roman" w:hAnsi="Times New Roman" w:cs="Times New Roman" w:eastAsia="Times New Roman" w:hint="default"/>
        </w:rPr>
        <w:t>7.5%</w:t>
      </w:r>
      <w:r>
        <w:rPr/>
        <w:t>和</w:t>
      </w:r>
      <w:r>
        <w:rPr>
          <w:rFonts w:ascii="Times New Roman" w:hAnsi="Times New Roman" w:cs="Times New Roman" w:eastAsia="Times New Roman" w:hint="default"/>
        </w:rPr>
        <w:t>7.5%</w:t>
      </w:r>
      <w:r>
        <w:rPr/>
        <w:t>的股</w:t>
      </w:r>
      <w:r>
        <w:rPr>
          <w:spacing w:val="-87"/>
        </w:rPr>
        <w:t> </w:t>
      </w:r>
      <w:r>
        <w:rPr/>
        <w:t>权。上述股权转让完成后，</w:t>
      </w:r>
      <w:r>
        <w:rPr>
          <w:rFonts w:ascii="Times New Roman" w:hAnsi="Times New Roman" w:cs="Times New Roman" w:eastAsia="Times New Roman" w:hint="default"/>
        </w:rPr>
        <w:t>SAPPI</w:t>
      </w:r>
      <w:r>
        <w:rPr/>
        <w:t>、国际金融公司和茂林制纸将不再持有江西晨鸣的股权，香港晨鸣将持有江西晨鸣</w:t>
      </w:r>
      <w:r>
        <w:rPr>
          <w:rFonts w:ascii="Times New Roman" w:hAnsi="Times New Roman" w:cs="Times New Roman" w:eastAsia="Times New Roman" w:hint="default"/>
        </w:rPr>
        <w:t>49%</w:t>
      </w:r>
      <w:r>
        <w:rPr/>
        <w:t>的 股权。</w:t>
      </w:r>
    </w:p>
    <w:p>
      <w:pPr>
        <w:pStyle w:val="BodyText"/>
        <w:spacing w:line="302" w:lineRule="auto" w:before="71"/>
        <w:ind w:left="153" w:right="99" w:firstLine="360"/>
        <w:jc w:val="left"/>
      </w:pPr>
      <w:r>
        <w:rPr>
          <w:spacing w:val="-3"/>
        </w:rPr>
        <w:t>香港晨鸣与</w:t>
      </w:r>
      <w:r>
        <w:rPr>
          <w:rFonts w:ascii="Times New Roman" w:hAnsi="Times New Roman" w:cs="Times New Roman" w:eastAsia="Times New Roman" w:hint="default"/>
          <w:spacing w:val="-3"/>
        </w:rPr>
        <w:t>SAPPI</w:t>
      </w:r>
      <w:r>
        <w:rPr>
          <w:spacing w:val="-3"/>
        </w:rPr>
        <w:t>、国际金融公司和茂林制纸不存在关联关系；本次股权收购不构成《上市公司重大资产重组管理办法》</w:t>
      </w:r>
      <w:r>
        <w:rPr/>
        <w:t> 规定的重大资产重组。</w:t>
      </w:r>
    </w:p>
    <w:p>
      <w:pPr>
        <w:pStyle w:val="BodyText"/>
        <w:spacing w:line="357" w:lineRule="auto" w:before="69"/>
        <w:ind w:left="513" w:right="97"/>
        <w:jc w:val="left"/>
      </w:pPr>
      <w:r>
        <w:rPr/>
        <w:t>本次收购股权的交易价格是在资产评估和双方协商一致的基础上形成的，没有损害公司和股东的利益。 详情请参阅公司于</w:t>
      </w:r>
      <w:r>
        <w:rPr>
          <w:spacing w:val="-53"/>
        </w:rPr>
        <w:t> </w:t>
      </w:r>
      <w:r>
        <w:rPr/>
        <w:t>2012</w:t>
      </w:r>
      <w:r>
        <w:rPr>
          <w:spacing w:val="-53"/>
        </w:rPr>
        <w:t> </w:t>
      </w:r>
      <w:r>
        <w:rPr/>
        <w:t>年</w:t>
      </w:r>
      <w:r>
        <w:rPr>
          <w:spacing w:val="-53"/>
        </w:rPr>
        <w:t> </w:t>
      </w:r>
      <w:r>
        <w:rPr/>
        <w:t>08</w:t>
      </w:r>
      <w:r>
        <w:rPr>
          <w:spacing w:val="-53"/>
        </w:rPr>
        <w:t> </w:t>
      </w:r>
      <w:r>
        <w:rPr/>
        <w:t>月</w:t>
      </w:r>
      <w:r>
        <w:rPr>
          <w:spacing w:val="-53"/>
        </w:rPr>
        <w:t> </w:t>
      </w:r>
      <w:r>
        <w:rPr/>
        <w:t>09</w:t>
      </w:r>
      <w:r>
        <w:rPr>
          <w:spacing w:val="-53"/>
        </w:rPr>
        <w:t> </w:t>
      </w:r>
      <w:r>
        <w:rPr/>
        <w:t>日，披露在巨潮资讯网（</w:t>
      </w:r>
      <w:hyperlink r:id="rId12">
        <w:r>
          <w:rPr>
            <w:rFonts w:ascii="Times New Roman" w:hAnsi="Times New Roman" w:cs="Times New Roman" w:eastAsia="Times New Roman" w:hint="default"/>
          </w:rPr>
          <w:t>http://www.cninfo.com.cn</w:t>
        </w:r>
      </w:hyperlink>
      <w:r>
        <w:rPr/>
        <w:t>）的公告，公告编号为</w:t>
      </w:r>
      <w:r>
        <w:rPr>
          <w:spacing w:val="-53"/>
        </w:rPr>
        <w:t> </w:t>
      </w:r>
      <w:r>
        <w:rPr/>
        <w:t>2012-028。</w:t>
      </w:r>
    </w:p>
    <w:p>
      <w:pPr>
        <w:pStyle w:val="BodyText"/>
        <w:spacing w:line="300" w:lineRule="auto" w:before="4"/>
        <w:ind w:left="153" w:right="84" w:firstLine="360"/>
        <w:jc w:val="left"/>
      </w:pPr>
      <w:r>
        <w:rPr/>
        <w:t>（</w:t>
      </w:r>
      <w:r>
        <w:rPr>
          <w:rFonts w:ascii="Times New Roman" w:hAnsi="Times New Roman" w:cs="Times New Roman" w:eastAsia="Times New Roman" w:hint="default"/>
        </w:rPr>
        <w:t>2</w:t>
      </w:r>
      <w:r>
        <w:rPr/>
        <w:t>）</w:t>
      </w:r>
      <w:r>
        <w:rPr>
          <w:spacing w:val="-25"/>
        </w:rPr>
        <w:t> </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日召开第六届董事会五次临时会议，审议通过了《关于湛江晨鸣收购湛江慧锐股权的议案》，</w:t>
      </w:r>
      <w:r>
        <w:rPr/>
        <w:t> 并授权公司管理层根据相关规定履行有关交易程序。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山东晨鸣纸业集团股份有限公司（以下简称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 全资子公司湛江晨鸣浆纸有限公司（以下简称</w:t>
      </w:r>
      <w:r>
        <w:rPr>
          <w:rFonts w:ascii="Times New Roman" w:hAnsi="Times New Roman" w:cs="Times New Roman" w:eastAsia="Times New Roman" w:hint="default"/>
        </w:rPr>
        <w:t>“</w:t>
      </w:r>
      <w:r>
        <w:rPr/>
        <w:t>湛江晨鸣</w:t>
      </w:r>
      <w:r>
        <w:rPr>
          <w:rFonts w:ascii="Times New Roman" w:hAnsi="Times New Roman" w:cs="Times New Roman" w:eastAsia="Times New Roman" w:hint="default"/>
        </w:rPr>
        <w:t>”</w:t>
      </w:r>
      <w:r>
        <w:rPr/>
        <w:t>）与湛江华森投资有限公司（以下简称</w:t>
      </w:r>
      <w:r>
        <w:rPr>
          <w:rFonts w:ascii="Times New Roman" w:hAnsi="Times New Roman" w:cs="Times New Roman" w:eastAsia="Times New Roman" w:hint="default"/>
        </w:rPr>
        <w:t>“</w:t>
      </w:r>
      <w:r>
        <w:rPr/>
        <w:t>湛江华森</w:t>
      </w:r>
      <w:r>
        <w:rPr>
          <w:rFonts w:ascii="Times New Roman" w:hAnsi="Times New Roman" w:cs="Times New Roman" w:eastAsia="Times New Roman" w:hint="default"/>
        </w:rPr>
        <w:t>”</w:t>
      </w:r>
      <w:r>
        <w:rPr/>
        <w:t>）签订了《股权 转让协议》，以人民币</w:t>
      </w:r>
      <w:r>
        <w:rPr>
          <w:rFonts w:ascii="Times New Roman" w:hAnsi="Times New Roman" w:cs="Times New Roman" w:eastAsia="Times New Roman" w:hint="default"/>
        </w:rPr>
        <w:t>13,155.51</w:t>
      </w:r>
      <w:r>
        <w:rPr/>
        <w:t>万元受让湛江华森持有的湛江慧锐投资有限公司（以下简称</w:t>
      </w:r>
      <w:r>
        <w:rPr>
          <w:rFonts w:ascii="Times New Roman" w:hAnsi="Times New Roman" w:cs="Times New Roman" w:eastAsia="Times New Roman" w:hint="default"/>
        </w:rPr>
        <w:t>“</w:t>
      </w:r>
      <w:r>
        <w:rPr/>
        <w:t>湛江慧锐</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的股权。本次 收购股权的交易价格是以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日为基准日按净资产作价得出。</w:t>
      </w:r>
    </w:p>
    <w:p>
      <w:pPr>
        <w:pStyle w:val="BodyText"/>
        <w:spacing w:line="338" w:lineRule="auto" w:before="52"/>
        <w:ind w:left="514" w:right="96"/>
        <w:jc w:val="left"/>
      </w:pPr>
      <w:r>
        <w:rPr/>
        <w:t>详情请参阅公司于</w:t>
      </w:r>
      <w:r>
        <w:rPr>
          <w:spacing w:val="-53"/>
        </w:rPr>
        <w:t> </w:t>
      </w:r>
      <w:r>
        <w:rPr/>
        <w:t>2012</w:t>
      </w:r>
      <w:r>
        <w:rPr>
          <w:spacing w:val="-53"/>
        </w:rPr>
        <w:t> </w:t>
      </w:r>
      <w:r>
        <w:rPr/>
        <w:t>年</w:t>
      </w:r>
      <w:r>
        <w:rPr>
          <w:spacing w:val="-53"/>
        </w:rPr>
        <w:t> </w:t>
      </w:r>
      <w:r>
        <w:rPr/>
        <w:t>12</w:t>
      </w:r>
      <w:r>
        <w:rPr>
          <w:spacing w:val="-53"/>
        </w:rPr>
        <w:t> </w:t>
      </w:r>
      <w:r>
        <w:rPr/>
        <w:t>月</w:t>
      </w:r>
      <w:r>
        <w:rPr>
          <w:spacing w:val="-53"/>
        </w:rPr>
        <w:t> </w:t>
      </w:r>
      <w:r>
        <w:rPr/>
        <w:t>22</w:t>
      </w:r>
      <w:r>
        <w:rPr>
          <w:spacing w:val="-53"/>
        </w:rPr>
        <w:t> </w:t>
      </w:r>
      <w:r>
        <w:rPr/>
        <w:t>日，披露在巨潮资讯网（</w:t>
      </w:r>
      <w:hyperlink r:id="rId12">
        <w:r>
          <w:rPr>
            <w:rFonts w:ascii="Times New Roman" w:hAnsi="Times New Roman" w:cs="Times New Roman" w:eastAsia="Times New Roman" w:hint="default"/>
          </w:rPr>
          <w:t>http://www.cninfo.com.cn</w:t>
        </w:r>
      </w:hyperlink>
      <w:r>
        <w:rPr/>
        <w:t>）的公告，公告编号为</w:t>
      </w:r>
      <w:r>
        <w:rPr>
          <w:spacing w:val="-53"/>
        </w:rPr>
        <w:t> </w:t>
      </w:r>
      <w:r>
        <w:rPr/>
        <w:t>2012-079。</w:t>
      </w:r>
      <w:r>
        <w:rPr/>
        <w:t> </w:t>
      </w:r>
      <w:r>
        <w:rPr>
          <w:spacing w:val="-4"/>
        </w:rPr>
        <w:t>公司及湛江晨鸣与湛江华森不存在关联关系，本次股权收购不构成关联交易，不构成《上市公司重大资产重组管理办法》</w:t>
      </w:r>
    </w:p>
    <w:p>
      <w:pPr>
        <w:pStyle w:val="BodyText"/>
        <w:spacing w:line="338" w:lineRule="auto" w:before="4"/>
        <w:ind w:left="514" w:right="96" w:hanging="360"/>
        <w:jc w:val="left"/>
      </w:pPr>
      <w:r>
        <w:rPr/>
        <w:t>规定的重大资产重组。收购完成后，公司持有湛江慧锐</w:t>
      </w:r>
      <w:r>
        <w:rPr>
          <w:rFonts w:ascii="Times New Roman" w:hAnsi="Times New Roman" w:cs="Times New Roman" w:eastAsia="Times New Roman" w:hint="default"/>
        </w:rPr>
        <w:t>51%</w:t>
      </w:r>
      <w:r>
        <w:rPr/>
        <w:t>的股权，上海晨力投资有限公司持有湛江慧锐</w:t>
      </w:r>
      <w:r>
        <w:rPr>
          <w:rFonts w:ascii="Times New Roman" w:hAnsi="Times New Roman" w:cs="Times New Roman" w:eastAsia="Times New Roman" w:hint="default"/>
        </w:rPr>
        <w:t>49%</w:t>
      </w:r>
      <w:r>
        <w:rPr/>
        <w:t>的股权。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22</w:t>
      </w:r>
      <w:r>
        <w:rPr/>
        <w:t>日，湛江慧锐投资有限公司更名为广东慧锐投资有限公司，并完成相应的工商变更登记手续。 详情请参阅公司于</w:t>
      </w:r>
      <w:r>
        <w:rPr>
          <w:spacing w:val="-53"/>
        </w:rPr>
        <w:t> </w:t>
      </w:r>
      <w:r>
        <w:rPr/>
        <w:t>2013</w:t>
      </w:r>
      <w:r>
        <w:rPr>
          <w:spacing w:val="-53"/>
        </w:rPr>
        <w:t> </w:t>
      </w:r>
      <w:r>
        <w:rPr/>
        <w:t>年</w:t>
      </w:r>
      <w:r>
        <w:rPr>
          <w:spacing w:val="-53"/>
        </w:rPr>
        <w:t> </w:t>
      </w:r>
      <w:r>
        <w:rPr/>
        <w:t>02</w:t>
      </w:r>
      <w:r>
        <w:rPr>
          <w:spacing w:val="-53"/>
        </w:rPr>
        <w:t> </w:t>
      </w:r>
      <w:r>
        <w:rPr/>
        <w:t>月</w:t>
      </w:r>
      <w:r>
        <w:rPr>
          <w:spacing w:val="-53"/>
        </w:rPr>
        <w:t> </w:t>
      </w:r>
      <w:r>
        <w:rPr/>
        <w:t>07</w:t>
      </w:r>
      <w:r>
        <w:rPr>
          <w:spacing w:val="-53"/>
        </w:rPr>
        <w:t> </w:t>
      </w:r>
      <w:r>
        <w:rPr/>
        <w:t>日，披露在巨潮资讯网（</w:t>
      </w:r>
      <w:hyperlink r:id="rId12">
        <w:r>
          <w:rPr>
            <w:rFonts w:ascii="Times New Roman" w:hAnsi="Times New Roman" w:cs="Times New Roman" w:eastAsia="Times New Roman" w:hint="default"/>
          </w:rPr>
          <w:t>http://www.cninfo.com.cn</w:t>
        </w:r>
      </w:hyperlink>
      <w:r>
        <w:rPr/>
        <w:t>）的公告，公告编号为</w:t>
      </w:r>
      <w:r>
        <w:rPr>
          <w:spacing w:val="-53"/>
        </w:rPr>
        <w:t> </w:t>
      </w:r>
      <w:r>
        <w:rPr/>
        <w:t>2013-011。</w:t>
      </w:r>
    </w:p>
    <w:p>
      <w:pPr>
        <w:spacing w:after="0" w:line="338"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81"/>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4"/>
        <w:gridCol w:w="684"/>
        <w:gridCol w:w="685"/>
        <w:gridCol w:w="685"/>
        <w:gridCol w:w="684"/>
        <w:gridCol w:w="684"/>
        <w:gridCol w:w="684"/>
        <w:gridCol w:w="684"/>
        <w:gridCol w:w="683"/>
        <w:gridCol w:w="683"/>
        <w:gridCol w:w="683"/>
        <w:gridCol w:w="682"/>
        <w:gridCol w:w="680"/>
        <w:gridCol w:w="679"/>
      </w:tblGrid>
      <w:tr>
        <w:trPr>
          <w:trHeight w:val="357"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本期初</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资产出</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起至出</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售为上</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与交易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0"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6"/>
              <w:jc w:val="both"/>
              <w:rPr>
                <w:rFonts w:ascii="宋体" w:hAnsi="宋体" w:cs="宋体" w:eastAsia="宋体" w:hint="default"/>
                <w:sz w:val="18"/>
                <w:szCs w:val="18"/>
              </w:rPr>
            </w:pPr>
            <w:r>
              <w:rPr>
                <w:rFonts w:ascii="宋体" w:hAnsi="宋体" w:cs="宋体" w:eastAsia="宋体" w:hint="default"/>
                <w:sz w:val="18"/>
                <w:szCs w:val="18"/>
              </w:rPr>
              <w:t>售日该 资产为 上市公 司贡献 的净利</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6"/>
              <w:jc w:val="both"/>
              <w:rPr>
                <w:rFonts w:ascii="宋体" w:hAnsi="宋体" w:cs="宋体" w:eastAsia="宋体" w:hint="default"/>
                <w:sz w:val="18"/>
                <w:szCs w:val="18"/>
              </w:rPr>
            </w:pPr>
            <w:r>
              <w:rPr>
                <w:rFonts w:ascii="宋体" w:hAnsi="宋体" w:cs="宋体" w:eastAsia="宋体" w:hint="default"/>
                <w:sz w:val="18"/>
                <w:szCs w:val="18"/>
              </w:rPr>
              <w:t>市公司 贡献的 净利润 占利润 总额的</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对方的 关联关 系（适 用关联 交易情</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13"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形）</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tcBorders>
              <w:top w:val="nil" w:sz="6" w:space="0" w:color="auto"/>
              <w:left w:val="single" w:sz="4" w:space="0" w:color="000000"/>
              <w:bottom w:val="nil" w:sz="6" w:space="0" w:color="auto"/>
              <w:right w:val="single" w:sz="4" w:space="0" w:color="000000"/>
            </w:tcBorders>
            <w:shd w:val="clear" w:color="auto" w:fill="D3D3D3"/>
          </w:tcPr>
          <w:p>
            <w:pPr/>
          </w:p>
        </w:tc>
        <w:tc>
          <w:tcPr>
            <w:tcW w:w="67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left="201"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w:t>
            </w: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经评估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25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河南江 河纸业 股份有 限公司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鸣纸业 集团齐 河板纸 有限责</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37,185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-2,610.8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-5,408.3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335.09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并在产 权交易 所挂牌 的基础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62" w:lineRule="auto" w:before="51"/>
              <w:ind w:left="23" w:right="40"/>
              <w:jc w:val="left"/>
              <w:rPr>
                <w:rFonts w:ascii="Times New Roman" w:hAnsi="Times New Roman" w:cs="Times New Roman" w:eastAsia="Times New Roman" w:hint="default"/>
                <w:sz w:val="18"/>
                <w:szCs w:val="18"/>
              </w:rPr>
            </w:pPr>
            <w:hyperlink r:id="rId19">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353"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上形成</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寿光市 东宇鸿 翔木业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09"/>
              <w:jc w:val="both"/>
              <w:rPr>
                <w:rFonts w:ascii="宋体" w:hAnsi="宋体" w:cs="宋体" w:eastAsia="宋体" w:hint="default"/>
                <w:sz w:val="18"/>
                <w:szCs w:val="18"/>
              </w:rPr>
            </w:pPr>
            <w:r>
              <w:rPr>
                <w:rFonts w:ascii="宋体" w:hAnsi="宋体" w:cs="宋体" w:eastAsia="宋体" w:hint="default"/>
                <w:sz w:val="18"/>
                <w:szCs w:val="18"/>
              </w:rPr>
              <w:t>鄄城晨 鸣板材 有限公 司</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-644.96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56.67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在资产 审计和 双方协 商一致 的基础 上形成</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62" w:lineRule="auto"/>
              <w:ind w:left="23" w:right="40"/>
              <w:jc w:val="left"/>
              <w:rPr>
                <w:rFonts w:ascii="Times New Roman" w:hAnsi="Times New Roman" w:cs="Times New Roman" w:eastAsia="Times New Roman" w:hint="default"/>
                <w:sz w:val="18"/>
                <w:szCs w:val="18"/>
              </w:rPr>
            </w:pPr>
            <w:hyperlink r:id="rId19">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196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山东全 福元商 业集团 股份有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09"/>
              <w:jc w:val="both"/>
              <w:rPr>
                <w:rFonts w:ascii="宋体" w:hAnsi="宋体" w:cs="宋体" w:eastAsia="宋体" w:hint="default"/>
                <w:sz w:val="18"/>
                <w:szCs w:val="18"/>
              </w:rPr>
            </w:pPr>
            <w:r>
              <w:rPr>
                <w:rFonts w:ascii="宋体" w:hAnsi="宋体" w:cs="宋体" w:eastAsia="宋体" w:hint="default"/>
                <w:sz w:val="18"/>
                <w:szCs w:val="18"/>
              </w:rPr>
              <w:t>齐河晨 鸣板材 有限公 司</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-206.38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-115.42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在资产 审计和 双方协 商一致 的基础 上形成</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both"/>
      </w:pPr>
      <w:r>
        <w:rPr/>
        <w:t>出售资产情况概述</w:t>
      </w:r>
    </w:p>
    <w:p>
      <w:pPr>
        <w:pStyle w:val="BodyText"/>
        <w:spacing w:line="300" w:lineRule="auto" w:before="116"/>
        <w:ind w:right="181" w:firstLine="35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日，公司召开的第六届董事会第一次临时会议审议通过了</w:t>
      </w:r>
      <w:r>
        <w:rPr>
          <w:rFonts w:ascii="Times New Roman" w:hAnsi="Times New Roman" w:cs="Times New Roman" w:eastAsia="Times New Roman" w:hint="default"/>
        </w:rPr>
        <w:t>“</w:t>
      </w:r>
      <w:r>
        <w:rPr/>
        <w:t>关于出售齐河晨鸣股权的议案</w:t>
      </w:r>
      <w:r>
        <w:rPr>
          <w:rFonts w:ascii="Times New Roman" w:hAnsi="Times New Roman" w:cs="Times New Roman" w:eastAsia="Times New Roman" w:hint="default"/>
        </w:rPr>
        <w:t>”</w:t>
      </w:r>
      <w:r>
        <w:rPr/>
        <w:t>，同意出售 公司全资子公司山东晨鸣纸业集团齐河板纸有限责任公司</w:t>
      </w:r>
      <w:r>
        <w:rPr>
          <w:rFonts w:ascii="Times New Roman" w:hAnsi="Times New Roman" w:cs="Times New Roman" w:eastAsia="Times New Roman" w:hint="default"/>
        </w:rPr>
        <w:t>100%</w:t>
      </w:r>
      <w:r>
        <w:rPr/>
        <w:t>的股权。相关公告刊登于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日的《中国证券报》、</w:t>
      </w:r>
    </w:p>
    <w:p>
      <w:pPr>
        <w:pStyle w:val="BodyText"/>
        <w:spacing w:line="300" w:lineRule="auto" w:before="13"/>
        <w:ind w:right="190"/>
        <w:jc w:val="both"/>
      </w:pPr>
      <w:r>
        <w:rPr>
          <w:spacing w:val="-2"/>
        </w:rPr>
        <w:t>《香港商报》、巨潮资讯网和</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日的香港联交所网站上。</w:t>
      </w:r>
      <w:r>
        <w:rPr/>
        <w:t> </w:t>
      </w:r>
      <w:r>
        <w:rPr>
          <w:spacing w:val="-1"/>
        </w:rPr>
        <w:t>公司分别于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日至</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30</w:t>
      </w:r>
      <w:r>
        <w:rPr>
          <w:spacing w:val="-1"/>
        </w:rPr>
        <w:t>日和</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日至</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33"/>
        </w:rPr>
        <w:t> </w:t>
      </w:r>
      <w:r>
        <w:rPr>
          <w:spacing w:val="-2"/>
        </w:rPr>
        <w:t>月</w:t>
      </w:r>
      <w:r>
        <w:rPr>
          <w:rFonts w:ascii="Times New Roman" w:hAnsi="Times New Roman" w:cs="Times New Roman" w:eastAsia="Times New Roman" w:hint="default"/>
          <w:spacing w:val="-2"/>
        </w:rPr>
        <w:t>24</w:t>
      </w:r>
      <w:r>
        <w:rPr>
          <w:spacing w:val="-2"/>
        </w:rPr>
        <w:t>日期间在产权交易中心对齐河晨鸣股权进行了挂牌出售，挂牌期间，公司一直未征集到意向受让方，详细内容可参阅山</w:t>
      </w:r>
      <w:r>
        <w:rPr>
          <w:spacing w:val="-64"/>
        </w:rPr>
        <w:t> </w:t>
      </w:r>
      <w:r>
        <w:rPr>
          <w:spacing w:val="-64"/>
        </w:rPr>
      </w:r>
      <w:r>
        <w:rPr/>
        <w:t>东潍坊产权交易中心网站（</w:t>
      </w:r>
      <w:hyperlink r:id="rId20">
        <w:r>
          <w:rPr>
            <w:rFonts w:ascii="Times New Roman" w:hAnsi="Times New Roman" w:cs="Times New Roman" w:eastAsia="Times New Roman" w:hint="default"/>
          </w:rPr>
          <w:t>http://www.wfcqjy.cn/</w:t>
        </w:r>
      </w:hyperlink>
      <w:r>
        <w:rPr/>
        <w:t>）。</w:t>
      </w:r>
    </w:p>
    <w:p>
      <w:pPr>
        <w:pStyle w:val="BodyText"/>
        <w:spacing w:line="307" w:lineRule="auto" w:before="51"/>
        <w:ind w:right="9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日，公司经与河南江河纸业股份有限公司友好协商，就齐河晨鸣股权转让和债务承担达成了一致意见，分 别签订了《股权转让合同》、《债务承担合同》、《补充协议》和《股权质押协议》，以人民币</w:t>
      </w:r>
      <w:r>
        <w:rPr>
          <w:rFonts w:ascii="Times New Roman" w:hAnsi="Times New Roman" w:cs="Times New Roman" w:eastAsia="Times New Roman" w:hint="default"/>
        </w:rPr>
        <w:t>37,185</w:t>
      </w:r>
      <w:r>
        <w:rPr/>
        <w:t>万元向江河纸业转让 公司所持齐河晨鸣</w:t>
      </w:r>
      <w:r>
        <w:rPr>
          <w:rFonts w:ascii="Times New Roman" w:hAnsi="Times New Roman" w:cs="Times New Roman" w:eastAsia="Times New Roman" w:hint="default"/>
        </w:rPr>
        <w:t>100%</w:t>
      </w:r>
      <w:r>
        <w:rPr/>
        <w:t>的股权，江河纸业全额承担齐河晨鸣欠公司的债务。上述股权转让完成后，公司将不再持有齐河晨</w:t>
      </w:r>
      <w:r>
        <w:rPr>
          <w:spacing w:val="-72"/>
        </w:rPr>
        <w:t> </w:t>
      </w:r>
      <w:r>
        <w:rPr>
          <w:spacing w:val="-72"/>
        </w:rPr>
      </w:r>
      <w:r>
        <w:rPr/>
        <w:t>鸣的股权。公司与江河纸业不存在关联关系，本次股权出售不构成关联交易，也不构成《上市公司重大资产重组管理办法》</w:t>
      </w:r>
      <w:r>
        <w:rPr/>
        <w:t> 规定的重大资产重组。</w:t>
      </w:r>
      <w:r>
        <w:rPr>
          <w:spacing w:val="-9"/>
        </w:rPr>
        <w:t> </w:t>
      </w:r>
      <w:r>
        <w:rPr/>
        <w:t>本次出售股权的交易价格是经过评估并在产权交易所挂牌的基础上形成的，定价公允合理，遵循了</w:t>
      </w:r>
      <w:r>
        <w:rPr>
          <w:spacing w:val="-80"/>
        </w:rPr>
        <w:t> </w:t>
      </w:r>
      <w:r>
        <w:rPr>
          <w:spacing w:val="-80"/>
        </w:rPr>
      </w:r>
      <w:r>
        <w:rPr/>
        <w:t>公平、公正、公开的市场原则，没有发现损害公司利益和股东利益的情形。</w:t>
      </w:r>
    </w:p>
    <w:p>
      <w:pPr>
        <w:pStyle w:val="BodyText"/>
        <w:spacing w:line="240" w:lineRule="auto" w:before="67"/>
        <w:ind w:left="514" w:right="0"/>
        <w:jc w:val="left"/>
      </w:pPr>
      <w:r>
        <w:rPr/>
        <w:t>详情请参阅公司于</w:t>
      </w:r>
      <w:r>
        <w:rPr>
          <w:spacing w:val="-53"/>
        </w:rPr>
        <w:t> </w:t>
      </w:r>
      <w:r>
        <w:rPr/>
        <w:t>2012</w:t>
      </w:r>
      <w:r>
        <w:rPr>
          <w:spacing w:val="-53"/>
        </w:rPr>
        <w:t> </w:t>
      </w:r>
      <w:r>
        <w:rPr/>
        <w:t>年</w:t>
      </w:r>
      <w:r>
        <w:rPr>
          <w:spacing w:val="-53"/>
        </w:rPr>
        <w:t> </w:t>
      </w:r>
      <w:r>
        <w:rPr/>
        <w:t>12</w:t>
      </w:r>
      <w:r>
        <w:rPr>
          <w:spacing w:val="-53"/>
        </w:rPr>
        <w:t> </w:t>
      </w:r>
      <w:r>
        <w:rPr/>
        <w:t>月</w:t>
      </w:r>
      <w:r>
        <w:rPr>
          <w:spacing w:val="-53"/>
        </w:rPr>
        <w:t> </w:t>
      </w:r>
      <w:r>
        <w:rPr/>
        <w:t>07</w:t>
      </w:r>
      <w:r>
        <w:rPr>
          <w:spacing w:val="-53"/>
        </w:rPr>
        <w:t> </w:t>
      </w:r>
      <w:r>
        <w:rPr/>
        <w:t>日，披露在巨潮资讯网（</w:t>
      </w:r>
      <w:hyperlink r:id="rId12">
        <w:r>
          <w:rPr>
            <w:rFonts w:ascii="Times New Roman" w:hAnsi="Times New Roman" w:cs="Times New Roman" w:eastAsia="Times New Roman" w:hint="default"/>
          </w:rPr>
          <w:t>http://www.cninfo.com.cn</w:t>
        </w:r>
      </w:hyperlink>
      <w:r>
        <w:rPr/>
        <w:t>）的公告，公告编号为</w:t>
      </w:r>
      <w:r>
        <w:rPr>
          <w:spacing w:val="-53"/>
        </w:rPr>
        <w:t> </w:t>
      </w:r>
      <w:r>
        <w:rPr/>
        <w:t>2012-065。</w:t>
      </w:r>
    </w:p>
    <w:p>
      <w:pPr>
        <w:pStyle w:val="BodyText"/>
        <w:spacing w:line="240" w:lineRule="auto" w:before="101"/>
        <w:ind w:left="514" w:right="9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日，公司召开的第六届董事会第五次临时会议审议通过了</w:t>
      </w:r>
      <w:r>
        <w:rPr>
          <w:rFonts w:ascii="Times New Roman" w:hAnsi="Times New Roman" w:cs="Times New Roman" w:eastAsia="Times New Roman" w:hint="default"/>
        </w:rPr>
        <w:t>“</w:t>
      </w:r>
      <w:r>
        <w:rPr/>
        <w:t>关于出售鄄城晨鸣股权的议案</w:t>
      </w:r>
      <w:r>
        <w:rPr>
          <w:rFonts w:ascii="Times New Roman" w:hAnsi="Times New Roman" w:cs="Times New Roman" w:eastAsia="Times New Roman" w:hint="default"/>
        </w:rPr>
        <w:t>”</w:t>
      </w:r>
      <w:r>
        <w:rPr/>
        <w:t>，并授权</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公司管理层根据相关规定履行有关交易程序。</w:t>
      </w:r>
    </w:p>
    <w:p>
      <w:pPr>
        <w:pStyle w:val="BodyText"/>
        <w:spacing w:line="302" w:lineRule="auto" w:before="115"/>
        <w:ind w:left="153" w:right="173"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公司与寿光市东宇鸿翔木业有限公司签订了《股权转让协议》，以</w:t>
      </w:r>
      <w:r>
        <w:rPr>
          <w:rFonts w:ascii="Times New Roman" w:hAnsi="Times New Roman" w:cs="Times New Roman" w:eastAsia="Times New Roman" w:hint="default"/>
        </w:rPr>
        <w:t>1500</w:t>
      </w:r>
      <w:r>
        <w:rPr/>
        <w:t>万元转让公司所持鄄城晨鸣板 材有限公司</w:t>
      </w:r>
      <w:r>
        <w:rPr>
          <w:rFonts w:ascii="Times New Roman" w:hAnsi="Times New Roman" w:cs="Times New Roman" w:eastAsia="Times New Roman" w:hint="default"/>
        </w:rPr>
        <w:t>100%</w:t>
      </w:r>
      <w:r>
        <w:rPr/>
        <w:t>的股权。上述股权转让完成后，公司不再持有鄄城晨鸣的股权。</w:t>
      </w:r>
    </w:p>
    <w:p>
      <w:pPr>
        <w:pStyle w:val="BodyText"/>
        <w:spacing w:line="357" w:lineRule="auto" w:before="52"/>
        <w:ind w:left="513" w:right="97"/>
        <w:jc w:val="left"/>
      </w:pPr>
      <w:r>
        <w:rPr/>
        <w:t>公司与东宇鸿翔不存在关联关系；本次股权出售不构成《上市公司重大资产重组管理办法》规定的重大资产重组。 本次出售股权的交易价格是在资产审计和双方协商一致的基础上形成的，没有损害公司和股东的利益。 详情请参阅公司于</w:t>
      </w:r>
      <w:r>
        <w:rPr>
          <w:spacing w:val="-53"/>
        </w:rPr>
        <w:t> </w:t>
      </w:r>
      <w:r>
        <w:rPr/>
        <w:t>2012</w:t>
      </w:r>
      <w:r>
        <w:rPr>
          <w:spacing w:val="-53"/>
        </w:rPr>
        <w:t> </w:t>
      </w:r>
      <w:r>
        <w:rPr/>
        <w:t>年</w:t>
      </w:r>
      <w:r>
        <w:rPr>
          <w:spacing w:val="-53"/>
        </w:rPr>
        <w:t> </w:t>
      </w:r>
      <w:r>
        <w:rPr/>
        <w:t>12</w:t>
      </w:r>
      <w:r>
        <w:rPr>
          <w:spacing w:val="-53"/>
        </w:rPr>
        <w:t> </w:t>
      </w:r>
      <w:r>
        <w:rPr/>
        <w:t>月</w:t>
      </w:r>
      <w:r>
        <w:rPr>
          <w:spacing w:val="-53"/>
        </w:rPr>
        <w:t> </w:t>
      </w:r>
      <w:r>
        <w:rPr/>
        <w:t>22</w:t>
      </w:r>
      <w:r>
        <w:rPr>
          <w:spacing w:val="-53"/>
        </w:rPr>
        <w:t> </w:t>
      </w:r>
      <w:r>
        <w:rPr/>
        <w:t>日，披露在巨潮资讯网（</w:t>
      </w:r>
      <w:hyperlink r:id="rId12">
        <w:r>
          <w:rPr>
            <w:rFonts w:ascii="Times New Roman" w:hAnsi="Times New Roman" w:cs="Times New Roman" w:eastAsia="Times New Roman" w:hint="default"/>
          </w:rPr>
          <w:t>http://www.cninfo.com.cn</w:t>
        </w:r>
      </w:hyperlink>
      <w:r>
        <w:rPr/>
        <w:t>）的公告，公告编号为</w:t>
      </w:r>
      <w:r>
        <w:rPr>
          <w:spacing w:val="-53"/>
        </w:rPr>
        <w:t> </w:t>
      </w:r>
      <w:r>
        <w:rPr/>
        <w:t>2012-080。</w:t>
      </w:r>
    </w:p>
    <w:p>
      <w:pPr>
        <w:pStyle w:val="BodyText"/>
        <w:spacing w:line="300" w:lineRule="auto" w:before="4"/>
        <w:ind w:left="153" w:right="99" w:firstLine="290"/>
        <w:jc w:val="left"/>
      </w:pPr>
      <w:r>
        <w:rPr>
          <w:spacing w:val="-4"/>
        </w:rPr>
        <w:t>（</w:t>
      </w:r>
      <w:r>
        <w:rPr>
          <w:rFonts w:ascii="Times New Roman" w:hAnsi="Times New Roman" w:cs="Times New Roman" w:eastAsia="Times New Roman" w:hint="default"/>
          <w:spacing w:val="-4"/>
        </w:rPr>
        <w:t>3</w:t>
      </w:r>
      <w:r>
        <w:rPr>
          <w:spacing w:val="-4"/>
        </w:rPr>
        <w:t>）报告期内，公司控股子公司山东晨鸣板材有限责任公司与山东全福元商业集团有限责任公司签订《股权转让合同》，</w:t>
      </w:r>
      <w:r>
        <w:rPr/>
        <w:t> 以人民币</w:t>
      </w:r>
      <w:r>
        <w:rPr>
          <w:rFonts w:ascii="Times New Roman" w:hAnsi="Times New Roman" w:cs="Times New Roman" w:eastAsia="Times New Roman" w:hint="default"/>
        </w:rPr>
        <w:t>1000</w:t>
      </w:r>
      <w:r>
        <w:rPr/>
        <w:t>万元转让其所持齐河晨鸣板材有限公司</w:t>
      </w:r>
      <w:r>
        <w:rPr>
          <w:rFonts w:ascii="Times New Roman" w:hAnsi="Times New Roman" w:cs="Times New Roman" w:eastAsia="Times New Roman" w:hint="default"/>
        </w:rPr>
        <w:t>100%</w:t>
      </w:r>
      <w:r>
        <w:rPr/>
        <w:t>的股权。自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日，股权转让完成后，寿光晨鸣板材有</w:t>
      </w:r>
      <w:r>
        <w:rPr>
          <w:spacing w:val="-72"/>
        </w:rPr>
        <w:t> </w:t>
      </w:r>
      <w:r>
        <w:rPr>
          <w:spacing w:val="-72"/>
        </w:rPr>
      </w:r>
      <w:r>
        <w:rPr>
          <w:spacing w:val="6"/>
        </w:rPr>
        <w:t>限责任公司不再持有齐河板材的股权。此次处置产生的投资收益为人民币</w:t>
      </w:r>
      <w:r>
        <w:rPr>
          <w:rFonts w:ascii="Times New Roman" w:hAnsi="Times New Roman" w:cs="Times New Roman" w:eastAsia="Times New Roman" w:hint="default"/>
          <w:spacing w:val="6"/>
        </w:rPr>
        <w:t>1,862.95</w:t>
      </w:r>
      <w:r>
        <w:rPr>
          <w:spacing w:val="6"/>
        </w:rPr>
        <w:t>万元，占上市公司利润总额的比例为</w:t>
      </w:r>
    </w:p>
    <w:p>
      <w:pPr>
        <w:pStyle w:val="BodyText"/>
        <w:spacing w:line="240" w:lineRule="auto" w:before="14"/>
        <w:ind w:left="153" w:right="181"/>
        <w:jc w:val="left"/>
      </w:pPr>
      <w:r>
        <w:rPr>
          <w:rFonts w:ascii="Times New Roman" w:hAnsi="Times New Roman" w:cs="Times New Roman" w:eastAsia="Times New Roman" w:hint="default"/>
        </w:rPr>
        <w:t>-115.42%</w:t>
      </w:r>
      <w:r>
        <w:rPr/>
        <w:t>，对公司业务的连续性和管理层稳定性无影响。</w:t>
      </w:r>
    </w:p>
    <w:p>
      <w:pPr>
        <w:spacing w:line="240" w:lineRule="auto" w:before="12"/>
        <w:rPr>
          <w:rFonts w:ascii="宋体" w:hAnsi="宋体" w:cs="宋体" w:eastAsia="宋体" w:hint="default"/>
          <w:sz w:val="23"/>
          <w:szCs w:val="23"/>
        </w:rPr>
      </w:pPr>
    </w:p>
    <w:p>
      <w:pPr>
        <w:pStyle w:val="Heading2"/>
        <w:spacing w:line="240" w:lineRule="auto"/>
        <w:ind w:right="181"/>
        <w:jc w:val="left"/>
        <w:rPr>
          <w:b w:val="0"/>
          <w:bCs w:val="0"/>
        </w:rPr>
      </w:pPr>
      <w:r>
        <w:rPr/>
        <w:t>四、公司股权激励的实施情况及其影响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81"/>
        <w:jc w:val="left"/>
        <w:rPr>
          <w:b w:val="0"/>
          <w:bCs w:val="0"/>
        </w:rPr>
      </w:pPr>
      <w:r>
        <w:rPr/>
        <w:t>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785"/>
        <w:gridCol w:w="798"/>
        <w:gridCol w:w="798"/>
        <w:gridCol w:w="786"/>
        <w:gridCol w:w="812"/>
        <w:gridCol w:w="797"/>
        <w:gridCol w:w="798"/>
        <w:gridCol w:w="798"/>
        <w:gridCol w:w="798"/>
        <w:gridCol w:w="798"/>
        <w:gridCol w:w="796"/>
        <w:gridCol w:w="797"/>
      </w:tblGrid>
      <w:tr>
        <w:trPr>
          <w:trHeight w:val="1026" w:hRule="exact"/>
        </w:trPr>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92"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4" w:right="1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7"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42"/>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 w:right="32"/>
              <w:jc w:val="center"/>
              <w:rPr>
                <w:rFonts w:ascii="宋体" w:hAnsi="宋体" w:cs="宋体" w:eastAsia="宋体" w:hint="default"/>
                <w:sz w:val="18"/>
                <w:szCs w:val="18"/>
              </w:rPr>
            </w:pPr>
            <w:r>
              <w:rPr>
                <w:rFonts w:ascii="宋体" w:hAnsi="宋体" w:cs="宋体" w:eastAsia="宋体" w:hint="default"/>
                <w:sz w:val="18"/>
                <w:szCs w:val="18"/>
              </w:rPr>
              <w:t>市场价格 董事会授 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7,837.43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firstLine="90"/>
              <w:jc w:val="left"/>
              <w:rPr>
                <w:rFonts w:ascii="宋体" w:hAnsi="宋体" w:cs="宋体" w:eastAsia="宋体" w:hint="default"/>
                <w:sz w:val="18"/>
                <w:szCs w:val="18"/>
              </w:rPr>
            </w:pPr>
            <w:r>
              <w:rPr>
                <w:rFonts w:ascii="宋体" w:hAnsi="宋体" w:cs="宋体" w:eastAsia="宋体" w:hint="default"/>
                <w:sz w:val="18"/>
                <w:szCs w:val="18"/>
              </w:rPr>
              <w:t>银行承 兑、电汇</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7,837.43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扩大安徽地区的销售业务，增加公司销售业绩。</w:t>
            </w:r>
          </w:p>
        </w:tc>
      </w:tr>
      <w:tr>
        <w:trPr>
          <w:trHeight w:val="402"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寿光晨鸣控股有限公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75" w:right="102" w:hanging="270"/>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资金拆入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安徽时代物资股份有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75" w:right="102"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1,491.96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1,573.91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江西江报传媒彩印有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75" w:right="102"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r>
      <w:tr>
        <w:trPr>
          <w:trHeight w:val="714"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以上关联债权债务金额较小，对公司经营成果及财务状况几乎不产生影响。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3</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）按照深圳证券交易所上市规则的有关规定，报告期内，本集团无重大关联交易事项发生。</w:t>
      </w:r>
    </w:p>
    <w:p>
      <w:pPr>
        <w:pStyle w:val="BodyText"/>
        <w:spacing w:line="338" w:lineRule="auto" w:before="102"/>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按照香港联交所上市规则界定的持续关连交易情况 </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日止年度，按照联交所香港上市规则，以下非豁免持续关连交易需符合申报要求。该等交易为集团日</w:t>
      </w:r>
    </w:p>
    <w:p>
      <w:pPr>
        <w:pStyle w:val="BodyText"/>
        <w:spacing w:line="218" w:lineRule="exact"/>
        <w:ind w:left="153" w:right="0"/>
        <w:jc w:val="both"/>
      </w:pPr>
      <w:r>
        <w:rPr/>
        <w:t>常经营过程中进行，以对股东而言公平合理之正常商业条款交易及进行。</w:t>
      </w:r>
    </w:p>
    <w:p>
      <w:pPr>
        <w:spacing w:line="357" w:lineRule="auto" w:before="116"/>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江西晨鸣向塞佩公司及／或其联系人销售纸张产品</w:t>
      </w:r>
      <w:r>
        <w:rPr>
          <w:rFonts w:ascii="宋体" w:hAnsi="宋体" w:cs="宋体" w:eastAsia="宋体" w:hint="default"/>
          <w:b/>
          <w:bCs/>
          <w:w w:val="99"/>
          <w:sz w:val="18"/>
          <w:szCs w:val="18"/>
        </w:rPr>
        <w:t> </w:t>
      </w:r>
      <w:r>
        <w:rPr>
          <w:rFonts w:ascii="宋体" w:hAnsi="宋体" w:cs="宋体" w:eastAsia="宋体" w:hint="default"/>
          <w:spacing w:val="-2"/>
          <w:sz w:val="18"/>
          <w:szCs w:val="18"/>
        </w:rPr>
        <w:t>二零零四年十二月三日，江西晨鸣纸业有限责任公司、本公司、韩国新茂林制纸公司及塞佩中国控股有限公司订立了销</w:t>
      </w:r>
    </w:p>
    <w:p>
      <w:pPr>
        <w:pStyle w:val="BodyText"/>
        <w:spacing w:line="357" w:lineRule="auto"/>
        <w:ind w:left="513" w:right="176" w:hanging="360"/>
        <w:jc w:val="left"/>
        <w:rPr>
          <w:rFonts w:ascii="Times New Roman" w:hAnsi="Times New Roman" w:cs="Times New Roman" w:eastAsia="Times New Roman" w:hint="default"/>
        </w:rPr>
      </w:pPr>
      <w:r>
        <w:rPr/>
        <w:t>售及经销合同。 江西晨鸣由本公司、塞佩公司（其实益拥有人均为本公司之独立第三方）、茂林制纸及</w:t>
      </w:r>
      <w:r>
        <w:rPr>
          <w:rFonts w:ascii="Times New Roman" w:hAnsi="Times New Roman" w:cs="Times New Roman" w:eastAsia="Times New Roman" w:hint="default"/>
        </w:rPr>
        <w:t>IFC</w:t>
      </w:r>
      <w:r>
        <w:rPr/>
        <w:t>分别拥有</w:t>
      </w:r>
      <w:r>
        <w:rPr>
          <w:rFonts w:ascii="Times New Roman" w:hAnsi="Times New Roman" w:cs="Times New Roman" w:eastAsia="Times New Roman" w:hint="default"/>
        </w:rPr>
        <w:t>51%</w:t>
      </w:r>
      <w:r>
        <w:rPr/>
        <w:t>、</w:t>
      </w:r>
      <w:r>
        <w:rPr>
          <w:rFonts w:ascii="Times New Roman" w:hAnsi="Times New Roman" w:cs="Times New Roman" w:eastAsia="Times New Roman" w:hint="default"/>
        </w:rPr>
        <w:t>34%</w:t>
      </w:r>
      <w:r>
        <w:rPr/>
        <w:t>、</w:t>
      </w:r>
      <w:r>
        <w:rPr>
          <w:rFonts w:ascii="Times New Roman" w:hAnsi="Times New Roman" w:cs="Times New Roman" w:eastAsia="Times New Roman" w:hint="default"/>
        </w:rPr>
        <w:t>7.5%</w:t>
      </w:r>
    </w:p>
    <w:p>
      <w:pPr>
        <w:pStyle w:val="BodyText"/>
        <w:spacing w:line="214" w:lineRule="exact"/>
        <w:ind w:left="153" w:right="0"/>
        <w:jc w:val="both"/>
      </w:pPr>
      <w:r>
        <w:rPr/>
        <w:t>及</w:t>
      </w:r>
      <w:r>
        <w:rPr>
          <w:rFonts w:ascii="Times New Roman" w:hAnsi="Times New Roman" w:cs="Times New Roman" w:eastAsia="Times New Roman" w:hint="default"/>
        </w:rPr>
        <w:t>7.5%</w:t>
      </w:r>
      <w:r>
        <w:rPr/>
        <w:t>之权益。塞佩公司与茂林制纸之主营业务为生产及销售多种纸产品。根据香港上市规则第</w:t>
      </w:r>
      <w:r>
        <w:rPr>
          <w:rFonts w:ascii="Times New Roman" w:hAnsi="Times New Roman" w:cs="Times New Roman" w:eastAsia="Times New Roman" w:hint="default"/>
        </w:rPr>
        <w:t>14A.11</w:t>
      </w:r>
      <w:r>
        <w:rPr/>
        <w:t>章，塞佩公司是本</w:t>
      </w:r>
    </w:p>
    <w:p>
      <w:pPr>
        <w:pStyle w:val="BodyText"/>
        <w:spacing w:line="319" w:lineRule="auto" w:before="62"/>
        <w:ind w:left="153" w:right="150"/>
        <w:jc w:val="both"/>
      </w:pPr>
      <w:r>
        <w:rPr>
          <w:spacing w:val="-2"/>
        </w:rPr>
        <w:t>公司之关连人士。根据现有的资料，塞佩中国是塞佩公司之联系人，因此根据香港上市规则，江西晨鸣在日常业务中销售纸</w:t>
      </w:r>
      <w:r>
        <w:rPr>
          <w:spacing w:val="-66"/>
        </w:rPr>
        <w:t> </w:t>
      </w:r>
      <w:r>
        <w:rPr>
          <w:spacing w:val="-66"/>
        </w:rPr>
      </w:r>
      <w:r>
        <w:rPr>
          <w:spacing w:val="-2"/>
        </w:rPr>
        <w:t>类产品予塞佩公司或塞佩中国（「塞佩销售」）构成持续性关连交易。根据交易各方订立之销售及经销合同，江西晨鸣于中</w:t>
      </w:r>
      <w:r>
        <w:rPr>
          <w:spacing w:val="-70"/>
        </w:rPr>
        <w:t> </w:t>
      </w:r>
      <w:r>
        <w:rPr>
          <w:spacing w:val="-70"/>
        </w:rPr>
      </w:r>
      <w:r>
        <w:rPr>
          <w:spacing w:val="-2"/>
        </w:rPr>
        <w:t>国、南韩及海外市场委聘三个独家经销商，从而减低分销成本。该等安排将能缩短经销周期，协助江西晨鸣开拓海外市场并</w:t>
      </w:r>
      <w:r>
        <w:rPr>
          <w:spacing w:val="-66"/>
        </w:rPr>
        <w:t> </w:t>
      </w:r>
      <w:r>
        <w:rPr>
          <w:spacing w:val="-66"/>
        </w:rPr>
      </w:r>
      <w:r>
        <w:rPr/>
        <w:t>进行更有效率及有效之经销工作，继而强化其于造纸业内之市场地位。</w:t>
      </w:r>
    </w:p>
    <w:p>
      <w:pPr>
        <w:pStyle w:val="BodyText"/>
        <w:spacing w:line="300" w:lineRule="auto" w:before="55"/>
        <w:ind w:left="153" w:right="128" w:firstLine="360"/>
        <w:jc w:val="both"/>
      </w:pPr>
      <w:r>
        <w:rPr>
          <w:spacing w:val="-1"/>
        </w:rPr>
        <w:t>因投资调整，</w:t>
      </w:r>
      <w:r>
        <w:rPr>
          <w:rFonts w:ascii="Times New Roman" w:hAnsi="Times New Roman" w:cs="Times New Roman" w:eastAsia="Times New Roman" w:hint="default"/>
          <w:spacing w:val="-1"/>
        </w:rPr>
        <w:t>SAPPI</w:t>
      </w:r>
      <w:r>
        <w:rPr>
          <w:spacing w:val="-1"/>
        </w:rPr>
        <w:t>、国际金融公司和茂林制纸分别转让所持江西晨鸣股权，公司为保障江西晨鸣的持续稳定运营，决</w:t>
      </w:r>
      <w:r>
        <w:rPr/>
        <w:t> 定购买上述股权，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4"/>
        </w:rPr>
        <w:t>公司全资子公司晨鸣（香港）有限公司分别与</w:t>
      </w:r>
      <w:r>
        <w:rPr>
          <w:rFonts w:ascii="Times New Roman" w:hAnsi="Times New Roman" w:cs="Times New Roman" w:eastAsia="Times New Roman" w:hint="default"/>
          <w:spacing w:val="-4"/>
        </w:rPr>
        <w:t>SAPPI</w:t>
      </w:r>
      <w:r>
        <w:rPr>
          <w:spacing w:val="-4"/>
        </w:rPr>
        <w:t>、国际金融公司和茂林制纸签订了《股</w:t>
      </w:r>
      <w:r>
        <w:rPr>
          <w:spacing w:val="-87"/>
        </w:rPr>
        <w:t> </w:t>
      </w:r>
      <w:r>
        <w:rPr>
          <w:spacing w:val="-87"/>
        </w:rPr>
      </w:r>
      <w:r>
        <w:rPr/>
        <w:t>权转让协议》，分别以</w:t>
      </w:r>
      <w:r>
        <w:rPr>
          <w:rFonts w:ascii="Times New Roman" w:hAnsi="Times New Roman" w:cs="Times New Roman" w:eastAsia="Times New Roman" w:hint="default"/>
        </w:rPr>
        <w:t>4,158</w:t>
      </w:r>
      <w:r>
        <w:rPr/>
        <w:t>万美元、</w:t>
      </w:r>
      <w:r>
        <w:rPr>
          <w:rFonts w:ascii="Times New Roman" w:hAnsi="Times New Roman" w:cs="Times New Roman" w:eastAsia="Times New Roman" w:hint="default"/>
        </w:rPr>
        <w:t>1,900</w:t>
      </w:r>
      <w:r>
        <w:rPr/>
        <w:t>万美元和</w:t>
      </w:r>
      <w:r>
        <w:rPr>
          <w:rFonts w:ascii="Times New Roman" w:hAnsi="Times New Roman" w:cs="Times New Roman" w:eastAsia="Times New Roman" w:hint="default"/>
        </w:rPr>
        <w:t>2,029</w:t>
      </w:r>
      <w:r>
        <w:rPr/>
        <w:t>万美元收购</w:t>
      </w:r>
      <w:r>
        <w:rPr>
          <w:rFonts w:ascii="Times New Roman" w:hAnsi="Times New Roman" w:cs="Times New Roman" w:eastAsia="Times New Roman" w:hint="default"/>
        </w:rPr>
        <w:t>SAPPI</w:t>
      </w:r>
      <w:r>
        <w:rPr/>
        <w:t>、国际金融公司和茂林制纸所持江西晨鸣</w:t>
      </w:r>
      <w:r>
        <w:rPr>
          <w:rFonts w:ascii="Times New Roman" w:hAnsi="Times New Roman" w:cs="Times New Roman" w:eastAsia="Times New Roman" w:hint="default"/>
        </w:rPr>
        <w:t>34%</w:t>
      </w:r>
      <w:r>
        <w:rPr/>
        <w:t>、 </w:t>
      </w:r>
      <w:r>
        <w:rPr>
          <w:rFonts w:ascii="Times New Roman" w:hAnsi="Times New Roman" w:cs="Times New Roman" w:eastAsia="Times New Roman" w:hint="default"/>
          <w:spacing w:val="-2"/>
        </w:rPr>
        <w:t>7.5%</w:t>
      </w:r>
      <w:r>
        <w:rPr>
          <w:spacing w:val="-2"/>
        </w:rPr>
        <w:t>和</w:t>
      </w:r>
      <w:r>
        <w:rPr>
          <w:rFonts w:ascii="Times New Roman" w:hAnsi="Times New Roman" w:cs="Times New Roman" w:eastAsia="Times New Roman" w:hint="default"/>
          <w:spacing w:val="-2"/>
        </w:rPr>
        <w:t>7.5%</w:t>
      </w:r>
      <w:r>
        <w:rPr>
          <w:spacing w:val="-2"/>
        </w:rPr>
        <w:t>的股权。上述股权转让完成后，</w:t>
      </w:r>
      <w:r>
        <w:rPr>
          <w:rFonts w:ascii="Times New Roman" w:hAnsi="Times New Roman" w:cs="Times New Roman" w:eastAsia="Times New Roman" w:hint="default"/>
          <w:spacing w:val="-2"/>
        </w:rPr>
        <w:t>SAPPI</w:t>
      </w:r>
      <w:r>
        <w:rPr>
          <w:spacing w:val="-2"/>
        </w:rPr>
        <w:t>、国际金融公司和茂林制纸将不再持有江西晨鸣的股权，香港晨鸣将持有</w:t>
      </w:r>
      <w:r>
        <w:rPr>
          <w:spacing w:val="-38"/>
        </w:rPr>
        <w:t> </w:t>
      </w:r>
      <w:r>
        <w:rPr>
          <w:spacing w:val="-38"/>
        </w:rPr>
      </w:r>
      <w:r>
        <w:rPr>
          <w:spacing w:val="-1"/>
        </w:rPr>
        <w:t>江西晨鸣</w:t>
      </w:r>
      <w:r>
        <w:rPr>
          <w:rFonts w:ascii="Times New Roman" w:hAnsi="Times New Roman" w:cs="Times New Roman" w:eastAsia="Times New Roman" w:hint="default"/>
          <w:spacing w:val="-1"/>
        </w:rPr>
        <w:t>49%</w:t>
      </w:r>
      <w:r>
        <w:rPr>
          <w:spacing w:val="-1"/>
        </w:rPr>
        <w:t>的股权，购买股权对公司财务状况和经营成果不会造成重大影响。</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日，江西晨鸣已完成相应的工</w:t>
      </w:r>
      <w:r>
        <w:rPr>
          <w:spacing w:val="-82"/>
        </w:rPr>
        <w:t> </w:t>
      </w:r>
      <w:r>
        <w:rPr>
          <w:spacing w:val="-82"/>
        </w:rPr>
      </w:r>
      <w:r>
        <w:rPr/>
        <w:t>商变更登记手续，其股东变更为山东晨鸣纸业集团股份有限公司和晨鸣（香港）有限公司，分别持有其</w:t>
      </w:r>
      <w:r>
        <w:rPr>
          <w:rFonts w:ascii="Times New Roman" w:hAnsi="Times New Roman" w:cs="Times New Roman" w:eastAsia="Times New Roman" w:hint="default"/>
        </w:rPr>
        <w:t>51%</w:t>
      </w:r>
      <w:r>
        <w:rPr/>
        <w:t>和</w:t>
      </w:r>
      <w:r>
        <w:rPr>
          <w:rFonts w:ascii="Times New Roman" w:hAnsi="Times New Roman" w:cs="Times New Roman" w:eastAsia="Times New Roman" w:hint="default"/>
        </w:rPr>
        <w:t>49%</w:t>
      </w:r>
      <w:r>
        <w:rPr/>
        <w:t>的股权， 自此塞佩公司不再是本公司之关连人士。</w:t>
      </w:r>
    </w:p>
    <w:p>
      <w:pPr>
        <w:spacing w:line="340" w:lineRule="auto" w:before="72"/>
        <w:ind w:left="153" w:right="262" w:firstLine="404"/>
        <w:jc w:val="left"/>
        <w:rPr>
          <w:rFonts w:ascii="宋体" w:hAnsi="宋体" w:cs="宋体" w:eastAsia="宋体" w:hint="default"/>
          <w:sz w:val="18"/>
          <w:szCs w:val="18"/>
        </w:rPr>
      </w:pPr>
      <w:r>
        <w:rPr>
          <w:rFonts w:ascii="宋体" w:hAnsi="宋体" w:cs="宋体" w:eastAsia="宋体" w:hint="default"/>
          <w:sz w:val="18"/>
          <w:szCs w:val="18"/>
        </w:rPr>
        <w:t>于本报告期内，截至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日，塞佩销售的总金额为人民币</w:t>
      </w:r>
      <w:r>
        <w:rPr>
          <w:rFonts w:ascii="Times New Roman" w:hAnsi="Times New Roman" w:cs="Times New Roman" w:eastAsia="Times New Roman" w:hint="default"/>
          <w:sz w:val="18"/>
          <w:szCs w:val="18"/>
        </w:rPr>
        <w:t>44</w:t>
      </w:r>
      <w:r>
        <w:rPr>
          <w:rFonts w:ascii="宋体" w:hAnsi="宋体" w:cs="宋体" w:eastAsia="宋体" w:hint="default"/>
          <w:sz w:val="18"/>
          <w:szCs w:val="18"/>
        </w:rPr>
        <w:t>百万元，占集团当年总销售之百分比为</w:t>
      </w:r>
      <w:r>
        <w:rPr>
          <w:rFonts w:ascii="Times New Roman" w:hAnsi="Times New Roman" w:cs="Times New Roman" w:eastAsia="Times New Roman" w:hint="default"/>
          <w:sz w:val="18"/>
          <w:szCs w:val="18"/>
        </w:rPr>
        <w:t>0.22%</w:t>
      </w:r>
      <w:r>
        <w:rPr>
          <w:rFonts w:ascii="宋体" w:hAnsi="宋体" w:cs="宋体" w:eastAsia="宋体" w:hint="default"/>
          <w:sz w:val="18"/>
          <w:szCs w:val="18"/>
        </w:rPr>
        <w:t>。 </w:t>
      </w:r>
      <w:r>
        <w:rPr>
          <w:rFonts w:ascii="宋体" w:hAnsi="宋体" w:cs="宋体" w:eastAsia="宋体" w:hint="default"/>
          <w:b/>
          <w:bCs/>
          <w:sz w:val="18"/>
          <w:szCs w:val="18"/>
        </w:rPr>
        <w:t>本公司独立非执行董事已审阅本集团关连交易并确认：</w:t>
      </w:r>
      <w:r>
        <w:rPr>
          <w:rFonts w:ascii="宋体" w:hAnsi="宋体" w:cs="宋体" w:eastAsia="宋体" w:hint="default"/>
          <w:sz w:val="18"/>
          <w:szCs w:val="18"/>
        </w:rPr>
      </w:r>
    </w:p>
    <w:p>
      <w:pPr>
        <w:pStyle w:val="BodyText"/>
        <w:spacing w:line="316" w:lineRule="auto" w:before="40"/>
        <w:ind w:left="573" w:right="6291"/>
        <w:jc w:val="left"/>
      </w:pPr>
      <w:r>
        <w:rPr/>
        <w:t>该等交易属本集团的日常业务； 该等交易是按照一般商务条款进行；及</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line="360" w:lineRule="auto" w:before="44"/>
        <w:ind w:left="154" w:right="1431" w:firstLine="419"/>
        <w:jc w:val="left"/>
        <w:rPr>
          <w:rFonts w:ascii="宋体" w:hAnsi="宋体" w:cs="宋体" w:eastAsia="宋体" w:hint="default"/>
          <w:sz w:val="18"/>
          <w:szCs w:val="18"/>
        </w:rPr>
      </w:pPr>
      <w:r>
        <w:rPr>
          <w:rFonts w:ascii="宋体" w:hAnsi="宋体" w:cs="宋体" w:eastAsia="宋体" w:hint="default"/>
          <w:sz w:val="18"/>
          <w:szCs w:val="18"/>
        </w:rPr>
        <w:t>该等交易是根据有关交易的协议条款进行，而交易条款公平合理，并且符合本公司股东的整体利益。 </w:t>
      </w:r>
      <w:r>
        <w:rPr>
          <w:rFonts w:ascii="宋体" w:hAnsi="宋体" w:cs="宋体" w:eastAsia="宋体" w:hint="default"/>
          <w:b/>
          <w:bCs/>
          <w:sz w:val="18"/>
          <w:szCs w:val="18"/>
        </w:rPr>
        <w:t>本公司核数师已审查该等关连交易，并向公司董事会确认该等关连交易：</w:t>
      </w:r>
      <w:r>
        <w:rPr>
          <w:rFonts w:ascii="宋体" w:hAnsi="宋体" w:cs="宋体" w:eastAsia="宋体" w:hint="default"/>
          <w:sz w:val="18"/>
          <w:szCs w:val="18"/>
        </w:rPr>
      </w:r>
    </w:p>
    <w:p>
      <w:pPr>
        <w:pStyle w:val="BodyText"/>
        <w:spacing w:line="316" w:lineRule="auto" w:before="26"/>
        <w:ind w:left="574" w:right="5930"/>
        <w:jc w:val="left"/>
      </w:pPr>
      <w:r>
        <w:rPr/>
        <w:t>经由公司董事会批准； 乃按照本公司的定价政策而进行； 乃根据有关交易的协议条款进行；及 不超过与香港联交所同意的有关年度上限。</w:t>
      </w:r>
    </w:p>
    <w:p>
      <w:pPr>
        <w:pStyle w:val="BodyText"/>
        <w:spacing w:line="300" w:lineRule="auto" w:before="59"/>
        <w:ind w:left="153" w:right="0" w:firstLine="360"/>
        <w:jc w:val="left"/>
      </w:pPr>
      <w:r>
        <w:rPr>
          <w:spacing w:val="-2"/>
        </w:rPr>
        <w:t>核数师已根据香港联交所主板《上市规则》第</w:t>
      </w:r>
      <w:r>
        <w:rPr>
          <w:rFonts w:ascii="Times New Roman" w:hAnsi="Times New Roman" w:cs="Times New Roman" w:eastAsia="Times New Roman" w:hint="default"/>
          <w:spacing w:val="-2"/>
        </w:rPr>
        <w:t>14A.38</w:t>
      </w:r>
      <w:r>
        <w:rPr>
          <w:spacing w:val="-2"/>
        </w:rPr>
        <w:t>条出具对本集团持续关连交易的调查所得及审验结果的无保留意见</w:t>
      </w:r>
      <w:r>
        <w:rPr/>
        <w:t> 函件。本公司已将该核数师函件呈交香港联交所。</w:t>
      </w:r>
    </w:p>
    <w:p>
      <w:pPr>
        <w:pStyle w:val="BodyText"/>
        <w:spacing w:line="240" w:lineRule="auto" w:before="71"/>
        <w:ind w:left="153"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第六届董事会第四次会议决议公告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3831"/>
        <w:jc w:val="left"/>
      </w:pPr>
      <w:r>
        <w:rPr/>
        <w:t>报告期内，公司未发生托管其他公司资产或其他公司托管公司资产的事项。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3831"/>
        <w:jc w:val="left"/>
      </w:pPr>
      <w:r>
        <w:rPr/>
        <w:t>报告期内，公司未发生承包其他公司资产或其他公司承包公司资产的事项。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3831"/>
        <w:jc w:val="left"/>
      </w:pPr>
      <w:r>
        <w:rPr/>
        <w:t>报告期内，公司未发生租赁其他公司资产或其他公司租赁公司资产的事项。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144"/>
        <w:jc w:val="left"/>
      </w:pPr>
      <w:r>
        <w:rPr/>
        <w:t>报告期内，公司无对外（对控股子公司担保除外）提供担保情况和违规担保情况。 报告期内，公司为控股子公司申请银行贷款提供了担保，担保发生额为人民币</w:t>
      </w:r>
      <w:r>
        <w:rPr>
          <w:spacing w:val="-50"/>
        </w:rPr>
        <w:t> </w:t>
      </w:r>
      <w:r>
        <w:rPr/>
        <w:t>656,507.84</w:t>
      </w:r>
      <w:r>
        <w:rPr>
          <w:spacing w:val="-50"/>
        </w:rPr>
        <w:t> </w:t>
      </w:r>
      <w:r>
        <w:rPr>
          <w:spacing w:val="-3"/>
        </w:rPr>
        <w:t>万元；截止</w:t>
      </w:r>
      <w:r>
        <w:rPr>
          <w:spacing w:val="-50"/>
        </w:rPr>
        <w:t> </w:t>
      </w:r>
      <w:r>
        <w:rPr/>
        <w:t>2012</w:t>
      </w:r>
      <w:r>
        <w:rPr>
          <w:spacing w:val="-50"/>
        </w:rPr>
        <w:t> </w:t>
      </w:r>
      <w:r>
        <w:rPr/>
        <w:t>年</w:t>
      </w:r>
      <w:r>
        <w:rPr>
          <w:spacing w:val="-50"/>
        </w:rPr>
        <w:t> </w:t>
      </w:r>
      <w:r>
        <w:rPr/>
        <w:t>12</w:t>
      </w:r>
      <w:r>
        <w:rPr>
          <w:spacing w:val="-49"/>
        </w:rPr>
        <w:t> </w:t>
      </w:r>
      <w:r>
        <w:rPr/>
        <w:t>月</w:t>
      </w:r>
      <w:r>
        <w:rPr>
          <w:spacing w:val="-50"/>
        </w:rPr>
        <w:t> </w:t>
      </w:r>
      <w:r>
        <w:rPr/>
        <w:t>31</w:t>
      </w:r>
    </w:p>
    <w:p>
      <w:pPr>
        <w:pStyle w:val="BodyText"/>
        <w:spacing w:line="225" w:lineRule="exact"/>
        <w:ind w:right="0"/>
        <w:jc w:val="left"/>
      </w:pPr>
      <w:r>
        <w:rPr/>
        <w:t>日，公司为所属控股子公司提供担保余额</w:t>
      </w:r>
      <w:r>
        <w:rPr>
          <w:spacing w:val="-46"/>
        </w:rPr>
        <w:t> </w:t>
      </w:r>
      <w:r>
        <w:rPr/>
        <w:t>525,298.11</w:t>
      </w:r>
      <w:r>
        <w:rPr>
          <w:spacing w:val="-46"/>
        </w:rPr>
        <w:t> </w:t>
      </w:r>
      <w:r>
        <w:rPr/>
        <w:t>万元，占公司归属于母公司股东的净资产的</w:t>
      </w:r>
      <w:r>
        <w:rPr>
          <w:spacing w:val="-46"/>
        </w:rPr>
        <w:t> </w:t>
      </w:r>
      <w:r>
        <w:rPr/>
        <w:t>38.18%。</w:t>
      </w:r>
    </w:p>
    <w:p>
      <w:pPr>
        <w:pStyle w:val="BodyText"/>
        <w:spacing w:line="240" w:lineRule="auto" w:before="116"/>
        <w:ind w:left="0"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02"/>
        <w:gridCol w:w="958"/>
        <w:gridCol w:w="929"/>
        <w:gridCol w:w="1313"/>
        <w:gridCol w:w="1171"/>
        <w:gridCol w:w="1090"/>
        <w:gridCol w:w="1012"/>
        <w:gridCol w:w="803"/>
        <w:gridCol w:w="806"/>
      </w:tblGrid>
      <w:tr>
        <w:trPr>
          <w:trHeight w:val="402"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担保额度相</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4"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613"/>
        <w:gridCol w:w="235"/>
        <w:gridCol w:w="700"/>
        <w:gridCol w:w="934"/>
        <w:gridCol w:w="115"/>
        <w:gridCol w:w="598"/>
        <w:gridCol w:w="606"/>
        <w:gridCol w:w="1016"/>
        <w:gridCol w:w="155"/>
        <w:gridCol w:w="744"/>
        <w:gridCol w:w="346"/>
        <w:gridCol w:w="556"/>
        <w:gridCol w:w="456"/>
        <w:gridCol w:w="94"/>
        <w:gridCol w:w="170"/>
        <w:gridCol w:w="551"/>
        <w:gridCol w:w="100"/>
        <w:gridCol w:w="706"/>
      </w:tblGrid>
      <w:tr>
        <w:trPr>
          <w:trHeight w:val="357" w:hRule="exact"/>
        </w:trPr>
        <w:tc>
          <w:tcPr>
            <w:tcW w:w="1613" w:type="dxa"/>
            <w:vMerge w:val="restart"/>
            <w:tcBorders>
              <w:top w:val="single" w:sz="4" w:space="0" w:color="000000"/>
              <w:left w:val="single" w:sz="4" w:space="0" w:color="000000"/>
              <w:right w:val="single" w:sz="4" w:space="0" w:color="000000"/>
            </w:tcBorders>
            <w:shd w:val="clear" w:color="auto" w:fill="D3D3D3"/>
          </w:tcPr>
          <w:p>
            <w:pPr/>
          </w:p>
        </w:tc>
        <w:tc>
          <w:tcPr>
            <w:tcW w:w="9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0"/>
              <w:ind w:left="282" w:right="10" w:hanging="270"/>
              <w:jc w:val="left"/>
              <w:rPr>
                <w:rFonts w:ascii="宋体" w:hAnsi="宋体" w:cs="宋体" w:eastAsia="宋体" w:hint="default"/>
                <w:sz w:val="18"/>
                <w:szCs w:val="18"/>
              </w:rPr>
            </w:pPr>
            <w:r>
              <w:rPr>
                <w:rFonts w:ascii="宋体" w:hAnsi="宋体" w:cs="宋体" w:eastAsia="宋体" w:hint="default"/>
                <w:sz w:val="18"/>
                <w:szCs w:val="18"/>
              </w:rPr>
              <w:t>关公告披露 日期</w:t>
            </w:r>
          </w:p>
        </w:tc>
        <w:tc>
          <w:tcPr>
            <w:tcW w:w="934" w:type="dxa"/>
            <w:vMerge w:val="restart"/>
            <w:tcBorders>
              <w:top w:val="single" w:sz="4" w:space="0" w:color="000000"/>
              <w:left w:val="single" w:sz="4" w:space="0" w:color="000000"/>
              <w:right w:val="single" w:sz="4" w:space="0" w:color="000000"/>
            </w:tcBorders>
            <w:shd w:val="clear" w:color="auto" w:fill="D3D3D3"/>
          </w:tcPr>
          <w:p>
            <w:pPr/>
          </w:p>
        </w:tc>
        <w:tc>
          <w:tcPr>
            <w:tcW w:w="1319" w:type="dxa"/>
            <w:gridSpan w:val="3"/>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71" w:type="dxa"/>
            <w:gridSpan w:val="2"/>
            <w:vMerge w:val="restart"/>
            <w:tcBorders>
              <w:top w:val="single" w:sz="4" w:space="0" w:color="000000"/>
              <w:left w:val="single" w:sz="4" w:space="0" w:color="000000"/>
              <w:right w:val="single" w:sz="4" w:space="0" w:color="000000"/>
            </w:tcBorders>
            <w:shd w:val="clear" w:color="auto" w:fill="D3D3D3"/>
          </w:tcPr>
          <w:p>
            <w:pPr/>
          </w:p>
        </w:tc>
        <w:tc>
          <w:tcPr>
            <w:tcW w:w="1090" w:type="dxa"/>
            <w:gridSpan w:val="2"/>
            <w:vMerge w:val="restart"/>
            <w:tcBorders>
              <w:top w:val="single" w:sz="4" w:space="0" w:color="000000"/>
              <w:left w:val="single" w:sz="4" w:space="0" w:color="000000"/>
              <w:right w:val="single" w:sz="4" w:space="0" w:color="000000"/>
            </w:tcBorders>
            <w:shd w:val="clear" w:color="auto" w:fill="D3D3D3"/>
          </w:tcPr>
          <w:p>
            <w:pPr/>
          </w:p>
        </w:tc>
        <w:tc>
          <w:tcPr>
            <w:tcW w:w="1012" w:type="dxa"/>
            <w:gridSpan w:val="2"/>
            <w:vMerge w:val="restart"/>
            <w:tcBorders>
              <w:top w:val="single" w:sz="4" w:space="0" w:color="000000"/>
              <w:left w:val="single" w:sz="4" w:space="0" w:color="000000"/>
              <w:right w:val="single" w:sz="4" w:space="0" w:color="000000"/>
            </w:tcBorders>
            <w:shd w:val="clear" w:color="auto" w:fill="D3D3D3"/>
          </w:tcPr>
          <w:p>
            <w:pPr/>
          </w:p>
        </w:tc>
        <w:tc>
          <w:tcPr>
            <w:tcW w:w="815" w:type="dxa"/>
            <w:gridSpan w:val="3"/>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8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32"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319" w:lineRule="auto" w:before="76"/>
              <w:ind w:left="212" w:right="131" w:hanging="90"/>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312" w:hRule="exact"/>
        </w:trPr>
        <w:tc>
          <w:tcPr>
            <w:tcW w:w="1613" w:type="dxa"/>
            <w:vMerge/>
            <w:tcBorders>
              <w:left w:val="single" w:sz="4" w:space="0" w:color="000000"/>
              <w:right w:val="single" w:sz="4" w:space="0" w:color="000000"/>
            </w:tcBorders>
            <w:shd w:val="clear" w:color="auto" w:fill="D3D3D3"/>
          </w:tcPr>
          <w:p>
            <w:pPr/>
          </w:p>
        </w:tc>
        <w:tc>
          <w:tcPr>
            <w:tcW w:w="935" w:type="dxa"/>
            <w:gridSpan w:val="2"/>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c>
          <w:tcPr>
            <w:tcW w:w="1319" w:type="dxa"/>
            <w:gridSpan w:val="3"/>
            <w:vMerge w:val="restart"/>
            <w:tcBorders>
              <w:top w:val="nil" w:sz="6" w:space="0" w:color="auto"/>
              <w:left w:val="single" w:sz="4" w:space="0" w:color="000000"/>
              <w:right w:val="single" w:sz="4" w:space="0" w:color="000000"/>
            </w:tcBorders>
            <w:shd w:val="clear" w:color="auto" w:fill="D3D3D3"/>
          </w:tcPr>
          <w:p>
            <w:pPr/>
          </w:p>
        </w:tc>
        <w:tc>
          <w:tcPr>
            <w:tcW w:w="1171" w:type="dxa"/>
            <w:gridSpan w:val="2"/>
            <w:vMerge/>
            <w:tcBorders>
              <w:left w:val="single" w:sz="4" w:space="0" w:color="000000"/>
              <w:right w:val="single" w:sz="4" w:space="0" w:color="000000"/>
            </w:tcBorders>
            <w:shd w:val="clear" w:color="auto" w:fill="D3D3D3"/>
          </w:tcPr>
          <w:p>
            <w:pPr/>
          </w:p>
        </w:tc>
        <w:tc>
          <w:tcPr>
            <w:tcW w:w="1090" w:type="dxa"/>
            <w:gridSpan w:val="2"/>
            <w:vMerge/>
            <w:tcBorders>
              <w:left w:val="single" w:sz="4" w:space="0" w:color="000000"/>
              <w:right w:val="single" w:sz="4" w:space="0" w:color="000000"/>
            </w:tcBorders>
            <w:shd w:val="clear" w:color="auto" w:fill="D3D3D3"/>
          </w:tcPr>
          <w:p>
            <w:pPr/>
          </w:p>
        </w:tc>
        <w:tc>
          <w:tcPr>
            <w:tcW w:w="1012" w:type="dxa"/>
            <w:gridSpan w:val="2"/>
            <w:vMerge/>
            <w:tcBorders>
              <w:left w:val="single" w:sz="4" w:space="0" w:color="000000"/>
              <w:right w:val="single" w:sz="4" w:space="0" w:color="000000"/>
            </w:tcBorders>
            <w:shd w:val="clear" w:color="auto" w:fill="D3D3D3"/>
          </w:tcPr>
          <w:p>
            <w:pPr/>
          </w:p>
        </w:tc>
        <w:tc>
          <w:tcPr>
            <w:tcW w:w="815" w:type="dxa"/>
            <w:gridSpan w:val="3"/>
            <w:vMerge w:val="restart"/>
            <w:tcBorders>
              <w:top w:val="nil" w:sz="6" w:space="0" w:color="auto"/>
              <w:left w:val="single" w:sz="4" w:space="0" w:color="000000"/>
              <w:right w:val="single" w:sz="4" w:space="0" w:color="000000"/>
            </w:tcBorders>
            <w:shd w:val="clear" w:color="auto" w:fill="D3D3D3"/>
          </w:tcPr>
          <w:p>
            <w:pPr/>
          </w:p>
        </w:tc>
        <w:tc>
          <w:tcPr>
            <w:tcW w:w="805" w:type="dxa"/>
            <w:gridSpan w:val="2"/>
            <w:vMerge/>
            <w:tcBorders>
              <w:left w:val="single" w:sz="4" w:space="0" w:color="000000"/>
              <w:right w:val="single" w:sz="4" w:space="0" w:color="000000"/>
            </w:tcBorders>
            <w:shd w:val="clear" w:color="auto" w:fill="D3D3D3"/>
          </w:tcPr>
          <w:p>
            <w:pPr/>
          </w:p>
        </w:tc>
      </w:tr>
      <w:tr>
        <w:trPr>
          <w:trHeight w:val="318" w:hRule="exact"/>
        </w:trPr>
        <w:tc>
          <w:tcPr>
            <w:tcW w:w="1613" w:type="dxa"/>
            <w:vMerge/>
            <w:tcBorders>
              <w:left w:val="single" w:sz="4" w:space="0" w:color="000000"/>
              <w:bottom w:val="single" w:sz="4" w:space="0" w:color="000000"/>
              <w:right w:val="single" w:sz="4" w:space="0" w:color="000000"/>
            </w:tcBorders>
            <w:shd w:val="clear" w:color="auto" w:fill="D3D3D3"/>
          </w:tcPr>
          <w:p>
            <w:pPr/>
          </w:p>
        </w:tc>
        <w:tc>
          <w:tcPr>
            <w:tcW w:w="93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319" w:type="dxa"/>
            <w:gridSpan w:val="3"/>
            <w:vMerge/>
            <w:tcBorders>
              <w:left w:val="single" w:sz="4" w:space="0" w:color="000000"/>
              <w:bottom w:val="single" w:sz="4" w:space="0" w:color="000000"/>
              <w:right w:val="single" w:sz="4" w:space="0" w:color="000000"/>
            </w:tcBorders>
            <w:shd w:val="clear" w:color="auto" w:fill="D3D3D3"/>
          </w:tcPr>
          <w:p>
            <w:pPr/>
          </w:p>
        </w:tc>
        <w:tc>
          <w:tcPr>
            <w:tcW w:w="1171" w:type="dxa"/>
            <w:gridSpan w:val="2"/>
            <w:vMerge/>
            <w:tcBorders>
              <w:left w:val="single" w:sz="4" w:space="0" w:color="000000"/>
              <w:bottom w:val="single" w:sz="4" w:space="0" w:color="000000"/>
              <w:right w:val="single" w:sz="4" w:space="0" w:color="000000"/>
            </w:tcBorders>
            <w:shd w:val="clear" w:color="auto" w:fill="D3D3D3"/>
          </w:tcPr>
          <w:p>
            <w:pPr/>
          </w:p>
        </w:tc>
        <w:tc>
          <w:tcPr>
            <w:tcW w:w="1090" w:type="dxa"/>
            <w:gridSpan w:val="2"/>
            <w:vMerge/>
            <w:tcBorders>
              <w:left w:val="single" w:sz="4" w:space="0" w:color="000000"/>
              <w:bottom w:val="single" w:sz="4" w:space="0" w:color="000000"/>
              <w:right w:val="single" w:sz="4" w:space="0" w:color="000000"/>
            </w:tcBorders>
            <w:shd w:val="clear" w:color="auto" w:fill="D3D3D3"/>
          </w:tcPr>
          <w:p>
            <w:pPr/>
          </w:p>
        </w:tc>
        <w:tc>
          <w:tcPr>
            <w:tcW w:w="1012" w:type="dxa"/>
            <w:gridSpan w:val="2"/>
            <w:vMerge/>
            <w:tcBorders>
              <w:left w:val="single" w:sz="4" w:space="0" w:color="000000"/>
              <w:bottom w:val="single" w:sz="4" w:space="0" w:color="000000"/>
              <w:right w:val="single" w:sz="4" w:space="0" w:color="000000"/>
            </w:tcBorders>
            <w:shd w:val="clear" w:color="auto" w:fill="D3D3D3"/>
          </w:tcPr>
          <w:p>
            <w:pPr/>
          </w:p>
        </w:tc>
        <w:tc>
          <w:tcPr>
            <w:tcW w:w="815" w:type="dxa"/>
            <w:gridSpan w:val="3"/>
            <w:vMerge/>
            <w:tcBorders>
              <w:left w:val="single" w:sz="4" w:space="0" w:color="000000"/>
              <w:bottom w:val="single" w:sz="4" w:space="0" w:color="000000"/>
              <w:right w:val="single" w:sz="4" w:space="0" w:color="000000"/>
            </w:tcBorders>
            <w:shd w:val="clear" w:color="auto" w:fill="D3D3D3"/>
          </w:tcPr>
          <w:p>
            <w:pPr/>
          </w:p>
        </w:tc>
        <w:tc>
          <w:tcPr>
            <w:tcW w:w="805"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9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204"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33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526"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204"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33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526"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694" w:type="dxa"/>
            <w:gridSpan w:val="1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17" w:hRule="exact"/>
        </w:trPr>
        <w:tc>
          <w:tcPr>
            <w:tcW w:w="1848" w:type="dxa"/>
            <w:gridSpan w:val="2"/>
            <w:vMerge w:val="restart"/>
            <w:tcBorders>
              <w:top w:val="single" w:sz="4" w:space="0" w:color="000000"/>
              <w:left w:val="single" w:sz="4" w:space="0" w:color="000000"/>
              <w:right w:val="single" w:sz="4" w:space="0" w:color="000000"/>
            </w:tcBorders>
            <w:shd w:val="clear" w:color="auto" w:fill="D3D3D3"/>
          </w:tcPr>
          <w:p>
            <w:pPr/>
          </w:p>
        </w:tc>
        <w:tc>
          <w:tcPr>
            <w:tcW w:w="163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1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62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9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01" w:type="dxa"/>
            <w:gridSpan w:val="2"/>
            <w:vMerge w:val="restart"/>
            <w:tcBorders>
              <w:top w:val="single" w:sz="4" w:space="0" w:color="000000"/>
              <w:left w:val="single" w:sz="4" w:space="0" w:color="000000"/>
              <w:right w:val="single" w:sz="4" w:space="0" w:color="000000"/>
            </w:tcBorders>
            <w:shd w:val="clear" w:color="auto" w:fill="D3D3D3"/>
          </w:tcPr>
          <w:p>
            <w:pPr/>
          </w:p>
        </w:tc>
        <w:tc>
          <w:tcPr>
            <w:tcW w:w="720" w:type="dxa"/>
            <w:gridSpan w:val="3"/>
            <w:vMerge w:val="restart"/>
            <w:tcBorders>
              <w:top w:val="single" w:sz="4" w:space="0" w:color="000000"/>
              <w:left w:val="single" w:sz="4" w:space="0" w:color="000000"/>
              <w:right w:val="single" w:sz="4" w:space="0" w:color="000000"/>
            </w:tcBorders>
            <w:shd w:val="clear" w:color="auto" w:fill="D3D3D3"/>
          </w:tcPr>
          <w:p>
            <w:pPr/>
          </w:p>
        </w:tc>
        <w:tc>
          <w:tcPr>
            <w:tcW w:w="65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0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2" w:right="20" w:firstLine="55"/>
              <w:jc w:val="both"/>
              <w:rPr>
                <w:rFonts w:ascii="宋体" w:hAnsi="宋体" w:cs="宋体" w:eastAsia="宋体" w:hint="default"/>
                <w:sz w:val="18"/>
                <w:szCs w:val="18"/>
              </w:rPr>
            </w:pPr>
            <w:r>
              <w:rPr>
                <w:rFonts w:ascii="宋体" w:hAnsi="宋体" w:cs="宋体" w:eastAsia="宋体" w:hint="default"/>
                <w:sz w:val="18"/>
                <w:szCs w:val="18"/>
              </w:rPr>
              <w:t>是否为 关联方 </w:t>
            </w:r>
            <w:r>
              <w:rPr>
                <w:rFonts w:ascii="宋体" w:hAnsi="宋体" w:cs="宋体" w:eastAsia="宋体" w:hint="default"/>
                <w:spacing w:val="-18"/>
                <w:sz w:val="18"/>
                <w:szCs w:val="18"/>
              </w:rPr>
              <w:t>担保（是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或否）</w:t>
            </w:r>
          </w:p>
        </w:tc>
      </w:tr>
      <w:tr>
        <w:trPr>
          <w:trHeight w:val="156" w:hRule="exact"/>
        </w:trPr>
        <w:tc>
          <w:tcPr>
            <w:tcW w:w="1848" w:type="dxa"/>
            <w:gridSpan w:val="2"/>
            <w:vMerge/>
            <w:tcBorders>
              <w:left w:val="single" w:sz="4" w:space="0" w:color="000000"/>
              <w:bottom w:val="nil" w:sz="6" w:space="0" w:color="auto"/>
              <w:right w:val="single" w:sz="4" w:space="0" w:color="000000"/>
            </w:tcBorders>
            <w:shd w:val="clear" w:color="auto" w:fill="D3D3D3"/>
          </w:tcPr>
          <w:p>
            <w:pPr/>
          </w:p>
        </w:tc>
        <w:tc>
          <w:tcPr>
            <w:tcW w:w="163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47" w:right="9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1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58" w:right="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2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46" w:right="20" w:hanging="423"/>
              <w:jc w:val="left"/>
              <w:rPr>
                <w:rFonts w:ascii="宋体" w:hAnsi="宋体" w:cs="宋体" w:eastAsia="宋体" w:hint="default"/>
                <w:sz w:val="18"/>
                <w:szCs w:val="18"/>
              </w:rPr>
            </w:pPr>
            <w:r>
              <w:rPr>
                <w:rFonts w:ascii="宋体" w:hAnsi="宋体" w:cs="宋体" w:eastAsia="宋体" w:hint="default"/>
                <w:spacing w:val="-6"/>
                <w:sz w:val="18"/>
                <w:szCs w:val="18"/>
              </w:rPr>
              <w:t>实际发生日期（协议</w:t>
            </w:r>
            <w:r>
              <w:rPr>
                <w:rFonts w:ascii="宋体" w:hAnsi="宋体" w:cs="宋体" w:eastAsia="宋体" w:hint="default"/>
                <w:sz w:val="18"/>
                <w:szCs w:val="18"/>
              </w:rPr>
              <w:t> 签署日）</w:t>
            </w:r>
          </w:p>
        </w:tc>
        <w:tc>
          <w:tcPr>
            <w:tcW w:w="89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01" w:type="dxa"/>
            <w:gridSpan w:val="2"/>
            <w:vMerge/>
            <w:tcBorders>
              <w:left w:val="single" w:sz="4" w:space="0" w:color="000000"/>
              <w:bottom w:val="nil" w:sz="6" w:space="0" w:color="auto"/>
              <w:right w:val="single" w:sz="4" w:space="0" w:color="000000"/>
            </w:tcBorders>
            <w:shd w:val="clear" w:color="auto" w:fill="D3D3D3"/>
          </w:tcPr>
          <w:p>
            <w:pPr/>
          </w:p>
        </w:tc>
        <w:tc>
          <w:tcPr>
            <w:tcW w:w="720" w:type="dxa"/>
            <w:gridSpan w:val="3"/>
            <w:vMerge/>
            <w:tcBorders>
              <w:left w:val="single" w:sz="4" w:space="0" w:color="000000"/>
              <w:bottom w:val="nil" w:sz="6" w:space="0" w:color="auto"/>
              <w:right w:val="single" w:sz="4" w:space="0" w:color="000000"/>
            </w:tcBorders>
            <w:shd w:val="clear" w:color="auto" w:fill="D3D3D3"/>
          </w:tcPr>
          <w:p>
            <w:pPr/>
          </w:p>
        </w:tc>
        <w:tc>
          <w:tcPr>
            <w:tcW w:w="65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9" w:right="4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06" w:type="dxa"/>
            <w:vMerge/>
            <w:tcBorders>
              <w:left w:val="single" w:sz="4" w:space="0" w:color="000000"/>
              <w:right w:val="single" w:sz="4" w:space="0" w:color="000000"/>
            </w:tcBorders>
            <w:shd w:val="clear" w:color="auto" w:fill="D3D3D3"/>
          </w:tcPr>
          <w:p>
            <w:pPr/>
          </w:p>
        </w:tc>
      </w:tr>
      <w:tr>
        <w:trPr>
          <w:trHeight w:val="392" w:hRule="exact"/>
        </w:trPr>
        <w:tc>
          <w:tcPr>
            <w:tcW w:w="184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7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34" w:type="dxa"/>
            <w:gridSpan w:val="2"/>
            <w:vMerge/>
            <w:tcBorders>
              <w:left w:val="single" w:sz="4" w:space="0" w:color="000000"/>
              <w:right w:val="single" w:sz="4" w:space="0" w:color="000000"/>
            </w:tcBorders>
            <w:shd w:val="clear" w:color="auto" w:fill="D3D3D3"/>
          </w:tcPr>
          <w:p>
            <w:pPr/>
          </w:p>
        </w:tc>
        <w:tc>
          <w:tcPr>
            <w:tcW w:w="713" w:type="dxa"/>
            <w:gridSpan w:val="2"/>
            <w:vMerge/>
            <w:tcBorders>
              <w:left w:val="single" w:sz="4" w:space="0" w:color="000000"/>
              <w:right w:val="single" w:sz="4" w:space="0" w:color="000000"/>
            </w:tcBorders>
            <w:shd w:val="clear" w:color="auto" w:fill="D3D3D3"/>
          </w:tcPr>
          <w:p>
            <w:pPr/>
          </w:p>
        </w:tc>
        <w:tc>
          <w:tcPr>
            <w:tcW w:w="1622" w:type="dxa"/>
            <w:gridSpan w:val="2"/>
            <w:vMerge/>
            <w:tcBorders>
              <w:left w:val="single" w:sz="4" w:space="0" w:color="000000"/>
              <w:right w:val="single" w:sz="4" w:space="0" w:color="000000"/>
            </w:tcBorders>
            <w:shd w:val="clear" w:color="auto" w:fill="D3D3D3"/>
          </w:tcPr>
          <w:p>
            <w:pPr/>
          </w:p>
        </w:tc>
        <w:tc>
          <w:tcPr>
            <w:tcW w:w="899" w:type="dxa"/>
            <w:gridSpan w:val="2"/>
            <w:vMerge/>
            <w:tcBorders>
              <w:left w:val="single" w:sz="4" w:space="0" w:color="000000"/>
              <w:right w:val="single" w:sz="4" w:space="0" w:color="000000"/>
            </w:tcBorders>
            <w:shd w:val="clear" w:color="auto" w:fill="D3D3D3"/>
          </w:tcPr>
          <w:p>
            <w:pPr/>
          </w:p>
        </w:tc>
        <w:tc>
          <w:tcPr>
            <w:tcW w:w="90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20"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650" w:type="dxa"/>
            <w:gridSpan w:val="2"/>
            <w:vMerge/>
            <w:tcBorders>
              <w:left w:val="single" w:sz="4" w:space="0" w:color="000000"/>
              <w:right w:val="single" w:sz="4" w:space="0" w:color="000000"/>
            </w:tcBorders>
            <w:shd w:val="clear" w:color="auto" w:fill="D3D3D3"/>
          </w:tcPr>
          <w:p>
            <w:pPr/>
          </w:p>
        </w:tc>
        <w:tc>
          <w:tcPr>
            <w:tcW w:w="706" w:type="dxa"/>
            <w:vMerge/>
            <w:tcBorders>
              <w:left w:val="single" w:sz="4" w:space="0" w:color="000000"/>
              <w:right w:val="single" w:sz="4" w:space="0" w:color="000000"/>
            </w:tcBorders>
            <w:shd w:val="clear" w:color="auto" w:fill="D3D3D3"/>
          </w:tcPr>
          <w:p>
            <w:pPr/>
          </w:p>
        </w:tc>
      </w:tr>
      <w:tr>
        <w:trPr>
          <w:trHeight w:val="156" w:hRule="exact"/>
        </w:trPr>
        <w:tc>
          <w:tcPr>
            <w:tcW w:w="1848" w:type="dxa"/>
            <w:gridSpan w:val="2"/>
            <w:vMerge w:val="restart"/>
            <w:tcBorders>
              <w:top w:val="nil" w:sz="6" w:space="0" w:color="auto"/>
              <w:left w:val="single" w:sz="4" w:space="0" w:color="000000"/>
              <w:right w:val="single" w:sz="4" w:space="0" w:color="000000"/>
            </w:tcBorders>
            <w:shd w:val="clear" w:color="auto" w:fill="D3D3D3"/>
          </w:tcPr>
          <w:p>
            <w:pPr/>
          </w:p>
        </w:tc>
        <w:tc>
          <w:tcPr>
            <w:tcW w:w="1634" w:type="dxa"/>
            <w:gridSpan w:val="2"/>
            <w:vMerge/>
            <w:tcBorders>
              <w:left w:val="single" w:sz="4" w:space="0" w:color="000000"/>
              <w:bottom w:val="nil" w:sz="6" w:space="0" w:color="auto"/>
              <w:right w:val="single" w:sz="4" w:space="0" w:color="000000"/>
            </w:tcBorders>
            <w:shd w:val="clear" w:color="auto" w:fill="D3D3D3"/>
          </w:tcPr>
          <w:p>
            <w:pPr/>
          </w:p>
        </w:tc>
        <w:tc>
          <w:tcPr>
            <w:tcW w:w="713" w:type="dxa"/>
            <w:gridSpan w:val="2"/>
            <w:vMerge/>
            <w:tcBorders>
              <w:left w:val="single" w:sz="4" w:space="0" w:color="000000"/>
              <w:bottom w:val="nil" w:sz="6" w:space="0" w:color="auto"/>
              <w:right w:val="single" w:sz="4" w:space="0" w:color="000000"/>
            </w:tcBorders>
            <w:shd w:val="clear" w:color="auto" w:fill="D3D3D3"/>
          </w:tcPr>
          <w:p>
            <w:pPr/>
          </w:p>
        </w:tc>
        <w:tc>
          <w:tcPr>
            <w:tcW w:w="1622" w:type="dxa"/>
            <w:gridSpan w:val="2"/>
            <w:vMerge/>
            <w:tcBorders>
              <w:left w:val="single" w:sz="4" w:space="0" w:color="000000"/>
              <w:bottom w:val="nil" w:sz="6" w:space="0" w:color="auto"/>
              <w:right w:val="single" w:sz="4" w:space="0" w:color="000000"/>
            </w:tcBorders>
            <w:shd w:val="clear" w:color="auto" w:fill="D3D3D3"/>
          </w:tcPr>
          <w:p>
            <w:pPr/>
          </w:p>
        </w:tc>
        <w:tc>
          <w:tcPr>
            <w:tcW w:w="899" w:type="dxa"/>
            <w:gridSpan w:val="2"/>
            <w:vMerge/>
            <w:tcBorders>
              <w:left w:val="single" w:sz="4" w:space="0" w:color="000000"/>
              <w:bottom w:val="nil" w:sz="6" w:space="0" w:color="auto"/>
              <w:right w:val="single" w:sz="4" w:space="0" w:color="000000"/>
            </w:tcBorders>
            <w:shd w:val="clear" w:color="auto" w:fill="D3D3D3"/>
          </w:tcPr>
          <w:p>
            <w:pPr/>
          </w:p>
        </w:tc>
        <w:tc>
          <w:tcPr>
            <w:tcW w:w="901" w:type="dxa"/>
            <w:gridSpan w:val="2"/>
            <w:vMerge w:val="restart"/>
            <w:tcBorders>
              <w:top w:val="nil" w:sz="6" w:space="0" w:color="auto"/>
              <w:left w:val="single" w:sz="4" w:space="0" w:color="000000"/>
              <w:right w:val="single" w:sz="4" w:space="0" w:color="000000"/>
            </w:tcBorders>
            <w:shd w:val="clear" w:color="auto" w:fill="D3D3D3"/>
          </w:tcPr>
          <w:p>
            <w:pPr/>
          </w:p>
        </w:tc>
        <w:tc>
          <w:tcPr>
            <w:tcW w:w="720" w:type="dxa"/>
            <w:gridSpan w:val="3"/>
            <w:vMerge w:val="restart"/>
            <w:tcBorders>
              <w:top w:val="nil" w:sz="6" w:space="0" w:color="auto"/>
              <w:left w:val="single" w:sz="4" w:space="0" w:color="000000"/>
              <w:right w:val="single" w:sz="4" w:space="0" w:color="000000"/>
            </w:tcBorders>
            <w:shd w:val="clear" w:color="auto" w:fill="D3D3D3"/>
          </w:tcPr>
          <w:p>
            <w:pPr/>
          </w:p>
        </w:tc>
        <w:tc>
          <w:tcPr>
            <w:tcW w:w="650" w:type="dxa"/>
            <w:gridSpan w:val="2"/>
            <w:vMerge/>
            <w:tcBorders>
              <w:left w:val="single" w:sz="4" w:space="0" w:color="000000"/>
              <w:bottom w:val="nil" w:sz="6" w:space="0" w:color="auto"/>
              <w:right w:val="single" w:sz="4" w:space="0" w:color="000000"/>
            </w:tcBorders>
            <w:shd w:val="clear" w:color="auto" w:fill="D3D3D3"/>
          </w:tcPr>
          <w:p>
            <w:pPr/>
          </w:p>
        </w:tc>
        <w:tc>
          <w:tcPr>
            <w:tcW w:w="706" w:type="dxa"/>
            <w:vMerge/>
            <w:tcBorders>
              <w:left w:val="single" w:sz="4" w:space="0" w:color="000000"/>
              <w:right w:val="single" w:sz="4" w:space="0" w:color="000000"/>
            </w:tcBorders>
            <w:shd w:val="clear" w:color="auto" w:fill="D3D3D3"/>
          </w:tcPr>
          <w:p>
            <w:pPr/>
          </w:p>
        </w:tc>
      </w:tr>
      <w:tr>
        <w:trPr>
          <w:trHeight w:val="317" w:hRule="exact"/>
        </w:trPr>
        <w:tc>
          <w:tcPr>
            <w:tcW w:w="1848" w:type="dxa"/>
            <w:gridSpan w:val="2"/>
            <w:vMerge/>
            <w:tcBorders>
              <w:left w:val="single" w:sz="4" w:space="0" w:color="000000"/>
              <w:bottom w:val="single" w:sz="4" w:space="0" w:color="000000"/>
              <w:right w:val="single" w:sz="4" w:space="0" w:color="000000"/>
            </w:tcBorders>
            <w:shd w:val="clear" w:color="auto" w:fill="D3D3D3"/>
          </w:tcPr>
          <w:p>
            <w:pPr/>
          </w:p>
        </w:tc>
        <w:tc>
          <w:tcPr>
            <w:tcW w:w="163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1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62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89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01" w:type="dxa"/>
            <w:gridSpan w:val="2"/>
            <w:vMerge/>
            <w:tcBorders>
              <w:left w:val="single" w:sz="4" w:space="0" w:color="000000"/>
              <w:bottom w:val="single" w:sz="4" w:space="0" w:color="000000"/>
              <w:right w:val="single" w:sz="4" w:space="0" w:color="000000"/>
            </w:tcBorders>
            <w:shd w:val="clear" w:color="auto" w:fill="D3D3D3"/>
          </w:tcPr>
          <w:p>
            <w:pPr/>
          </w:p>
        </w:tc>
        <w:tc>
          <w:tcPr>
            <w:tcW w:w="720" w:type="dxa"/>
            <w:gridSpan w:val="3"/>
            <w:vMerge/>
            <w:tcBorders>
              <w:left w:val="single" w:sz="4" w:space="0" w:color="000000"/>
              <w:bottom w:val="single" w:sz="4" w:space="0" w:color="000000"/>
              <w:right w:val="single" w:sz="4" w:space="0" w:color="000000"/>
            </w:tcBorders>
            <w:shd w:val="clear" w:color="auto" w:fill="D3D3D3"/>
          </w:tcPr>
          <w:p>
            <w:pPr/>
          </w:p>
        </w:tc>
        <w:tc>
          <w:tcPr>
            <w:tcW w:w="65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0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湛江晨鸣浆纸有限公 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45,800.55</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江西晨鸣纸业有限责 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45,000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江西晨鸣纸业有限责 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黄冈晨鸣林业发展有 限责任公司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16,000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2,000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黄冈晨鸣林业发展有 限责任公司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16,000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2,980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黄冈晨鸣林业发展有 限责任公司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3,000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黄冈晨鸣林业发展有 限责任公司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2,600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寿光美伦纸业有限责 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79,473</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65,369.2</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寿光美伦纸业有限责 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寿光晨鸣美术纸有限 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10,000</w:t>
            </w:r>
          </w:p>
        </w:tc>
        <w:tc>
          <w:tcPr>
            <w:tcW w:w="1622" w:type="dxa"/>
            <w:gridSpan w:val="2"/>
            <w:tcBorders>
              <w:top w:val="single" w:sz="4" w:space="0" w:color="000000"/>
              <w:left w:val="single" w:sz="4" w:space="0" w:color="000000"/>
              <w:bottom w:val="single" w:sz="4" w:space="0" w:color="000000"/>
              <w:right w:val="single" w:sz="4" w:space="0" w:color="000000"/>
            </w:tcBorders>
          </w:tcPr>
          <w:p>
            <w:pP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
        </w:tc>
        <w:tc>
          <w:tcPr>
            <w:tcW w:w="650"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吉林晨鸣纸业有限责 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15,000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山东晨鸣纸业集团齐 河板纸有限责任公司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w:t>
            </w:r>
          </w:p>
        </w:tc>
        <w:tc>
          <w:tcPr>
            <w:tcW w:w="1622" w:type="dxa"/>
            <w:gridSpan w:val="2"/>
            <w:tcBorders>
              <w:top w:val="single" w:sz="4" w:space="0" w:color="000000"/>
              <w:left w:val="single" w:sz="4" w:space="0" w:color="000000"/>
              <w:bottom w:val="single" w:sz="4" w:space="0" w:color="000000"/>
              <w:right w:val="single" w:sz="4" w:space="0" w:color="000000"/>
            </w:tcBorders>
          </w:tcPr>
          <w:p>
            <w:pP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50,000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50,000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山东晨鸣纸业销售有 限公司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400,000</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318,548.36</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延边晨鸣纸业有限公 司</w:t>
            </w:r>
          </w:p>
        </w:tc>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30,000</w:t>
            </w:r>
          </w:p>
        </w:tc>
        <w:tc>
          <w:tcPr>
            <w:tcW w:w="1622" w:type="dxa"/>
            <w:gridSpan w:val="2"/>
            <w:tcBorders>
              <w:top w:val="single" w:sz="4" w:space="0" w:color="000000"/>
              <w:left w:val="single" w:sz="4" w:space="0" w:color="000000"/>
              <w:bottom w:val="single" w:sz="4" w:space="0" w:color="000000"/>
              <w:right w:val="single" w:sz="4" w:space="0" w:color="000000"/>
            </w:tcBorders>
          </w:tcPr>
          <w:p>
            <w:pP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gridSpan w:val="3"/>
            <w:tcBorders>
              <w:top w:val="single" w:sz="4" w:space="0" w:color="000000"/>
              <w:left w:val="single" w:sz="4" w:space="0" w:color="000000"/>
              <w:bottom w:val="single" w:sz="4" w:space="0" w:color="000000"/>
              <w:right w:val="single" w:sz="4" w:space="0" w:color="000000"/>
            </w:tcBorders>
          </w:tcPr>
          <w:p>
            <w:pPr/>
          </w:p>
        </w:tc>
        <w:tc>
          <w:tcPr>
            <w:tcW w:w="650"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89.119995pt;margin-top:107.610001pt;width:49.5pt;height:20.8pt;mso-position-horizontal-relative:page;mso-position-vertical-relative:page;z-index:-1371328" coordorigin="9782,2152" coordsize="990,416">
            <v:group style="position:absolute;left:9794;top:2164;width:2;height:393" coordorigin="9794,2164" coordsize="2,393">
              <v:shape style="position:absolute;left:9794;top:2164;width:2;height:393" coordorigin="9794,2164" coordsize="0,393" path="m9794,2164l9794,2556e" filled="false" stroked="true" strokeweight="1.140pt" strokecolor="#ffffff">
                <v:path arrowok="t"/>
              </v:shape>
            </v:group>
            <v:group style="position:absolute;left:9805;top:2164;width:968;height:393" coordorigin="9805,2164" coordsize="968,393">
              <v:shape style="position:absolute;left:9805;top:2164;width:968;height:393" coordorigin="9805,2164" coordsize="968,393" path="m9805,2556l10772,2556,10772,2164,9805,2164,9805,255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837"/>
        <w:gridCol w:w="1627"/>
        <w:gridCol w:w="508"/>
        <w:gridCol w:w="212"/>
        <w:gridCol w:w="881"/>
        <w:gridCol w:w="742"/>
        <w:gridCol w:w="143"/>
        <w:gridCol w:w="755"/>
        <w:gridCol w:w="901"/>
        <w:gridCol w:w="720"/>
        <w:gridCol w:w="328"/>
        <w:gridCol w:w="323"/>
        <w:gridCol w:w="706"/>
      </w:tblGrid>
      <w:tr>
        <w:trPr>
          <w:trHeight w:val="714"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193"/>
              <w:jc w:val="left"/>
              <w:rPr>
                <w:rFonts w:ascii="宋体" w:hAnsi="宋体" w:cs="宋体" w:eastAsia="宋体" w:hint="default"/>
                <w:sz w:val="18"/>
                <w:szCs w:val="18"/>
              </w:rPr>
            </w:pPr>
            <w:r>
              <w:rPr>
                <w:rFonts w:ascii="宋体" w:hAnsi="宋体" w:cs="宋体" w:eastAsia="宋体" w:hint="default"/>
                <w:sz w:val="18"/>
                <w:szCs w:val="18"/>
              </w:rPr>
              <w:t>寿光晨鸣进出口贸易 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200,000</w:t>
            </w:r>
          </w:p>
        </w:tc>
        <w:tc>
          <w:tcPr>
            <w:tcW w:w="1622" w:type="dxa"/>
            <w:gridSpan w:val="2"/>
            <w:tcBorders>
              <w:top w:val="single" w:sz="4" w:space="0" w:color="000000"/>
              <w:left w:val="single" w:sz="4" w:space="0" w:color="000000"/>
              <w:bottom w:val="single" w:sz="4" w:space="0" w:color="000000"/>
              <w:right w:val="single" w:sz="4" w:space="0" w:color="000000"/>
            </w:tcBorders>
          </w:tcPr>
          <w:p>
            <w:pPr/>
          </w:p>
        </w:tc>
        <w:tc>
          <w:tcPr>
            <w:tcW w:w="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720" w:type="dxa"/>
            <w:tcBorders>
              <w:top w:val="single" w:sz="4" w:space="0" w:color="000000"/>
              <w:left w:val="single" w:sz="4" w:space="0" w:color="000000"/>
              <w:bottom w:val="single" w:sz="4" w:space="0" w:color="000000"/>
              <w:right w:val="single" w:sz="4" w:space="0" w:color="000000"/>
            </w:tcBorders>
          </w:tcPr>
          <w:p>
            <w:pPr/>
          </w:p>
        </w:tc>
        <w:tc>
          <w:tcPr>
            <w:tcW w:w="650"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09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670,000</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656,507.84</w:t>
            </w:r>
          </w:p>
        </w:tc>
      </w:tr>
      <w:tr>
        <w:trPr>
          <w:trHeight w:val="402" w:hRule="exact"/>
        </w:trPr>
        <w:tc>
          <w:tcPr>
            <w:tcW w:w="39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1,815,473</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525,298.11</w:t>
            </w:r>
          </w:p>
        </w:tc>
      </w:tr>
      <w:tr>
        <w:trPr>
          <w:trHeight w:val="402" w:hRule="exact"/>
        </w:trPr>
        <w:tc>
          <w:tcPr>
            <w:tcW w:w="968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39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093"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670,000</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0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656,507.84</w:t>
            </w:r>
          </w:p>
        </w:tc>
      </w:tr>
      <w:tr>
        <w:trPr>
          <w:trHeight w:val="402" w:hRule="exact"/>
        </w:trPr>
        <w:tc>
          <w:tcPr>
            <w:tcW w:w="39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093"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1,815,473</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0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525,298.11</w:t>
            </w:r>
          </w:p>
        </w:tc>
      </w:tr>
      <w:tr>
        <w:trPr>
          <w:trHeight w:val="402" w:hRule="exact"/>
        </w:trPr>
        <w:tc>
          <w:tcPr>
            <w:tcW w:w="506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18" w:type="dxa"/>
            <w:gridSpan w:val="8"/>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38.18%</w:t>
            </w:r>
          </w:p>
        </w:tc>
      </w:tr>
      <w:tr>
        <w:trPr>
          <w:trHeight w:val="402" w:hRule="exact"/>
        </w:trPr>
        <w:tc>
          <w:tcPr>
            <w:tcW w:w="968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443,917.56</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81,380.55</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525,298.11</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95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3733" w:type="dxa"/>
            <w:gridSpan w:val="6"/>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51"/>
        <w:ind w:left="153" w:right="7071"/>
        <w:jc w:val="left"/>
      </w:pPr>
      <w:r>
        <w:rPr/>
        <w:t>采用复合方式担保的具体情况说明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70"/>
        <w:gridCol w:w="869"/>
        <w:gridCol w:w="599"/>
        <w:gridCol w:w="718"/>
        <w:gridCol w:w="716"/>
        <w:gridCol w:w="539"/>
        <w:gridCol w:w="718"/>
        <w:gridCol w:w="539"/>
        <w:gridCol w:w="539"/>
        <w:gridCol w:w="718"/>
        <w:gridCol w:w="2870"/>
      </w:tblGrid>
      <w:tr>
        <w:trPr>
          <w:trHeight w:val="2274"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68" w:right="68"/>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2" w:right="20" w:hanging="2"/>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45"/>
                <w:sz w:val="18"/>
                <w:szCs w:val="18"/>
              </w:rPr>
              <w:t>元）（如</w:t>
            </w:r>
            <w:r>
              <w:rPr>
                <w:rFonts w:ascii="宋体" w:hAnsi="宋体" w:cs="宋体" w:eastAsia="宋体" w:hint="default"/>
                <w:sz w:val="18"/>
                <w:szCs w:val="18"/>
              </w:rPr>
              <w:t> 有）</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合同涉 及资产 的评估 </w:t>
            </w:r>
            <w:r>
              <w:rPr>
                <w:rFonts w:ascii="宋体" w:hAnsi="宋体" w:cs="宋体" w:eastAsia="宋体" w:hint="default"/>
                <w:spacing w:val="-15"/>
                <w:sz w:val="18"/>
                <w:szCs w:val="18"/>
              </w:rPr>
              <w:t>价值（万</w:t>
            </w:r>
            <w:r>
              <w:rPr>
                <w:rFonts w:ascii="宋体" w:hAnsi="宋体" w:cs="宋体" w:eastAsia="宋体" w:hint="default"/>
                <w:sz w:val="18"/>
                <w:szCs w:val="18"/>
              </w:rPr>
              <w:t> </w:t>
            </w:r>
            <w:r>
              <w:rPr>
                <w:rFonts w:ascii="宋体" w:hAnsi="宋体" w:cs="宋体" w:eastAsia="宋体" w:hint="default"/>
                <w:spacing w:val="-23"/>
                <w:sz w:val="18"/>
                <w:szCs w:val="18"/>
              </w:rPr>
              <w:t>元）（如</w:t>
            </w:r>
            <w:r>
              <w:rPr>
                <w:rFonts w:ascii="宋体" w:hAnsi="宋体" w:cs="宋体" w:eastAsia="宋体" w:hint="default"/>
                <w:sz w:val="18"/>
                <w:szCs w:val="18"/>
              </w:rPr>
              <w:t> 有）</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82" w:right="83"/>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20"/>
              <w:ind w:left="22" w:right="-37"/>
              <w:jc w:val="left"/>
              <w:rPr>
                <w:rFonts w:ascii="宋体" w:hAnsi="宋体" w:cs="宋体" w:eastAsia="宋体" w:hint="default"/>
                <w:sz w:val="18"/>
                <w:szCs w:val="18"/>
              </w:rPr>
            </w:pPr>
            <w:r>
              <w:rPr>
                <w:rFonts w:ascii="宋体" w:hAnsi="宋体" w:cs="宋体" w:eastAsia="宋体" w:hint="default"/>
                <w:sz w:val="18"/>
                <w:szCs w:val="18"/>
              </w:rPr>
              <w:t>（如有）</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20" w:hanging="2"/>
              <w:jc w:val="center"/>
              <w:rPr>
                <w:rFonts w:ascii="宋体" w:hAnsi="宋体" w:cs="宋体" w:eastAsia="宋体" w:hint="default"/>
                <w:sz w:val="18"/>
                <w:szCs w:val="18"/>
              </w:rPr>
            </w:pPr>
            <w:r>
              <w:rPr>
                <w:rFonts w:ascii="宋体" w:hAnsi="宋体" w:cs="宋体" w:eastAsia="宋体" w:hint="default"/>
                <w:sz w:val="18"/>
                <w:szCs w:val="18"/>
              </w:rPr>
              <w:t>评估 基准 </w:t>
            </w:r>
            <w:r>
              <w:rPr>
                <w:rFonts w:ascii="宋体" w:hAnsi="宋体" w:cs="宋体" w:eastAsia="宋体" w:hint="default"/>
                <w:spacing w:val="-19"/>
                <w:sz w:val="18"/>
                <w:szCs w:val="18"/>
              </w:rPr>
              <w:t>日（如</w:t>
            </w:r>
            <w:r>
              <w:rPr>
                <w:rFonts w:ascii="宋体" w:hAnsi="宋体" w:cs="宋体" w:eastAsia="宋体" w:hint="default"/>
                <w:sz w:val="18"/>
                <w:szCs w:val="18"/>
              </w:rPr>
              <w:t> 有）</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63" w:right="83"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83" w:right="83"/>
              <w:jc w:val="left"/>
              <w:rPr>
                <w:rFonts w:ascii="宋体" w:hAnsi="宋体" w:cs="宋体" w:eastAsia="宋体" w:hint="default"/>
                <w:sz w:val="18"/>
                <w:szCs w:val="18"/>
              </w:rPr>
            </w:pPr>
            <w:r>
              <w:rPr>
                <w:rFonts w:ascii="宋体" w:hAnsi="宋体" w:cs="宋体" w:eastAsia="宋体" w:hint="default"/>
                <w:sz w:val="18"/>
                <w:szCs w:val="18"/>
              </w:rPr>
              <w:t>（万 元）</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83" w:right="83"/>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62" w:right="8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2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截至报告期末的执行情况</w:t>
            </w:r>
          </w:p>
        </w:tc>
      </w:tr>
      <w:tr>
        <w:trPr>
          <w:trHeight w:val="362" w:hRule="exact"/>
        </w:trPr>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599"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2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日，广东慧锐收到</w:t>
            </w:r>
          </w:p>
        </w:tc>
      </w:tr>
      <w:tr>
        <w:trPr>
          <w:trHeight w:val="306" w:hRule="exact"/>
        </w:trPr>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湛江市代建项目管理局发来的《委托</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，将湛江市海东新区岸线和滩涂</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广东慧锐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湛江市代</w:t>
            </w: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综合治理工程</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建设项目第二标段</w:t>
            </w:r>
          </w:p>
        </w:tc>
      </w:tr>
      <w:tr>
        <w:trPr>
          <w:trHeight w:val="308"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建项目管</w:t>
            </w: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的融资和建设任务委托给广东慧锐</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理局</w:t>
            </w: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投资有限公司牵头组成的联合体（联</w:t>
            </w:r>
          </w:p>
        </w:tc>
      </w:tr>
      <w:tr>
        <w:trPr>
          <w:trHeight w:val="311" w:hRule="exact"/>
        </w:trPr>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合体其他成员：广东宏大广航工程有</w:t>
            </w: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59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2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限公司、江苏新海港口工程有限公</w:t>
            </w:r>
          </w:p>
        </w:tc>
      </w:tr>
      <w:tr>
        <w:trPr>
          <w:trHeight w:val="357" w:hRule="exact"/>
        </w:trPr>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59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2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司）总承包</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r>
        <w:rPr/>
        <w:pict>
          <v:group style="position:absolute;margin-left:494.519989pt;margin-top:261pt;width:45.25pt;height:113.8pt;mso-position-horizontal-relative:page;mso-position-vertical-relative:page;z-index:-1371304" coordorigin="9890,5220" coordsize="905,2276">
            <v:group style="position:absolute;left:9902;top:7092;width:2;height:392" coordorigin="9902,7092" coordsize="2,392">
              <v:shape style="position:absolute;left:9902;top:7092;width:2;height:392" coordorigin="9902,7092" coordsize="0,392" path="m9902,7092l9902,7484e" filled="false" stroked="true" strokeweight="1.140pt" strokecolor="#ffffff">
                <v:path arrowok="t"/>
              </v:shape>
            </v:group>
            <v:group style="position:absolute;left:9890;top:5220;width:905;height:1872" coordorigin="9890,5220" coordsize="905,1872">
              <v:shape style="position:absolute;left:9890;top:5220;width:905;height:1872" coordorigin="9890,5220" coordsize="905,1872" path="m9890,7092l10795,7092,10795,5220,9890,5220,9890,7092xe" filled="true" fillcolor="#ffffff" stroked="false">
                <v:path arrowok="t"/>
                <v:fill type="solid"/>
              </v:shape>
            </v:group>
            <v:group style="position:absolute;left:9913;top:7092;width:860;height:393" coordorigin="9913,7092" coordsize="860,393">
              <v:shape style="position:absolute;left:9913;top:7092;width:860;height:393" coordorigin="9913,7092" coordsize="860,393" path="m9913,7484l10772,7484,10772,7092,9913,7092,9913,7484xe" filled="true" fillcolor="#ffffff" stroked="false">
                <v:path arrowok="t"/>
                <v:fill type="solid"/>
              </v:shape>
            </v:group>
            <w10:wrap type="none"/>
          </v:group>
        </w:pict>
      </w:r>
      <w:r>
        <w:rPr/>
        <w:pict>
          <v:group style="position:absolute;margin-left:494.519989pt;margin-top:468.299988pt;width:45.25pt;height:159.6pt;mso-position-horizontal-relative:page;mso-position-vertical-relative:page;z-index:-1371280" coordorigin="9890,9366" coordsize="905,3192">
            <v:group style="position:absolute;left:9902;top:12154;width:2;height:392" coordorigin="9902,12154" coordsize="2,392">
              <v:shape style="position:absolute;left:9902;top:12154;width:2;height:392" coordorigin="9902,12154" coordsize="0,392" path="m9902,12154l9902,12546e" filled="false" stroked="true" strokeweight="1.140pt" strokecolor="#ffffff">
                <v:path arrowok="t"/>
              </v:shape>
            </v:group>
            <v:group style="position:absolute;left:9890;top:9366;width:905;height:2788" coordorigin="9890,9366" coordsize="905,2788">
              <v:shape style="position:absolute;left:9890;top:9366;width:905;height:2788" coordorigin="9890,9366" coordsize="905,2788" path="m9890,12154l10795,12154,10795,9366,9890,9366,9890,12154xe" filled="true" fillcolor="#ffffff" stroked="false">
                <v:path arrowok="t"/>
                <v:fill type="solid"/>
              </v:shape>
            </v:group>
            <v:group style="position:absolute;left:9913;top:12154;width:860;height:393" coordorigin="9913,12154" coordsize="860,393">
              <v:shape style="position:absolute;left:9913;top:12154;width:860;height:393" coordorigin="9913,12154" coordsize="860,393" path="m9913,12546l10772,12546,10772,12154,9913,12154,9913,12546xe" filled="true" fillcolor="#ffffff" stroked="false">
                <v:path arrowok="t"/>
                <v:fill type="solid"/>
              </v:shape>
            </v:group>
            <w10:wrap type="none"/>
          </v:group>
        </w:pict>
      </w:r>
    </w:p>
    <w:p>
      <w:pPr>
        <w:pStyle w:val="Heading2"/>
        <w:spacing w:line="240" w:lineRule="auto" w:before="26"/>
        <w:ind w:right="0"/>
        <w:jc w:val="left"/>
        <w:rPr>
          <w:b w:val="0"/>
          <w:bCs w:val="0"/>
        </w:rPr>
      </w:pPr>
      <w:r>
        <w:rPr/>
        <w:t>七、承诺事项履行情况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464"/>
        <w:gridCol w:w="725"/>
        <w:gridCol w:w="4572"/>
        <w:gridCol w:w="920"/>
        <w:gridCol w:w="1098"/>
        <w:gridCol w:w="914"/>
      </w:tblGrid>
      <w:tr>
        <w:trPr>
          <w:trHeight w:val="402" w:hRule="exact"/>
        </w:trPr>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25" w:type="dxa"/>
            <w:tcBorders>
              <w:top w:val="single" w:sz="4" w:space="0" w:color="000000"/>
              <w:left w:val="single" w:sz="4" w:space="0" w:color="000000"/>
              <w:bottom w:val="single" w:sz="4" w:space="0" w:color="000000"/>
              <w:right w:val="single" w:sz="4" w:space="0" w:color="000000"/>
            </w:tcBorders>
          </w:tcPr>
          <w:p>
            <w:pPr/>
          </w:p>
        </w:tc>
        <w:tc>
          <w:tcPr>
            <w:tcW w:w="457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w:t>
            </w:r>
          </w:p>
        </w:tc>
        <w:tc>
          <w:tcPr>
            <w:tcW w:w="725" w:type="dxa"/>
            <w:vMerge w:val="restart"/>
            <w:tcBorders>
              <w:top w:val="single" w:sz="4" w:space="0" w:color="000000"/>
              <w:left w:val="single" w:sz="4" w:space="0" w:color="000000"/>
              <w:right w:val="single" w:sz="4" w:space="0" w:color="000000"/>
            </w:tcBorders>
          </w:tcPr>
          <w:p>
            <w:pPr/>
          </w:p>
        </w:tc>
        <w:tc>
          <w:tcPr>
            <w:tcW w:w="457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c>
          <w:tcPr>
            <w:tcW w:w="1098" w:type="dxa"/>
            <w:vMerge w:val="restart"/>
            <w:tcBorders>
              <w:top w:val="single" w:sz="4" w:space="0" w:color="000000"/>
              <w:left w:val="single" w:sz="4" w:space="0" w:color="000000"/>
              <w:right w:val="single" w:sz="4" w:space="0" w:color="000000"/>
            </w:tcBorders>
          </w:tcPr>
          <w:p>
            <w:pPr/>
          </w:p>
        </w:tc>
        <w:tc>
          <w:tcPr>
            <w:tcW w:w="914" w:type="dxa"/>
            <w:vMerge w:val="restart"/>
            <w:tcBorders>
              <w:top w:val="single" w:sz="4" w:space="0" w:color="000000"/>
              <w:left w:val="single" w:sz="4" w:space="0" w:color="000000"/>
              <w:right w:val="single" w:sz="4" w:space="0" w:color="000000"/>
            </w:tcBorders>
          </w:tcPr>
          <w:p>
            <w:pPr/>
          </w:p>
        </w:tc>
      </w:tr>
      <w:tr>
        <w:trPr>
          <w:trHeight w:val="312" w:hRule="exact"/>
        </w:trPr>
        <w:tc>
          <w:tcPr>
            <w:tcW w:w="14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益变动报告书中</w:t>
            </w:r>
          </w:p>
        </w:tc>
        <w:tc>
          <w:tcPr>
            <w:tcW w:w="725" w:type="dxa"/>
            <w:vMerge/>
            <w:tcBorders>
              <w:left w:val="single" w:sz="4" w:space="0" w:color="000000"/>
              <w:right w:val="single" w:sz="4" w:space="0" w:color="000000"/>
            </w:tcBorders>
          </w:tcPr>
          <w:p>
            <w:pPr/>
          </w:p>
        </w:tc>
        <w:tc>
          <w:tcPr>
            <w:tcW w:w="457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098"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r>
      <w:tr>
        <w:trPr>
          <w:trHeight w:val="357" w:hRule="exact"/>
        </w:trPr>
        <w:tc>
          <w:tcPr>
            <w:tcW w:w="14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725" w:type="dxa"/>
            <w:vMerge/>
            <w:tcBorders>
              <w:left w:val="single" w:sz="4" w:space="0" w:color="000000"/>
              <w:bottom w:val="single" w:sz="4" w:space="0" w:color="000000"/>
              <w:right w:val="single" w:sz="4" w:space="0" w:color="000000"/>
            </w:tcBorders>
          </w:tcPr>
          <w:p>
            <w:pPr/>
          </w:p>
        </w:tc>
        <w:tc>
          <w:tcPr>
            <w:tcW w:w="457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098"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725" w:type="dxa"/>
            <w:tcBorders>
              <w:top w:val="single" w:sz="4" w:space="0" w:color="000000"/>
              <w:left w:val="single" w:sz="4" w:space="0" w:color="000000"/>
              <w:bottom w:val="single" w:sz="4" w:space="0" w:color="000000"/>
              <w:right w:val="single" w:sz="4" w:space="0" w:color="000000"/>
            </w:tcBorders>
          </w:tcPr>
          <w:p>
            <w:pPr/>
          </w:p>
        </w:tc>
        <w:tc>
          <w:tcPr>
            <w:tcW w:w="457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64" w:type="dxa"/>
            <w:tcBorders>
              <w:top w:val="single" w:sz="4" w:space="0" w:color="000000"/>
              <w:left w:val="single" w:sz="4" w:space="0" w:color="000000"/>
              <w:bottom w:val="nil" w:sz="6" w:space="0" w:color="auto"/>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4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根据公司有关瑕疵物业规范计划，寿光晨鸣控股保证并</w:t>
            </w:r>
          </w:p>
        </w:tc>
        <w:tc>
          <w:tcPr>
            <w:tcW w:w="920" w:type="dxa"/>
            <w:tcBorders>
              <w:top w:val="single" w:sz="4" w:space="0" w:color="000000"/>
              <w:left w:val="single" w:sz="4" w:space="0" w:color="000000"/>
              <w:bottom w:val="nil" w:sz="6" w:space="0" w:color="auto"/>
              <w:right w:val="single" w:sz="4" w:space="0" w:color="000000"/>
            </w:tcBorders>
          </w:tcPr>
          <w:p>
            <w:pPr/>
          </w:p>
        </w:tc>
        <w:tc>
          <w:tcPr>
            <w:tcW w:w="1098"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64"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承诺：根据公司的申请，对于公司及其控股公司拥有的在</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寿光市行政区域内的瑕疵物业，如果公司决定转让处置该</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4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2" w:right="169"/>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150"/>
              <w:jc w:val="both"/>
              <w:rPr>
                <w:rFonts w:ascii="宋体" w:hAnsi="宋体" w:cs="宋体" w:eastAsia="宋体" w:hint="default"/>
                <w:sz w:val="18"/>
                <w:szCs w:val="18"/>
              </w:rPr>
            </w:pPr>
            <w:r>
              <w:rPr>
                <w:rFonts w:ascii="宋体" w:hAnsi="宋体" w:cs="宋体" w:eastAsia="宋体" w:hint="default"/>
                <w:sz w:val="18"/>
                <w:szCs w:val="18"/>
              </w:rPr>
              <w:t>公司控 股股东 寿光晨 鸣控股 有限公 司</w:t>
            </w: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等物业，且无其他买受人，寿光晨鸣控股将参照相关的资 </w:t>
            </w:r>
            <w:r>
              <w:rPr>
                <w:rFonts w:ascii="宋体" w:hAnsi="宋体" w:cs="宋体" w:eastAsia="宋体" w:hint="default"/>
                <w:spacing w:val="-1"/>
                <w:sz w:val="18"/>
                <w:szCs w:val="18"/>
              </w:rPr>
              <w:t>产评估结果依法购买受让该等瑕疵物业；</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在公司依法处</w:t>
            </w:r>
            <w:r>
              <w:rPr>
                <w:rFonts w:ascii="宋体" w:hAnsi="宋体" w:cs="宋体" w:eastAsia="宋体" w:hint="default"/>
                <w:spacing w:val="-78"/>
                <w:sz w:val="18"/>
                <w:szCs w:val="18"/>
              </w:rPr>
              <w:t> </w:t>
            </w:r>
            <w:r>
              <w:rPr>
                <w:rFonts w:ascii="宋体" w:hAnsi="宋体" w:cs="宋体" w:eastAsia="宋体" w:hint="default"/>
                <w:sz w:val="18"/>
                <w:szCs w:val="18"/>
              </w:rPr>
              <w:t>置转让该等瑕疵物业之前，如果因瑕疵事项导致公司有任 </w:t>
            </w:r>
            <w:r>
              <w:rPr>
                <w:rFonts w:ascii="宋体" w:hAnsi="宋体" w:cs="宋体" w:eastAsia="宋体" w:hint="default"/>
                <w:spacing w:val="-8"/>
                <w:sz w:val="18"/>
                <w:szCs w:val="18"/>
              </w:rPr>
              <w:t>何经济损失（包括但不限于赔款及罚款及搬迁成本等），则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该等经济损失将由寿光晨鸣控股据实承担；</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在公司之外</w:t>
            </w:r>
            <w:r>
              <w:rPr>
                <w:rFonts w:ascii="宋体" w:hAnsi="宋体" w:cs="宋体" w:eastAsia="宋体" w:hint="default"/>
                <w:spacing w:val="-78"/>
                <w:sz w:val="18"/>
                <w:szCs w:val="18"/>
              </w:rPr>
              <w:t> </w:t>
            </w:r>
            <w:r>
              <w:rPr>
                <w:rFonts w:ascii="宋体" w:hAnsi="宋体" w:cs="宋体" w:eastAsia="宋体" w:hint="default"/>
                <w:sz w:val="18"/>
                <w:szCs w:val="18"/>
              </w:rPr>
              <w:t>埠（暨寿光市行政区域外）的所属子公司的房屋、土地瑕 疵物业的规范过程中，因权证不全的瑕疵事项导致该等所</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00" w:lineRule="auto"/>
              <w:ind w:left="23" w:right="123"/>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股时 未明确期限</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19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464"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属子公司被行政主管机关处以罚款或被责令搬迁，则因此</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64"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产生该等相关经济损失，经核实后均由寿光晨鸣控股依法</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64" w:type="dxa"/>
            <w:tcBorders>
              <w:top w:val="nil" w:sz="6" w:space="0" w:color="auto"/>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4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据实全部承担。</w:t>
            </w:r>
          </w:p>
        </w:tc>
        <w:tc>
          <w:tcPr>
            <w:tcW w:w="920" w:type="dxa"/>
            <w:tcBorders>
              <w:top w:val="nil" w:sz="6" w:space="0" w:color="auto"/>
              <w:left w:val="single" w:sz="4" w:space="0" w:color="000000"/>
              <w:bottom w:val="single" w:sz="4" w:space="0" w:color="000000"/>
              <w:right w:val="single" w:sz="4" w:space="0" w:color="000000"/>
            </w:tcBorders>
          </w:tcPr>
          <w:p>
            <w:pPr/>
          </w:p>
        </w:tc>
        <w:tc>
          <w:tcPr>
            <w:tcW w:w="1098"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64" w:type="dxa"/>
            <w:vMerge w:val="restart"/>
            <w:tcBorders>
              <w:top w:val="single" w:sz="4" w:space="0" w:color="000000"/>
              <w:left w:val="single" w:sz="4" w:space="0" w:color="000000"/>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4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寿光晨鸣控股，无论单独、连同或代表其自身或其他人</w:t>
            </w:r>
          </w:p>
        </w:tc>
        <w:tc>
          <w:tcPr>
            <w:tcW w:w="920" w:type="dxa"/>
            <w:tcBorders>
              <w:top w:val="single" w:sz="4" w:space="0" w:color="000000"/>
              <w:left w:val="single" w:sz="4" w:space="0" w:color="000000"/>
              <w:bottom w:val="nil" w:sz="6" w:space="0" w:color="auto"/>
              <w:right w:val="single" w:sz="4" w:space="0" w:color="000000"/>
            </w:tcBorders>
          </w:tcPr>
          <w:p>
            <w:pPr/>
          </w:p>
        </w:tc>
        <w:tc>
          <w:tcPr>
            <w:tcW w:w="1098"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士或公司，不会及不会促使其联系人（定义见香港联交所</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《证券上市规则</w:t>
            </w:r>
            <w:r>
              <w:rPr>
                <w:rFonts w:ascii="宋体" w:hAnsi="宋体" w:cs="宋体" w:eastAsia="宋体" w:hint="default"/>
                <w:spacing w:val="-90"/>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从事或以其他方式参与任何公司及其子</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26"/>
                <w:sz w:val="18"/>
                <w:szCs w:val="18"/>
              </w:rPr>
              <w:t>司</w:t>
            </w:r>
            <w:r>
              <w:rPr>
                <w:rFonts w:ascii="宋体" w:hAnsi="宋体" w:cs="宋体" w:eastAsia="宋体" w:hint="default"/>
                <w:sz w:val="18"/>
                <w:szCs w:val="18"/>
              </w:rPr>
              <w:t>（以下简</w:t>
            </w:r>
            <w:r>
              <w:rPr>
                <w:rFonts w:ascii="宋体" w:hAnsi="宋体" w:cs="宋体" w:eastAsia="宋体" w:hint="default"/>
                <w:spacing w:val="-26"/>
                <w:sz w:val="18"/>
                <w:szCs w:val="18"/>
              </w:rPr>
              <w:t>称</w:t>
            </w:r>
            <w:r>
              <w:rPr>
                <w:rFonts w:ascii="宋体" w:hAnsi="宋体" w:cs="宋体" w:eastAsia="宋体" w:hint="default"/>
                <w:sz w:val="18"/>
                <w:szCs w:val="18"/>
              </w:rPr>
              <w:t>“晨鸣集团</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经营所在的任何国家和地区</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（或如属任何形式的电子业务，在世界任何地区）进行的</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业务直接或间接竞争，或有可能与晨鸣集团不时进行的业</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2" w:right="150"/>
              <w:jc w:val="left"/>
              <w:rPr>
                <w:rFonts w:ascii="宋体" w:hAnsi="宋体" w:cs="宋体" w:eastAsia="宋体" w:hint="default"/>
                <w:sz w:val="18"/>
                <w:szCs w:val="18"/>
              </w:rPr>
            </w:pPr>
            <w:r>
              <w:rPr>
                <w:rFonts w:ascii="宋体" w:hAnsi="宋体" w:cs="宋体" w:eastAsia="宋体" w:hint="default"/>
                <w:sz w:val="18"/>
                <w:szCs w:val="18"/>
              </w:rPr>
              <w:t>公司控 股股东</w:t>
            </w: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务存在直接或间接竞争的业务（包括但不限于独资经营、 合资经营或收购、直接或间接持有该等企业的权益或其他</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310" w:lineRule="atLeast" w:before="4"/>
              <w:ind w:left="22" w:right="150"/>
              <w:jc w:val="both"/>
              <w:rPr>
                <w:rFonts w:ascii="宋体" w:hAnsi="宋体" w:cs="宋体" w:eastAsia="宋体" w:hint="default"/>
                <w:sz w:val="18"/>
                <w:szCs w:val="18"/>
              </w:rPr>
            </w:pPr>
            <w:r>
              <w:rPr>
                <w:rFonts w:ascii="宋体" w:hAnsi="宋体" w:cs="宋体" w:eastAsia="宋体" w:hint="default"/>
                <w:sz w:val="18"/>
                <w:szCs w:val="18"/>
              </w:rPr>
              <w:t>寿光晨 鸣控股 有限公</w:t>
            </w: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形式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若因业务需要寿光晨鸣控股，无论单独、连同</w:t>
            </w:r>
          </w:p>
          <w:p>
            <w:pPr>
              <w:pStyle w:val="TableParagraph"/>
              <w:spacing w:line="316" w:lineRule="auto" w:before="63"/>
              <w:ind w:left="22" w:right="37"/>
              <w:jc w:val="left"/>
              <w:rPr>
                <w:rFonts w:ascii="宋体" w:hAnsi="宋体" w:cs="宋体" w:eastAsia="宋体" w:hint="default"/>
                <w:sz w:val="18"/>
                <w:szCs w:val="18"/>
              </w:rPr>
            </w:pPr>
            <w:r>
              <w:rPr>
                <w:rFonts w:ascii="宋体" w:hAnsi="宋体" w:cs="宋体" w:eastAsia="宋体" w:hint="default"/>
                <w:sz w:val="18"/>
                <w:szCs w:val="18"/>
              </w:rPr>
              <w:t>或代表其自身或其他人士或公司，从事与晨鸣集团存在直 接或间接竞争的业务时或得到任何与晨鸣集团业务有直接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8" w:type="dxa"/>
            <w:tcBorders>
              <w:top w:val="nil" w:sz="6" w:space="0" w:color="auto"/>
              <w:left w:val="single" w:sz="4" w:space="0" w:color="000000"/>
              <w:bottom w:val="nil" w:sz="6" w:space="0" w:color="auto"/>
              <w:right w:val="single" w:sz="4" w:space="0" w:color="000000"/>
            </w:tcBorders>
          </w:tcPr>
          <w:p>
            <w:pPr>
              <w:pStyle w:val="TableParagraph"/>
              <w:spacing w:line="300" w:lineRule="auto" w:before="79"/>
              <w:ind w:left="23" w:right="123"/>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股时 未明确期限</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196" w:lineRule="exact" w:before="79"/>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56"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或间接的任何商业机会时，寿光晨鸣控股尽力将促使晨鸣</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集团优先取得该等业务的经营权利或将获得该等商业机</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(3)</w:t>
            </w:r>
            <w:r>
              <w:rPr>
                <w:rFonts w:ascii="宋体" w:hAnsi="宋体" w:cs="宋体" w:eastAsia="宋体" w:hint="default"/>
                <w:sz w:val="18"/>
                <w:szCs w:val="18"/>
              </w:rPr>
              <w:t>如寿光晨鸣控股违反上述承诺，其将对因违反上述</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承诺而引起的任何损失作出弥偿。公司有权要求向寿光晨</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鸣控股以市场价格或成本价格（以价格较低者为准）收购</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寿光晨鸣控股所持有的与晨鸣集团业务存在直接或间接竞</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64" w:type="dxa"/>
            <w:vMerge/>
            <w:tcBorders>
              <w:left w:val="single" w:sz="4" w:space="0" w:color="000000"/>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4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争的企业或业务</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寿光晨鸣控股承诺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不会连同或代表其</w:t>
            </w:r>
          </w:p>
        </w:tc>
        <w:tc>
          <w:tcPr>
            <w:tcW w:w="920"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64" w:type="dxa"/>
            <w:vMerge/>
            <w:tcBorders>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4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他人士或公司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会利用其在公司的控股股东（定义见香港联</w:t>
            </w:r>
          </w:p>
        </w:tc>
        <w:tc>
          <w:tcPr>
            <w:tcW w:w="920" w:type="dxa"/>
            <w:tcBorders>
              <w:top w:val="nil" w:sz="6" w:space="0" w:color="auto"/>
              <w:left w:val="single" w:sz="4" w:space="0" w:color="000000"/>
              <w:bottom w:val="single" w:sz="4" w:space="0" w:color="000000"/>
              <w:right w:val="single" w:sz="4" w:space="0" w:color="000000"/>
            </w:tcBorders>
          </w:tcPr>
          <w:p>
            <w:pPr/>
          </w:p>
        </w:tc>
        <w:tc>
          <w:tcPr>
            <w:tcW w:w="1098"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1452"/>
        <w:gridCol w:w="737"/>
        <w:gridCol w:w="4572"/>
        <w:gridCol w:w="920"/>
        <w:gridCol w:w="1098"/>
        <w:gridCol w:w="914"/>
      </w:tblGrid>
      <w:tr>
        <w:trPr>
          <w:trHeight w:val="674" w:hRule="exact"/>
        </w:trPr>
        <w:tc>
          <w:tcPr>
            <w:tcW w:w="145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交所《证券上市规则》）地位损害晨鸣集团及其股东之合法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权益。</w:t>
            </w:r>
          </w:p>
        </w:tc>
        <w:tc>
          <w:tcPr>
            <w:tcW w:w="92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737" w:type="dxa"/>
            <w:tcBorders>
              <w:top w:val="single" w:sz="4" w:space="0" w:color="000000"/>
              <w:left w:val="single" w:sz="4" w:space="0" w:color="000000"/>
              <w:bottom w:val="single" w:sz="4" w:space="0" w:color="000000"/>
              <w:right w:val="single" w:sz="4" w:space="0" w:color="000000"/>
            </w:tcBorders>
          </w:tcPr>
          <w:p>
            <w:pPr/>
          </w:p>
        </w:tc>
        <w:tc>
          <w:tcPr>
            <w:tcW w:w="457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是否就导致的同 业竞争和关联交 易问题作出承诺</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股时，未明确期限</w:t>
            </w:r>
          </w:p>
        </w:tc>
      </w:tr>
      <w:tr>
        <w:trPr>
          <w:trHeight w:val="402"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实施中</w:t>
            </w:r>
          </w:p>
        </w:tc>
      </w:tr>
      <w:tr>
        <w:trPr>
          <w:trHeight w:val="402"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24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right="0"/>
        <w:jc w:val="left"/>
      </w:pPr>
      <w:r>
        <w:rPr/>
        <w:t>当期是否改聘会计师事务所</w:t>
      </w:r>
    </w:p>
    <w:p>
      <w:pPr>
        <w:pStyle w:val="BodyText"/>
        <w:spacing w:line="360" w:lineRule="auto" w:before="116"/>
        <w:ind w:left="153" w:right="5271"/>
        <w:jc w:val="left"/>
      </w:pPr>
      <w:r>
        <w:rPr/>
        <w:t>□ 是 √ 否 聘请内部控制审计会计师事务所、财务顾问或保荐人情况</w:t>
      </w:r>
    </w:p>
    <w:p>
      <w:pPr>
        <w:pStyle w:val="BodyText"/>
        <w:spacing w:line="348" w:lineRule="auto" w:before="26"/>
        <w:ind w:left="153" w:right="411"/>
        <w:jc w:val="left"/>
      </w:pPr>
      <w:r>
        <w:rPr/>
        <w:t>√ 适用 □ 不适用 本年度，公司聘请了中瑞岳华会计师事务所作为公司内部控制审计机构，期间共支付内部控制审计费用人民币</w:t>
      </w:r>
      <w:r>
        <w:rPr>
          <w:rFonts w:ascii="Times New Roman" w:hAnsi="Times New Roman" w:cs="Times New Roman" w:eastAsia="Times New Roman" w:hint="default"/>
        </w:rPr>
        <w:t>60</w:t>
      </w:r>
      <w:r>
        <w:rPr/>
        <w:t>万元； 本年度，公司因</w:t>
      </w:r>
      <w:r>
        <w:rPr>
          <w:rFonts w:ascii="Times New Roman" w:hAnsi="Times New Roman" w:cs="Times New Roman" w:eastAsia="Times New Roman" w:hint="default"/>
        </w:rPr>
        <w:t>B</w:t>
      </w:r>
      <w:r>
        <w:rPr/>
        <w:t>股回购事项，聘请西南证券为财务顾问，期间共支付财务顾问费人民币</w:t>
      </w:r>
      <w:r>
        <w:rPr>
          <w:rFonts w:ascii="Times New Roman" w:hAnsi="Times New Roman" w:cs="Times New Roman" w:eastAsia="Times New Roman" w:hint="default"/>
        </w:rPr>
        <w:t>10</w:t>
      </w:r>
      <w:r>
        <w:rPr/>
        <w:t>万元。</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r>
        <w:rPr/>
        <w:t>九、监事会、独立董事（如适用）对会计师事务所本报告期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报告期内，公司无受处罚情况。</w:t>
      </w:r>
    </w:p>
    <w:p>
      <w:pPr>
        <w:pStyle w:val="BodyText"/>
        <w:spacing w:line="240" w:lineRule="auto" w:before="116"/>
        <w:ind w:left="153" w:right="0"/>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71"/>
        <w:jc w:val="left"/>
        <w:rPr>
          <w:b w:val="0"/>
          <w:bCs w:val="0"/>
        </w:rPr>
      </w:pPr>
      <w:r>
        <w:rPr/>
        <w:t>十一、年度报告披露后面临暂停上市和终止上市情况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71"/>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271"/>
        <w:jc w:val="left"/>
        <w:rPr>
          <w:b w:val="0"/>
          <w:bCs w:val="0"/>
        </w:rPr>
      </w:pPr>
      <w:r>
        <w:rPr/>
        <w:t>十二、其他重大事项的说明</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left="515" w:right="271"/>
        <w:jc w:val="left"/>
        <w:rPr>
          <w:b w:val="0"/>
          <w:bCs w:val="0"/>
        </w:rPr>
      </w:pPr>
      <w:r>
        <w:rPr>
          <w:rFonts w:ascii="Times New Roman" w:hAnsi="Times New Roman" w:cs="Times New Roman" w:eastAsia="Times New Roman" w:hint="default"/>
        </w:rPr>
        <w:t>2012</w:t>
      </w:r>
      <w:r>
        <w:rPr/>
        <w:t>年度信息披露索引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5166"/>
        <w:gridCol w:w="1657"/>
        <w:gridCol w:w="3031"/>
      </w:tblGrid>
      <w:tr>
        <w:trPr>
          <w:trHeight w:val="344" w:hRule="exact"/>
        </w:trPr>
        <w:tc>
          <w:tcPr>
            <w:tcW w:w="51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6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30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关于收到补助和奖励资金的提示性公告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关于控股股东股权结构变化的提示性公告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年第一次临时股东大会的律师见证法律意见书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关于收到扶持和奖励资金的提示性公告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宋体" w:hAnsi="宋体" w:cs="宋体" w:eastAsia="宋体" w:hint="default"/>
                <w:sz w:val="18"/>
                <w:szCs w:val="18"/>
              </w:rPr>
              <w:t>股公告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年第六届董事会第十次会议决议公告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年度述职报告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年度报告摘要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年度审计报告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关于公司关联方占用上市公司资金情况的专项审核报告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年度内部控制评价报告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关于公司募集资金年度存放与使用情况的鉴证报告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内部控制审计报告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第六届监事会第九次会议决议公告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独立董事对公司内部控制自我评价报告的独立意见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对控股子公司提供财务资助的公告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年股东大会的通知（更新后）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对控股子公司综合授信额度提供担保的公告（更新后）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山东晨鸣纸业集团股份有限公司更正公告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宋体" w:hAnsi="宋体" w:cs="宋体" w:eastAsia="宋体" w:hint="default"/>
                <w:sz w:val="18"/>
                <w:szCs w:val="18"/>
              </w:rPr>
              <w:t>股公告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年第一季度业绩预告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第六届董事会第十一次会议决议公告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年第一季度报告正文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年第一季度报告全文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内幕信息知情人登记制度（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年公司证券受托管理事务报告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山东晨鸣纸业集团股份有限公司更正公告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年度股东大会的再次通知（更新后）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年度股东大会的再次通知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关于关停淘汰落后产能的公告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6"/>
        <w:gridCol w:w="1657"/>
        <w:gridCol w:w="3031"/>
      </w:tblGrid>
      <w:tr>
        <w:trPr>
          <w:trHeight w:val="340" w:hRule="exact"/>
        </w:trPr>
        <w:tc>
          <w:tcPr>
            <w:tcW w:w="5166"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年度股东大会决议公告</w:t>
            </w:r>
          </w:p>
        </w:tc>
        <w:tc>
          <w:tcPr>
            <w:tcW w:w="16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30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年年度股东大会的律师鉴证法律意见书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关于发行中期票据注册通过的提示性公告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宋体" w:hAnsi="宋体" w:cs="宋体" w:eastAsia="宋体" w:hint="default"/>
                <w:sz w:val="18"/>
                <w:szCs w:val="18"/>
              </w:rPr>
              <w:t>股公告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2"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年公司债券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年付息公告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关于中期票据发行结果的提示性公告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关于收到奖励性资金的提示性公告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年年度权益分派实施公告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第六届董事会第十二次会议决议公告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年半年度业绩预告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董事会会议通告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第六届董事会第一次临时会议决议公告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关于增持江西晨鸣股权的公告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关于出售齐河晨鸣股权的公告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山东晨鸣纸业集团股份有限公司更正公告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年半年度报告摘要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独立董事独立意见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第六届董事会第十三次会议决议公告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年中期财务会计报告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关于出售齐河晨鸣股权进展情况的提示性公告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关于收到奖励资金的提示性公告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关于媒体报道情况的说明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年第二次临时股东大会的通知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山东晨鸣纸业集团股份有限公司停牌公告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关于延长股权转让交割日期的提示性公告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第六届董事会第二次临时会议决议公告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银行间债券市场信息披露事务管理制度（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重大事项继续停牌公告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重大事项继续停牌公告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办公地址变更的公告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年前三季度业绩预告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第六届董事会第三次临时会议决议公告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宋体" w:hAnsi="宋体" w:cs="宋体" w:eastAsia="宋体" w:hint="default"/>
                <w:sz w:val="18"/>
                <w:szCs w:val="18"/>
              </w:rPr>
              <w:t>股公告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年第二次临时股东大会的再次通知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关于回购公司部分境内上市外资股（</w:t>
            </w:r>
            <w:r>
              <w:rPr>
                <w:rFonts w:ascii="Times New Roman" w:hAnsi="Times New Roman" w:cs="Times New Roman" w:eastAsia="Times New Roman" w:hint="default"/>
                <w:sz w:val="18"/>
                <w:szCs w:val="18"/>
              </w:rPr>
              <w:t>B</w:t>
            </w:r>
            <w:r>
              <w:rPr>
                <w:rFonts w:ascii="宋体" w:hAnsi="宋体" w:cs="宋体" w:eastAsia="宋体" w:hint="default"/>
                <w:sz w:val="18"/>
                <w:szCs w:val="18"/>
              </w:rPr>
              <w:t>股）股份的预案</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关于公司回购部分境内上市外资股（</w:t>
            </w:r>
            <w:r>
              <w:rPr>
                <w:rFonts w:ascii="Times New Roman" w:hAnsi="Times New Roman" w:cs="Times New Roman" w:eastAsia="Times New Roman" w:hint="default"/>
                <w:sz w:val="18"/>
                <w:szCs w:val="18"/>
              </w:rPr>
              <w:t>B</w:t>
            </w:r>
            <w:r>
              <w:rPr>
                <w:rFonts w:ascii="宋体" w:hAnsi="宋体" w:cs="宋体" w:eastAsia="宋体" w:hint="default"/>
                <w:sz w:val="18"/>
                <w:szCs w:val="18"/>
              </w:rPr>
              <w:t>股）的独立财务顾问报告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8"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独立董事对六届十四次董事会高管人员变动的独立意见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6"/>
        <w:gridCol w:w="1657"/>
        <w:gridCol w:w="3031"/>
      </w:tblGrid>
      <w:tr>
        <w:trPr>
          <w:trHeight w:val="652" w:hRule="exact"/>
        </w:trPr>
        <w:tc>
          <w:tcPr>
            <w:tcW w:w="5166" w:type="dxa"/>
            <w:tcBorders>
              <w:top w:val="nil" w:sz="6" w:space="0" w:color="auto"/>
              <w:left w:val="single" w:sz="4"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pacing w:val="-1"/>
                <w:sz w:val="18"/>
                <w:szCs w:val="18"/>
              </w:rPr>
              <w:t>独立董事关于回购公司部分境内上市外资股（</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股）股份的独立意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见</w:t>
            </w:r>
          </w:p>
        </w:tc>
        <w:tc>
          <w:tcPr>
            <w:tcW w:w="16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0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第六届董事会第四次临时会议决议公告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96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年第一次境内上市股份</w:t>
            </w:r>
          </w:p>
          <w:p>
            <w:pPr>
              <w:pStyle w:val="TableParagraph"/>
              <w:spacing w:line="300" w:lineRule="auto" w:before="62"/>
              <w:ind w:left="4" w:right="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股）类别股东大会、</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 类别股东大会的通知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p>
            <w:pPr>
              <w:pStyle w:val="TableParagraph"/>
              <w:spacing w:line="240" w:lineRule="auto" w:before="63"/>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年第三季度报告正文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年第三季度报告全文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“11</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年第一次债券持有人会议的通知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关于公司及相关主体承诺履行情况的公告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关于媒体报道情况的说明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9"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316" w:lineRule="auto" w:before="11"/>
              <w:ind w:left="4" w:right="35"/>
              <w:jc w:val="left"/>
              <w:rPr>
                <w:rFonts w:ascii="宋体" w:hAnsi="宋体" w:cs="宋体" w:eastAsia="宋体" w:hint="default"/>
                <w:sz w:val="18"/>
                <w:szCs w:val="18"/>
              </w:rPr>
            </w:pPr>
            <w:r>
              <w:rPr>
                <w:rFonts w:ascii="宋体" w:hAnsi="宋体" w:cs="宋体" w:eastAsia="宋体" w:hint="default"/>
                <w:sz w:val="18"/>
                <w:szCs w:val="18"/>
              </w:rPr>
              <w:t>关于发行公司债券申请获得中国证券监督管理委员会</w:t>
            </w:r>
            <w:r>
              <w:rPr>
                <w:rFonts w:ascii="宋体" w:hAnsi="宋体" w:cs="宋体" w:eastAsia="宋体" w:hint="default"/>
                <w:spacing w:val="-19"/>
                <w:sz w:val="18"/>
                <w:szCs w:val="18"/>
              </w:rPr>
              <w:t> </w:t>
            </w:r>
            <w:r>
              <w:rPr>
                <w:rFonts w:ascii="宋体" w:hAnsi="宋体" w:cs="宋体" w:eastAsia="宋体" w:hint="default"/>
                <w:sz w:val="18"/>
                <w:szCs w:val="18"/>
              </w:rPr>
              <w:t>发行审核委</w:t>
            </w:r>
            <w:r>
              <w:rPr>
                <w:rFonts w:ascii="宋体" w:hAnsi="宋体" w:cs="宋体" w:eastAsia="宋体" w:hint="default"/>
                <w:sz w:val="18"/>
                <w:szCs w:val="18"/>
              </w:rPr>
              <w:t> 员会审核通过的公告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年第二次临时股东大会的律师见证法律意见书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关于对外投资进展情况的公告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961"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年第一次境内上市股份</w:t>
            </w:r>
          </w:p>
          <w:p>
            <w:pPr>
              <w:pStyle w:val="TableParagraph"/>
              <w:spacing w:line="300" w:lineRule="auto" w:before="62"/>
              <w:ind w:left="4" w:right="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股）类别股东大会、</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 类别股东大会的再次通知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p>
            <w:pPr>
              <w:pStyle w:val="TableParagraph"/>
              <w:spacing w:line="240" w:lineRule="auto" w:before="63"/>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年第三次临时股东大会临时提案的公告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年第三次临时股东大会的通知（增加提案后）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关于控股子公司淘汰落后产能的公告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关于公开发行公司债券获得中国证券监督管理委员会核准的公告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关于增持江西晨鸣股权进展情况的公告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关于出售齐河晨鸣股权的公告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年第三次临时股东大会的再次通知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9"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年第一次境内上市股份（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股）类别股东大会</w:t>
            </w:r>
          </w:p>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股）类别股东大会的再次通知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8" w:right="23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关于前</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名股东持股情况的公告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8"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年第一次境内上市股份（</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股）类别股东大会决议及</w:t>
            </w:r>
            <w:r>
              <w:rPr>
                <w:rFonts w:ascii="Times New Roman" w:hAnsi="Times New Roman" w:cs="Times New Roman" w:eastAsia="Times New Roman" w:hint="default"/>
                <w:spacing w:val="-5"/>
                <w:sz w:val="18"/>
                <w:szCs w:val="18"/>
              </w:rPr>
              <w:t>2012</w:t>
            </w:r>
          </w:p>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股）类别股东大会决议公告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关于回购</w:t>
            </w:r>
            <w:r>
              <w:rPr>
                <w:rFonts w:ascii="Times New Roman" w:hAnsi="Times New Roman" w:cs="Times New Roman" w:eastAsia="Times New Roman" w:hint="default"/>
                <w:sz w:val="18"/>
                <w:szCs w:val="18"/>
              </w:rPr>
              <w:t>B</w:t>
            </w:r>
            <w:r>
              <w:rPr>
                <w:rFonts w:ascii="宋体" w:hAnsi="宋体" w:cs="宋体" w:eastAsia="宋体" w:hint="default"/>
                <w:sz w:val="18"/>
                <w:szCs w:val="18"/>
              </w:rPr>
              <w:t>股股份并减少注册资本的公告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“11</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年第一次债券持有人会议的补充通知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年第三次临时股东大会的律师见证法律意见书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9"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300" w:lineRule="auto" w:before="11"/>
              <w:ind w:left="4" w:right="37"/>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年第一次境内上市股份（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 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股）类别股东大会的律师见证法律意见书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9"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300" w:lineRule="auto" w:before="11"/>
              <w:ind w:left="4" w:right="107"/>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年度第一期中期票据和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年度第一期中期票据持 有人会议的通知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66"/>
        <w:gridCol w:w="1657"/>
        <w:gridCol w:w="3031"/>
      </w:tblGrid>
      <w:tr>
        <w:trPr>
          <w:trHeight w:val="340" w:hRule="exact"/>
        </w:trPr>
        <w:tc>
          <w:tcPr>
            <w:tcW w:w="5166"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限售股份解除限售的提示性公告</w:t>
            </w:r>
          </w:p>
        </w:tc>
        <w:tc>
          <w:tcPr>
            <w:tcW w:w="165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关于无法召开</w:t>
            </w:r>
            <w:r>
              <w:rPr>
                <w:rFonts w:ascii="Times New Roman" w:hAnsi="Times New Roman" w:cs="Times New Roman" w:eastAsia="Times New Roman" w:hint="default"/>
                <w:sz w:val="18"/>
                <w:szCs w:val="18"/>
              </w:rPr>
              <w:t>“11</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年第一次债券持有人会议的公告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关于为江西晨鸣提供担保的公告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2"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关于湛江晨鸣收购股权的公告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关于出售鄄城晨鸣股权的公告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关于回购</w:t>
            </w:r>
            <w:r>
              <w:rPr>
                <w:rFonts w:ascii="Times New Roman" w:hAnsi="Times New Roman" w:cs="Times New Roman" w:eastAsia="Times New Roman" w:hint="default"/>
                <w:sz w:val="18"/>
                <w:szCs w:val="18"/>
              </w:rPr>
              <w:t>B</w:t>
            </w:r>
            <w:r>
              <w:rPr>
                <w:rFonts w:ascii="宋体" w:hAnsi="宋体" w:cs="宋体" w:eastAsia="宋体" w:hint="default"/>
                <w:sz w:val="18"/>
                <w:szCs w:val="18"/>
              </w:rPr>
              <w:t>股股份并减少注册资本的第二次公告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独立董事关于为江西晨鸣向银行贷款提供担保的独立意见等</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第六届董事会第五次临时会议决议公告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公开发行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年公司债券募集说明书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年公司债券发行公告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年公司债券信用评级报告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公开发行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年公司债券募集说明书摘要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年公司债券票面利率公告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独立董事对聘任王春方先生为董事会秘书的独立意见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第六届董事会第六次临时会议决议公告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49"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300" w:lineRule="auto" w:before="11"/>
              <w:ind w:left="4" w:right="107"/>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年度第一期中期票据和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年度第一期中期票据持有人 会议决议的答复</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关于湛江晨鸣对慧锐晨鸣提供财务资助的公告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关于聘任董事会秘书的公告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6"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关于高管人员辞职的公告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关于湛江慧锐项目中标的提示性公告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关于收到奖励资金的提示性公告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关于媒体报道情况的说明</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37" w:hRule="exact"/>
        </w:trPr>
        <w:tc>
          <w:tcPr>
            <w:tcW w:w="516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年公司债券发行结果公告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59"/>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5"/>
        <w:ind w:right="271"/>
        <w:jc w:val="left"/>
        <w:rPr>
          <w:b w:val="0"/>
          <w:bCs w:val="0"/>
        </w:rPr>
      </w:pPr>
      <w:r>
        <w:rPr/>
        <w:t>十三、公司子公司重要事项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368" w:firstLine="360"/>
        <w:jc w:val="both"/>
      </w:pPr>
      <w:r>
        <w:rPr>
          <w:rFonts w:ascii="Times New Roman" w:hAnsi="Times New Roman" w:cs="Times New Roman" w:eastAsia="Times New Roman" w:hint="default"/>
        </w:rPr>
        <w:t>1</w:t>
      </w:r>
      <w:r>
        <w:rPr/>
        <w:t>、报告期内，公司全资子公司湛江晨鸣浆纸有限公司收购广东慧锐投资有限公司</w:t>
      </w:r>
      <w:r>
        <w:rPr>
          <w:rFonts w:ascii="Times New Roman" w:hAnsi="Times New Roman" w:cs="Times New Roman" w:eastAsia="Times New Roman" w:hint="default"/>
        </w:rPr>
        <w:t>51%</w:t>
      </w:r>
      <w:r>
        <w:rPr/>
        <w:t>的股权，广东慧锐成为湛江晨鸣 的控股子公司，参考第四节、十一部分内容；广东慧锐投资有限公司中标湛江市海东新区岸线和滩涂综合治理工程</w:t>
      </w:r>
      <w:r>
        <w:rPr>
          <w:rFonts w:ascii="Times New Roman" w:hAnsi="Times New Roman" w:cs="Times New Roman" w:eastAsia="Times New Roman" w:hint="default"/>
        </w:rPr>
        <w:t>BT</w:t>
      </w:r>
      <w:r>
        <w:rPr/>
        <w:t>建设 项目，参考本章节第六部分、3。</w:t>
      </w:r>
    </w:p>
    <w:p>
      <w:pPr>
        <w:pStyle w:val="BodyText"/>
        <w:spacing w:line="302" w:lineRule="auto" w:before="70"/>
        <w:ind w:left="153" w:right="271" w:firstLine="290"/>
        <w:jc w:val="left"/>
      </w:pPr>
      <w:r>
        <w:rPr>
          <w:rFonts w:ascii="Times New Roman" w:hAnsi="Times New Roman" w:cs="Times New Roman" w:eastAsia="Times New Roman" w:hint="default"/>
        </w:rPr>
        <w:t>2</w:t>
      </w:r>
      <w:r>
        <w:rPr/>
        <w:t>、公司全资子公司晨鸣（香港）有限公司收购江西晨鸣纸业有限责任公司</w:t>
      </w:r>
      <w:r>
        <w:rPr>
          <w:rFonts w:ascii="Times New Roman" w:hAnsi="Times New Roman" w:cs="Times New Roman" w:eastAsia="Times New Roman" w:hint="default"/>
        </w:rPr>
        <w:t>49%</w:t>
      </w:r>
      <w:r>
        <w:rPr/>
        <w:t>的股权，自此公司占江西晨鸣</w:t>
      </w:r>
      <w:r>
        <w:rPr>
          <w:rFonts w:ascii="Times New Roman" w:hAnsi="Times New Roman" w:cs="Times New Roman" w:eastAsia="Times New Roman" w:hint="default"/>
        </w:rPr>
        <w:t>51%</w:t>
      </w:r>
      <w:r>
        <w:rPr/>
        <w:t>股权， 香港晨鸣占江西晨鸣</w:t>
      </w:r>
      <w:r>
        <w:rPr>
          <w:rFonts w:ascii="Times New Roman" w:hAnsi="Times New Roman" w:cs="Times New Roman" w:eastAsia="Times New Roman" w:hint="default"/>
        </w:rPr>
        <w:t>49%</w:t>
      </w:r>
      <w:r>
        <w:rPr/>
        <w:t>股权，参考董事会报告第十一部分内容。</w:t>
      </w:r>
    </w:p>
    <w:p>
      <w:pPr>
        <w:spacing w:line="240" w:lineRule="auto" w:before="13"/>
        <w:rPr>
          <w:rFonts w:ascii="宋体" w:hAnsi="宋体" w:cs="宋体" w:eastAsia="宋体" w:hint="default"/>
          <w:sz w:val="19"/>
          <w:szCs w:val="19"/>
        </w:rPr>
      </w:pPr>
    </w:p>
    <w:p>
      <w:pPr>
        <w:pStyle w:val="Heading2"/>
        <w:spacing w:line="240" w:lineRule="auto"/>
        <w:ind w:right="271"/>
        <w:jc w:val="left"/>
        <w:rPr>
          <w:b w:val="0"/>
          <w:bCs w:val="0"/>
        </w:rPr>
      </w:pPr>
      <w:r>
        <w:rPr/>
        <w:t>十四、公司发行公司债券的情况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311" w:firstLine="359"/>
        <w:jc w:val="left"/>
      </w:pPr>
      <w:r>
        <w:rPr/>
        <w:t>（</w:t>
      </w:r>
      <w:r>
        <w:rPr>
          <w:rFonts w:ascii="Times New Roman" w:hAnsi="Times New Roman" w:cs="Times New Roman" w:eastAsia="Times New Roman" w:hint="default"/>
        </w:rPr>
        <w:t>1</w:t>
      </w:r>
      <w:r>
        <w:rPr/>
        <w:t>）经中国证监会于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[2011]1019</w:t>
      </w:r>
      <w:r>
        <w:rPr/>
        <w:t>号</w:t>
      </w:r>
      <w:r>
        <w:rPr>
          <w:rFonts w:ascii="Times New Roman" w:hAnsi="Times New Roman" w:cs="Times New Roman" w:eastAsia="Times New Roman" w:hint="default"/>
        </w:rPr>
        <w:t>”</w:t>
      </w:r>
      <w:r>
        <w:rPr/>
        <w:t>文核准，公司获准向社会公开发行面值总额不超过 </w:t>
      </w:r>
      <w:r>
        <w:rPr>
          <w:rFonts w:ascii="Times New Roman" w:hAnsi="Times New Roman" w:cs="Times New Roman" w:eastAsia="Times New Roman" w:hint="default"/>
        </w:rPr>
        <w:t>20</w:t>
      </w:r>
      <w:r>
        <w:rPr/>
        <w:t>亿元的公司债券，本次债券为</w:t>
      </w:r>
      <w:r>
        <w:rPr>
          <w:rFonts w:ascii="Times New Roman" w:hAnsi="Times New Roman" w:cs="Times New Roman" w:eastAsia="Times New Roman" w:hint="default"/>
        </w:rPr>
        <w:t>5</w:t>
      </w:r>
      <w:r>
        <w:rPr/>
        <w:t>年期固定利率债券公司债券，票面利率为</w:t>
      </w:r>
      <w:r>
        <w:rPr>
          <w:rFonts w:ascii="Times New Roman" w:hAnsi="Times New Roman" w:cs="Times New Roman" w:eastAsia="Times New Roman" w:hint="default"/>
        </w:rPr>
        <w:t>5.95%</w:t>
      </w:r>
      <w:r>
        <w:rPr/>
        <w:t>，采取单利按年计息，不计复利，起息日 </w:t>
      </w:r>
      <w:r>
        <w:rPr>
          <w:spacing w:val="-2"/>
        </w:rPr>
        <w:t>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年每年的</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日为上一个计息年度的付息日，到期支付本金及最后一期利息。公司已于</w:t>
      </w:r>
      <w:r>
        <w:rPr>
          <w:rFonts w:ascii="Times New Roman" w:hAnsi="Times New Roman" w:cs="Times New Roman" w:eastAsia="Times New Roman" w:hint="default"/>
          <w:spacing w:val="-2"/>
        </w:rPr>
        <w:t>2012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日披露《</w:t>
      </w:r>
      <w:r>
        <w:rPr>
          <w:rFonts w:ascii="Times New Roman" w:hAnsi="Times New Roman" w:cs="Times New Roman" w:eastAsia="Times New Roman" w:hint="default"/>
        </w:rPr>
        <w:t>2011</w:t>
      </w:r>
      <w:r>
        <w:rPr/>
        <w:t>年公司债券</w:t>
      </w:r>
      <w:r>
        <w:rPr>
          <w:rFonts w:ascii="Times New Roman" w:hAnsi="Times New Roman" w:cs="Times New Roman" w:eastAsia="Times New Roman" w:hint="default"/>
        </w:rPr>
        <w:t>2012</w:t>
      </w:r>
      <w:r>
        <w:rPr/>
        <w:t>年付息公告》，并实施完成。</w:t>
      </w:r>
    </w:p>
    <w:p>
      <w:pPr>
        <w:spacing w:after="0" w:line="300" w:lineRule="auto"/>
        <w:jc w:val="left"/>
        <w:sectPr>
          <w:pgSz w:w="11910" w:h="16840"/>
          <w:pgMar w:header="747" w:footer="982" w:top="1060" w:bottom="1180" w:left="980" w:right="800"/>
        </w:sectPr>
      </w:pPr>
    </w:p>
    <w:p>
      <w:pPr>
        <w:spacing w:line="240" w:lineRule="auto" w:before="12"/>
        <w:rPr>
          <w:rFonts w:ascii="宋体" w:hAnsi="宋体" w:cs="宋体" w:eastAsia="宋体" w:hint="default"/>
          <w:sz w:val="25"/>
          <w:szCs w:val="25"/>
        </w:rPr>
      </w:pPr>
    </w:p>
    <w:p>
      <w:pPr>
        <w:pStyle w:val="BodyText"/>
        <w:spacing w:line="300" w:lineRule="auto" w:before="44"/>
        <w:ind w:left="153" w:right="99" w:firstLine="360"/>
        <w:jc w:val="left"/>
      </w:pPr>
      <w:r>
        <w:rPr/>
        <w:t>（</w:t>
      </w:r>
      <w:r>
        <w:rPr>
          <w:rFonts w:ascii="Times New Roman" w:hAnsi="Times New Roman" w:cs="Times New Roman" w:eastAsia="Times New Roman" w:hint="default"/>
        </w:rPr>
        <w:t>2</w:t>
      </w:r>
      <w:r>
        <w:rPr/>
        <w:t>）经中国证监会于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[2012]1612</w:t>
      </w:r>
      <w:r>
        <w:rPr/>
        <w:t>号</w:t>
      </w:r>
      <w:r>
        <w:rPr>
          <w:rFonts w:ascii="Times New Roman" w:hAnsi="Times New Roman" w:cs="Times New Roman" w:eastAsia="Times New Roman" w:hint="default"/>
        </w:rPr>
        <w:t>”</w:t>
      </w:r>
      <w:r>
        <w:rPr/>
        <w:t>文核准，公司获准向社会公开发行面值总额不超 </w:t>
      </w:r>
      <w:r>
        <w:rPr>
          <w:spacing w:val="-4"/>
        </w:rPr>
        <w:t>过</w:t>
      </w:r>
      <w:r>
        <w:rPr>
          <w:rFonts w:ascii="Times New Roman" w:hAnsi="Times New Roman" w:cs="Times New Roman" w:eastAsia="Times New Roman" w:hint="default"/>
          <w:spacing w:val="-4"/>
        </w:rPr>
        <w:t>38</w:t>
      </w:r>
      <w:r>
        <w:rPr>
          <w:spacing w:val="-4"/>
        </w:rPr>
        <w:t>亿元的公司债券，本次债券为</w:t>
      </w:r>
      <w:r>
        <w:rPr>
          <w:rFonts w:ascii="Times New Roman" w:hAnsi="Times New Roman" w:cs="Times New Roman" w:eastAsia="Times New Roman" w:hint="default"/>
          <w:spacing w:val="-4"/>
        </w:rPr>
        <w:t>5</w:t>
      </w:r>
      <w:r>
        <w:rPr>
          <w:spacing w:val="-4"/>
        </w:rPr>
        <w:t>年期，附第</w:t>
      </w:r>
      <w:r>
        <w:rPr>
          <w:rFonts w:ascii="Times New Roman" w:hAnsi="Times New Roman" w:cs="Times New Roman" w:eastAsia="Times New Roman" w:hint="default"/>
          <w:spacing w:val="-4"/>
        </w:rPr>
        <w:t>3</w:t>
      </w:r>
      <w:r>
        <w:rPr>
          <w:spacing w:val="-4"/>
        </w:rPr>
        <w:t>年末发行人上调票面利率选择权和投资者回售选择权，本次债券为固定利率，</w:t>
      </w:r>
      <w:r>
        <w:rPr>
          <w:spacing w:val="-36"/>
        </w:rPr>
        <w:t> </w:t>
      </w:r>
      <w:r>
        <w:rPr>
          <w:spacing w:val="-36"/>
        </w:rPr>
      </w:r>
      <w:r>
        <w:rPr/>
        <w:t>票面利率为</w:t>
      </w:r>
      <w:r>
        <w:rPr>
          <w:rFonts w:ascii="Times New Roman" w:hAnsi="Times New Roman" w:cs="Times New Roman" w:eastAsia="Times New Roman" w:hint="default"/>
        </w:rPr>
        <w:t>5.65%</w:t>
      </w:r>
      <w:r>
        <w:rPr/>
        <w:t>，采取单利按年计息，不计复利，起息日为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2017</w:t>
      </w:r>
      <w:r>
        <w:rPr/>
        <w:t>年每年的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日为上一个计 </w:t>
      </w:r>
      <w:r>
        <w:rPr>
          <w:spacing w:val="-2"/>
        </w:rPr>
        <w:t>息年度的付息日，如投资者行使回售选择权，则回售部分债券的付息日为</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日，到期支付本金及</w:t>
      </w:r>
      <w:r>
        <w:rPr>
          <w:spacing w:val="-55"/>
        </w:rPr>
        <w:t> </w:t>
      </w:r>
      <w:r>
        <w:rPr>
          <w:spacing w:val="-55"/>
        </w:rPr>
      </w:r>
      <w:r>
        <w:rPr/>
        <w:t>最后一期利息。</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十五、</w:t>
      </w:r>
      <w:r>
        <w:rPr>
          <w:spacing w:val="-3"/>
        </w:rPr>
        <w:t> </w:t>
      </w:r>
      <w:r>
        <w:rPr/>
        <w:t>公司回购</w:t>
      </w:r>
      <w:r>
        <w:rPr>
          <w:spacing w:val="-63"/>
        </w:rPr>
        <w:t> </w:t>
      </w: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股的情况</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left="513" w:right="181"/>
        <w:jc w:val="left"/>
      </w:pPr>
      <w:r>
        <w:rPr>
          <w:rFonts w:ascii="Times New Roman" w:hAnsi="Times New Roman" w:cs="Times New Roman" w:eastAsia="Times New Roman" w:hint="default"/>
        </w:rPr>
        <w:t>1</w:t>
      </w:r>
      <w:r>
        <w:rPr/>
        <w:t>、回购的背景和目的 </w:t>
      </w:r>
      <w:r>
        <w:rPr>
          <w:spacing w:val="-1"/>
        </w:rPr>
        <w:t>受全球金融危机和我国经济增速放缓的影响，我国资本市场自</w:t>
      </w:r>
      <w:r>
        <w:rPr>
          <w:rFonts w:ascii="Times New Roman" w:hAnsi="Times New Roman" w:cs="Times New Roman" w:eastAsia="Times New Roman" w:hint="default"/>
          <w:spacing w:val="-1"/>
        </w:rPr>
        <w:t>2011</w:t>
      </w:r>
      <w:r>
        <w:rPr>
          <w:spacing w:val="-1"/>
        </w:rPr>
        <w:t>年中以来开始出现震荡调整。</w:t>
      </w:r>
      <w:r>
        <w:rPr>
          <w:rFonts w:ascii="Times New Roman" w:hAnsi="Times New Roman" w:cs="Times New Roman" w:eastAsia="Times New Roman" w:hint="default"/>
          <w:spacing w:val="-1"/>
        </w:rPr>
        <w:t>B</w:t>
      </w:r>
      <w:r>
        <w:rPr>
          <w:spacing w:val="-1"/>
        </w:rPr>
        <w:t>股市场由于丧失融资</w:t>
      </w:r>
    </w:p>
    <w:p>
      <w:pPr>
        <w:pStyle w:val="BodyText"/>
        <w:spacing w:line="307" w:lineRule="auto" w:before="13"/>
        <w:ind w:left="153" w:right="191"/>
        <w:jc w:val="both"/>
      </w:pPr>
      <w:r>
        <w:rPr/>
        <w:t>功能、流动性差、市场容量小等原因长期处于低迷状况。公司境内上市外资股</w:t>
      </w:r>
      <w:r>
        <w:rPr>
          <w:rFonts w:ascii="Times New Roman" w:hAnsi="Times New Roman" w:cs="Times New Roman" w:eastAsia="Times New Roman" w:hint="default"/>
        </w:rPr>
        <w:t>“</w:t>
      </w:r>
      <w:r>
        <w:rPr/>
        <w:t>晨鸣</w:t>
      </w:r>
      <w:r>
        <w:rPr>
          <w:rFonts w:ascii="Times New Roman" w:hAnsi="Times New Roman" w:cs="Times New Roman" w:eastAsia="Times New Roman" w:hint="default"/>
        </w:rPr>
        <w:t>B”</w:t>
      </w:r>
      <w:r>
        <w:rPr/>
        <w:t>股价也持续走低，公司</w:t>
      </w:r>
      <w:r>
        <w:rPr>
          <w:rFonts w:ascii="Times New Roman" w:hAnsi="Times New Roman" w:cs="Times New Roman" w:eastAsia="Times New Roman" w:hint="default"/>
        </w:rPr>
        <w:t>B</w:t>
      </w:r>
      <w:r>
        <w:rPr/>
        <w:t>股股价的表 </w:t>
      </w:r>
      <w:r>
        <w:rPr>
          <w:spacing w:val="-2"/>
        </w:rPr>
        <w:t>现与公司的内在价值以及行业龙头地位不符，公司的投资价值被低估，不仅给公司的资本市场形象带来了负面影响，也不利</w:t>
      </w:r>
      <w:r>
        <w:rPr>
          <w:spacing w:val="-66"/>
        </w:rPr>
        <w:t> </w:t>
      </w:r>
      <w:r>
        <w:rPr>
          <w:spacing w:val="-66"/>
        </w:rPr>
      </w:r>
      <w:r>
        <w:rPr>
          <w:spacing w:val="-1"/>
        </w:rPr>
        <w:t>于维护广大股东利益。因此，公司决定回购部分</w:t>
      </w:r>
      <w:r>
        <w:rPr>
          <w:rFonts w:ascii="Times New Roman" w:hAnsi="Times New Roman" w:cs="Times New Roman" w:eastAsia="Times New Roman" w:hint="default"/>
          <w:spacing w:val="-1"/>
        </w:rPr>
        <w:t>B</w:t>
      </w:r>
      <w:r>
        <w:rPr>
          <w:spacing w:val="-1"/>
        </w:rPr>
        <w:t>股股份，以增强公众投资者对公司的信心，提升公司价值，促使公司价值</w:t>
      </w:r>
      <w:r>
        <w:rPr>
          <w:spacing w:val="-60"/>
        </w:rPr>
        <w:t> </w:t>
      </w:r>
      <w:r>
        <w:rPr>
          <w:spacing w:val="-60"/>
        </w:rPr>
      </w:r>
      <w:r>
        <w:rPr/>
        <w:t>回归到合理水平，实现股东利益最大化。公司回购股份后，所回购的股份将依法注销并相应减少注册资本。</w:t>
      </w:r>
    </w:p>
    <w:p>
      <w:pPr>
        <w:pStyle w:val="BodyText"/>
        <w:spacing w:line="240" w:lineRule="auto" w:before="26"/>
        <w:ind w:left="514" w:right="181"/>
        <w:jc w:val="left"/>
      </w:pPr>
      <w:r>
        <w:rPr>
          <w:rFonts w:ascii="Times New Roman" w:hAnsi="Times New Roman" w:cs="Times New Roman" w:eastAsia="Times New Roman" w:hint="default"/>
        </w:rPr>
        <w:t>2</w:t>
      </w:r>
      <w:r>
        <w:rPr/>
        <w:t>、回购的方案</w:t>
      </w:r>
    </w:p>
    <w:p>
      <w:pPr>
        <w:pStyle w:val="BodyText"/>
        <w:spacing w:line="300" w:lineRule="auto" w:before="62"/>
        <w:ind w:left="514" w:right="2670"/>
        <w:jc w:val="left"/>
      </w:pPr>
      <w:r>
        <w:rPr/>
        <w:t>（</w:t>
      </w:r>
      <w:r>
        <w:rPr>
          <w:rFonts w:ascii="Times New Roman" w:hAnsi="Times New Roman" w:cs="Times New Roman" w:eastAsia="Times New Roman" w:hint="default"/>
        </w:rPr>
        <w:t>1</w:t>
      </w:r>
      <w:r>
        <w:rPr/>
        <w:t>）回购股份的方式 通过深圳证券交易所以集中竞价交易方式回购公司部分境内上市外资股（</w:t>
      </w:r>
      <w:r>
        <w:rPr>
          <w:rFonts w:ascii="Times New Roman" w:hAnsi="Times New Roman" w:cs="Times New Roman" w:eastAsia="Times New Roman" w:hint="default"/>
        </w:rPr>
        <w:t>B</w:t>
      </w:r>
      <w:r>
        <w:rPr/>
        <w:t>股）股份。</w:t>
      </w:r>
    </w:p>
    <w:p>
      <w:pPr>
        <w:pStyle w:val="BodyText"/>
        <w:spacing w:line="300" w:lineRule="auto" w:before="13"/>
        <w:ind w:left="514" w:right="200"/>
        <w:jc w:val="left"/>
      </w:pPr>
      <w:r>
        <w:rPr/>
        <w:t>（</w:t>
      </w:r>
      <w:r>
        <w:rPr>
          <w:rFonts w:ascii="Times New Roman" w:hAnsi="Times New Roman" w:cs="Times New Roman" w:eastAsia="Times New Roman" w:hint="default"/>
        </w:rPr>
        <w:t>2</w:t>
      </w:r>
      <w:r>
        <w:rPr/>
        <w:t>）回购股份的价格或价格区间、定价原则 参照目前国内证券市场造纸板块上市公司平均市盈率、市净率水平，结合</w:t>
      </w:r>
      <w:r>
        <w:rPr>
          <w:rFonts w:ascii="Times New Roman" w:hAnsi="Times New Roman" w:cs="Times New Roman" w:eastAsia="Times New Roman" w:hint="default"/>
        </w:rPr>
        <w:t>A</w:t>
      </w:r>
      <w:r>
        <w:rPr/>
        <w:t>股市场与</w:t>
      </w:r>
      <w:r>
        <w:rPr>
          <w:rFonts w:ascii="Times New Roman" w:hAnsi="Times New Roman" w:cs="Times New Roman" w:eastAsia="Times New Roman" w:hint="default"/>
        </w:rPr>
        <w:t>B</w:t>
      </w:r>
      <w:r>
        <w:rPr/>
        <w:t>股市场的估值差异，确定公司本</w:t>
      </w:r>
    </w:p>
    <w:p>
      <w:pPr>
        <w:pStyle w:val="BodyText"/>
        <w:spacing w:line="300" w:lineRule="auto" w:before="13"/>
        <w:ind w:left="153" w:right="248"/>
        <w:jc w:val="both"/>
      </w:pPr>
      <w:r>
        <w:rPr/>
        <w:t>次回购境内上市外资股（</w:t>
      </w:r>
      <w:r>
        <w:rPr>
          <w:rFonts w:ascii="Times New Roman" w:hAnsi="Times New Roman" w:cs="Times New Roman" w:eastAsia="Times New Roman" w:hint="default"/>
        </w:rPr>
        <w:t>B</w:t>
      </w:r>
      <w:r>
        <w:rPr/>
        <w:t>股）股份价格为不高于</w:t>
      </w:r>
      <w:r>
        <w:rPr>
          <w:rFonts w:ascii="Times New Roman" w:hAnsi="Times New Roman" w:cs="Times New Roman" w:eastAsia="Times New Roman" w:hint="default"/>
        </w:rPr>
        <w:t>4</w:t>
      </w:r>
      <w:r>
        <w:rPr/>
        <w:t>港元</w:t>
      </w:r>
      <w:r>
        <w:rPr>
          <w:rFonts w:ascii="Times New Roman" w:hAnsi="Times New Roman" w:cs="Times New Roman" w:eastAsia="Times New Roman" w:hint="default"/>
        </w:rPr>
        <w:t>/</w:t>
      </w:r>
      <w:r>
        <w:rPr/>
        <w:t>股（折合</w:t>
      </w:r>
      <w:r>
        <w:rPr>
          <w:rFonts w:ascii="Times New Roman" w:hAnsi="Times New Roman" w:cs="Times New Roman" w:eastAsia="Times New Roman" w:hint="default"/>
        </w:rPr>
        <w:t>3.27</w:t>
      </w:r>
      <w:r>
        <w:rPr/>
        <w:t>元人民币</w:t>
      </w:r>
      <w:r>
        <w:rPr>
          <w:rFonts w:ascii="Times New Roman" w:hAnsi="Times New Roman" w:cs="Times New Roman" w:eastAsia="Times New Roman" w:hint="default"/>
        </w:rPr>
        <w:t>/</w:t>
      </w:r>
      <w:r>
        <w:rPr/>
        <w:t>股，按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1</w:t>
      </w:r>
      <w:r>
        <w:rPr/>
        <w:t>港元兑</w:t>
      </w:r>
      <w:r>
        <w:rPr>
          <w:rFonts w:ascii="Times New Roman" w:hAnsi="Times New Roman" w:cs="Times New Roman" w:eastAsia="Times New Roman" w:hint="default"/>
        </w:rPr>
        <w:t>0.8175</w:t>
      </w:r>
      <w:r>
        <w:rPr/>
        <w:t>元人民 币的汇率换算）。</w:t>
      </w:r>
    </w:p>
    <w:p>
      <w:pPr>
        <w:pStyle w:val="BodyText"/>
        <w:spacing w:line="240" w:lineRule="auto" w:before="31"/>
        <w:ind w:left="513" w:right="181"/>
        <w:jc w:val="left"/>
      </w:pPr>
      <w:r>
        <w:rPr/>
        <w:t>公司在回购股份期内送股、转增股本或现金分红，自股价除权、除息之日起，相应调整回购股份价格上限。</w:t>
      </w:r>
    </w:p>
    <w:p>
      <w:pPr>
        <w:pStyle w:val="BodyText"/>
        <w:spacing w:line="300" w:lineRule="auto" w:before="76"/>
        <w:ind w:left="513" w:right="2806"/>
        <w:jc w:val="left"/>
      </w:pPr>
      <w:r>
        <w:rPr/>
        <w:t>（</w:t>
      </w:r>
      <w:r>
        <w:rPr>
          <w:rFonts w:ascii="Times New Roman" w:hAnsi="Times New Roman" w:cs="Times New Roman" w:eastAsia="Times New Roman" w:hint="default"/>
        </w:rPr>
        <w:t>3</w:t>
      </w:r>
      <w:r>
        <w:rPr/>
        <w:t>）拟回购股份的种类、数量及占总股本的比例 拟回购股份的种类：公司境内上市外资股（</w:t>
      </w:r>
      <w:r>
        <w:rPr>
          <w:rFonts w:ascii="Times New Roman" w:hAnsi="Times New Roman" w:cs="Times New Roman" w:eastAsia="Times New Roman" w:hint="default"/>
        </w:rPr>
        <w:t>B</w:t>
      </w:r>
      <w:r>
        <w:rPr/>
        <w:t>股）股份。 拟回购股份的数量：公司计划本次回购境内上市外资股（</w:t>
      </w:r>
      <w:r>
        <w:rPr>
          <w:rFonts w:ascii="Times New Roman" w:hAnsi="Times New Roman" w:cs="Times New Roman" w:eastAsia="Times New Roman" w:hint="default"/>
        </w:rPr>
        <w:t>B</w:t>
      </w:r>
      <w:r>
        <w:rPr/>
        <w:t>股）股份不超过</w:t>
      </w:r>
      <w:r>
        <w:rPr>
          <w:rFonts w:ascii="Times New Roman" w:hAnsi="Times New Roman" w:cs="Times New Roman" w:eastAsia="Times New Roman" w:hint="default"/>
        </w:rPr>
        <w:t>1.5</w:t>
      </w:r>
      <w:r>
        <w:rPr/>
        <w:t>亿股。</w:t>
      </w:r>
    </w:p>
    <w:p>
      <w:pPr>
        <w:pStyle w:val="BodyText"/>
        <w:spacing w:line="300" w:lineRule="auto" w:before="13"/>
        <w:ind w:right="181" w:firstLine="359"/>
        <w:jc w:val="left"/>
      </w:pPr>
      <w:r>
        <w:rPr>
          <w:spacing w:val="-1"/>
        </w:rPr>
        <w:t>公司将根据回购方案实施期间境内上市外资股（</w:t>
      </w:r>
      <w:r>
        <w:rPr>
          <w:rFonts w:ascii="Times New Roman" w:hAnsi="Times New Roman" w:cs="Times New Roman" w:eastAsia="Times New Roman" w:hint="default"/>
          <w:spacing w:val="-1"/>
        </w:rPr>
        <w:t>B</w:t>
      </w:r>
      <w:r>
        <w:rPr>
          <w:spacing w:val="-1"/>
        </w:rPr>
        <w:t>股）股份市场价格的变化情况，结合公司经营和资金状况，在回购股</w:t>
      </w:r>
      <w:r>
        <w:rPr/>
        <w:t> 份价格不高于</w:t>
      </w:r>
      <w:r>
        <w:rPr>
          <w:rFonts w:ascii="Times New Roman" w:hAnsi="Times New Roman" w:cs="Times New Roman" w:eastAsia="Times New Roman" w:hint="default"/>
        </w:rPr>
        <w:t>4</w:t>
      </w:r>
      <w:r>
        <w:rPr/>
        <w:t>港元</w:t>
      </w:r>
      <w:r>
        <w:rPr>
          <w:rFonts w:ascii="Times New Roman" w:hAnsi="Times New Roman" w:cs="Times New Roman" w:eastAsia="Times New Roman" w:hint="default"/>
        </w:rPr>
        <w:t>/</w:t>
      </w:r>
      <w:r>
        <w:rPr/>
        <w:t>股的条件下回购，本次回购股份的数量以回购期满时实际回购的股份数量为准。</w:t>
      </w:r>
    </w:p>
    <w:p>
      <w:pPr>
        <w:pStyle w:val="BodyText"/>
        <w:spacing w:line="300" w:lineRule="auto" w:before="13"/>
        <w:ind w:right="181" w:firstLine="360"/>
        <w:jc w:val="left"/>
      </w:pPr>
      <w:r>
        <w:rPr>
          <w:spacing w:val="-2"/>
        </w:rPr>
        <w:t>拟回购股份占总股本的比例：按照本次计划最大回购</w:t>
      </w:r>
      <w:r>
        <w:rPr>
          <w:rFonts w:ascii="Times New Roman" w:hAnsi="Times New Roman" w:cs="Times New Roman" w:eastAsia="Times New Roman" w:hint="default"/>
          <w:spacing w:val="-2"/>
        </w:rPr>
        <w:t>1.5</w:t>
      </w:r>
      <w:r>
        <w:rPr>
          <w:spacing w:val="-2"/>
        </w:rPr>
        <w:t>亿股计算，回购股份比例分别约占公司已发行</w:t>
      </w:r>
      <w:r>
        <w:rPr>
          <w:rFonts w:ascii="Times New Roman" w:hAnsi="Times New Roman" w:cs="Times New Roman" w:eastAsia="Times New Roman" w:hint="default"/>
          <w:spacing w:val="-2"/>
        </w:rPr>
        <w:t>B</w:t>
      </w:r>
      <w:r>
        <w:rPr>
          <w:spacing w:val="-2"/>
        </w:rPr>
        <w:t>股股份和总股本</w:t>
      </w:r>
      <w:r>
        <w:rPr/>
        <w:t> 的</w:t>
      </w:r>
      <w:r>
        <w:rPr>
          <w:rFonts w:ascii="Times New Roman" w:hAnsi="Times New Roman" w:cs="Times New Roman" w:eastAsia="Times New Roman" w:hint="default"/>
        </w:rPr>
        <w:t>26.91%</w:t>
      </w:r>
      <w:r>
        <w:rPr/>
        <w:t>和</w:t>
      </w:r>
      <w:r>
        <w:rPr>
          <w:rFonts w:ascii="Times New Roman" w:hAnsi="Times New Roman" w:cs="Times New Roman" w:eastAsia="Times New Roman" w:hint="default"/>
        </w:rPr>
        <w:t>7.27%</w:t>
      </w:r>
      <w:r>
        <w:rPr/>
        <w:t>。</w:t>
      </w:r>
    </w:p>
    <w:p>
      <w:pPr>
        <w:pStyle w:val="BodyText"/>
        <w:spacing w:line="300" w:lineRule="auto" w:before="14"/>
        <w:ind w:left="513" w:right="271"/>
        <w:jc w:val="left"/>
      </w:pPr>
      <w:r>
        <w:rPr/>
        <w:t>（</w:t>
      </w:r>
      <w:r>
        <w:rPr>
          <w:rFonts w:ascii="Times New Roman" w:hAnsi="Times New Roman" w:cs="Times New Roman" w:eastAsia="Times New Roman" w:hint="default"/>
        </w:rPr>
        <w:t>4</w:t>
      </w:r>
      <w:r>
        <w:rPr/>
        <w:t>）拟用于回购的资金总额及资金来源 本次用于回购股份资金总额不超过</w:t>
      </w:r>
      <w:r>
        <w:rPr>
          <w:rFonts w:ascii="Times New Roman" w:hAnsi="Times New Roman" w:cs="Times New Roman" w:eastAsia="Times New Roman" w:hint="default"/>
        </w:rPr>
        <w:t>4</w:t>
      </w:r>
      <w:r>
        <w:rPr/>
        <w:t>亿港元，折合</w:t>
      </w:r>
      <w:r>
        <w:rPr>
          <w:rFonts w:ascii="Times New Roman" w:hAnsi="Times New Roman" w:cs="Times New Roman" w:eastAsia="Times New Roman" w:hint="default"/>
        </w:rPr>
        <w:t>3.27</w:t>
      </w:r>
      <w:r>
        <w:rPr/>
        <w:t>亿元人民币（按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1</w:t>
      </w:r>
      <w:r>
        <w:rPr/>
        <w:t>港元兑</w:t>
      </w:r>
      <w:r>
        <w:rPr>
          <w:rFonts w:ascii="Times New Roman" w:hAnsi="Times New Roman" w:cs="Times New Roman" w:eastAsia="Times New Roman" w:hint="default"/>
        </w:rPr>
        <w:t>0.8175</w:t>
      </w:r>
      <w:r>
        <w:rPr/>
        <w:t>元人民币的汇率换</w:t>
      </w:r>
    </w:p>
    <w:p>
      <w:pPr>
        <w:pStyle w:val="BodyText"/>
        <w:spacing w:line="240" w:lineRule="auto" w:before="13"/>
        <w:ind w:left="153" w:right="0"/>
        <w:jc w:val="both"/>
      </w:pPr>
      <w:r>
        <w:rPr/>
        <w:t>算）。</w:t>
      </w:r>
    </w:p>
    <w:p>
      <w:pPr>
        <w:pStyle w:val="BodyText"/>
        <w:spacing w:line="240" w:lineRule="auto" w:before="76"/>
        <w:ind w:left="513" w:right="181"/>
        <w:jc w:val="left"/>
      </w:pPr>
      <w:r>
        <w:rPr/>
        <w:t>拟用于回购资金来源：全部为公司自有资金。</w:t>
      </w:r>
    </w:p>
    <w:p>
      <w:pPr>
        <w:pStyle w:val="BodyText"/>
        <w:spacing w:line="300" w:lineRule="auto" w:before="76"/>
        <w:ind w:left="513" w:right="4951"/>
        <w:jc w:val="left"/>
      </w:pPr>
      <w:r>
        <w:rPr/>
        <w:t>（</w:t>
      </w:r>
      <w:r>
        <w:rPr>
          <w:rFonts w:ascii="Times New Roman" w:hAnsi="Times New Roman" w:cs="Times New Roman" w:eastAsia="Times New Roman" w:hint="default"/>
        </w:rPr>
        <w:t>5</w:t>
      </w:r>
      <w:r>
        <w:rPr/>
        <w:t>）回购股份的期限 回购期限自股东大会通过本次回购决议之日起</w:t>
      </w:r>
      <w:r>
        <w:rPr>
          <w:rFonts w:ascii="Times New Roman" w:hAnsi="Times New Roman" w:cs="Times New Roman" w:eastAsia="Times New Roman" w:hint="default"/>
        </w:rPr>
        <w:t>12</w:t>
      </w:r>
      <w:r>
        <w:rPr/>
        <w:t>个月内。</w:t>
      </w:r>
    </w:p>
    <w:p>
      <w:pPr>
        <w:pStyle w:val="BodyText"/>
        <w:spacing w:line="300" w:lineRule="auto" w:before="13"/>
        <w:ind w:left="153" w:right="181" w:firstLine="360"/>
        <w:jc w:val="left"/>
      </w:pPr>
      <w:r>
        <w:rPr>
          <w:spacing w:val="-1"/>
        </w:rPr>
        <w:t>如果在此期限内回购股数达到最高限额（</w:t>
      </w:r>
      <w:r>
        <w:rPr>
          <w:rFonts w:ascii="Times New Roman" w:hAnsi="Times New Roman" w:cs="Times New Roman" w:eastAsia="Times New Roman" w:hint="default"/>
          <w:spacing w:val="-1"/>
        </w:rPr>
        <w:t>1.5</w:t>
      </w:r>
      <w:r>
        <w:rPr>
          <w:spacing w:val="-1"/>
        </w:rPr>
        <w:t>亿股）或回购金额达到上限（</w:t>
      </w:r>
      <w:r>
        <w:rPr>
          <w:rFonts w:ascii="Times New Roman" w:hAnsi="Times New Roman" w:cs="Times New Roman" w:eastAsia="Times New Roman" w:hint="default"/>
          <w:spacing w:val="-1"/>
        </w:rPr>
        <w:t>4</w:t>
      </w:r>
      <w:r>
        <w:rPr>
          <w:spacing w:val="-1"/>
        </w:rPr>
        <w:t>亿港元），则本次回购方案实施完毕，回购</w:t>
      </w:r>
      <w:r>
        <w:rPr/>
        <w:t> 期限自该日起提前届满。</w:t>
      </w:r>
    </w:p>
    <w:p>
      <w:pPr>
        <w:pStyle w:val="BodyText"/>
        <w:spacing w:line="309" w:lineRule="auto" w:before="31"/>
        <w:ind w:left="513" w:right="181"/>
        <w:jc w:val="left"/>
      </w:pPr>
      <w:r>
        <w:rPr/>
        <w:t>公司将根据股东大会和董事会授权，在回购期限内根据市场情况择机作出回购决策并予以实施。 </w:t>
      </w:r>
      <w:r>
        <w:rPr>
          <w:rFonts w:ascii="Times New Roman" w:hAnsi="Times New Roman" w:cs="Times New Roman" w:eastAsia="Times New Roman" w:hint="default"/>
        </w:rPr>
        <w:t>3</w:t>
      </w:r>
      <w:r>
        <w:rPr/>
        <w:t>、回购事项已履行程序 </w:t>
      </w:r>
      <w:r>
        <w:rPr>
          <w:spacing w:val="-1"/>
        </w:rPr>
        <w:t>由于筹划回购</w:t>
      </w:r>
      <w:r>
        <w:rPr>
          <w:rFonts w:ascii="Times New Roman" w:hAnsi="Times New Roman" w:cs="Times New Roman" w:eastAsia="Times New Roman" w:hint="default"/>
          <w:spacing w:val="-1"/>
        </w:rPr>
        <w:t>B</w:t>
      </w:r>
      <w:r>
        <w:rPr>
          <w:spacing w:val="-1"/>
        </w:rPr>
        <w:t>股事项，公司股票晨鸣纸业、晨鸣</w:t>
      </w:r>
      <w:r>
        <w:rPr>
          <w:rFonts w:ascii="Times New Roman" w:hAnsi="Times New Roman" w:cs="Times New Roman" w:eastAsia="Times New Roman" w:hint="default"/>
          <w:spacing w:val="-1"/>
        </w:rPr>
        <w:t>B</w:t>
      </w:r>
      <w:r>
        <w:rPr>
          <w:spacing w:val="-1"/>
        </w:rPr>
        <w:t>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日起停牌，经公司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日召开的第六届董事</w:t>
      </w:r>
    </w:p>
    <w:p>
      <w:pPr>
        <w:pStyle w:val="BodyText"/>
        <w:spacing w:line="300" w:lineRule="auto" w:before="5"/>
        <w:ind w:left="513" w:right="99" w:hanging="360"/>
        <w:jc w:val="left"/>
      </w:pPr>
      <w:r>
        <w:rPr/>
        <w:t>会第十四次会议审议通过，</w:t>
      </w:r>
      <w:r>
        <w:rPr>
          <w:spacing w:val="-18"/>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日起公司股票复牌。 </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日，公司召开了第三次临时股东大会、境内上市股份（</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B</w:t>
      </w:r>
      <w:r>
        <w:rPr>
          <w:spacing w:val="-1"/>
        </w:rPr>
        <w:t>股）类别股东大会和境外上市股份（</w:t>
      </w:r>
      <w:r>
        <w:rPr>
          <w:rFonts w:ascii="Times New Roman" w:hAnsi="Times New Roman" w:cs="Times New Roman" w:eastAsia="Times New Roman" w:hint="default"/>
          <w:spacing w:val="-1"/>
        </w:rPr>
        <w:t>H</w:t>
      </w:r>
      <w:r>
        <w:rPr>
          <w:spacing w:val="-1"/>
        </w:rPr>
        <w:t>股）</w:t>
      </w:r>
    </w:p>
    <w:p>
      <w:pPr>
        <w:pStyle w:val="BodyText"/>
        <w:spacing w:line="300" w:lineRule="auto" w:before="13"/>
        <w:ind w:right="228" w:hanging="1"/>
        <w:jc w:val="both"/>
      </w:pPr>
      <w:r>
        <w:rPr/>
        <w:t>类别股东大会，会议分别审议通过了公司回购</w:t>
      </w:r>
      <w:r>
        <w:rPr>
          <w:rFonts w:ascii="Times New Roman" w:hAnsi="Times New Roman" w:cs="Times New Roman" w:eastAsia="Times New Roman" w:hint="default"/>
        </w:rPr>
        <w:t>B</w:t>
      </w:r>
      <w:r>
        <w:rPr/>
        <w:t>股股份的议案。次日，公司公告了股东大会决议和关于回购公司</w:t>
      </w:r>
      <w:r>
        <w:rPr>
          <w:rFonts w:ascii="Times New Roman" w:hAnsi="Times New Roman" w:cs="Times New Roman" w:eastAsia="Times New Roman" w:hint="default"/>
        </w:rPr>
        <w:t>B</w:t>
      </w:r>
      <w:r>
        <w:rPr/>
        <w:t>股股份暨 减少注册资本的债权人通知。</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81" w:firstLine="36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日，公司获山东省商务厅鲁商务外资字【</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907</w:t>
      </w:r>
      <w:r>
        <w:rPr>
          <w:spacing w:val="-1"/>
        </w:rPr>
        <w:t>号文批复，初步同意公司回购不超过</w:t>
      </w:r>
      <w:r>
        <w:rPr>
          <w:rFonts w:ascii="Times New Roman" w:hAnsi="Times New Roman" w:cs="Times New Roman" w:eastAsia="Times New Roman" w:hint="default"/>
          <w:spacing w:val="-1"/>
        </w:rPr>
        <w:t>1.5</w:t>
      </w:r>
      <w:r>
        <w:rPr>
          <w:spacing w:val="-1"/>
        </w:rPr>
        <w:t>亿股已发行的</w:t>
      </w:r>
      <w:r>
        <w:rPr/>
        <w:t> 境内上市外资股（</w:t>
      </w:r>
      <w:r>
        <w:rPr>
          <w:rFonts w:ascii="Times New Roman" w:hAnsi="Times New Roman" w:cs="Times New Roman" w:eastAsia="Times New Roman" w:hint="default"/>
        </w:rPr>
        <w:t>B</w:t>
      </w:r>
      <w:r>
        <w:rPr/>
        <w:t>股），回购的股份以实际发生数额为准并相应减少注册资本。</w:t>
      </w:r>
    </w:p>
    <w:p>
      <w:pPr>
        <w:pStyle w:val="BodyText"/>
        <w:spacing w:line="300" w:lineRule="auto" w:before="13"/>
        <w:ind w:right="181" w:firstLine="359"/>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04</w:t>
      </w:r>
      <w:r>
        <w:rPr>
          <w:spacing w:val="-2"/>
        </w:rPr>
        <w:t>日，公司获国家外汇管理局寿光市支局寿汇发【</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4</w:t>
      </w:r>
      <w:r>
        <w:rPr>
          <w:spacing w:val="-2"/>
        </w:rPr>
        <w:t>号文批复，同意公司购汇不超过</w:t>
      </w:r>
      <w:r>
        <w:rPr>
          <w:rFonts w:ascii="Times New Roman" w:hAnsi="Times New Roman" w:cs="Times New Roman" w:eastAsia="Times New Roman" w:hint="default"/>
          <w:spacing w:val="-2"/>
        </w:rPr>
        <w:t>4</w:t>
      </w:r>
      <w:r>
        <w:rPr>
          <w:spacing w:val="-2"/>
        </w:rPr>
        <w:t>亿港元，用于回</w:t>
      </w:r>
      <w:r>
        <w:rPr/>
        <w:t> 购不超过</w:t>
      </w:r>
      <w:r>
        <w:rPr>
          <w:rFonts w:ascii="Times New Roman" w:hAnsi="Times New Roman" w:cs="Times New Roman" w:eastAsia="Times New Roman" w:hint="default"/>
        </w:rPr>
        <w:t>1.5</w:t>
      </w:r>
      <w:r>
        <w:rPr/>
        <w:t>亿股境内上市外资股（</w:t>
      </w:r>
      <w:r>
        <w:rPr>
          <w:rFonts w:ascii="Times New Roman" w:hAnsi="Times New Roman" w:cs="Times New Roman" w:eastAsia="Times New Roman" w:hint="default"/>
        </w:rPr>
        <w:t>B</w:t>
      </w:r>
      <w:r>
        <w:rPr/>
        <w:t>股）。</w:t>
      </w:r>
    </w:p>
    <w:p>
      <w:pPr>
        <w:pStyle w:val="BodyText"/>
        <w:spacing w:line="300" w:lineRule="auto" w:before="13"/>
        <w:ind w:left="514" w:right="181"/>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26</w:t>
      </w:r>
      <w:r>
        <w:rPr/>
        <w:t>日，公司回购</w:t>
      </w:r>
      <w:r>
        <w:rPr>
          <w:rFonts w:ascii="Times New Roman" w:hAnsi="Times New Roman" w:cs="Times New Roman" w:eastAsia="Times New Roman" w:hint="default"/>
        </w:rPr>
        <w:t>B</w:t>
      </w:r>
      <w:r>
        <w:rPr/>
        <w:t>股事项，已获深交所同意，公司发出了回购报告书等公告，正式启动回购工作。 </w:t>
      </w:r>
      <w:r>
        <w:rPr>
          <w:spacing w:val="-2"/>
        </w:rPr>
        <w:t>根据证监会《关于上市公司以集中竞价交易方式回购股份的补充规定》，上市公司定期报告或业绩快报公告前</w:t>
      </w:r>
      <w:r>
        <w:rPr>
          <w:rFonts w:ascii="Times New Roman" w:hAnsi="Times New Roman" w:cs="Times New Roman" w:eastAsia="Times New Roman" w:hint="default"/>
          <w:spacing w:val="-2"/>
        </w:rPr>
        <w:t>10</w:t>
      </w:r>
      <w:r>
        <w:rPr>
          <w:spacing w:val="-2"/>
        </w:rPr>
        <w:t>个交易</w:t>
      </w:r>
    </w:p>
    <w:p>
      <w:pPr>
        <w:pStyle w:val="BodyText"/>
        <w:spacing w:line="240" w:lineRule="auto" w:before="13"/>
        <w:ind w:right="181"/>
        <w:jc w:val="left"/>
      </w:pPr>
      <w:r>
        <w:rPr/>
        <w:t>日内不得回购股份。截止本报告披露前十个交易日，公司已累计回购</w:t>
      </w:r>
      <w:r>
        <w:rPr>
          <w:rFonts w:ascii="Times New Roman" w:hAnsi="Times New Roman" w:cs="Times New Roman" w:eastAsia="Times New Roman" w:hint="default"/>
        </w:rPr>
        <w:t>B</w:t>
      </w:r>
      <w:r>
        <w:rPr>
          <w:rFonts w:ascii="Times New Roman" w:hAnsi="Times New Roman" w:cs="Times New Roman" w:eastAsia="Times New Roman" w:hint="default"/>
          <w:spacing w:val="24"/>
        </w:rPr>
        <w:t> </w:t>
      </w:r>
      <w:r>
        <w:rPr/>
        <w:t>股数量为</w:t>
      </w:r>
      <w:r>
        <w:rPr>
          <w:rFonts w:ascii="Times New Roman" w:hAnsi="Times New Roman" w:cs="Times New Roman" w:eastAsia="Times New Roman" w:hint="default"/>
        </w:rPr>
        <w:t>6,753,000</w:t>
      </w:r>
      <w:r>
        <w:rPr/>
        <w:t>股，占公司总股本的比例为</w:t>
      </w:r>
    </w:p>
    <w:p>
      <w:pPr>
        <w:pStyle w:val="BodyText"/>
        <w:spacing w:line="240" w:lineRule="auto" w:before="62"/>
        <w:ind w:right="99"/>
        <w:jc w:val="left"/>
      </w:pPr>
      <w:r>
        <w:rPr>
          <w:rFonts w:ascii="Times New Roman" w:hAnsi="Times New Roman" w:cs="Times New Roman" w:eastAsia="Times New Roman" w:hint="default"/>
        </w:rPr>
        <w:t>0.3275%</w:t>
      </w:r>
      <w:r>
        <w:rPr/>
        <w:t>，购买最高价为港币</w:t>
      </w:r>
      <w:r>
        <w:rPr>
          <w:rFonts w:ascii="Times New Roman" w:hAnsi="Times New Roman" w:cs="Times New Roman" w:eastAsia="Times New Roman" w:hint="default"/>
        </w:rPr>
        <w:t>3.52</w:t>
      </w:r>
      <w:r>
        <w:rPr/>
        <w:t>元</w:t>
      </w:r>
      <w:r>
        <w:rPr>
          <w:rFonts w:ascii="Times New Roman" w:hAnsi="Times New Roman" w:cs="Times New Roman" w:eastAsia="Times New Roman" w:hint="default"/>
        </w:rPr>
        <w:t>/</w:t>
      </w:r>
      <w:r>
        <w:rPr/>
        <w:t>股，最低价为港币</w:t>
      </w:r>
      <w:r>
        <w:rPr>
          <w:rFonts w:ascii="Times New Roman" w:hAnsi="Times New Roman" w:cs="Times New Roman" w:eastAsia="Times New Roman" w:hint="default"/>
        </w:rPr>
        <w:t>3.43</w:t>
      </w:r>
      <w:r>
        <w:rPr/>
        <w:t>元</w:t>
      </w:r>
      <w:r>
        <w:rPr>
          <w:rFonts w:ascii="Times New Roman" w:hAnsi="Times New Roman" w:cs="Times New Roman" w:eastAsia="Times New Roman" w:hint="default"/>
        </w:rPr>
        <w:t>/</w:t>
      </w:r>
      <w:r>
        <w:rPr/>
        <w:t>股，支付总金额为港币</w:t>
      </w:r>
      <w:r>
        <w:rPr>
          <w:rFonts w:ascii="Times New Roman" w:hAnsi="Times New Roman" w:cs="Times New Roman" w:eastAsia="Times New Roman" w:hint="default"/>
        </w:rPr>
        <w:t>23,593.252.28</w:t>
      </w:r>
      <w:r>
        <w:rPr/>
        <w:t>元（含印花税、佣金）。</w:t>
      </w:r>
    </w:p>
    <w:p>
      <w:pPr>
        <w:spacing w:line="240" w:lineRule="auto" w:before="2"/>
        <w:rPr>
          <w:rFonts w:ascii="宋体" w:hAnsi="宋体" w:cs="宋体" w:eastAsia="宋体" w:hint="default"/>
          <w:sz w:val="24"/>
          <w:szCs w:val="24"/>
        </w:rPr>
      </w:pPr>
    </w:p>
    <w:p>
      <w:pPr>
        <w:pStyle w:val="Heading2"/>
        <w:spacing w:line="240" w:lineRule="auto"/>
        <w:ind w:right="181"/>
        <w:jc w:val="left"/>
        <w:rPr>
          <w:b w:val="0"/>
          <w:bCs w:val="0"/>
        </w:rPr>
      </w:pPr>
      <w:r>
        <w:rPr/>
        <w:t>十六、</w:t>
      </w:r>
      <w:r>
        <w:rPr>
          <w:spacing w:val="-1"/>
        </w:rPr>
        <w:t> </w:t>
      </w:r>
      <w:r>
        <w:rPr/>
        <w:t>报告期后事项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81" w:firstLine="74"/>
        <w:jc w:val="left"/>
      </w:pPr>
      <w:r>
        <w:rPr>
          <w:rFonts w:ascii="Times New Roman" w:hAnsi="Times New Roman" w:cs="Times New Roman" w:eastAsia="Times New Roman" w:hint="default"/>
        </w:rPr>
        <w:t>1</w:t>
      </w:r>
      <w:r>
        <w:rPr/>
        <w:t>、海鸣矿业增资暨关联交易事项 </w:t>
      </w:r>
      <w:r>
        <w:rPr>
          <w:spacing w:val="-2"/>
        </w:rPr>
        <w:t>鉴于公司之控股子公司海城海鸣矿业有限责任公司目前注册资本较低，尚未开展经营活动，考虑海鸣矿业后续项目运作</w:t>
      </w:r>
    </w:p>
    <w:p>
      <w:pPr>
        <w:pStyle w:val="BodyText"/>
        <w:spacing w:line="307" w:lineRule="auto" w:before="2"/>
        <w:ind w:left="153" w:right="190"/>
        <w:jc w:val="both"/>
      </w:pPr>
      <w:r>
        <w:rPr>
          <w:spacing w:val="-2"/>
        </w:rPr>
        <w:t>风险及资金需求等因素，为符合广大股东及公司利益，有利于股东共担风险、共同努力，经与股东协商，决定对海鸣矿业增</w:t>
      </w:r>
      <w:r>
        <w:rPr>
          <w:spacing w:val="-66"/>
        </w:rPr>
        <w:t> </w:t>
      </w:r>
      <w:r>
        <w:rPr>
          <w:spacing w:val="-66"/>
        </w:rPr>
      </w:r>
      <w:r>
        <w:rPr>
          <w:spacing w:val="-1"/>
        </w:rPr>
        <w:t>资至人民币</w:t>
      </w:r>
      <w:r>
        <w:rPr>
          <w:rFonts w:ascii="Times New Roman" w:hAnsi="Times New Roman" w:cs="Times New Roman" w:eastAsia="Times New Roman" w:hint="default"/>
          <w:spacing w:val="-1"/>
        </w:rPr>
        <w:t>2.4</w:t>
      </w:r>
      <w:r>
        <w:rPr>
          <w:spacing w:val="-1"/>
        </w:rPr>
        <w:t>亿元，其中：公司对海鸣矿业增加注册资本人民币</w:t>
      </w:r>
      <w:r>
        <w:rPr>
          <w:rFonts w:ascii="Times New Roman" w:hAnsi="Times New Roman" w:cs="Times New Roman" w:eastAsia="Times New Roman" w:hint="default"/>
          <w:spacing w:val="-1"/>
        </w:rPr>
        <w:t>7,400</w:t>
      </w:r>
      <w:r>
        <w:rPr>
          <w:spacing w:val="-1"/>
        </w:rPr>
        <w:t>万元，北海集团对海鸣矿业增加注册资本人民币</w:t>
      </w:r>
      <w:r>
        <w:rPr>
          <w:rFonts w:ascii="Times New Roman" w:hAnsi="Times New Roman" w:cs="Times New Roman" w:eastAsia="Times New Roman" w:hint="default"/>
          <w:spacing w:val="-1"/>
        </w:rPr>
        <w:t>4,200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万元，恒泰企业对海鸣矿业增加注册资本人民币</w:t>
      </w:r>
      <w:r>
        <w:rPr>
          <w:rFonts w:ascii="Times New Roman" w:hAnsi="Times New Roman" w:cs="Times New Roman" w:eastAsia="Times New Roman" w:hint="default"/>
        </w:rPr>
        <w:t>2,400</w:t>
      </w:r>
      <w:r>
        <w:rPr/>
        <w:t>万元。增资后，海鸣矿业注册资本变更为人民币</w:t>
      </w:r>
      <w:r>
        <w:rPr>
          <w:rFonts w:ascii="Times New Roman" w:hAnsi="Times New Roman" w:cs="Times New Roman" w:eastAsia="Times New Roman" w:hint="default"/>
        </w:rPr>
        <w:t>2.4</w:t>
      </w:r>
      <w:r>
        <w:rPr/>
        <w:t>亿元。增资及新增</w:t>
      </w:r>
      <w:r>
        <w:rPr>
          <w:spacing w:val="-87"/>
        </w:rPr>
        <w:t> </w:t>
      </w:r>
      <w:r>
        <w:rPr/>
        <w:t>股东后，海鸣矿业股东结构变更为：公司持有</w:t>
      </w:r>
      <w:r>
        <w:rPr>
          <w:rFonts w:ascii="Times New Roman" w:hAnsi="Times New Roman" w:cs="Times New Roman" w:eastAsia="Times New Roman" w:hint="default"/>
        </w:rPr>
        <w:t>60%</w:t>
      </w:r>
      <w:r>
        <w:rPr/>
        <w:t>的股权，北海集团持有</w:t>
      </w:r>
      <w:r>
        <w:rPr>
          <w:rFonts w:ascii="Times New Roman" w:hAnsi="Times New Roman" w:cs="Times New Roman" w:eastAsia="Times New Roman" w:hint="default"/>
        </w:rPr>
        <w:t>30%</w:t>
      </w:r>
      <w:r>
        <w:rPr/>
        <w:t>的股权，寿光恒泰持有</w:t>
      </w:r>
      <w:r>
        <w:rPr>
          <w:rFonts w:ascii="Times New Roman" w:hAnsi="Times New Roman" w:cs="Times New Roman" w:eastAsia="Times New Roman" w:hint="default"/>
        </w:rPr>
        <w:t>10%</w:t>
      </w:r>
      <w:r>
        <w:rPr/>
        <w:t>的股权。</w:t>
      </w:r>
    </w:p>
    <w:p>
      <w:pPr>
        <w:pStyle w:val="BodyText"/>
        <w:spacing w:line="309" w:lineRule="auto" w:before="46"/>
        <w:ind w:left="153" w:right="91" w:firstLine="360"/>
        <w:jc w:val="left"/>
      </w:pPr>
      <w:r>
        <w:rPr/>
        <w:t>公司董事长兼总经理陈洪国先生、副董事长尹同远先生、监事会主席高俊杰先生、副总经理李雪芹女士、王春方先生、 胡长青先生等高管在恒泰企业持有股份，根据深交所上市规则</w:t>
      </w:r>
      <w:r>
        <w:rPr>
          <w:rFonts w:ascii="Times New Roman" w:hAnsi="Times New Roman" w:cs="Times New Roman" w:eastAsia="Times New Roman" w:hint="default"/>
        </w:rPr>
        <w:t>10.1.3</w:t>
      </w:r>
      <w:r>
        <w:rPr/>
        <w:t>条的规定，寿光恒泰增资海鸣矿业此项交易构成关联交</w:t>
      </w:r>
      <w:r>
        <w:rPr>
          <w:spacing w:val="-85"/>
        </w:rPr>
        <w:t> </w:t>
      </w:r>
      <w:r>
        <w:rPr>
          <w:spacing w:val="-85"/>
        </w:rPr>
      </w:r>
      <w:r>
        <w:rPr/>
        <w:t>易。</w:t>
      </w:r>
    </w:p>
    <w:p>
      <w:pPr>
        <w:pStyle w:val="BodyText"/>
        <w:spacing w:line="240" w:lineRule="auto" w:before="62"/>
        <w:ind w:left="513" w:right="181"/>
        <w:jc w:val="left"/>
      </w:pPr>
      <w:r>
        <w:rPr>
          <w:spacing w:val="3"/>
        </w:rPr>
        <w:t>具体内容详见公司于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02</w:t>
      </w:r>
      <w:r>
        <w:rPr>
          <w:spacing w:val="3"/>
        </w:rPr>
        <w:t>月</w:t>
      </w:r>
      <w:r>
        <w:rPr>
          <w:rFonts w:ascii="Times New Roman" w:hAnsi="Times New Roman" w:cs="Times New Roman" w:eastAsia="Times New Roman" w:hint="default"/>
          <w:spacing w:val="3"/>
        </w:rPr>
        <w:t>07</w:t>
      </w:r>
      <w:r>
        <w:rPr>
          <w:spacing w:val="3"/>
        </w:rPr>
        <w:t>日发布在中国证券报、香港商报、巨潮资讯网（</w:t>
      </w:r>
      <w:hyperlink r:id="rId12">
        <w:r>
          <w:rPr>
            <w:rFonts w:ascii="Times New Roman" w:hAnsi="Times New Roman" w:cs="Times New Roman" w:eastAsia="Times New Roman" w:hint="default"/>
            <w:spacing w:val="3"/>
          </w:rPr>
          <w:t>www.cninfo.com.cn</w:t>
        </w:r>
      </w:hyperlink>
      <w:r>
        <w:rPr>
          <w:spacing w:val="3"/>
        </w:rPr>
        <w:t>）、公司网站</w:t>
      </w:r>
      <w:r>
        <w:rPr/>
      </w:r>
    </w:p>
    <w:p>
      <w:pPr>
        <w:pStyle w:val="BodyText"/>
        <w:spacing w:line="338" w:lineRule="auto" w:before="64"/>
        <w:ind w:left="513" w:right="181" w:hanging="360"/>
        <w:jc w:val="left"/>
      </w:pPr>
      <w:r>
        <w:rPr/>
        <w:t>（</w:t>
      </w:r>
      <w:hyperlink r:id="rId9">
        <w:r>
          <w:rPr>
            <w:rFonts w:ascii="Times New Roman" w:hAnsi="Times New Roman" w:cs="Times New Roman" w:eastAsia="Times New Roman" w:hint="default"/>
          </w:rPr>
          <w:t>www.chenmingpaper.com</w:t>
        </w:r>
      </w:hyperlink>
      <w:r>
        <w:rPr/>
        <w:t>）及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06</w:t>
      </w:r>
      <w:r>
        <w:rPr/>
        <w:t>日发布在香港联交所网站（</w:t>
      </w:r>
      <w:hyperlink r:id="rId13">
        <w:r>
          <w:rPr>
            <w:rFonts w:ascii="Times New Roman" w:hAnsi="Times New Roman" w:cs="Times New Roman" w:eastAsia="Times New Roman" w:hint="default"/>
          </w:rPr>
          <w:t>www.hkex.com.hk</w:t>
        </w:r>
      </w:hyperlink>
      <w:r>
        <w:rPr/>
        <w:t>）上的公司公告。 </w:t>
      </w:r>
      <w:r>
        <w:rPr>
          <w:rFonts w:ascii="Times New Roman" w:hAnsi="Times New Roman" w:cs="Times New Roman" w:eastAsia="Times New Roman" w:hint="default"/>
        </w:rPr>
        <w:t>2</w:t>
      </w:r>
      <w:r>
        <w:rPr/>
        <w:t>、武汉晨鸣投资生活用纸和技改项目 </w:t>
      </w:r>
      <w:r>
        <w:rPr>
          <w:spacing w:val="-2"/>
        </w:rPr>
        <w:t>为丰富公司产品品种，提高产品在市场的综合竞争力和毛利率水平，在前期</w:t>
      </w:r>
      <w:r>
        <w:rPr>
          <w:rFonts w:ascii="Times New Roman" w:hAnsi="Times New Roman" w:cs="Times New Roman" w:eastAsia="Times New Roman" w:hint="default"/>
          <w:spacing w:val="-2"/>
        </w:rPr>
        <w:t>6</w:t>
      </w:r>
      <w:r>
        <w:rPr>
          <w:spacing w:val="-2"/>
        </w:rPr>
        <w:t>万吨生活用纸生产线的基础上，公司董事</w:t>
      </w:r>
    </w:p>
    <w:p>
      <w:pPr>
        <w:pStyle w:val="BodyText"/>
        <w:spacing w:line="230" w:lineRule="exact"/>
        <w:ind w:left="153" w:right="99"/>
        <w:jc w:val="left"/>
        <w:rPr>
          <w:rFonts w:ascii="Times New Roman" w:hAnsi="Times New Roman" w:cs="Times New Roman" w:eastAsia="Times New Roman" w:hint="default"/>
        </w:rPr>
      </w:pPr>
      <w:r>
        <w:rPr/>
        <w:t>会同意在武汉晨鸣建设年产</w:t>
      </w:r>
      <w:r>
        <w:rPr>
          <w:rFonts w:ascii="Times New Roman" w:hAnsi="Times New Roman" w:cs="Times New Roman" w:eastAsia="Times New Roman" w:hint="default"/>
        </w:rPr>
        <w:t>13.6</w:t>
      </w:r>
      <w:r>
        <w:rPr/>
        <w:t>万吨生活用纸项目；同时对武汉二厂</w:t>
      </w:r>
      <w:r>
        <w:rPr>
          <w:rFonts w:ascii="Times New Roman" w:hAnsi="Times New Roman" w:cs="Times New Roman" w:eastAsia="Times New Roman" w:hint="default"/>
        </w:rPr>
        <w:t>4800</w:t>
      </w:r>
      <w:r>
        <w:rPr/>
        <w:t>纸机生产线进行升级改造。投资总额约人民币</w:t>
      </w:r>
      <w:r>
        <w:rPr>
          <w:rFonts w:ascii="Times New Roman" w:hAnsi="Times New Roman" w:cs="Times New Roman" w:eastAsia="Times New Roman" w:hint="default"/>
        </w:rPr>
        <w:t>17.8</w:t>
      </w:r>
    </w:p>
    <w:p>
      <w:pPr>
        <w:pStyle w:val="BodyText"/>
        <w:spacing w:line="240" w:lineRule="auto" w:before="64"/>
        <w:ind w:left="153" w:right="181"/>
        <w:jc w:val="left"/>
      </w:pPr>
      <w:r>
        <w:rPr/>
        <w:t>亿元。</w:t>
      </w:r>
    </w:p>
    <w:p>
      <w:pPr>
        <w:pStyle w:val="BodyText"/>
        <w:spacing w:line="240" w:lineRule="auto" w:before="115"/>
        <w:ind w:left="513" w:right="181"/>
        <w:jc w:val="left"/>
      </w:pPr>
      <w:r>
        <w:rPr>
          <w:spacing w:val="3"/>
        </w:rPr>
        <w:t>具体内容详见公司于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02</w:t>
      </w:r>
      <w:r>
        <w:rPr>
          <w:spacing w:val="3"/>
        </w:rPr>
        <w:t>月</w:t>
      </w:r>
      <w:r>
        <w:rPr>
          <w:rFonts w:ascii="Times New Roman" w:hAnsi="Times New Roman" w:cs="Times New Roman" w:eastAsia="Times New Roman" w:hint="default"/>
          <w:spacing w:val="3"/>
        </w:rPr>
        <w:t>07</w:t>
      </w:r>
      <w:r>
        <w:rPr>
          <w:spacing w:val="3"/>
        </w:rPr>
        <w:t>日发布在中国证券报、香港商报、巨潮资讯网（</w:t>
      </w:r>
      <w:hyperlink r:id="rId12">
        <w:r>
          <w:rPr>
            <w:rFonts w:ascii="Times New Roman" w:hAnsi="Times New Roman" w:cs="Times New Roman" w:eastAsia="Times New Roman" w:hint="default"/>
            <w:spacing w:val="3"/>
          </w:rPr>
          <w:t>www.cninfo.com.cn</w:t>
        </w:r>
      </w:hyperlink>
      <w:r>
        <w:rPr>
          <w:spacing w:val="3"/>
        </w:rPr>
        <w:t>）、公司网站</w:t>
      </w:r>
      <w:r>
        <w:rPr/>
      </w:r>
    </w:p>
    <w:p>
      <w:pPr>
        <w:pStyle w:val="BodyText"/>
        <w:spacing w:line="240" w:lineRule="auto" w:before="64"/>
        <w:ind w:left="153" w:right="181"/>
        <w:jc w:val="left"/>
      </w:pPr>
      <w:r>
        <w:rPr/>
        <w:t>（</w:t>
      </w:r>
      <w:hyperlink r:id="rId9">
        <w:r>
          <w:rPr>
            <w:rFonts w:ascii="Times New Roman" w:hAnsi="Times New Roman" w:cs="Times New Roman" w:eastAsia="Times New Roman" w:hint="default"/>
          </w:rPr>
          <w:t>www.chenmingpaper.com</w:t>
        </w:r>
      </w:hyperlink>
      <w:r>
        <w:rPr/>
        <w:t>）及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06</w:t>
      </w:r>
      <w:r>
        <w:rPr/>
        <w:t>日发布在香港联交所网站（</w:t>
      </w:r>
      <w:hyperlink r:id="rId13">
        <w:r>
          <w:rPr>
            <w:rFonts w:ascii="Times New Roman" w:hAnsi="Times New Roman" w:cs="Times New Roman" w:eastAsia="Times New Roman" w:hint="default"/>
          </w:rPr>
          <w:t>www.hkex.com.hk</w:t>
        </w:r>
      </w:hyperlink>
      <w:r>
        <w:rPr/>
        <w:t>）上的公司公告。</w:t>
      </w:r>
    </w:p>
    <w:p>
      <w:pPr>
        <w:pStyle w:val="BodyText"/>
        <w:spacing w:line="240" w:lineRule="auto" w:before="102"/>
        <w:ind w:left="513" w:right="181"/>
        <w:jc w:val="left"/>
      </w:pPr>
      <w:r>
        <w:rPr>
          <w:rFonts w:ascii="Times New Roman" w:hAnsi="Times New Roman" w:cs="Times New Roman" w:eastAsia="Times New Roman" w:hint="default"/>
        </w:rPr>
        <w:t>3</w:t>
      </w:r>
      <w:r>
        <w:rPr/>
        <w:t>、控股股东寿光晨鸣控股有限公司进行约定式回购证券交易</w:t>
      </w:r>
    </w:p>
    <w:p>
      <w:pPr>
        <w:pStyle w:val="BodyText"/>
        <w:spacing w:line="300" w:lineRule="auto" w:before="102"/>
        <w:ind w:left="153" w:right="187" w:firstLine="359"/>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22</w:t>
      </w:r>
      <w:r>
        <w:rPr/>
        <w:t>日，公司接到持股</w:t>
      </w:r>
      <w:r>
        <w:rPr>
          <w:rFonts w:ascii="Times New Roman" w:hAnsi="Times New Roman" w:cs="Times New Roman" w:eastAsia="Times New Roman" w:hint="default"/>
        </w:rPr>
        <w:t>5%</w:t>
      </w:r>
      <w:r>
        <w:rPr/>
        <w:t>以上股东寿光晨鸣控股有限公司函件称，晨鸣控股于</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21</w:t>
      </w:r>
      <w:r>
        <w:rPr/>
        <w:t>日通过约定购</w:t>
      </w:r>
      <w:r>
        <w:rPr>
          <w:spacing w:val="1"/>
        </w:rPr>
        <w:t> </w:t>
      </w:r>
      <w:r>
        <w:rPr/>
        <w:t>回式证券交易售出公司股份</w:t>
      </w:r>
      <w:r>
        <w:rPr>
          <w:rFonts w:ascii="Times New Roman" w:hAnsi="Times New Roman" w:cs="Times New Roman" w:eastAsia="Times New Roman" w:hint="default"/>
        </w:rPr>
        <w:t>8,660</w:t>
      </w:r>
      <w:r>
        <w:rPr/>
        <w:t>万股，占公司总股本的</w:t>
      </w:r>
      <w:r>
        <w:rPr>
          <w:rFonts w:ascii="Times New Roman" w:hAnsi="Times New Roman" w:cs="Times New Roman" w:eastAsia="Times New Roman" w:hint="default"/>
        </w:rPr>
        <w:t>4.2%</w:t>
      </w:r>
      <w:r>
        <w:rPr/>
        <w:t>。详情请参阅公司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23</w:t>
      </w:r>
      <w:r>
        <w:rPr/>
        <w:t>日发布在巨潮资讯网上的公司</w:t>
      </w:r>
      <w:r>
        <w:rPr>
          <w:spacing w:val="-75"/>
        </w:rPr>
        <w:t> </w:t>
      </w:r>
      <w:r>
        <w:rPr>
          <w:spacing w:val="-75"/>
        </w:rPr>
      </w:r>
      <w:r>
        <w:rPr/>
        <w:t>公告，公告编号：</w:t>
      </w:r>
      <w:r>
        <w:rPr>
          <w:rFonts w:ascii="Times New Roman" w:hAnsi="Times New Roman" w:cs="Times New Roman" w:eastAsia="Times New Roman" w:hint="default"/>
        </w:rPr>
        <w:t>2013-003</w:t>
      </w:r>
      <w:r>
        <w:rPr/>
        <w:t>。</w:t>
      </w:r>
    </w:p>
    <w:p>
      <w:pPr>
        <w:pStyle w:val="BodyText"/>
        <w:spacing w:line="240" w:lineRule="auto" w:before="52"/>
        <w:ind w:left="514" w:right="181"/>
        <w:jc w:val="left"/>
      </w:pPr>
      <w:r>
        <w:rPr>
          <w:rFonts w:ascii="Times New Roman" w:hAnsi="Times New Roman" w:cs="Times New Roman" w:eastAsia="Times New Roman" w:hint="default"/>
        </w:rPr>
        <w:t>4</w:t>
      </w:r>
      <w:r>
        <w:rPr/>
        <w:t>、广东慧锐投资有限公司签署</w:t>
      </w:r>
      <w:r>
        <w:rPr>
          <w:rFonts w:ascii="Times New Roman" w:hAnsi="Times New Roman" w:cs="Times New Roman" w:eastAsia="Times New Roman" w:hint="default"/>
        </w:rPr>
        <w:t>BT</w:t>
      </w:r>
      <w:r>
        <w:rPr/>
        <w:t>建设项目</w:t>
      </w:r>
    </w:p>
    <w:p>
      <w:pPr>
        <w:pStyle w:val="BodyText"/>
        <w:spacing w:line="300" w:lineRule="auto" w:before="101"/>
        <w:ind w:right="18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06</w:t>
      </w:r>
      <w:r>
        <w:rPr/>
        <w:t>日，广东慧锐投资有限公司与湛江市代建项目管理局签订了《湛江市海东新区岸线和滩涂综合治理工程</w:t>
      </w:r>
      <w:r>
        <w:rPr>
          <w:spacing w:val="2"/>
        </w:rPr>
        <w:t> </w:t>
      </w:r>
      <w:r>
        <w:rPr>
          <w:rFonts w:ascii="Times New Roman" w:hAnsi="Times New Roman" w:cs="Times New Roman" w:eastAsia="Times New Roman" w:hint="default"/>
          <w:spacing w:val="-2"/>
        </w:rPr>
        <w:t>BT</w:t>
      </w:r>
      <w:r>
        <w:rPr>
          <w:spacing w:val="-2"/>
        </w:rPr>
        <w:t>建设项目</w:t>
      </w:r>
      <w:r>
        <w:rPr>
          <w:rFonts w:ascii="Times New Roman" w:hAnsi="Times New Roman" w:cs="Times New Roman" w:eastAsia="Times New Roman" w:hint="default"/>
          <w:spacing w:val="-2"/>
        </w:rPr>
        <w:t>——</w:t>
      </w:r>
      <w:r>
        <w:rPr>
          <w:spacing w:val="-2"/>
        </w:rPr>
        <w:t>投资建设</w:t>
      </w:r>
      <w:r>
        <w:rPr>
          <w:rFonts w:ascii="Times New Roman" w:hAnsi="Times New Roman" w:cs="Times New Roman" w:eastAsia="Times New Roman" w:hint="default"/>
          <w:spacing w:val="-2"/>
        </w:rPr>
        <w:t>-</w:t>
      </w:r>
      <w:r>
        <w:rPr>
          <w:spacing w:val="-2"/>
        </w:rPr>
        <w:t>移交回购（</w:t>
      </w:r>
      <w:r>
        <w:rPr>
          <w:rFonts w:ascii="Times New Roman" w:hAnsi="Times New Roman" w:cs="Times New Roman" w:eastAsia="Times New Roman" w:hint="default"/>
          <w:spacing w:val="-2"/>
        </w:rPr>
        <w:t>BT</w:t>
      </w:r>
      <w:r>
        <w:rPr>
          <w:spacing w:val="-2"/>
        </w:rPr>
        <w:t>）合同》。本次对外投资事项经公司董事会审批通过后，需经股东大会批准。公司</w:t>
      </w:r>
      <w:r>
        <w:rPr>
          <w:spacing w:val="-45"/>
        </w:rPr>
        <w:t> </w:t>
      </w:r>
      <w:r>
        <w:rPr>
          <w:spacing w:val="-45"/>
        </w:rPr>
      </w:r>
      <w:r>
        <w:rPr/>
        <w:t>将根据事项进展情况，及时履行相关信息披露义务。参考本节第六部分、</w:t>
      </w:r>
      <w:r>
        <w:rPr>
          <w:rFonts w:ascii="Times New Roman" w:hAnsi="Times New Roman" w:cs="Times New Roman" w:eastAsia="Times New Roman" w:hint="default"/>
        </w:rPr>
        <w:t>3</w:t>
      </w:r>
      <w:r>
        <w:rPr/>
        <w:t>。</w:t>
      </w:r>
    </w:p>
    <w:p>
      <w:pPr>
        <w:spacing w:after="0" w:line="300"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6" w:id="8"/>
      <w:bookmarkEnd w:id="8"/>
      <w:r>
        <w:rPr>
          <w:b w:val="0"/>
          <w:bCs w:val="0"/>
        </w:rPr>
      </w:r>
      <w:r>
        <w:rPr/>
        <w:t>第七节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757"/>
        <w:gridCol w:w="1258"/>
        <w:gridCol w:w="728"/>
        <w:gridCol w:w="632"/>
        <w:gridCol w:w="536"/>
        <w:gridCol w:w="668"/>
        <w:gridCol w:w="1015"/>
        <w:gridCol w:w="1184"/>
        <w:gridCol w:w="1193"/>
        <w:gridCol w:w="709"/>
      </w:tblGrid>
      <w:tr>
        <w:trPr>
          <w:trHeight w:val="402" w:hRule="exact"/>
        </w:trPr>
        <w:tc>
          <w:tcPr>
            <w:tcW w:w="17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757" w:type="dxa"/>
            <w:vMerge w:val="restart"/>
            <w:tcBorders>
              <w:top w:val="nil" w:sz="6" w:space="0" w:color="auto"/>
              <w:left w:val="single" w:sz="4" w:space="0" w:color="000000"/>
              <w:right w:val="single" w:sz="4" w:space="0" w:color="000000"/>
            </w:tcBorders>
            <w:shd w:val="clear" w:color="auto" w:fill="D3D3D3"/>
          </w:tcPr>
          <w:p>
            <w:pPr/>
          </w:p>
        </w:tc>
        <w:tc>
          <w:tcPr>
            <w:tcW w:w="1258" w:type="dxa"/>
            <w:tcBorders>
              <w:top w:val="single" w:sz="4" w:space="0" w:color="000000"/>
              <w:left w:val="single" w:sz="4" w:space="0" w:color="000000"/>
              <w:bottom w:val="nil" w:sz="6" w:space="0" w:color="auto"/>
              <w:right w:val="single" w:sz="4" w:space="0" w:color="000000"/>
            </w:tcBorders>
            <w:shd w:val="clear" w:color="auto" w:fill="D3D3D3"/>
          </w:tcPr>
          <w:p>
            <w:pPr/>
          </w:p>
        </w:tc>
        <w:tc>
          <w:tcPr>
            <w:tcW w:w="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48" w:right="59"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757" w:type="dxa"/>
            <w:vMerge/>
            <w:tcBorders>
              <w:left w:val="single" w:sz="4" w:space="0" w:color="000000"/>
              <w:bottom w:val="nil" w:sz="6" w:space="0" w:color="auto"/>
              <w:right w:val="single" w:sz="4" w:space="0" w:color="000000"/>
            </w:tcBorders>
            <w:shd w:val="clear" w:color="auto" w:fill="D3D3D3"/>
          </w:tcPr>
          <w:p>
            <w:pPr/>
          </w:p>
        </w:tc>
        <w:tc>
          <w:tcPr>
            <w:tcW w:w="125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32" w:type="dxa"/>
            <w:vMerge/>
            <w:tcBorders>
              <w:left w:val="single" w:sz="4" w:space="0" w:color="000000"/>
              <w:right w:val="single" w:sz="4" w:space="0" w:color="000000"/>
            </w:tcBorders>
            <w:shd w:val="clear" w:color="auto" w:fill="D3D3D3"/>
          </w:tcPr>
          <w:p>
            <w:pPr/>
          </w:p>
        </w:tc>
        <w:tc>
          <w:tcPr>
            <w:tcW w:w="53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8" w:type="dxa"/>
            <w:vMerge/>
            <w:tcBorders>
              <w:left w:val="single" w:sz="4" w:space="0" w:color="000000"/>
              <w:right w:val="single" w:sz="4" w:space="0" w:color="000000"/>
            </w:tcBorders>
            <w:shd w:val="clear" w:color="auto" w:fill="D3D3D3"/>
          </w:tcPr>
          <w:p>
            <w:pPr/>
          </w:p>
        </w:tc>
        <w:tc>
          <w:tcPr>
            <w:tcW w:w="10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1757" w:type="dxa"/>
            <w:vMerge w:val="restart"/>
            <w:tcBorders>
              <w:top w:val="nil" w:sz="6" w:space="0" w:color="auto"/>
              <w:left w:val="single" w:sz="4" w:space="0" w:color="000000"/>
              <w:right w:val="single" w:sz="4" w:space="0" w:color="000000"/>
            </w:tcBorders>
            <w:shd w:val="clear" w:color="auto" w:fill="D3D3D3"/>
          </w:tcPr>
          <w:p>
            <w:pPr/>
          </w:p>
        </w:tc>
        <w:tc>
          <w:tcPr>
            <w:tcW w:w="1258" w:type="dxa"/>
            <w:vMerge/>
            <w:tcBorders>
              <w:left w:val="single" w:sz="4" w:space="0" w:color="000000"/>
              <w:bottom w:val="nil" w:sz="6" w:space="0" w:color="auto"/>
              <w:right w:val="single" w:sz="4" w:space="0" w:color="000000"/>
            </w:tcBorders>
            <w:shd w:val="clear" w:color="auto" w:fill="D3D3D3"/>
          </w:tcPr>
          <w:p>
            <w:pPr/>
          </w:p>
        </w:tc>
        <w:tc>
          <w:tcPr>
            <w:tcW w:w="728" w:type="dxa"/>
            <w:vMerge/>
            <w:tcBorders>
              <w:left w:val="single" w:sz="4" w:space="0" w:color="000000"/>
              <w:bottom w:val="nil" w:sz="6" w:space="0" w:color="auto"/>
              <w:right w:val="single" w:sz="4" w:space="0" w:color="000000"/>
            </w:tcBorders>
            <w:shd w:val="clear" w:color="auto" w:fill="D3D3D3"/>
          </w:tcPr>
          <w:p>
            <w:pPr/>
          </w:p>
        </w:tc>
        <w:tc>
          <w:tcPr>
            <w:tcW w:w="632" w:type="dxa"/>
            <w:vMerge/>
            <w:tcBorders>
              <w:left w:val="single" w:sz="4" w:space="0" w:color="000000"/>
              <w:right w:val="single" w:sz="4" w:space="0" w:color="000000"/>
            </w:tcBorders>
            <w:shd w:val="clear" w:color="auto" w:fill="D3D3D3"/>
          </w:tcPr>
          <w:p>
            <w:pPr/>
          </w:p>
        </w:tc>
        <w:tc>
          <w:tcPr>
            <w:tcW w:w="536" w:type="dxa"/>
            <w:vMerge/>
            <w:tcBorders>
              <w:left w:val="single" w:sz="4" w:space="0" w:color="000000"/>
              <w:bottom w:val="nil" w:sz="6" w:space="0" w:color="auto"/>
              <w:right w:val="single" w:sz="4" w:space="0" w:color="000000"/>
            </w:tcBorders>
            <w:shd w:val="clear" w:color="auto" w:fill="D3D3D3"/>
          </w:tcPr>
          <w:p>
            <w:pPr/>
          </w:p>
        </w:tc>
        <w:tc>
          <w:tcPr>
            <w:tcW w:w="668" w:type="dxa"/>
            <w:vMerge/>
            <w:tcBorders>
              <w:left w:val="single" w:sz="4" w:space="0" w:color="000000"/>
              <w:right w:val="single" w:sz="4" w:space="0" w:color="000000"/>
            </w:tcBorders>
            <w:shd w:val="clear" w:color="auto" w:fill="D3D3D3"/>
          </w:tcPr>
          <w:p>
            <w:pPr/>
          </w:p>
        </w:tc>
        <w:tc>
          <w:tcPr>
            <w:tcW w:w="1015"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93" w:type="dxa"/>
            <w:vMerge/>
            <w:tcBorders>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1757" w:type="dxa"/>
            <w:vMerge/>
            <w:tcBorders>
              <w:left w:val="single" w:sz="4" w:space="0" w:color="000000"/>
              <w:bottom w:val="single" w:sz="4" w:space="0" w:color="000000"/>
              <w:right w:val="single" w:sz="4" w:space="0" w:color="000000"/>
            </w:tcBorders>
            <w:shd w:val="clear" w:color="auto" w:fill="D3D3D3"/>
          </w:tcPr>
          <w:p>
            <w:pPr/>
          </w:p>
        </w:tc>
        <w:tc>
          <w:tcPr>
            <w:tcW w:w="1258" w:type="dxa"/>
            <w:tcBorders>
              <w:top w:val="nil" w:sz="6" w:space="0" w:color="auto"/>
              <w:left w:val="single" w:sz="4" w:space="0" w:color="000000"/>
              <w:bottom w:val="single" w:sz="4" w:space="0" w:color="000000"/>
              <w:right w:val="single" w:sz="4" w:space="0" w:color="000000"/>
            </w:tcBorders>
            <w:shd w:val="clear" w:color="auto" w:fill="D3D3D3"/>
          </w:tcPr>
          <w:p>
            <w:pPr/>
          </w:p>
        </w:tc>
        <w:tc>
          <w:tcPr>
            <w:tcW w:w="7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c>
          <w:tcPr>
            <w:tcW w:w="5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vMerge/>
            <w:tcBorders>
              <w:left w:val="single" w:sz="4" w:space="0" w:color="000000"/>
              <w:bottom w:val="single" w:sz="4" w:space="0" w:color="000000"/>
              <w:right w:val="single" w:sz="4" w:space="0" w:color="000000"/>
            </w:tcBorders>
            <w:shd w:val="clear" w:color="auto" w:fill="D3D3D3"/>
          </w:tcPr>
          <w:p>
            <w:pPr/>
          </w:p>
        </w:tc>
        <w:tc>
          <w:tcPr>
            <w:tcW w:w="10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302,211,557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-292,875,153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-292,875,153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9,336,404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293,003,657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-293,003,657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-293,003,657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、高管股份</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9,207,900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128,504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9,336,404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1,759,834,384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85.34%</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292,875,153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292,875,153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2,052,709,537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99.55%</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811,066,899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39.33%</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292,875,153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292,875,153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1,103,942,052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557,497,485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27.04%</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557,497,485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27.04%</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391,270,000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391,270,000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w:t>
            </w:r>
          </w:p>
        </w:tc>
      </w:tr>
      <w:tr>
        <w:trPr>
          <w:trHeight w:val="402" w:hRule="exact"/>
        </w:trPr>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632"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2,062,045,941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股份变动的原因</w:t>
      </w:r>
    </w:p>
    <w:p>
      <w:pPr>
        <w:pStyle w:val="BodyText"/>
        <w:spacing w:line="304" w:lineRule="auto" w:before="116"/>
        <w:ind w:left="153" w:right="149" w:firstLine="360"/>
        <w:jc w:val="both"/>
      </w:pPr>
      <w:r>
        <w:rPr>
          <w:spacing w:val="-4"/>
        </w:rPr>
        <w:t>（</w:t>
      </w:r>
      <w:r>
        <w:rPr>
          <w:rFonts w:ascii="Times New Roman" w:hAnsi="Times New Roman" w:cs="Times New Roman" w:eastAsia="Times New Roman" w:hint="default"/>
          <w:spacing w:val="-4"/>
        </w:rPr>
        <w:t>1</w:t>
      </w:r>
      <w:r>
        <w:rPr>
          <w:spacing w:val="-4"/>
        </w:rPr>
        <w:t>）报告期内，有限售条件股份中，高管持股由</w:t>
      </w:r>
      <w:r>
        <w:rPr>
          <w:rFonts w:ascii="Times New Roman" w:hAnsi="Times New Roman" w:cs="Times New Roman" w:eastAsia="Times New Roman" w:hint="default"/>
          <w:spacing w:val="-4"/>
        </w:rPr>
        <w:t>9,207,900</w:t>
      </w:r>
      <w:r>
        <w:rPr>
          <w:spacing w:val="-4"/>
        </w:rPr>
        <w:t>股变为</w:t>
      </w:r>
      <w:r>
        <w:rPr>
          <w:rFonts w:ascii="Times New Roman" w:hAnsi="Times New Roman" w:cs="Times New Roman" w:eastAsia="Times New Roman" w:hint="default"/>
          <w:spacing w:val="-4"/>
        </w:rPr>
        <w:t>9,336,404</w:t>
      </w:r>
      <w:r>
        <w:rPr>
          <w:spacing w:val="-4"/>
        </w:rPr>
        <w:t>股，差额为</w:t>
      </w:r>
      <w:r>
        <w:rPr>
          <w:rFonts w:ascii="Times New Roman" w:hAnsi="Times New Roman" w:cs="Times New Roman" w:eastAsia="Times New Roman" w:hint="default"/>
          <w:spacing w:val="-4"/>
        </w:rPr>
        <w:t>128,504</w:t>
      </w:r>
      <w:r>
        <w:rPr>
          <w:spacing w:val="-4"/>
        </w:rPr>
        <w:t>股，变动原因为：根据《深</w:t>
      </w:r>
      <w:r>
        <w:rPr/>
        <w:t> </w:t>
      </w:r>
      <w:r>
        <w:rPr>
          <w:spacing w:val="-2"/>
        </w:rPr>
        <w:t>圳证券交易所上市公司董事、监事和高级管理人员所持本公司股份管理业务操作指南》规定，报告期内，公司离任未满半年</w:t>
      </w:r>
      <w:r>
        <w:rPr>
          <w:spacing w:val="-66"/>
        </w:rPr>
        <w:t> </w:t>
      </w:r>
      <w:r>
        <w:rPr>
          <w:spacing w:val="-66"/>
        </w:rPr>
      </w:r>
      <w:r>
        <w:rPr/>
        <w:t>的高管所持</w:t>
      </w:r>
      <w:r>
        <w:rPr>
          <w:rFonts w:ascii="Times New Roman" w:hAnsi="Times New Roman" w:cs="Times New Roman" w:eastAsia="Times New Roman" w:hint="default"/>
        </w:rPr>
        <w:t>25%</w:t>
      </w:r>
      <w:r>
        <w:rPr/>
        <w:t>的无限售条件人民币普通股（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股）变为有限售条件股份</w:t>
      </w:r>
      <w:r>
        <w:rPr>
          <w:rFonts w:ascii="Times New Roman" w:hAnsi="Times New Roman" w:cs="Times New Roman" w:eastAsia="Times New Roman" w:hint="default"/>
        </w:rPr>
        <w:t>,</w:t>
      </w:r>
      <w:r>
        <w:rPr/>
        <w:t>股数为</w:t>
      </w:r>
      <w:r>
        <w:rPr>
          <w:rFonts w:ascii="Times New Roman" w:hAnsi="Times New Roman" w:cs="Times New Roman" w:eastAsia="Times New Roman" w:hint="default"/>
        </w:rPr>
        <w:t>238,529</w:t>
      </w:r>
      <w:r>
        <w:rPr/>
        <w:t>股</w:t>
      </w:r>
      <w:r>
        <w:rPr>
          <w:rFonts w:ascii="Times New Roman" w:hAnsi="Times New Roman" w:cs="Times New Roman" w:eastAsia="Times New Roman" w:hint="default"/>
        </w:rPr>
        <w:t>;</w:t>
      </w:r>
      <w:r>
        <w:rPr/>
        <w:t>报告期内，公司离任已满半年的 董事、高管所持股限售到期全部解禁，高管持股中的</w:t>
      </w:r>
      <w:r>
        <w:rPr>
          <w:rFonts w:ascii="Times New Roman" w:hAnsi="Times New Roman" w:cs="Times New Roman" w:eastAsia="Times New Roman" w:hint="default"/>
        </w:rPr>
        <w:t>110,025</w:t>
      </w:r>
      <w:r>
        <w:rPr/>
        <w:t>股，股权性质由有限售条件高管持股变为无限售条件人民币普 通股（</w:t>
      </w: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股）。</w:t>
      </w:r>
    </w:p>
    <w:p>
      <w:pPr>
        <w:pStyle w:val="BodyText"/>
        <w:spacing w:line="268" w:lineRule="exact"/>
        <w:ind w:right="0" w:firstLine="359"/>
        <w:jc w:val="both"/>
      </w:pPr>
      <w:r>
        <w:rPr/>
        <w:t>（</w:t>
      </w:r>
      <w:r>
        <w:rPr>
          <w:rFonts w:ascii="Times New Roman" w:hAnsi="Times New Roman" w:cs="Times New Roman" w:eastAsia="Times New Roman" w:hint="default"/>
        </w:rPr>
        <w:t>2</w:t>
      </w:r>
      <w:r>
        <w:rPr/>
        <w:t>）报告期内，有限售条件股份中，国有法人持股由</w:t>
      </w:r>
      <w:r>
        <w:rPr>
          <w:rFonts w:ascii="Times New Roman" w:hAnsi="Times New Roman" w:cs="Times New Roman" w:eastAsia="Times New Roman" w:hint="default"/>
        </w:rPr>
        <w:t>293,003,657</w:t>
      </w:r>
      <w:r>
        <w:rPr/>
        <w:t>股变为</w:t>
      </w:r>
      <w:r>
        <w:rPr>
          <w:rFonts w:ascii="Times New Roman" w:hAnsi="Times New Roman" w:cs="Times New Roman" w:eastAsia="Times New Roman" w:hint="default"/>
        </w:rPr>
        <w:t>0</w:t>
      </w:r>
      <w:r>
        <w:rPr/>
        <w:t>股，差额为</w:t>
      </w:r>
      <w:r>
        <w:rPr>
          <w:rFonts w:ascii="Times New Roman" w:hAnsi="Times New Roman" w:cs="Times New Roman" w:eastAsia="Times New Roman" w:hint="default"/>
        </w:rPr>
        <w:t>-293,003,657</w:t>
      </w:r>
      <w:r>
        <w:rPr/>
        <w:t>股，变动原因为</w:t>
      </w:r>
      <w:r>
        <w:rPr>
          <w:sz w:val="21"/>
          <w:szCs w:val="21"/>
        </w:rPr>
        <w:t>：</w:t>
      </w:r>
      <w:r>
        <w:rPr/>
        <w:t>寿</w:t>
      </w:r>
    </w:p>
    <w:p>
      <w:pPr>
        <w:pStyle w:val="BodyText"/>
        <w:spacing w:line="300" w:lineRule="auto" w:before="53"/>
        <w:ind w:right="151"/>
        <w:jc w:val="left"/>
      </w:pPr>
      <w:r>
        <w:rPr>
          <w:spacing w:val="-2"/>
        </w:rPr>
        <w:t>光晨鸣控股有限公司持有</w:t>
      </w:r>
      <w:r>
        <w:rPr>
          <w:rFonts w:ascii="Times New Roman" w:hAnsi="Times New Roman" w:cs="Times New Roman" w:eastAsia="Times New Roman" w:hint="default"/>
          <w:spacing w:val="-2"/>
        </w:rPr>
        <w:t>293,003,657</w:t>
      </w:r>
      <w:r>
        <w:rPr>
          <w:spacing w:val="-2"/>
        </w:rPr>
        <w:t>股的上市流通限售股份解除限售所致，限售股份可上市流通日期为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日。详</w:t>
      </w:r>
      <w:r>
        <w:rPr>
          <w:spacing w:val="-46"/>
        </w:rPr>
        <w:t> </w:t>
      </w:r>
      <w:r>
        <w:rPr>
          <w:spacing w:val="-46"/>
        </w:rPr>
      </w:r>
      <w:r>
        <w:rPr/>
        <w:t>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在巨潮资讯网站披露的《限售股份解除限售的提示性公告》，公告编号：</w:t>
      </w:r>
      <w:r>
        <w:rPr>
          <w:rFonts w:ascii="Times New Roman" w:hAnsi="Times New Roman" w:cs="Times New Roman" w:eastAsia="Times New Roman" w:hint="default"/>
        </w:rPr>
        <w:t>2012-074</w:t>
      </w:r>
      <w:r>
        <w:rPr/>
        <w:t>。</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348" w:lineRule="auto" w:before="116"/>
        <w:ind w:right="81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股份变动的过户情况 无</w:t>
      </w:r>
    </w:p>
    <w:p>
      <w:pPr>
        <w:pStyle w:val="BodyText"/>
        <w:spacing w:line="240" w:lineRule="auto" w:before="36"/>
        <w:ind w:right="0"/>
        <w:jc w:val="left"/>
      </w:pPr>
      <w:r>
        <w:rPr/>
        <w:t>股份变动对最近一年和最近一期基本每股收益和稀释每股收益、归属于公司普通股股东的每股净资产等财务指标的影响</w:t>
      </w:r>
    </w:p>
    <w:p>
      <w:pPr>
        <w:pStyle w:val="BodyText"/>
        <w:spacing w:line="357" w:lineRule="auto" w:before="117"/>
        <w:ind w:right="5810"/>
        <w:jc w:val="left"/>
      </w:pPr>
      <w:r>
        <w:rPr/>
        <w:t>□ 适用 √ 不适用 公司认为必要或证券监管机构要求披露的其他内容 无</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香港晨鸣债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前三年历次证券发行情况的说明</w:t>
      </w:r>
    </w:p>
    <w:p>
      <w:pPr>
        <w:pStyle w:val="BodyText"/>
        <w:spacing w:line="300" w:lineRule="auto" w:before="116"/>
        <w:ind w:left="153" w:right="149"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日发行总额为人民币</w:t>
      </w:r>
      <w:r>
        <w:rPr>
          <w:rFonts w:ascii="Times New Roman" w:hAnsi="Times New Roman" w:cs="Times New Roman" w:eastAsia="Times New Roman" w:hint="default"/>
        </w:rPr>
        <w:t>20</w:t>
      </w:r>
      <w:r>
        <w:rPr/>
        <w:t>亿元的公司债券，债券面值每张</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2,000</w:t>
      </w:r>
      <w:r>
        <w:rPr/>
        <w:t>万张，发行价格为每 </w:t>
      </w:r>
      <w:r>
        <w:rPr>
          <w:spacing w:val="-1"/>
        </w:rPr>
        <w:t>张</w:t>
      </w:r>
      <w:r>
        <w:rPr>
          <w:rFonts w:ascii="Times New Roman" w:hAnsi="Times New Roman" w:cs="Times New Roman" w:eastAsia="Times New Roman" w:hint="default"/>
          <w:spacing w:val="-1"/>
        </w:rPr>
        <w:t>100</w:t>
      </w:r>
      <w:r>
        <w:rPr>
          <w:spacing w:val="-1"/>
        </w:rPr>
        <w:t>元，本次债券票面利率为</w:t>
      </w:r>
      <w:r>
        <w:rPr>
          <w:rFonts w:ascii="Times New Roman" w:hAnsi="Times New Roman" w:cs="Times New Roman" w:eastAsia="Times New Roman" w:hint="default"/>
          <w:spacing w:val="-1"/>
        </w:rPr>
        <w:t>5.95%</w:t>
      </w:r>
      <w:r>
        <w:rPr>
          <w:spacing w:val="-1"/>
        </w:rPr>
        <w:t>，共募集资金人民币</w:t>
      </w:r>
      <w:r>
        <w:rPr>
          <w:rFonts w:ascii="Times New Roman" w:hAnsi="Times New Roman" w:cs="Times New Roman" w:eastAsia="Times New Roman" w:hint="default"/>
          <w:spacing w:val="-1"/>
        </w:rPr>
        <w:t>20</w:t>
      </w:r>
      <w:r>
        <w:rPr>
          <w:spacing w:val="-1"/>
        </w:rPr>
        <w:t>亿元，扣除费用人民币</w:t>
      </w:r>
      <w:r>
        <w:rPr>
          <w:rFonts w:ascii="Times New Roman" w:hAnsi="Times New Roman" w:cs="Times New Roman" w:eastAsia="Times New Roman" w:hint="default"/>
          <w:spacing w:val="-1"/>
        </w:rPr>
        <w:t>0.18</w:t>
      </w:r>
      <w:r>
        <w:rPr>
          <w:spacing w:val="-1"/>
        </w:rPr>
        <w:t>亿元后可使用的募集资金净额为人民</w:t>
      </w:r>
      <w:r>
        <w:rPr>
          <w:spacing w:val="-84"/>
        </w:rPr>
        <w:t> </w:t>
      </w:r>
      <w:r>
        <w:rPr>
          <w:spacing w:val="-84"/>
        </w:rPr>
      </w:r>
      <w:r>
        <w:rPr/>
        <w:t>币</w:t>
      </w:r>
      <w:r>
        <w:rPr>
          <w:rFonts w:ascii="Times New Roman" w:hAnsi="Times New Roman" w:cs="Times New Roman" w:eastAsia="Times New Roman" w:hint="default"/>
        </w:rPr>
        <w:t>19.82</w:t>
      </w:r>
      <w:r>
        <w:rPr/>
        <w:t>亿元。截止到</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日，已使用募集资金人民币</w:t>
      </w:r>
      <w:r>
        <w:rPr>
          <w:rFonts w:ascii="Times New Roman" w:hAnsi="Times New Roman" w:cs="Times New Roman" w:eastAsia="Times New Roman" w:hint="default"/>
        </w:rPr>
        <w:t>19.82</w:t>
      </w:r>
      <w:r>
        <w:rPr/>
        <w:t>亿元，其中补充流动资金约人民币</w:t>
      </w:r>
      <w:r>
        <w:rPr>
          <w:rFonts w:ascii="Times New Roman" w:hAnsi="Times New Roman" w:cs="Times New Roman" w:eastAsia="Times New Roman" w:hint="default"/>
        </w:rPr>
        <w:t>3.82</w:t>
      </w:r>
      <w:r>
        <w:rPr/>
        <w:t>亿元，偿还银行 贷款使用募集资金约人民币</w:t>
      </w:r>
      <w:r>
        <w:rPr>
          <w:rFonts w:ascii="Times New Roman" w:hAnsi="Times New Roman" w:cs="Times New Roman" w:eastAsia="Times New Roman" w:hint="default"/>
        </w:rPr>
        <w:t>16</w:t>
      </w:r>
      <w:r>
        <w:rPr/>
        <w:t>亿元，主要用于归还金融机构借款。</w:t>
      </w:r>
    </w:p>
    <w:p>
      <w:pPr>
        <w:pStyle w:val="BodyText"/>
        <w:spacing w:line="300" w:lineRule="auto" w:before="51"/>
        <w:ind w:left="153" w:right="149" w:firstLine="360"/>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日发行总额为人民币</w:t>
      </w:r>
      <w:r>
        <w:rPr>
          <w:rFonts w:ascii="Times New Roman" w:hAnsi="Times New Roman" w:cs="Times New Roman" w:eastAsia="Times New Roman" w:hint="default"/>
        </w:rPr>
        <w:t>38</w:t>
      </w:r>
      <w:r>
        <w:rPr/>
        <w:t>亿元的公司债券，债券面值每张</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3,800</w:t>
      </w:r>
      <w:r>
        <w:rPr/>
        <w:t>万张，发行价格为 </w:t>
      </w:r>
      <w:r>
        <w:rPr>
          <w:spacing w:val="-1"/>
        </w:rPr>
        <w:t>每张</w:t>
      </w:r>
      <w:r>
        <w:rPr>
          <w:rFonts w:ascii="Times New Roman" w:hAnsi="Times New Roman" w:cs="Times New Roman" w:eastAsia="Times New Roman" w:hint="default"/>
          <w:spacing w:val="-1"/>
        </w:rPr>
        <w:t>100</w:t>
      </w:r>
      <w:r>
        <w:rPr>
          <w:spacing w:val="-1"/>
        </w:rPr>
        <w:t>元，本次债券票面利率为</w:t>
      </w:r>
      <w:r>
        <w:rPr>
          <w:rFonts w:ascii="Times New Roman" w:hAnsi="Times New Roman" w:cs="Times New Roman" w:eastAsia="Times New Roman" w:hint="default"/>
          <w:spacing w:val="-1"/>
        </w:rPr>
        <w:t>5.65%</w:t>
      </w:r>
      <w:r>
        <w:rPr>
          <w:spacing w:val="-1"/>
        </w:rPr>
        <w:t>，共募集资金人民币</w:t>
      </w:r>
      <w:r>
        <w:rPr>
          <w:rFonts w:ascii="Times New Roman" w:hAnsi="Times New Roman" w:cs="Times New Roman" w:eastAsia="Times New Roman" w:hint="default"/>
          <w:spacing w:val="-1"/>
        </w:rPr>
        <w:t>38</w:t>
      </w:r>
      <w:r>
        <w:rPr>
          <w:spacing w:val="-1"/>
        </w:rPr>
        <w:t>亿元，扣除费用人民币</w:t>
      </w:r>
      <w:r>
        <w:rPr>
          <w:rFonts w:ascii="Times New Roman" w:hAnsi="Times New Roman" w:cs="Times New Roman" w:eastAsia="Times New Roman" w:hint="default"/>
          <w:spacing w:val="-1"/>
        </w:rPr>
        <w:t>0.27</w:t>
      </w:r>
      <w:r>
        <w:rPr>
          <w:spacing w:val="-1"/>
        </w:rPr>
        <w:t>亿元后可使用的募集资金净额为人</w:t>
      </w:r>
      <w:r>
        <w:rPr>
          <w:spacing w:val="-86"/>
        </w:rPr>
        <w:t> </w:t>
      </w:r>
      <w:r>
        <w:rPr/>
        <w:t>民币</w:t>
      </w:r>
      <w:r>
        <w:rPr>
          <w:rFonts w:ascii="Times New Roman" w:hAnsi="Times New Roman" w:cs="Times New Roman" w:eastAsia="Times New Roman" w:hint="default"/>
        </w:rPr>
        <w:t>37.73</w:t>
      </w:r>
      <w:r>
        <w:rPr/>
        <w:t>亿元。截至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日，已使用募集资金人民币</w:t>
      </w:r>
      <w:r>
        <w:rPr>
          <w:rFonts w:ascii="Times New Roman" w:hAnsi="Times New Roman" w:cs="Times New Roman" w:eastAsia="Times New Roman" w:hint="default"/>
        </w:rPr>
        <w:t>20.03</w:t>
      </w:r>
      <w:r>
        <w:rPr/>
        <w:t>亿元，用于置换短期银行借款。截至报告披露日，累计 </w:t>
      </w:r>
      <w:r>
        <w:rPr>
          <w:spacing w:val="-2"/>
        </w:rPr>
        <w:t>使用募集资金人民币</w:t>
      </w:r>
      <w:r>
        <w:rPr>
          <w:rFonts w:ascii="Times New Roman" w:hAnsi="Times New Roman" w:cs="Times New Roman" w:eastAsia="Times New Roman" w:hint="default"/>
          <w:spacing w:val="-2"/>
        </w:rPr>
        <w:t>37.73</w:t>
      </w:r>
      <w:r>
        <w:rPr>
          <w:spacing w:val="-2"/>
        </w:rPr>
        <w:t>亿元，其中补充流动资金约人民币</w:t>
      </w:r>
      <w:r>
        <w:rPr>
          <w:rFonts w:ascii="Times New Roman" w:hAnsi="Times New Roman" w:cs="Times New Roman" w:eastAsia="Times New Roman" w:hint="default"/>
          <w:spacing w:val="-2"/>
        </w:rPr>
        <w:t>2.73</w:t>
      </w:r>
      <w:r>
        <w:rPr>
          <w:spacing w:val="-2"/>
        </w:rPr>
        <w:t>亿元，偿还银行借款使用募集资金约人民币</w:t>
      </w:r>
      <w:r>
        <w:rPr>
          <w:rFonts w:ascii="Times New Roman" w:hAnsi="Times New Roman" w:cs="Times New Roman" w:eastAsia="Times New Roman" w:hint="default"/>
          <w:spacing w:val="-2"/>
        </w:rPr>
        <w:t>35</w:t>
      </w:r>
      <w:r>
        <w:rPr>
          <w:spacing w:val="-2"/>
        </w:rPr>
        <w:t>亿元，主要用</w:t>
      </w:r>
      <w:r>
        <w:rPr>
          <w:spacing w:val="-56"/>
        </w:rPr>
        <w:t> </w:t>
      </w:r>
      <w:r>
        <w:rPr>
          <w:spacing w:val="-56"/>
        </w:rPr>
      </w:r>
      <w:r>
        <w:rPr/>
        <w:t>于置换短期银行借款。</w:t>
      </w:r>
    </w:p>
    <w:p>
      <w:pPr>
        <w:pStyle w:val="BodyText"/>
        <w:spacing w:line="302" w:lineRule="auto" w:before="71"/>
        <w:ind w:left="153" w:right="151" w:firstLine="360"/>
        <w:jc w:val="both"/>
      </w:pPr>
      <w:r>
        <w:rPr/>
        <w:t>（</w:t>
      </w:r>
      <w:r>
        <w:rPr>
          <w:rFonts w:ascii="Times New Roman" w:hAnsi="Times New Roman" w:cs="Times New Roman" w:eastAsia="Times New Roman" w:hint="default"/>
        </w:rPr>
        <w:t>3</w:t>
      </w:r>
      <w:r>
        <w:rPr/>
        <w:t>）公司之子公司晨鸣（香港）有限公司于</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13 </w:t>
      </w:r>
      <w:r>
        <w:rPr/>
        <w:t>日发行人民币票据</w:t>
      </w:r>
      <w:r>
        <w:rPr>
          <w:rFonts w:ascii="Times New Roman" w:hAnsi="Times New Roman" w:cs="Times New Roman" w:eastAsia="Times New Roman" w:hint="default"/>
        </w:rPr>
        <w:t>500,000,000.00</w:t>
      </w:r>
      <w:r>
        <w:rPr>
          <w:rFonts w:ascii="Times New Roman" w:hAnsi="Times New Roman" w:cs="Times New Roman" w:eastAsia="Times New Roman" w:hint="default"/>
          <w:spacing w:val="4"/>
        </w:rPr>
        <w:t> </w:t>
      </w:r>
      <w:r>
        <w:rPr/>
        <w:t>元，本次发行的人民币票 据利率为年利率</w:t>
      </w:r>
      <w:r>
        <w:rPr>
          <w:rFonts w:ascii="Times New Roman" w:hAnsi="Times New Roman" w:cs="Times New Roman" w:eastAsia="Times New Roman" w:hint="default"/>
        </w:rPr>
        <w:t>2.95%</w:t>
      </w:r>
      <w:r>
        <w:rPr/>
        <w:t>，并于每半年支付票据利息，所得款项将用作晨鸣（香港）有限公司的营运资金。</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）报告期内公司股份总数未发生变动。</w:t>
      </w:r>
    </w:p>
    <w:p>
      <w:pPr>
        <w:pStyle w:val="BodyText"/>
        <w:spacing w:line="240" w:lineRule="auto" w:before="102"/>
        <w:ind w:left="444" w:right="0"/>
        <w:jc w:val="left"/>
      </w:pPr>
      <w:r>
        <w:rPr/>
        <w:t>（</w:t>
      </w:r>
      <w:r>
        <w:rPr>
          <w:rFonts w:ascii="Times New Roman" w:hAnsi="Times New Roman" w:cs="Times New Roman" w:eastAsia="Times New Roman" w:hint="default"/>
        </w:rPr>
        <w:t>2</w:t>
      </w:r>
      <w:r>
        <w:rPr/>
        <w:t>）报告期内，寿光晨鸣控股有限公司解除了其持有的</w:t>
      </w:r>
      <w:r>
        <w:rPr>
          <w:rFonts w:ascii="Times New Roman" w:hAnsi="Times New Roman" w:cs="Times New Roman" w:eastAsia="Times New Roman" w:hint="default"/>
        </w:rPr>
        <w:t>293,003,657</w:t>
      </w:r>
      <w:r>
        <w:rPr/>
        <w:t>股的股份锁定。</w:t>
      </w:r>
    </w:p>
    <w:p>
      <w:pPr>
        <w:pStyle w:val="BodyText"/>
        <w:spacing w:line="300" w:lineRule="auto" w:before="102"/>
        <w:ind w:left="153" w:right="141" w:firstLine="290"/>
        <w:jc w:val="left"/>
      </w:pPr>
      <w:r>
        <w:rPr/>
        <w:t>（</w:t>
      </w:r>
      <w:r>
        <w:rPr>
          <w:rFonts w:ascii="Times New Roman" w:hAnsi="Times New Roman" w:cs="Times New Roman" w:eastAsia="Times New Roman" w:hint="default"/>
        </w:rPr>
        <w:t>3</w:t>
      </w:r>
      <w:r>
        <w:rPr/>
        <w:t>）报告期内，公司离任未满半年的高管所持</w:t>
      </w:r>
      <w:r>
        <w:rPr>
          <w:rFonts w:ascii="Times New Roman" w:hAnsi="Times New Roman" w:cs="Times New Roman" w:eastAsia="Times New Roman" w:hint="default"/>
        </w:rPr>
        <w:t>25%</w:t>
      </w:r>
      <w:r>
        <w:rPr/>
        <w:t>的无限售条件人民币普通股（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股）变为有限售条件股份</w:t>
      </w:r>
      <w:r>
        <w:rPr>
          <w:rFonts w:ascii="Times New Roman" w:hAnsi="Times New Roman" w:cs="Times New Roman" w:eastAsia="Times New Roman" w:hint="default"/>
        </w:rPr>
        <w:t>,</w:t>
      </w:r>
      <w:r>
        <w:rPr/>
        <w:t>股数为 </w:t>
      </w:r>
      <w:r>
        <w:rPr>
          <w:rFonts w:ascii="Times New Roman" w:hAnsi="Times New Roman" w:cs="Times New Roman" w:eastAsia="Times New Roman" w:hint="default"/>
        </w:rPr>
        <w:t>238,529</w:t>
      </w:r>
      <w:r>
        <w:rPr/>
        <w:t>股；报告期内，公司离任已满半年的董事、高管所持股限售到期全部解禁，高管持股中的</w:t>
      </w:r>
      <w:r>
        <w:rPr>
          <w:rFonts w:ascii="Times New Roman" w:hAnsi="Times New Roman" w:cs="Times New Roman" w:eastAsia="Times New Roman" w:hint="default"/>
        </w:rPr>
        <w:t>110,025</w:t>
      </w:r>
      <w:r>
        <w:rPr/>
        <w:t>股，股权性质由有 限售条件高管持股变为无限售条件人民币普通股（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股）。</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06"/>
        <w:gridCol w:w="3860"/>
        <w:gridCol w:w="3190"/>
      </w:tblGrid>
      <w:tr>
        <w:trPr>
          <w:trHeight w:val="402" w:hRule="exact"/>
        </w:trPr>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本公司无内部职工股</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200"/>
        <w:gridCol w:w="880"/>
        <w:gridCol w:w="512"/>
        <w:gridCol w:w="208"/>
        <w:gridCol w:w="1080"/>
        <w:gridCol w:w="1080"/>
        <w:gridCol w:w="900"/>
        <w:gridCol w:w="808"/>
        <w:gridCol w:w="272"/>
        <w:gridCol w:w="540"/>
        <w:gridCol w:w="568"/>
      </w:tblGrid>
      <w:tr>
        <w:trPr>
          <w:trHeight w:val="402" w:hRule="exact"/>
        </w:trPr>
        <w:tc>
          <w:tcPr>
            <w:tcW w:w="2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1"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156,442</w:t>
            </w:r>
          </w:p>
        </w:tc>
        <w:tc>
          <w:tcPr>
            <w:tcW w:w="407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9"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151,536</w:t>
            </w: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01" w:hRule="exact"/>
        </w:trPr>
        <w:tc>
          <w:tcPr>
            <w:tcW w:w="2520" w:type="dxa"/>
            <w:vMerge w:val="restart"/>
            <w:tcBorders>
              <w:top w:val="single" w:sz="4" w:space="0" w:color="000000"/>
              <w:left w:val="single" w:sz="4" w:space="0" w:color="000000"/>
              <w:right w:val="single" w:sz="4" w:space="0" w:color="000000"/>
            </w:tcBorders>
            <w:shd w:val="clear" w:color="auto" w:fill="D3D3D3"/>
          </w:tcPr>
          <w:p>
            <w:pP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
        </w:tc>
        <w:tc>
          <w:tcPr>
            <w:tcW w:w="720" w:type="dxa"/>
            <w:gridSpan w:val="2"/>
            <w:vMerge w:val="restart"/>
            <w:tcBorders>
              <w:top w:val="single" w:sz="4" w:space="0" w:color="000000"/>
              <w:left w:val="single" w:sz="4" w:space="0" w:color="000000"/>
              <w:right w:val="single" w:sz="4" w:space="0" w:color="000000"/>
            </w:tcBorders>
            <w:shd w:val="clear" w:color="auto" w:fill="D3D3D3"/>
          </w:tcPr>
          <w:p>
            <w:pPr/>
          </w:p>
        </w:tc>
        <w:tc>
          <w:tcPr>
            <w:tcW w:w="1080" w:type="dxa"/>
            <w:vMerge w:val="restart"/>
            <w:tcBorders>
              <w:top w:val="single" w:sz="4" w:space="0" w:color="000000"/>
              <w:left w:val="single" w:sz="4" w:space="0" w:color="000000"/>
              <w:right w:val="single" w:sz="4" w:space="0" w:color="000000"/>
            </w:tcBorders>
            <w:shd w:val="clear" w:color="auto" w:fill="D3D3D3"/>
          </w:tcPr>
          <w:p>
            <w:pPr/>
          </w:p>
        </w:tc>
        <w:tc>
          <w:tcPr>
            <w:tcW w:w="1080" w:type="dxa"/>
            <w:vMerge w:val="restart"/>
            <w:tcBorders>
              <w:top w:val="single" w:sz="4" w:space="0" w:color="000000"/>
              <w:left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10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68" w:right="97" w:hanging="270"/>
              <w:jc w:val="left"/>
              <w:rPr>
                <w:rFonts w:ascii="宋体" w:hAnsi="宋体" w:cs="宋体" w:eastAsia="宋体" w:hint="default"/>
                <w:sz w:val="18"/>
                <w:szCs w:val="18"/>
              </w:rPr>
            </w:pPr>
            <w:r>
              <w:rPr>
                <w:rFonts w:ascii="宋体" w:hAnsi="宋体" w:cs="宋体" w:eastAsia="宋体" w:hint="default"/>
                <w:sz w:val="18"/>
                <w:szCs w:val="18"/>
              </w:rPr>
              <w:t>质押或冻结 情况</w:t>
            </w:r>
          </w:p>
        </w:tc>
      </w:tr>
      <w:tr>
        <w:trPr>
          <w:trHeight w:val="156" w:hRule="exact"/>
        </w:trPr>
        <w:tc>
          <w:tcPr>
            <w:tcW w:w="252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720" w:type="dxa"/>
            <w:gridSpan w:val="2"/>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83" w:right="8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83"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108" w:type="dxa"/>
            <w:gridSpan w:val="2"/>
            <w:vMerge/>
            <w:tcBorders>
              <w:left w:val="single" w:sz="4" w:space="0" w:color="000000"/>
              <w:right w:val="single" w:sz="4" w:space="0" w:color="000000"/>
            </w:tcBorders>
            <w:shd w:val="clear" w:color="auto" w:fill="D3D3D3"/>
          </w:tcPr>
          <w:p>
            <w:pPr/>
          </w:p>
        </w:tc>
      </w:tr>
      <w:tr>
        <w:trPr>
          <w:trHeight w:val="156" w:hRule="exact"/>
        </w:trPr>
        <w:tc>
          <w:tcPr>
            <w:tcW w:w="2520"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72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2" w:right="-3" w:firstLine="61"/>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63" w:right="8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83" w:right="8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0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108" w:type="dxa"/>
            <w:gridSpan w:val="2"/>
            <w:vMerge/>
            <w:tcBorders>
              <w:left w:val="single" w:sz="4" w:space="0" w:color="000000"/>
              <w:right w:val="single" w:sz="4" w:space="0" w:color="000000"/>
            </w:tcBorders>
            <w:shd w:val="clear" w:color="auto" w:fill="D3D3D3"/>
          </w:tcPr>
          <w:p>
            <w:pPr/>
          </w:p>
        </w:tc>
      </w:tr>
      <w:tr>
        <w:trPr>
          <w:trHeight w:val="201" w:hRule="exact"/>
        </w:trPr>
        <w:tc>
          <w:tcPr>
            <w:tcW w:w="25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0" w:type="dxa"/>
            <w:gridSpan w:val="2"/>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108" w:type="dxa"/>
            <w:gridSpan w:val="2"/>
            <w:vMerge/>
            <w:tcBorders>
              <w:left w:val="single" w:sz="4" w:space="0" w:color="000000"/>
              <w:bottom w:val="single" w:sz="4" w:space="0" w:color="000000"/>
              <w:right w:val="single" w:sz="4" w:space="0" w:color="000000"/>
            </w:tcBorders>
            <w:shd w:val="clear" w:color="auto" w:fill="D3D3D3"/>
          </w:tcPr>
          <w:p>
            <w:pPr/>
          </w:p>
        </w:tc>
      </w:tr>
      <w:tr>
        <w:trPr>
          <w:trHeight w:val="176" w:hRule="exact"/>
        </w:trPr>
        <w:tc>
          <w:tcPr>
            <w:tcW w:w="2520"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720" w:type="dxa"/>
            <w:gridSpan w:val="2"/>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1" w:hRule="exact"/>
        </w:trPr>
        <w:tc>
          <w:tcPr>
            <w:tcW w:w="2520" w:type="dxa"/>
            <w:vMerge w:val="restart"/>
            <w:tcBorders>
              <w:top w:val="nil" w:sz="6" w:space="0" w:color="auto"/>
              <w:left w:val="single" w:sz="4" w:space="0" w:color="000000"/>
              <w:right w:val="single" w:sz="4" w:space="0" w:color="000000"/>
            </w:tcBorders>
            <w:shd w:val="clear" w:color="auto" w:fill="D3D3D3"/>
          </w:tcPr>
          <w:p>
            <w:pPr/>
          </w:p>
        </w:tc>
        <w:tc>
          <w:tcPr>
            <w:tcW w:w="1080" w:type="dxa"/>
            <w:gridSpan w:val="2"/>
            <w:vMerge w:val="restart"/>
            <w:tcBorders>
              <w:top w:val="nil" w:sz="6" w:space="0" w:color="auto"/>
              <w:left w:val="single" w:sz="4" w:space="0" w:color="000000"/>
              <w:right w:val="single" w:sz="4" w:space="0" w:color="000000"/>
            </w:tcBorders>
            <w:shd w:val="clear" w:color="auto" w:fill="D3D3D3"/>
          </w:tcPr>
          <w:p>
            <w:pPr/>
          </w:p>
        </w:tc>
        <w:tc>
          <w:tcPr>
            <w:tcW w:w="720" w:type="dxa"/>
            <w:gridSpan w:val="2"/>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6"/>
              <w:ind w:left="9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1" w:hRule="exact"/>
        </w:trPr>
        <w:tc>
          <w:tcPr>
            <w:tcW w:w="2520"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720" w:type="dxa"/>
            <w:gridSpan w:val="2"/>
            <w:vMerge w:val="restart"/>
            <w:tcBorders>
              <w:top w:val="nil" w:sz="6" w:space="0" w:color="auto"/>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68" w:type="dxa"/>
            <w:vMerge/>
            <w:tcBorders>
              <w:left w:val="single" w:sz="4" w:space="0" w:color="000000"/>
              <w:bottom w:val="nil" w:sz="6" w:space="0" w:color="auto"/>
              <w:right w:val="single" w:sz="4" w:space="0" w:color="000000"/>
            </w:tcBorders>
            <w:shd w:val="clear" w:color="auto" w:fill="D3D3D3"/>
          </w:tcPr>
          <w:p>
            <w:pPr/>
          </w:p>
        </w:tc>
      </w:tr>
      <w:tr>
        <w:trPr>
          <w:trHeight w:val="186" w:hRule="exact"/>
        </w:trPr>
        <w:tc>
          <w:tcPr>
            <w:tcW w:w="2520" w:type="dxa"/>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c>
          <w:tcPr>
            <w:tcW w:w="720" w:type="dxa"/>
            <w:gridSpan w:val="2"/>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香港中央结算代理人有限公司</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18.90%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389,749,000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389,749,000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14.21%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293,003,657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293,003,657</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PLATINUM    </w:t>
            </w:r>
            <w:r>
              <w:rPr>
                <w:rFonts w:ascii="Times New Roman"/>
                <w:sz w:val="18"/>
              </w:rPr>
              <w:t>ASIA   </w:t>
            </w:r>
            <w:r>
              <w:rPr>
                <w:rFonts w:ascii="Times New Roman"/>
                <w:spacing w:val="8"/>
                <w:sz w:val="18"/>
              </w:rPr>
              <w:t> </w:t>
            </w:r>
            <w:r>
              <w:rPr>
                <w:rFonts w:ascii="Times New Roman"/>
                <w:sz w:val="18"/>
              </w:rPr>
              <w:t>FUND</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43,480,377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43,480,377</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645"/>
              <w:jc w:val="left"/>
              <w:rPr>
                <w:rFonts w:ascii="Times New Roman" w:hAnsi="Times New Roman" w:cs="Times New Roman" w:eastAsia="Times New Roman" w:hint="default"/>
                <w:sz w:val="18"/>
                <w:szCs w:val="18"/>
              </w:rPr>
            </w:pPr>
            <w:r>
              <w:rPr>
                <w:rFonts w:ascii="Times New Roman"/>
                <w:spacing w:val="-3"/>
                <w:sz w:val="18"/>
              </w:rPr>
              <w:t>TAIFOOK</w:t>
            </w:r>
            <w:r>
              <w:rPr>
                <w:rFonts w:ascii="Times New Roman"/>
                <w:spacing w:val="-4"/>
                <w:sz w:val="18"/>
              </w:rPr>
              <w:t> </w:t>
            </w:r>
            <w:r>
              <w:rPr>
                <w:rFonts w:ascii="Times New Roman"/>
                <w:sz w:val="18"/>
              </w:rPr>
              <w:t>SECURITIES</w:t>
            </w:r>
            <w:r>
              <w:rPr>
                <w:rFonts w:ascii="Times New Roman"/>
                <w:spacing w:val="-1"/>
                <w:sz w:val="18"/>
              </w:rPr>
              <w:t> </w:t>
            </w:r>
            <w:r>
              <w:rPr>
                <w:rFonts w:ascii="Times New Roman"/>
                <w:spacing w:val="-3"/>
                <w:sz w:val="18"/>
              </w:rPr>
              <w:t>COMPANY</w:t>
            </w:r>
            <w:r>
              <w:rPr>
                <w:rFonts w:ascii="Times New Roman"/>
                <w:spacing w:val="-5"/>
                <w:sz w:val="18"/>
              </w:rPr>
              <w:t> </w:t>
            </w:r>
            <w:r>
              <w:rPr>
                <w:rFonts w:ascii="Times New Roman"/>
                <w:sz w:val="18"/>
              </w:rPr>
              <w:t>LIMITED</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-ACCOUNT</w:t>
            </w:r>
            <w:r>
              <w:rPr>
                <w:rFonts w:ascii="Times New Roman"/>
                <w:spacing w:val="-16"/>
                <w:sz w:val="18"/>
              </w:rPr>
              <w:t> </w:t>
            </w:r>
            <w:r>
              <w:rPr>
                <w:rFonts w:ascii="Times New Roman"/>
                <w:sz w:val="18"/>
              </w:rPr>
              <w:t>CLIENT</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35,193,003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32,055,049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35,193,003</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7"/>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18"/>
                <w:sz w:val="18"/>
              </w:rPr>
              <w:t> </w:t>
            </w:r>
            <w:r>
              <w:rPr>
                <w:rFonts w:ascii="Times New Roman"/>
                <w:spacing w:val="-5"/>
                <w:sz w:val="18"/>
              </w:rPr>
              <w:t>GATES</w:t>
            </w:r>
            <w:r>
              <w:rPr>
                <w:rFonts w:ascii="Times New Roman"/>
                <w:sz w:val="18"/>
              </w:rPr>
              <w:t> </w:t>
            </w:r>
            <w:r>
              <w:rPr>
                <w:rFonts w:ascii="Times New Roman"/>
                <w:spacing w:val="-3"/>
                <w:sz w:val="18"/>
              </w:rPr>
              <w:t>FOUNDATION</w:t>
            </w:r>
            <w:r>
              <w:rPr>
                <w:rFonts w:ascii="Times New Roman"/>
                <w:spacing w:val="-6"/>
                <w:sz w:val="18"/>
              </w:rPr>
              <w:t> </w:t>
            </w:r>
            <w:r>
              <w:rPr>
                <w:rFonts w:ascii="Times New Roman"/>
                <w:sz w:val="18"/>
              </w:rPr>
              <w:t>TRUST</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26,631,635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3,171,333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26,631,635</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交通银行－华安策略优选股票 型证券投资基金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17,000,718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17,000,718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17,000,718</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交通银行－华安宝利配置证券 投资基金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13,421,199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13,421,199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13,421,199</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金幸</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8,017,200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8,017,200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8,017,200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5"/>
              <w:jc w:val="left"/>
              <w:rPr>
                <w:rFonts w:ascii="Times New Roman" w:hAnsi="Times New Roman" w:cs="Times New Roman" w:eastAsia="Times New Roman" w:hint="default"/>
                <w:sz w:val="18"/>
                <w:szCs w:val="18"/>
              </w:rPr>
            </w:pPr>
            <w:r>
              <w:rPr>
                <w:rFonts w:ascii="Times New Roman"/>
                <w:sz w:val="18"/>
              </w:rPr>
              <w:t>MORGAN </w:t>
            </w:r>
            <w:r>
              <w:rPr>
                <w:rFonts w:ascii="Times New Roman"/>
                <w:spacing w:val="-3"/>
                <w:sz w:val="18"/>
              </w:rPr>
              <w:t>STANLEY </w:t>
            </w:r>
            <w:r>
              <w:rPr>
                <w:rFonts w:ascii="Times New Roman"/>
                <w:sz w:val="18"/>
              </w:rPr>
              <w:t>&amp;</w:t>
            </w:r>
            <w:r>
              <w:rPr>
                <w:rFonts w:ascii="Times New Roman"/>
                <w:spacing w:val="-4"/>
                <w:sz w:val="18"/>
              </w:rPr>
              <w:t> </w:t>
            </w:r>
            <w:r>
              <w:rPr>
                <w:rFonts w:ascii="Times New Roman"/>
                <w:sz w:val="18"/>
              </w:rPr>
              <w:t>CO.</w:t>
            </w:r>
            <w:r>
              <w:rPr>
                <w:rFonts w:ascii="Times New Roman"/>
                <w:sz w:val="18"/>
              </w:rPr>
              <w:t> </w:t>
            </w:r>
            <w:r>
              <w:rPr>
                <w:rFonts w:ascii="Times New Roman"/>
                <w:spacing w:val="-3"/>
                <w:sz w:val="18"/>
              </w:rPr>
              <w:t>INTERNATIONAL</w:t>
            </w:r>
            <w:r>
              <w:rPr>
                <w:rFonts w:ascii="Times New Roman"/>
                <w:spacing w:val="-2"/>
                <w:sz w:val="18"/>
              </w:rPr>
              <w:t> </w:t>
            </w:r>
            <w:r>
              <w:rPr>
                <w:rFonts w:ascii="Times New Roman"/>
                <w:sz w:val="18"/>
              </w:rPr>
              <w:t>PLC</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6,600,021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1,874,496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6,600,021</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0.31%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6,334,527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4,750,895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1,583,632</w:t>
            </w: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p>
        </w:tc>
        <w:tc>
          <w:tcPr>
            <w:tcW w:w="596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3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968"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1"/>
                <w:sz w:val="18"/>
                <w:szCs w:val="18"/>
              </w:rPr>
              <w:t>国有法人股股东寿光晨鸣控股有限公司与上述股东之间不存在关联关系，也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不属于《上市公司股东持股变动信息披露管理办法》中规定的一致行动人； 华安策略优选股票型证券投资基金和华安宝利配置证券投资基金是同属华 </w:t>
            </w:r>
            <w:r>
              <w:rPr>
                <w:rFonts w:ascii="宋体" w:hAnsi="宋体" w:cs="宋体" w:eastAsia="宋体" w:hint="default"/>
                <w:spacing w:val="-1"/>
                <w:sz w:val="18"/>
                <w:szCs w:val="18"/>
              </w:rPr>
              <w:t>安基金管理有限公司管理的基金，除此之外，未知其他流动股东是否属于一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致行动人，也未知其他流动股股东之间是否存在关联关系。</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40"/>
        <w:gridCol w:w="2692"/>
        <w:gridCol w:w="1368"/>
        <w:gridCol w:w="1368"/>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1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140" w:type="dxa"/>
            <w:vMerge/>
            <w:tcBorders>
              <w:left w:val="single" w:sz="4" w:space="0" w:color="000000"/>
              <w:bottom w:val="single" w:sz="4" w:space="0" w:color="000000"/>
              <w:right w:val="single" w:sz="4" w:space="0" w:color="000000"/>
            </w:tcBorders>
            <w:shd w:val="clear" w:color="auto" w:fill="D3D3D3"/>
          </w:tcPr>
          <w:p>
            <w:pPr/>
          </w:p>
        </w:tc>
        <w:tc>
          <w:tcPr>
            <w:tcW w:w="2692"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香港中央结算代理人有限公司</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389,749,000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389,749,000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293,003,657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293,003,657</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PLATINUM    </w:t>
            </w:r>
            <w:r>
              <w:rPr>
                <w:rFonts w:ascii="Times New Roman"/>
                <w:sz w:val="18"/>
              </w:rPr>
              <w:t>ASIA  </w:t>
            </w:r>
            <w:r>
              <w:rPr>
                <w:rFonts w:ascii="Times New Roman"/>
                <w:spacing w:val="41"/>
                <w:sz w:val="18"/>
              </w:rPr>
              <w:t> </w:t>
            </w:r>
            <w:r>
              <w:rPr>
                <w:rFonts w:ascii="Times New Roman"/>
                <w:sz w:val="18"/>
              </w:rPr>
              <w:t>FUND</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43,480,377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43,480,377</w:t>
            </w:r>
          </w:p>
        </w:tc>
      </w:tr>
      <w:tr>
        <w:trPr>
          <w:trHeight w:val="71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TAIFOOK </w:t>
            </w:r>
            <w:r>
              <w:rPr>
                <w:rFonts w:ascii="Times New Roman"/>
                <w:sz w:val="18"/>
              </w:rPr>
              <w:t>SECURITIES </w:t>
            </w:r>
            <w:r>
              <w:rPr>
                <w:rFonts w:ascii="Times New Roman"/>
                <w:spacing w:val="-4"/>
                <w:sz w:val="18"/>
              </w:rPr>
              <w:t>COMPANY</w:t>
            </w:r>
            <w:r>
              <w:rPr>
                <w:rFonts w:ascii="Times New Roman"/>
                <w:spacing w:val="-11"/>
                <w:sz w:val="18"/>
              </w:rPr>
              <w:t> </w:t>
            </w:r>
            <w:r>
              <w:rPr>
                <w:rFonts w:ascii="Times New Roman"/>
                <w:sz w:val="18"/>
              </w:rPr>
              <w:t>LIMITED</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-ACCOUNT</w:t>
            </w:r>
            <w:r>
              <w:rPr>
                <w:rFonts w:ascii="Times New Roman"/>
                <w:spacing w:val="-16"/>
                <w:sz w:val="18"/>
              </w:rPr>
              <w:t> </w:t>
            </w:r>
            <w:r>
              <w:rPr>
                <w:rFonts w:ascii="Times New Roman"/>
                <w:sz w:val="18"/>
              </w:rPr>
              <w:t>CLIENT</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35,193,003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35,193,003</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BILL &amp; MELINDA </w:t>
            </w:r>
            <w:r>
              <w:rPr>
                <w:rFonts w:ascii="Times New Roman"/>
                <w:spacing w:val="-5"/>
                <w:sz w:val="18"/>
              </w:rPr>
              <w:t>GATES </w:t>
            </w:r>
            <w:r>
              <w:rPr>
                <w:rFonts w:ascii="Times New Roman"/>
                <w:spacing w:val="-3"/>
                <w:sz w:val="18"/>
              </w:rPr>
              <w:t>FOUNDATION</w:t>
            </w:r>
            <w:r>
              <w:rPr>
                <w:rFonts w:ascii="Times New Roman"/>
                <w:spacing w:val="-8"/>
                <w:sz w:val="18"/>
              </w:rPr>
              <w:t> </w:t>
            </w:r>
            <w:r>
              <w:rPr>
                <w:rFonts w:ascii="Times New Roman"/>
                <w:sz w:val="18"/>
              </w:rPr>
              <w:t>TRUST</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26,631,635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交通银行－华安策略优选股票型证券投资基金</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17,000,718</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交通银行－华安宝利配置证券投资基金</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13,421,199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13,421,199</w:t>
            </w:r>
          </w:p>
        </w:tc>
      </w:tr>
      <w:tr>
        <w:trPr>
          <w:trHeight w:val="402" w:hRule="exact"/>
        </w:trPr>
        <w:tc>
          <w:tcPr>
            <w:tcW w:w="41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金幸</w:t>
            </w:r>
          </w:p>
        </w:tc>
        <w:tc>
          <w:tcPr>
            <w:tcW w:w="26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2,140,200</w:t>
            </w:r>
          </w:p>
        </w:tc>
      </w:tr>
      <w:tr>
        <w:trPr>
          <w:trHeight w:val="402" w:hRule="exact"/>
        </w:trPr>
        <w:tc>
          <w:tcPr>
            <w:tcW w:w="4140" w:type="dxa"/>
            <w:vMerge/>
            <w:tcBorders>
              <w:left w:val="single" w:sz="4" w:space="0" w:color="000000"/>
              <w:bottom w:val="single" w:sz="4" w:space="0" w:color="000000"/>
              <w:right w:val="single" w:sz="4" w:space="0" w:color="000000"/>
            </w:tcBorders>
          </w:tcPr>
          <w:p>
            <w:pPr/>
          </w:p>
        </w:tc>
        <w:tc>
          <w:tcPr>
            <w:tcW w:w="2692"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5,877,000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MORGAN</w:t>
            </w:r>
            <w:r>
              <w:rPr>
                <w:rFonts w:ascii="Times New Roman"/>
                <w:spacing w:val="-9"/>
                <w:sz w:val="18"/>
              </w:rPr>
              <w:t> </w:t>
            </w:r>
            <w:r>
              <w:rPr>
                <w:rFonts w:ascii="Times New Roman"/>
                <w:sz w:val="18"/>
              </w:rPr>
              <w:t>STANLEY</w:t>
            </w:r>
            <w:r>
              <w:rPr>
                <w:rFonts w:ascii="Times New Roman"/>
                <w:spacing w:val="-14"/>
                <w:sz w:val="18"/>
              </w:rPr>
              <w:t> </w:t>
            </w:r>
            <w:r>
              <w:rPr>
                <w:rFonts w:ascii="Times New Roman"/>
                <w:sz w:val="18"/>
              </w:rPr>
              <w:t>&amp;</w:t>
            </w:r>
            <w:r>
              <w:rPr>
                <w:rFonts w:ascii="Times New Roman"/>
                <w:spacing w:val="-9"/>
                <w:sz w:val="18"/>
              </w:rPr>
              <w:t> </w:t>
            </w:r>
            <w:r>
              <w:rPr>
                <w:rFonts w:ascii="Times New Roman"/>
                <w:sz w:val="18"/>
              </w:rPr>
              <w:t>CO.</w:t>
            </w:r>
            <w:r>
              <w:rPr>
                <w:rFonts w:ascii="Times New Roman"/>
                <w:spacing w:val="-9"/>
                <w:sz w:val="18"/>
              </w:rPr>
              <w:t> </w:t>
            </w:r>
            <w:r>
              <w:rPr>
                <w:rFonts w:ascii="Times New Roman"/>
                <w:sz w:val="18"/>
              </w:rPr>
              <w:t>INTERNATIONAL</w:t>
            </w:r>
            <w:r>
              <w:rPr>
                <w:rFonts w:ascii="Times New Roman"/>
                <w:spacing w:val="-14"/>
                <w:sz w:val="18"/>
              </w:rPr>
              <w:t> </w:t>
            </w:r>
            <w:r>
              <w:rPr>
                <w:rFonts w:ascii="Times New Roman"/>
                <w:sz w:val="18"/>
              </w:rPr>
              <w:t>PLC</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6,600,021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14"/>
                <w:sz w:val="18"/>
              </w:rPr>
              <w:t> </w:t>
            </w:r>
            <w:r>
              <w:rPr>
                <w:rFonts w:ascii="Times New Roman"/>
                <w:sz w:val="18"/>
              </w:rPr>
              <w:t>AG</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6,110,905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6,110,905</w:t>
            </w:r>
          </w:p>
        </w:tc>
      </w:tr>
      <w:tr>
        <w:trPr>
          <w:trHeight w:val="196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w:t>
            </w:r>
          </w:p>
          <w:p>
            <w:pPr>
              <w:pStyle w:val="TableParagraph"/>
              <w:spacing w:line="302" w:lineRule="auto" w:before="61"/>
              <w:ind w:left="22" w:right="55"/>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5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国有法人股股东寿光晨鸣控股有限公司与上述股东之间不存在关联 </w:t>
            </w:r>
            <w:r>
              <w:rPr>
                <w:rFonts w:ascii="宋体" w:hAnsi="宋体" w:cs="宋体" w:eastAsia="宋体" w:hint="default"/>
                <w:spacing w:val="-1"/>
                <w:sz w:val="18"/>
                <w:szCs w:val="18"/>
              </w:rPr>
              <w:t>关系，也不属于《上市公司股东持股变动信息披露管理办法》中规定</w:t>
            </w:r>
            <w:r>
              <w:rPr>
                <w:rFonts w:ascii="宋体" w:hAnsi="宋体" w:cs="宋体" w:eastAsia="宋体" w:hint="default"/>
                <w:sz w:val="18"/>
                <w:szCs w:val="18"/>
              </w:rPr>
              <w:t> </w:t>
            </w:r>
            <w:r>
              <w:rPr>
                <w:rFonts w:ascii="宋体" w:hAnsi="宋体" w:cs="宋体" w:eastAsia="宋体" w:hint="default"/>
                <w:spacing w:val="-1"/>
                <w:sz w:val="18"/>
                <w:szCs w:val="18"/>
              </w:rPr>
              <w:t>的一致行动人；华安策略优选股票型证券投资基金和华安宝利配置证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券投资基金是同属华安基金管理有限公司管理的基金，除此之外，未</w:t>
            </w:r>
            <w:r>
              <w:rPr>
                <w:rFonts w:ascii="宋体" w:hAnsi="宋体" w:cs="宋体" w:eastAsia="宋体" w:hint="default"/>
                <w:sz w:val="18"/>
                <w:szCs w:val="18"/>
              </w:rPr>
              <w:t> </w:t>
            </w:r>
            <w:r>
              <w:rPr>
                <w:rFonts w:ascii="宋体" w:hAnsi="宋体" w:cs="宋体" w:eastAsia="宋体" w:hint="default"/>
                <w:spacing w:val="-1"/>
                <w:sz w:val="18"/>
                <w:szCs w:val="18"/>
              </w:rPr>
              <w:t>知其他流动股东是否属于一致行动人，也未知其他流动股股东之间是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否存在关联关系。</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54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105"/>
        <w:gridCol w:w="1585"/>
        <w:gridCol w:w="1620"/>
        <w:gridCol w:w="1285"/>
        <w:gridCol w:w="1802"/>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78348518-9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对造纸、电力、热力、 林业项目的投资</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寿光晨鸣控股有限公司致力于造纸、电力、热力和林业项目的投资。</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97"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8" w:right="90"/>
              <w:jc w:val="left"/>
              <w:rPr>
                <w:rFonts w:ascii="宋体" w:hAnsi="宋体" w:cs="宋体" w:eastAsia="宋体" w:hint="default"/>
                <w:sz w:val="18"/>
                <w:szCs w:val="18"/>
              </w:rPr>
            </w:pPr>
            <w:r>
              <w:rPr>
                <w:rFonts w:ascii="宋体" w:hAnsi="宋体" w:cs="宋体" w:eastAsia="宋体" w:hint="default"/>
                <w:sz w:val="18"/>
                <w:szCs w:val="18"/>
              </w:rPr>
              <w:t>寿光晨鸣控股有限公司持有本公司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14.21%</w:t>
            </w:r>
            <w:r>
              <w:rPr>
                <w:rFonts w:ascii="宋体" w:hAnsi="宋体" w:cs="宋体" w:eastAsia="宋体" w:hint="default"/>
                <w:sz w:val="18"/>
                <w:szCs w:val="18"/>
              </w:rPr>
              <w:t>的股权，除此之外，不存在控股和参股其他境内外 上市公司股权的情况。</w:t>
            </w:r>
          </w:p>
        </w:tc>
      </w:tr>
    </w:tbl>
    <w:p>
      <w:pPr>
        <w:pStyle w:val="BodyText"/>
        <w:spacing w:line="240" w:lineRule="auto" w:before="51"/>
        <w:ind w:right="0"/>
        <w:jc w:val="left"/>
      </w:pPr>
      <w:r>
        <w:rPr/>
        <w:t>报告期控股股东变更</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105"/>
        <w:gridCol w:w="1585"/>
        <w:gridCol w:w="1440"/>
        <w:gridCol w:w="1080"/>
        <w:gridCol w:w="2188"/>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寿光市国有资产监督管理 办公室</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付心刚</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137078300401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负责全市企事业单位国有 资产管理及资本运营工作</w:t>
            </w:r>
          </w:p>
        </w:tc>
      </w:tr>
      <w:tr>
        <w:trPr>
          <w:trHeight w:val="358" w:hRule="exact"/>
        </w:trPr>
        <w:tc>
          <w:tcPr>
            <w:tcW w:w="21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p>
        </w:tc>
        <w:tc>
          <w:tcPr>
            <w:tcW w:w="7397" w:type="dxa"/>
            <w:gridSpan w:val="5"/>
            <w:tcBorders>
              <w:top w:val="single" w:sz="4" w:space="0" w:color="000000"/>
              <w:left w:val="single" w:sz="9" w:space="0" w:color="D3D3D3"/>
              <w:bottom w:val="nil" w:sz="6" w:space="0" w:color="auto"/>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pacing w:val="-2"/>
                <w:sz w:val="18"/>
                <w:szCs w:val="18"/>
              </w:rPr>
              <w:t>寿光市国有资产监督管理办公室负责全市企事业单位国有资产管理及资本运营，致力于国有资</w:t>
            </w:r>
          </w:p>
        </w:tc>
      </w:tr>
      <w:tr>
        <w:trPr>
          <w:trHeight w:val="356" w:hRule="exact"/>
        </w:trPr>
        <w:tc>
          <w:tcPr>
            <w:tcW w:w="21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流和未来发展战略等</w:t>
            </w:r>
          </w:p>
        </w:tc>
        <w:tc>
          <w:tcPr>
            <w:tcW w:w="7397" w:type="dxa"/>
            <w:gridSpan w:val="5"/>
            <w:tcBorders>
              <w:top w:val="nil" w:sz="6" w:space="0" w:color="auto"/>
              <w:left w:val="single" w:sz="9" w:space="0" w:color="D3D3D3"/>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产的保值、增值。</w:t>
            </w:r>
          </w:p>
        </w:tc>
      </w:tr>
      <w:tr>
        <w:trPr>
          <w:trHeight w:val="358" w:hRule="exact"/>
        </w:trPr>
        <w:tc>
          <w:tcPr>
            <w:tcW w:w="21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实际控制人报告期内控制</w:t>
            </w:r>
          </w:p>
        </w:tc>
        <w:tc>
          <w:tcPr>
            <w:tcW w:w="7397" w:type="dxa"/>
            <w:gridSpan w:val="5"/>
            <w:tcBorders>
              <w:top w:val="single" w:sz="4" w:space="0" w:color="000000"/>
              <w:left w:val="single" w:sz="9" w:space="0" w:color="D3D3D3"/>
              <w:bottom w:val="nil" w:sz="6" w:space="0" w:color="auto"/>
              <w:right w:val="single" w:sz="4" w:space="0" w:color="000000"/>
            </w:tcBorders>
          </w:tcPr>
          <w:p>
            <w:pPr/>
          </w:p>
        </w:tc>
      </w:tr>
      <w:tr>
        <w:trPr>
          <w:trHeight w:val="313" w:hRule="exact"/>
        </w:trPr>
        <w:tc>
          <w:tcPr>
            <w:tcW w:w="21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的其他境内外上市公司的</w:t>
            </w:r>
          </w:p>
        </w:tc>
        <w:tc>
          <w:tcPr>
            <w:tcW w:w="7397" w:type="dxa"/>
            <w:gridSpan w:val="5"/>
            <w:tcBorders>
              <w:top w:val="nil" w:sz="6" w:space="0" w:color="auto"/>
              <w:left w:val="single" w:sz="9" w:space="0" w:color="D3D3D3"/>
              <w:bottom w:val="nil" w:sz="6" w:space="0" w:color="auto"/>
              <w:right w:val="single" w:sz="4" w:space="0" w:color="000000"/>
            </w:tcBorders>
          </w:tcPr>
          <w:p>
            <w:pPr>
              <w:pStyle w:val="TableParagraph"/>
              <w:spacing w:line="240" w:lineRule="auto" w:before="10"/>
              <w:ind w:left="28" w:right="-28"/>
              <w:jc w:val="left"/>
              <w:rPr>
                <w:rFonts w:ascii="宋体" w:hAnsi="宋体" w:cs="宋体" w:eastAsia="宋体" w:hint="default"/>
                <w:sz w:val="18"/>
                <w:szCs w:val="18"/>
              </w:rPr>
            </w:pPr>
            <w:r>
              <w:rPr>
                <w:rFonts w:ascii="宋体" w:hAnsi="宋体" w:cs="宋体" w:eastAsia="宋体" w:hint="default"/>
                <w:sz w:val="18"/>
                <w:szCs w:val="18"/>
              </w:rPr>
              <w:t>除本公司外，寿光市国有资产监督管理办公室不存在控制的其他境内外上市公司的股权情况。</w:t>
            </w:r>
          </w:p>
        </w:tc>
      </w:tr>
      <w:tr>
        <w:trPr>
          <w:trHeight w:val="357" w:hRule="exact"/>
        </w:trPr>
        <w:tc>
          <w:tcPr>
            <w:tcW w:w="21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7397" w:type="dxa"/>
            <w:gridSpan w:val="5"/>
            <w:tcBorders>
              <w:top w:val="nil" w:sz="6" w:space="0" w:color="auto"/>
              <w:left w:val="single" w:sz="9" w:space="0" w:color="D3D3D3"/>
              <w:bottom w:val="single" w:sz="4" w:space="0" w:color="000000"/>
              <w:right w:val="single" w:sz="4" w:space="0" w:color="000000"/>
            </w:tcBorders>
          </w:tcPr>
          <w:p>
            <w:pPr/>
          </w:p>
        </w:tc>
      </w:tr>
    </w:tbl>
    <w:p>
      <w:pPr>
        <w:pStyle w:val="BodyText"/>
        <w:spacing w:line="240" w:lineRule="auto" w:before="51"/>
        <w:ind w:right="0"/>
        <w:jc w:val="left"/>
      </w:pPr>
      <w:r>
        <w:rPr/>
        <w:t>报告期实际控制人变更</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line="240" w:lineRule="auto" w:before="10"/>
        <w:rPr>
          <w:rFonts w:ascii="宋体" w:hAnsi="宋体" w:cs="宋体" w:eastAsia="宋体" w:hint="default"/>
          <w:sz w:val="22"/>
          <w:szCs w:val="22"/>
        </w:rPr>
      </w:pPr>
    </w:p>
    <w:p>
      <w:pPr>
        <w:spacing w:line="4770" w:lineRule="exact"/>
        <w:ind w:left="1985"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3791328" cy="30289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3791328" cy="3028950"/>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11"/>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bookmark7" w:id="9"/>
      <w:bookmarkEnd w:id="9"/>
      <w:r>
        <w:rPr>
          <w:b w:val="0"/>
          <w:bCs w:val="0"/>
        </w:rPr>
      </w:r>
      <w:r>
        <w:rPr/>
        <w:t>第八节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20"/>
        <w:gridCol w:w="900"/>
        <w:gridCol w:w="540"/>
        <w:gridCol w:w="540"/>
        <w:gridCol w:w="540"/>
        <w:gridCol w:w="1620"/>
        <w:gridCol w:w="1620"/>
        <w:gridCol w:w="900"/>
        <w:gridCol w:w="720"/>
        <w:gridCol w:w="696"/>
        <w:gridCol w:w="870"/>
      </w:tblGrid>
      <w:tr>
        <w:trPr>
          <w:trHeight w:val="1338"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83" w:right="8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83" w:right="8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8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7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4" w:right="21" w:hanging="242"/>
              <w:jc w:val="left"/>
              <w:rPr>
                <w:rFonts w:ascii="宋体" w:hAnsi="宋体" w:cs="宋体" w:eastAsia="宋体" w:hint="default"/>
                <w:sz w:val="18"/>
                <w:szCs w:val="18"/>
              </w:rPr>
            </w:pPr>
            <w:r>
              <w:rPr>
                <w:rFonts w:ascii="宋体" w:hAnsi="宋体" w:cs="宋体" w:eastAsia="宋体" w:hint="default"/>
                <w:spacing w:val="-12"/>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6,334,527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6,334,527</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2,423,640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2,423,640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4" w:right="21" w:hanging="242"/>
              <w:jc w:val="left"/>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471,818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471,818</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4" w:right="21" w:hanging="242"/>
              <w:jc w:val="left"/>
              <w:rPr>
                <w:rFonts w:ascii="宋体" w:hAnsi="宋体" w:cs="宋体" w:eastAsia="宋体" w:hint="default"/>
                <w:sz w:val="18"/>
                <w:szCs w:val="18"/>
              </w:rPr>
            </w:pPr>
            <w:r>
              <w:rPr>
                <w:rFonts w:ascii="宋体" w:hAnsi="宋体" w:cs="宋体" w:eastAsia="宋体" w:hint="default"/>
                <w:spacing w:val="-12"/>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437,433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437,433</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185,700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628,915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628,915</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123,007</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4" w:right="84"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39,606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39,606</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429,348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429,348</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王春方</w:t>
            </w:r>
          </w:p>
        </w:tc>
        <w:tc>
          <w:tcPr>
            <w:tcW w:w="90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44"/>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20"/>
        <w:gridCol w:w="900"/>
        <w:gridCol w:w="540"/>
        <w:gridCol w:w="540"/>
        <w:gridCol w:w="540"/>
        <w:gridCol w:w="1620"/>
        <w:gridCol w:w="1620"/>
        <w:gridCol w:w="900"/>
        <w:gridCol w:w="720"/>
        <w:gridCol w:w="696"/>
        <w:gridCol w:w="870"/>
      </w:tblGrid>
      <w:tr>
        <w:trPr>
          <w:trHeight w:val="674"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54" w:right="84" w:hanging="270"/>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郝  筠</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708,441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708,441</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张延军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102,393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102,393</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夏继钢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王世宏</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245,674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245,674</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12,131,740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12,161,740</w:t>
            </w:r>
          </w:p>
        </w:tc>
      </w:tr>
    </w:tbl>
    <w:p>
      <w:pPr>
        <w:spacing w:line="240" w:lineRule="auto" w:before="2"/>
        <w:rPr>
          <w:rFonts w:ascii="宋体" w:hAnsi="宋体" w:cs="宋体" w:eastAsia="宋体" w:hint="default"/>
          <w:b/>
          <w:bCs/>
          <w:sz w:val="18"/>
          <w:szCs w:val="18"/>
        </w:rPr>
      </w:pPr>
    </w:p>
    <w:p>
      <w:pPr>
        <w:pStyle w:val="Heading2"/>
        <w:spacing w:line="240" w:lineRule="auto" w:before="26"/>
        <w:ind w:right="18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1"/>
        <w:ind w:left="574" w:right="181"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）执行董事简介</w:t>
      </w:r>
      <w:r>
        <w:rPr>
          <w:rFonts w:ascii="宋体" w:hAnsi="宋体" w:cs="宋体" w:eastAsia="宋体" w:hint="default"/>
          <w:b/>
          <w:bCs/>
          <w:w w:val="99"/>
        </w:rPr>
        <w:t> </w:t>
      </w:r>
      <w:r>
        <w:rPr/>
        <w:t>陈洪国先生，</w:t>
      </w:r>
      <w:r>
        <w:rPr>
          <w:rFonts w:ascii="Times New Roman" w:hAnsi="Times New Roman" w:cs="Times New Roman" w:eastAsia="Times New Roman" w:hint="default"/>
        </w:rPr>
        <w:t>1987</w:t>
      </w:r>
      <w:r>
        <w:rPr/>
        <w:t>年加入本公司，历任车间主任、分厂厂长、副总经理、公司董事、武汉晨鸣汉阳纸业股份有限公司</w:t>
      </w:r>
    </w:p>
    <w:p>
      <w:pPr>
        <w:pStyle w:val="BodyText"/>
        <w:spacing w:line="316" w:lineRule="auto" w:before="13"/>
        <w:ind w:right="181"/>
        <w:jc w:val="left"/>
      </w:pPr>
      <w:r>
        <w:rPr>
          <w:spacing w:val="-2"/>
        </w:rPr>
        <w:t>董事长等职务，现任本公司董事长兼总经理，寿光晨鸣控股有限公司董事长兼总经理。陈洪国先生为本公司副总经理李雪芹</w:t>
      </w:r>
      <w:r>
        <w:rPr>
          <w:spacing w:val="-66"/>
        </w:rPr>
        <w:t> </w:t>
      </w:r>
      <w:r>
        <w:rPr>
          <w:spacing w:val="-66"/>
        </w:rPr>
      </w:r>
      <w:r>
        <w:rPr/>
        <w:t>女士的配偶。</w:t>
      </w:r>
    </w:p>
    <w:p>
      <w:pPr>
        <w:pStyle w:val="BodyText"/>
        <w:spacing w:line="300" w:lineRule="auto" w:before="18"/>
        <w:ind w:right="191" w:firstLine="404"/>
        <w:jc w:val="both"/>
      </w:pPr>
      <w:r>
        <w:rPr/>
        <w:t>尹同远先生，</w:t>
      </w:r>
      <w:r>
        <w:rPr>
          <w:rFonts w:ascii="Times New Roman" w:hAnsi="Times New Roman" w:cs="Times New Roman" w:eastAsia="Times New Roman" w:hint="default"/>
        </w:rPr>
        <w:t>1982</w:t>
      </w:r>
      <w:r>
        <w:rPr/>
        <w:t>年加入本公司，历任车间主任、技术处长、副厂长、常务副厂长、总经理等职务，现任本公司副董 事长、寿光晨鸣控股有限公司董事。</w:t>
      </w:r>
    </w:p>
    <w:p>
      <w:pPr>
        <w:pStyle w:val="BodyText"/>
        <w:spacing w:line="309" w:lineRule="auto" w:before="31"/>
        <w:ind w:right="190" w:firstLine="419"/>
        <w:jc w:val="both"/>
      </w:pPr>
      <w:r>
        <w:rPr/>
        <w:t>李</w:t>
      </w:r>
      <w:r>
        <w:rPr>
          <w:spacing w:val="18"/>
        </w:rPr>
        <w:t> </w:t>
      </w:r>
      <w:r>
        <w:rPr/>
        <w:t>峰先生，</w:t>
      </w:r>
      <w:r>
        <w:rPr>
          <w:rFonts w:ascii="Times New Roman" w:hAnsi="Times New Roman" w:cs="Times New Roman" w:eastAsia="Times New Roman" w:hint="default"/>
        </w:rPr>
        <w:t>1992</w:t>
      </w:r>
      <w:r>
        <w:rPr/>
        <w:t>年加入本公司，历任公司车间主任、总经理助理，山东晨鸣纸业集团齐河板纸有限责任公司副总经 </w:t>
      </w:r>
      <w:r>
        <w:rPr>
          <w:spacing w:val="-2"/>
        </w:rPr>
        <w:t>理，武汉晨鸣汉阳纸业股份有限公司副总经理、董事长，现任本公司执行董事、副总经理。李峰先生为本公司副总经理李雪</w:t>
      </w:r>
      <w:r>
        <w:rPr>
          <w:spacing w:val="-66"/>
        </w:rPr>
        <w:t> </w:t>
      </w:r>
      <w:r>
        <w:rPr>
          <w:spacing w:val="-66"/>
        </w:rPr>
      </w:r>
      <w:r>
        <w:rPr/>
        <w:t>芹女士的弟弟。</w:t>
      </w:r>
    </w:p>
    <w:p>
      <w:pPr>
        <w:pStyle w:val="BodyText"/>
        <w:spacing w:line="309" w:lineRule="auto" w:before="24"/>
        <w:ind w:right="188" w:firstLine="420"/>
        <w:jc w:val="both"/>
      </w:pPr>
      <w:r>
        <w:rPr/>
        <w:t>耿光林先生，</w:t>
      </w:r>
      <w:r>
        <w:rPr>
          <w:rFonts w:ascii="Times New Roman" w:hAnsi="Times New Roman" w:cs="Times New Roman" w:eastAsia="Times New Roman" w:hint="default"/>
        </w:rPr>
        <w:t>1992</w:t>
      </w:r>
      <w:r>
        <w:rPr/>
        <w:t>年加入本公司，历任本公司车间主任、赤壁晨鸣纸业有限责任公司副总经理、武汉晨鸣汉阳纸业股</w:t>
      </w:r>
      <w:r>
        <w:rPr>
          <w:spacing w:val="1"/>
        </w:rPr>
        <w:t> </w:t>
      </w:r>
      <w:r>
        <w:rPr>
          <w:spacing w:val="-2"/>
        </w:rPr>
        <w:t>份有限公司董事长、吉林晨鸣纸业有限责任公司董事长、江西晨鸣纸业有限责任公司董事长等职务，现任公司董事、副总经</w:t>
      </w:r>
      <w:r>
        <w:rPr>
          <w:spacing w:val="-66"/>
        </w:rPr>
        <w:t> </w:t>
      </w:r>
      <w:r>
        <w:rPr>
          <w:spacing w:val="-66"/>
        </w:rPr>
      </w:r>
      <w:r>
        <w:rPr/>
        <w:t>理兼集团生产总监，寿光晨鸣控股有限公司董事。</w:t>
      </w:r>
    </w:p>
    <w:p>
      <w:pPr>
        <w:pStyle w:val="BodyText"/>
        <w:spacing w:line="309" w:lineRule="auto" w:before="24"/>
        <w:ind w:left="153" w:right="188" w:firstLine="420"/>
        <w:jc w:val="both"/>
      </w:pPr>
      <w:r>
        <w:rPr/>
        <w:t>谭道诚先生，</w:t>
      </w:r>
      <w:r>
        <w:rPr>
          <w:rFonts w:ascii="Times New Roman" w:hAnsi="Times New Roman" w:cs="Times New Roman" w:eastAsia="Times New Roman" w:hint="default"/>
        </w:rPr>
        <w:t>1984</w:t>
      </w:r>
      <w:r>
        <w:rPr/>
        <w:t>年加入本公司，历任武汉晨鸣汉阳纸业股份有限公司董事长、副总经理，海拉尔晨鸣纸业有限责任</w:t>
      </w:r>
      <w:r>
        <w:rPr>
          <w:spacing w:val="1"/>
        </w:rPr>
        <w:t> </w:t>
      </w:r>
      <w:r>
        <w:rPr>
          <w:spacing w:val="-2"/>
        </w:rPr>
        <w:t>公司董事长、总经理，公司胶版纸工厂、白卡纸工厂厂长、江西晨鸣纸业有限责任公司董事长、赤壁晨鸣纸业有限责任公司</w:t>
      </w:r>
      <w:r>
        <w:rPr>
          <w:spacing w:val="-66"/>
        </w:rPr>
        <w:t> </w:t>
      </w:r>
      <w:r>
        <w:rPr>
          <w:spacing w:val="-66"/>
        </w:rPr>
      </w:r>
      <w:r>
        <w:rPr/>
        <w:t>董事长，现任本公司董事、分管武汉晨鸣工作，寿光晨鸣控股有限公司董事。</w:t>
      </w:r>
    </w:p>
    <w:p>
      <w:pPr>
        <w:pStyle w:val="BodyText"/>
        <w:spacing w:line="309" w:lineRule="auto" w:before="24"/>
        <w:ind w:left="153" w:right="188" w:firstLine="420"/>
        <w:jc w:val="both"/>
      </w:pPr>
      <w:r>
        <w:rPr/>
        <w:t>侯焕才先生，</w:t>
      </w:r>
      <w:r>
        <w:rPr>
          <w:rFonts w:ascii="Times New Roman" w:hAnsi="Times New Roman" w:cs="Times New Roman" w:eastAsia="Times New Roman" w:hint="default"/>
        </w:rPr>
        <w:t>1983</w:t>
      </w:r>
      <w:r>
        <w:rPr/>
        <w:t>年加入本公司，历任车间主任、分厂厂长、山东晨鸣纸业集团齐河板纸有限责任公司董事长、吉林</w:t>
      </w:r>
      <w:r>
        <w:rPr>
          <w:spacing w:val="1"/>
        </w:rPr>
        <w:t> </w:t>
      </w:r>
      <w:r>
        <w:rPr>
          <w:spacing w:val="-2"/>
        </w:rPr>
        <w:t>晨鸣纸业有限公司董事长、江西晨鸣纸业有限责任公司董事长、第一届和第二届监事会主席。现任本公司董事，分管吉林晨</w:t>
      </w:r>
      <w:r>
        <w:rPr>
          <w:spacing w:val="-66"/>
        </w:rPr>
        <w:t> </w:t>
      </w:r>
      <w:r>
        <w:rPr>
          <w:spacing w:val="-66"/>
        </w:rPr>
      </w:r>
      <w:r>
        <w:rPr/>
        <w:t>鸣、富裕晨鸣、延边晨鸣工作。</w:t>
      </w:r>
    </w:p>
    <w:p>
      <w:pPr>
        <w:pStyle w:val="BodyText"/>
        <w:spacing w:line="300" w:lineRule="auto" w:before="24"/>
        <w:ind w:left="153" w:right="188" w:firstLine="420"/>
        <w:jc w:val="both"/>
      </w:pPr>
      <w:r>
        <w:rPr/>
        <w:t>周少华先生，</w:t>
      </w:r>
      <w:r>
        <w:rPr>
          <w:rFonts w:ascii="Times New Roman" w:hAnsi="Times New Roman" w:cs="Times New Roman" w:eastAsia="Times New Roman" w:hint="default"/>
        </w:rPr>
        <w:t>1997</w:t>
      </w:r>
      <w:r>
        <w:rPr/>
        <w:t>年加入公司，历任武汉晨鸣汉阳纸业股份有限公司常务副总经理、总工程师、副董事长，江西晨鸣</w:t>
      </w:r>
      <w:r>
        <w:rPr>
          <w:spacing w:val="1"/>
        </w:rPr>
        <w:t> </w:t>
      </w:r>
      <w:r>
        <w:rPr/>
        <w:t>纸业有限责任公司董事长，现任本公司董事，湛江晨鸣浆纸有限公司党委书记。</w:t>
      </w:r>
    </w:p>
    <w:p>
      <w:pPr>
        <w:spacing w:line="300" w:lineRule="auto" w:before="31"/>
        <w:ind w:left="573" w:right="181"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）公司非执行董事简介</w:t>
      </w:r>
      <w:r>
        <w:rPr>
          <w:rFonts w:ascii="宋体" w:hAnsi="宋体" w:cs="宋体" w:eastAsia="宋体" w:hint="default"/>
          <w:b/>
          <w:bCs/>
          <w:spacing w:val="1"/>
          <w:w w:val="99"/>
          <w:sz w:val="18"/>
          <w:szCs w:val="18"/>
        </w:rPr>
        <w:t> </w:t>
      </w:r>
      <w:r>
        <w:rPr>
          <w:rFonts w:ascii="宋体" w:hAnsi="宋体" w:cs="宋体" w:eastAsia="宋体" w:hint="default"/>
          <w:sz w:val="18"/>
          <w:szCs w:val="18"/>
        </w:rPr>
        <w:t>崔友平先生，教授、经济学博士，曾任山东经济学院经济学系副主任、主任、科研处处长、山东经济学院副院长，现</w:t>
      </w:r>
    </w:p>
    <w:p>
      <w:pPr>
        <w:pStyle w:val="BodyText"/>
        <w:spacing w:line="300" w:lineRule="auto" w:before="31"/>
        <w:ind w:left="573" w:right="99" w:hanging="421"/>
        <w:jc w:val="left"/>
      </w:pPr>
      <w:r>
        <w:rPr>
          <w:spacing w:val="-2"/>
        </w:rPr>
        <w:t>任山东财经大学副校长、山东省经济学会副会长、山东省商业经济学会副会长等职务，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月开始任本公司非执行董事。</w:t>
      </w:r>
      <w:r>
        <w:rPr>
          <w:spacing w:val="-60"/>
        </w:rPr>
        <w:t> </w:t>
      </w:r>
      <w:r>
        <w:rPr/>
        <w:t>王凤荣女士，经济学博士，美国西弗吉尼亚大学访问学者。曾任山东经济学院财金系讲师、山东大学经济研究中心副</w:t>
      </w:r>
    </w:p>
    <w:p>
      <w:pPr>
        <w:pStyle w:val="BodyText"/>
        <w:spacing w:line="300" w:lineRule="auto" w:before="31"/>
        <w:ind w:left="153" w:right="181"/>
        <w:jc w:val="left"/>
      </w:pPr>
      <w:r>
        <w:rPr/>
        <w:t>教授。现任山东大学经济研究院教授，兼任新西兰</w:t>
      </w:r>
      <w:r>
        <w:rPr>
          <w:rFonts w:ascii="Times New Roman" w:hAnsi="Times New Roman" w:cs="Times New Roman" w:eastAsia="Times New Roman" w:hint="default"/>
        </w:rPr>
        <w:t>Massey</w:t>
      </w:r>
      <w:r>
        <w:rPr/>
        <w:t>大学博士生导师、国家社科基金评审专家、国家自然科学基金评</w:t>
      </w:r>
      <w:r>
        <w:rPr>
          <w:spacing w:val="-21"/>
        </w:rPr>
        <w:t> </w:t>
      </w:r>
      <w:r>
        <w:rPr>
          <w:spacing w:val="-21"/>
        </w:rPr>
      </w:r>
      <w:r>
        <w:rPr/>
        <w:t>审专家、人民银行济南分行货币信贷执行政策特邀分析员等职务，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月开始担任本公司非执行董事。</w:t>
      </w:r>
    </w:p>
    <w:p>
      <w:pPr>
        <w:pStyle w:val="BodyText"/>
        <w:spacing w:line="240" w:lineRule="auto" w:before="13"/>
        <w:ind w:left="573" w:right="181"/>
        <w:jc w:val="left"/>
        <w:rPr>
          <w:rFonts w:ascii="Times New Roman" w:hAnsi="Times New Roman" w:cs="Times New Roman" w:eastAsia="Times New Roman" w:hint="default"/>
        </w:rPr>
      </w:pPr>
      <w:r>
        <w:rPr>
          <w:spacing w:val="-3"/>
        </w:rPr>
        <w:t>王效群先生，</w:t>
      </w:r>
      <w:r>
        <w:rPr>
          <w:rFonts w:ascii="Times New Roman" w:hAnsi="Times New Roman" w:cs="Times New Roman" w:eastAsia="Times New Roman" w:hint="default"/>
          <w:spacing w:val="-3"/>
        </w:rPr>
        <w:t>1984</w:t>
      </w:r>
      <w:r>
        <w:rPr>
          <w:spacing w:val="-3"/>
        </w:rPr>
        <w:t>年至</w:t>
      </w:r>
      <w:r>
        <w:rPr>
          <w:rFonts w:ascii="Times New Roman" w:hAnsi="Times New Roman" w:cs="Times New Roman" w:eastAsia="Times New Roman" w:hint="default"/>
          <w:spacing w:val="-3"/>
        </w:rPr>
        <w:t>1988</w:t>
      </w:r>
      <w:r>
        <w:rPr>
          <w:spacing w:val="-3"/>
        </w:rPr>
        <w:t>年任寿光市财政局企财科科长，</w:t>
      </w:r>
      <w:r>
        <w:rPr>
          <w:rFonts w:ascii="Times New Roman" w:hAnsi="Times New Roman" w:cs="Times New Roman" w:eastAsia="Times New Roman" w:hint="default"/>
          <w:spacing w:val="-3"/>
        </w:rPr>
        <w:t>1989</w:t>
      </w:r>
      <w:r>
        <w:rPr>
          <w:spacing w:val="-3"/>
        </w:rPr>
        <w:t>年至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月任寿光市国有资产管理局副局长，</w:t>
      </w:r>
      <w:r>
        <w:rPr>
          <w:rFonts w:ascii="Times New Roman" w:hAnsi="Times New Roman" w:cs="Times New Roman" w:eastAsia="Times New Roman" w:hint="default"/>
          <w:spacing w:val="-3"/>
        </w:rPr>
        <w:t>2008</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181"/>
        <w:jc w:val="left"/>
      </w:pP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月开始担任本公司非执行董事。</w:t>
      </w:r>
    </w:p>
    <w:p>
      <w:pPr>
        <w:spacing w:line="300" w:lineRule="auto" w:before="62"/>
        <w:ind w:left="573" w:right="181" w:hanging="10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）独立非执行董事简介</w:t>
      </w:r>
      <w:r>
        <w:rPr>
          <w:rFonts w:ascii="宋体" w:hAnsi="宋体" w:cs="宋体" w:eastAsia="宋体" w:hint="default"/>
          <w:b/>
          <w:bCs/>
          <w:spacing w:val="1"/>
          <w:w w:val="99"/>
          <w:sz w:val="18"/>
          <w:szCs w:val="18"/>
        </w:rPr>
        <w:t> </w:t>
      </w:r>
      <w:r>
        <w:rPr>
          <w:rFonts w:ascii="宋体" w:hAnsi="宋体" w:cs="宋体" w:eastAsia="宋体" w:hint="default"/>
          <w:sz w:val="18"/>
          <w:szCs w:val="18"/>
        </w:rPr>
        <w:t>王爱国先生，教授，会计学博士后，历任山东经济学院会计系副主任、山东经济学院研究生部副主任、山东经济学院</w:t>
      </w:r>
    </w:p>
    <w:p>
      <w:pPr>
        <w:pStyle w:val="BodyText"/>
        <w:spacing w:line="312" w:lineRule="auto" w:before="31"/>
        <w:ind w:left="153" w:right="188"/>
        <w:jc w:val="both"/>
      </w:pPr>
      <w:r>
        <w:rPr>
          <w:spacing w:val="-2"/>
        </w:rPr>
        <w:t>会计学院院长，现任山东财经大学会计学院院长、兼任中国会计学会理事、中国资产评估协会理事、山东省会计教育委员会</w:t>
      </w:r>
      <w:r>
        <w:rPr>
          <w:spacing w:val="-66"/>
        </w:rPr>
        <w:t> </w:t>
      </w:r>
      <w:r>
        <w:rPr>
          <w:spacing w:val="-66"/>
        </w:rPr>
      </w:r>
      <w:r>
        <w:rPr>
          <w:spacing w:val="-2"/>
        </w:rPr>
        <w:t>副会长兼秘书长、山东省企业信用评级专家委员会委员等职务，兼任山东钢铁集团股份有限公司独立董事、中国玉米油股份</w:t>
      </w:r>
      <w:r>
        <w:rPr>
          <w:spacing w:val="-66"/>
        </w:rPr>
        <w:t> </w:t>
      </w:r>
      <w:r>
        <w:rPr>
          <w:spacing w:val="-66"/>
        </w:rPr>
      </w:r>
      <w:r>
        <w:rPr/>
        <w:t>有限公司独立非执行董事、海信科龙电器股份有限公司独立非执行董事、山东省章丘鼓风机股份有限公司独立董事。</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4</w:t>
      </w:r>
      <w:r>
        <w:rPr/>
        <w:t>月开始担任公司独立非执行董事。</w:t>
      </w:r>
    </w:p>
    <w:p>
      <w:pPr>
        <w:pStyle w:val="BodyText"/>
        <w:spacing w:line="300" w:lineRule="auto" w:before="3"/>
        <w:ind w:left="153" w:right="190" w:firstLine="420"/>
        <w:jc w:val="both"/>
      </w:pPr>
      <w:r>
        <w:rPr/>
        <w:t>张志元先生</w:t>
      </w:r>
      <w:r>
        <w:rPr>
          <w:rFonts w:ascii="Times New Roman" w:hAnsi="Times New Roman" w:cs="Times New Roman" w:eastAsia="Times New Roman" w:hint="default"/>
        </w:rPr>
        <w:t>,</w:t>
      </w:r>
      <w:r>
        <w:rPr/>
        <w:t>历任山东经济学院财政金融系副主任</w:t>
      </w:r>
      <w:r>
        <w:rPr>
          <w:rFonts w:ascii="Times New Roman" w:hAnsi="Times New Roman" w:cs="Times New Roman" w:eastAsia="Times New Roman" w:hint="default"/>
        </w:rPr>
        <w:t>,</w:t>
      </w:r>
      <w:r>
        <w:rPr/>
        <w:t>山东经济学院财政金融学院院长、山东区域经济研究院院长</w:t>
      </w:r>
      <w:r>
        <w:rPr>
          <w:rFonts w:ascii="Times New Roman" w:hAnsi="Times New Roman" w:cs="Times New Roman" w:eastAsia="Times New Roman" w:hint="default"/>
        </w:rPr>
        <w:t>,</w:t>
      </w:r>
      <w:r>
        <w:rPr/>
        <w:t>现任山 </w:t>
      </w:r>
      <w:r>
        <w:rPr>
          <w:spacing w:val="-2"/>
        </w:rPr>
        <w:t>东财经大学区域经济研究院院长、金融学院常务副院长</w:t>
      </w:r>
      <w:r>
        <w:rPr>
          <w:rFonts w:ascii="Times New Roman" w:hAnsi="Times New Roman" w:cs="Times New Roman" w:eastAsia="Times New Roman" w:hint="default"/>
          <w:spacing w:val="-2"/>
        </w:rPr>
        <w:t>,</w:t>
      </w:r>
      <w:r>
        <w:rPr>
          <w:spacing w:val="-2"/>
        </w:rPr>
        <w:t>教授</w:t>
      </w:r>
      <w:r>
        <w:rPr>
          <w:rFonts w:ascii="Times New Roman" w:hAnsi="Times New Roman" w:cs="Times New Roman" w:eastAsia="Times New Roman" w:hint="default"/>
          <w:spacing w:val="-2"/>
        </w:rPr>
        <w:t>,</w:t>
      </w:r>
      <w:r>
        <w:rPr>
          <w:spacing w:val="-2"/>
        </w:rPr>
        <w:t>管理学博士</w:t>
      </w:r>
      <w:r>
        <w:rPr>
          <w:rFonts w:ascii="Times New Roman" w:hAnsi="Times New Roman" w:cs="Times New Roman" w:eastAsia="Times New Roman" w:hint="default"/>
          <w:spacing w:val="-2"/>
        </w:rPr>
        <w:t>,</w:t>
      </w:r>
      <w:r>
        <w:rPr>
          <w:spacing w:val="-2"/>
        </w:rPr>
        <w:t>金融学博士后</w:t>
      </w:r>
      <w:r>
        <w:rPr>
          <w:rFonts w:ascii="Times New Roman" w:hAnsi="Times New Roman" w:cs="Times New Roman" w:eastAsia="Times New Roman" w:hint="default"/>
          <w:spacing w:val="-2"/>
        </w:rPr>
        <w:t>,</w:t>
      </w:r>
      <w:r>
        <w:rPr>
          <w:spacing w:val="-2"/>
        </w:rPr>
        <w:t>兼任山东区域经济学会副会长、秘书</w:t>
      </w:r>
      <w:r>
        <w:rPr>
          <w:spacing w:val="-63"/>
        </w:rPr>
        <w:t> </w:t>
      </w:r>
      <w:r>
        <w:rPr>
          <w:spacing w:val="-63"/>
        </w:rPr>
      </w:r>
      <w:r>
        <w:rPr>
          <w:spacing w:val="-1"/>
        </w:rPr>
        <w:t>长</w:t>
      </w:r>
      <w:r>
        <w:rPr>
          <w:rFonts w:ascii="Times New Roman" w:hAnsi="Times New Roman" w:cs="Times New Roman" w:eastAsia="Times New Roman" w:hint="default"/>
          <w:spacing w:val="-1"/>
        </w:rPr>
        <w:t>,</w:t>
      </w:r>
      <w:r>
        <w:rPr>
          <w:spacing w:val="-1"/>
        </w:rPr>
        <w:t>山东省金融学会常务理事、学术委员会委员，山东天业恒基股份有限公司独立董事。</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月开始担任公司独立非执行</w:t>
      </w:r>
      <w:r>
        <w:rPr>
          <w:spacing w:val="-73"/>
        </w:rPr>
        <w:t> </w:t>
      </w:r>
      <w:r>
        <w:rPr/>
        <w:t>董事。</w:t>
      </w:r>
    </w:p>
    <w:p>
      <w:pPr>
        <w:pStyle w:val="BodyText"/>
        <w:spacing w:line="316" w:lineRule="auto" w:before="31"/>
        <w:ind w:left="153" w:right="187" w:firstLine="419"/>
        <w:jc w:val="both"/>
      </w:pPr>
      <w:r>
        <w:rPr/>
        <w:t>王玉玫女士，曾任北京市海淀区政协第六、七届委员会委员、社会法制委员会委员，毕业后一直在中央财经大学工作</w:t>
      </w:r>
      <w:r>
        <w:rPr>
          <w:spacing w:val="1"/>
        </w:rPr>
        <w:t> </w:t>
      </w:r>
      <w:r>
        <w:rPr>
          <w:spacing w:val="-2"/>
        </w:rPr>
        <w:t>至今，先后担任过经济管理系、保险（系）学院教师、教研室主任、副院长等职务。现任中央财经大学图书馆副馆长和保险</w:t>
      </w:r>
      <w:r>
        <w:rPr>
          <w:spacing w:val="-71"/>
        </w:rPr>
        <w:t> </w:t>
      </w:r>
      <w:r>
        <w:rPr>
          <w:spacing w:val="-71"/>
        </w:rPr>
      </w:r>
      <w:r>
        <w:rPr>
          <w:spacing w:val="-2"/>
        </w:rPr>
        <w:t>学院副教授双重职务，同时担任中国劳动学会劳动科学教育分会常务理事、中国民主建国会北京市经济委员会委员、海淀城</w:t>
      </w:r>
      <w:r>
        <w:rPr>
          <w:spacing w:val="-66"/>
        </w:rPr>
        <w:t> </w:t>
      </w:r>
      <w:r>
        <w:rPr>
          <w:spacing w:val="-66"/>
        </w:rPr>
      </w:r>
      <w:r>
        <w:rPr/>
        <w:t>管监察大队监督员等职务。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月开始担任本公司独立非执行董事。</w:t>
      </w:r>
    </w:p>
    <w:p>
      <w:pPr>
        <w:pStyle w:val="BodyText"/>
        <w:spacing w:line="316" w:lineRule="auto"/>
        <w:ind w:left="153" w:right="190" w:firstLine="419"/>
        <w:jc w:val="both"/>
      </w:pPr>
      <w:r>
        <w:rPr/>
        <w:t>张</w:t>
      </w:r>
      <w:r>
        <w:rPr>
          <w:spacing w:val="18"/>
        </w:rPr>
        <w:t> </w:t>
      </w:r>
      <w:r>
        <w:rPr/>
        <w:t>宏女士，现任山东大学教授、博士生导师、跨国公司研究所所长、中国国际贸易学会理事、山东省对外贸易学会</w:t>
      </w:r>
      <w:r>
        <w:rPr/>
        <w:t> </w:t>
      </w:r>
      <w:r>
        <w:rPr>
          <w:spacing w:val="-2"/>
        </w:rPr>
        <w:t>理事、山东省商业学会理事、山东省日本学会理事，兼任中通客车控股股份有限公司独立董事、山东海化股份有限公司独立</w:t>
      </w:r>
      <w:r>
        <w:rPr>
          <w:spacing w:val="-66"/>
        </w:rPr>
        <w:t> </w:t>
      </w:r>
      <w:r>
        <w:rPr>
          <w:spacing w:val="-66"/>
        </w:rPr>
      </w:r>
      <w:r>
        <w:rPr/>
        <w:t>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月开始担任本公司独立非执行董事。</w:t>
      </w:r>
    </w:p>
    <w:p>
      <w:pPr>
        <w:pStyle w:val="BodyText"/>
        <w:spacing w:line="314" w:lineRule="auto"/>
        <w:ind w:left="153" w:right="187" w:firstLine="419"/>
        <w:jc w:val="both"/>
      </w:pPr>
      <w:r>
        <w:rPr/>
        <w:t>王翔飞先生，曾任香港中国光大集团有限公司董事、助理总经理及控股的多家上市公司执行董事并兼一家公司的行政</w:t>
      </w:r>
      <w:r>
        <w:rPr>
          <w:spacing w:val="1"/>
        </w:rPr>
        <w:t> </w:t>
      </w:r>
      <w:r>
        <w:rPr>
          <w:spacing w:val="-2"/>
        </w:rPr>
        <w:t>总裁、光大集团资产处置委员会办公室主任和中国光大投资管理公司董事等职务，王先生在投资、管理、金融、会计和财务</w:t>
      </w:r>
      <w:r>
        <w:rPr>
          <w:spacing w:val="-66"/>
        </w:rPr>
        <w:t> </w:t>
      </w:r>
      <w:r>
        <w:rPr>
          <w:spacing w:val="-66"/>
        </w:rPr>
      </w:r>
      <w:r>
        <w:rPr/>
        <w:t>等方面具有丰富的经验。现任安中国际石油控股有限公司财务顾问</w:t>
      </w:r>
      <w:r>
        <w:rPr>
          <w:rFonts w:ascii="Times New Roman" w:hAnsi="Times New Roman" w:cs="Times New Roman" w:eastAsia="Times New Roman" w:hint="default"/>
        </w:rPr>
        <w:t>/</w:t>
      </w:r>
      <w:r>
        <w:rPr/>
        <w:t>中安石油国际有限公司财务副总监；兼任国开国际投资</w:t>
      </w:r>
      <w:r>
        <w:rPr>
          <w:spacing w:val="-60"/>
        </w:rPr>
        <w:t> </w:t>
      </w:r>
      <w:r>
        <w:rPr>
          <w:spacing w:val="-60"/>
        </w:rPr>
      </w:r>
      <w:r>
        <w:rPr>
          <w:spacing w:val="-2"/>
        </w:rPr>
        <w:t>有限公司（香港上市公司）独立非执行董事、财讯传媒集团有限公司（香港上市公司）独立非执行董事、南南资源实业有限</w:t>
      </w:r>
      <w:r>
        <w:rPr>
          <w:spacing w:val="-68"/>
        </w:rPr>
        <w:t> </w:t>
      </w:r>
      <w:r>
        <w:rPr>
          <w:spacing w:val="-68"/>
        </w:rPr>
      </w:r>
      <w:r>
        <w:rPr/>
        <w:t>公司（香港上市公司）执行董事、深圳农村商业银行有限公司外部监事。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月开始担任本公司独立非执行董事。</w:t>
      </w:r>
    </w:p>
    <w:p>
      <w:pPr>
        <w:pStyle w:val="BodyText"/>
        <w:spacing w:line="300" w:lineRule="auto" w:before="1"/>
        <w:ind w:left="557" w:right="181" w:firstLine="18"/>
        <w:jc w:val="left"/>
      </w:pPr>
      <w:r>
        <w:rPr>
          <w:rFonts w:ascii="Times New Roman" w:hAnsi="Times New Roman" w:cs="Times New Roman" w:eastAsia="Times New Roman" w:hint="default"/>
          <w:b/>
          <w:bCs/>
        </w:rPr>
        <w:t>2</w:t>
      </w:r>
      <w:r>
        <w:rPr>
          <w:rFonts w:ascii="宋体" w:hAnsi="宋体" w:cs="宋体" w:eastAsia="宋体" w:hint="default"/>
          <w:b/>
          <w:bCs/>
        </w:rPr>
        <w:t>、公司监事简介</w:t>
      </w:r>
      <w:r>
        <w:rPr>
          <w:rFonts w:ascii="宋体" w:hAnsi="宋体" w:cs="宋体" w:eastAsia="宋体" w:hint="default"/>
          <w:b/>
          <w:bCs/>
          <w:w w:val="99"/>
        </w:rPr>
        <w:t> </w:t>
      </w:r>
      <w:r>
        <w:rPr/>
        <w:t>高俊杰先生，</w:t>
      </w:r>
      <w:r>
        <w:rPr>
          <w:rFonts w:ascii="Times New Roman" w:hAnsi="Times New Roman" w:cs="Times New Roman" w:eastAsia="Times New Roman" w:hint="default"/>
        </w:rPr>
        <w:t>1994</w:t>
      </w:r>
      <w:r>
        <w:rPr/>
        <w:t>年加入公司，历任公司法律事务科科长、审计部部长等职务，现任公司监事会主席、总经理助理分</w:t>
      </w:r>
    </w:p>
    <w:p>
      <w:pPr>
        <w:pStyle w:val="BodyText"/>
        <w:spacing w:line="316" w:lineRule="auto" w:before="13"/>
        <w:ind w:left="557" w:right="181" w:hanging="405"/>
        <w:jc w:val="left"/>
        <w:rPr>
          <w:rFonts w:ascii="Times New Roman" w:hAnsi="Times New Roman" w:cs="Times New Roman" w:eastAsia="Times New Roman" w:hint="default"/>
        </w:rPr>
      </w:pPr>
      <w:r>
        <w:rPr/>
        <w:t>管稽查部工作、寿光晨鸣控股有限公司监事、寿光市恒联企业投资有限公司监事。 </w:t>
      </w:r>
      <w:r>
        <w:rPr>
          <w:spacing w:val="-6"/>
        </w:rPr>
        <w:t>尹启祥先生，曾任寿光市经济贸易委员会主任、山东省寿光市体政部部长、寿光市轻化局局长等职务，</w:t>
      </w:r>
      <w:r>
        <w:rPr>
          <w:rFonts w:ascii="Times New Roman" w:hAnsi="Times New Roman" w:cs="Times New Roman" w:eastAsia="Times New Roman" w:hint="default"/>
          <w:spacing w:val="-6"/>
        </w:rPr>
        <w:t>1998</w:t>
      </w:r>
      <w:r>
        <w:rPr>
          <w:spacing w:val="-6"/>
        </w:rPr>
        <w:t>年退休。</w:t>
      </w:r>
      <w:r>
        <w:rPr>
          <w:rFonts w:ascii="Times New Roman" w:hAnsi="Times New Roman" w:cs="Times New Roman" w:eastAsia="Times New Roman" w:hint="default"/>
          <w:spacing w:val="-6"/>
        </w:rPr>
        <w:t>2010</w:t>
      </w:r>
    </w:p>
    <w:p>
      <w:pPr>
        <w:pStyle w:val="BodyText"/>
        <w:spacing w:line="300" w:lineRule="auto"/>
        <w:ind w:left="557" w:right="99" w:hanging="405"/>
        <w:jc w:val="left"/>
      </w:pPr>
      <w:r>
        <w:rPr/>
        <w:t>年</w:t>
      </w:r>
      <w:r>
        <w:rPr>
          <w:rFonts w:ascii="Times New Roman" w:hAnsi="Times New Roman" w:cs="Times New Roman" w:eastAsia="Times New Roman" w:hint="default"/>
        </w:rPr>
        <w:t>4</w:t>
      </w:r>
      <w:r>
        <w:rPr/>
        <w:t>月开始任本公司监事。 </w:t>
      </w:r>
      <w:r>
        <w:rPr>
          <w:spacing w:val="-1"/>
        </w:rPr>
        <w:t>郭光耀先生，</w:t>
      </w:r>
      <w:r>
        <w:rPr>
          <w:rFonts w:ascii="Times New Roman" w:hAnsi="Times New Roman" w:cs="Times New Roman" w:eastAsia="Times New Roman" w:hint="default"/>
          <w:spacing w:val="-1"/>
        </w:rPr>
        <w:t>1969</w:t>
      </w:r>
      <w:r>
        <w:rPr>
          <w:spacing w:val="-1"/>
        </w:rPr>
        <w:t>年至</w:t>
      </w:r>
      <w:r>
        <w:rPr>
          <w:rFonts w:ascii="Times New Roman" w:hAnsi="Times New Roman" w:cs="Times New Roman" w:eastAsia="Times New Roman" w:hint="default"/>
          <w:spacing w:val="-1"/>
        </w:rPr>
        <w:t>1981</w:t>
      </w:r>
      <w:r>
        <w:rPr>
          <w:spacing w:val="-1"/>
        </w:rPr>
        <w:t>年于航空部太行仪表厂工作，任主管工艺员、工程师；</w:t>
      </w:r>
      <w:r>
        <w:rPr>
          <w:rFonts w:ascii="Times New Roman" w:hAnsi="Times New Roman" w:cs="Times New Roman" w:eastAsia="Times New Roman" w:hint="default"/>
          <w:spacing w:val="-1"/>
        </w:rPr>
        <w:t>1981</w:t>
      </w:r>
      <w:r>
        <w:rPr>
          <w:spacing w:val="-1"/>
        </w:rPr>
        <w:t>年至</w:t>
      </w:r>
      <w:r>
        <w:rPr>
          <w:rFonts w:ascii="Times New Roman" w:hAnsi="Times New Roman" w:cs="Times New Roman" w:eastAsia="Times New Roman" w:hint="default"/>
          <w:spacing w:val="-1"/>
        </w:rPr>
        <w:t>1987</w:t>
      </w:r>
      <w:r>
        <w:rPr>
          <w:spacing w:val="-1"/>
        </w:rPr>
        <w:t>年于寿光化肥厂工作，</w:t>
      </w:r>
    </w:p>
    <w:p>
      <w:pPr>
        <w:pStyle w:val="BodyText"/>
        <w:spacing w:line="300" w:lineRule="auto" w:before="14"/>
        <w:ind w:right="188" w:hanging="1"/>
        <w:jc w:val="both"/>
      </w:pPr>
      <w:r>
        <w:rPr/>
        <w:t>历任副厂长、党委书记；</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1989</w:t>
      </w:r>
      <w:r>
        <w:rPr/>
        <w:t>年在寿光市啤酒厂工作，任党委书记、总工程师；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3</w:t>
      </w:r>
      <w:r>
        <w:rPr/>
        <w:t>月在寿光市经贸委工作，</w:t>
      </w:r>
      <w:r>
        <w:rPr>
          <w:spacing w:val="-84"/>
        </w:rPr>
        <w:t> </w:t>
      </w:r>
      <w:r>
        <w:rPr>
          <w:spacing w:val="-84"/>
        </w:rPr>
      </w:r>
      <w:r>
        <w:rPr/>
        <w:t>任副主任、机关党委书记，兼寿光市企业管理办公室主任，</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月开始任本公司监事。</w:t>
      </w:r>
    </w:p>
    <w:p>
      <w:pPr>
        <w:pStyle w:val="BodyText"/>
        <w:spacing w:line="300" w:lineRule="auto" w:before="13"/>
        <w:ind w:right="187" w:firstLine="404"/>
        <w:jc w:val="both"/>
      </w:pPr>
      <w:r>
        <w:rPr/>
        <w:t>王</w:t>
      </w:r>
      <w:r>
        <w:rPr>
          <w:spacing w:val="30"/>
        </w:rPr>
        <w:t> </w:t>
      </w:r>
      <w:r>
        <w:rPr/>
        <w:t>菊女士，</w:t>
      </w:r>
      <w:r>
        <w:rPr>
          <w:rFonts w:ascii="Times New Roman" w:hAnsi="Times New Roman" w:cs="Times New Roman" w:eastAsia="Times New Roman" w:hint="default"/>
        </w:rPr>
        <w:t>1987</w:t>
      </w:r>
      <w:r>
        <w:rPr/>
        <w:t>年加入本公司，历任车间副主任、主任、寿光晨鸣总经理助理、寿光晨鸣副总经理、寿光晨鸣制浆</w:t>
      </w:r>
      <w:r>
        <w:rPr>
          <w:spacing w:val="1"/>
        </w:rPr>
        <w:t> </w:t>
      </w:r>
      <w:r>
        <w:rPr/>
        <w:t>工厂副总经理，现任本公司监事。</w:t>
      </w:r>
    </w:p>
    <w:p>
      <w:pPr>
        <w:pStyle w:val="BodyText"/>
        <w:spacing w:line="300" w:lineRule="auto" w:before="31"/>
        <w:ind w:right="191" w:firstLine="404"/>
        <w:jc w:val="both"/>
      </w:pPr>
      <w:r>
        <w:rPr/>
        <w:t>杨洪芹女士，</w:t>
      </w:r>
      <w:r>
        <w:rPr>
          <w:rFonts w:ascii="Times New Roman" w:hAnsi="Times New Roman" w:cs="Times New Roman" w:eastAsia="Times New Roman" w:hint="default"/>
        </w:rPr>
        <w:t>1987</w:t>
      </w:r>
      <w:r>
        <w:rPr/>
        <w:t>年加入本公司，历任公司质检科副科长、科长、售后服务处处长、物业管理公司经理，现任本公司 监事、山东晨鸣热电股份有限公司总经理助理。</w:t>
      </w:r>
    </w:p>
    <w:p>
      <w:pPr>
        <w:pStyle w:val="BodyText"/>
        <w:spacing w:line="300" w:lineRule="auto" w:before="31"/>
        <w:ind w:left="558" w:right="181" w:firstLine="1"/>
        <w:jc w:val="left"/>
      </w:pPr>
      <w:r>
        <w:rPr>
          <w:rFonts w:ascii="Times New Roman" w:hAnsi="Times New Roman" w:cs="Times New Roman" w:eastAsia="Times New Roman" w:hint="default"/>
          <w:b/>
          <w:bCs/>
        </w:rPr>
        <w:t>3</w:t>
      </w:r>
      <w:r>
        <w:rPr>
          <w:rFonts w:ascii="宋体" w:hAnsi="宋体" w:cs="宋体" w:eastAsia="宋体" w:hint="default"/>
          <w:b/>
          <w:bCs/>
        </w:rPr>
        <w:t>、公司高级管理人员简介</w:t>
      </w:r>
      <w:r>
        <w:rPr>
          <w:rFonts w:ascii="宋体" w:hAnsi="宋体" w:cs="宋体" w:eastAsia="宋体" w:hint="default"/>
          <w:b/>
          <w:bCs/>
          <w:spacing w:val="1"/>
          <w:w w:val="99"/>
        </w:rPr>
        <w:t> </w:t>
      </w:r>
      <w:r>
        <w:rPr/>
        <w:t>李雪芹女士，先后荣获</w:t>
      </w:r>
      <w:r>
        <w:rPr>
          <w:rFonts w:ascii="Times New Roman" w:hAnsi="Times New Roman" w:cs="Times New Roman" w:eastAsia="Times New Roman" w:hint="default"/>
        </w:rPr>
        <w:t>“</w:t>
      </w:r>
      <w:r>
        <w:rPr/>
        <w:t>山东省劳动模范、全国劳动模范、全国五一劳动奖章等称号</w:t>
      </w:r>
      <w:r>
        <w:rPr>
          <w:rFonts w:ascii="Times New Roman" w:hAnsi="Times New Roman" w:cs="Times New Roman" w:eastAsia="Times New Roman" w:hint="default"/>
        </w:rPr>
        <w:t>”</w:t>
      </w:r>
      <w:r>
        <w:rPr/>
        <w:t>，第十届、第十一届、第十二届</w:t>
      </w:r>
    </w:p>
    <w:p>
      <w:pPr>
        <w:pStyle w:val="BodyText"/>
        <w:spacing w:line="300" w:lineRule="auto" w:before="13"/>
        <w:ind w:right="188" w:hanging="1"/>
        <w:jc w:val="both"/>
      </w:pPr>
      <w:r>
        <w:rPr/>
        <w:t>全国人大代表，</w:t>
      </w:r>
      <w:r>
        <w:rPr>
          <w:rFonts w:ascii="Times New Roman" w:hAnsi="Times New Roman" w:cs="Times New Roman" w:eastAsia="Times New Roman" w:hint="default"/>
        </w:rPr>
        <w:t>1987</w:t>
      </w:r>
      <w:r>
        <w:rPr/>
        <w:t>年加入本公司，历任本公司审计部部长、副总经理等职务，自</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月开始担任本公司副总经理，寿</w:t>
      </w:r>
      <w:r>
        <w:rPr>
          <w:spacing w:val="-84"/>
        </w:rPr>
        <w:t> </w:t>
      </w:r>
      <w:r>
        <w:rPr>
          <w:spacing w:val="-84"/>
        </w:rPr>
      </w:r>
      <w:r>
        <w:rPr/>
        <w:t>光晨鸣控股有限公司董事。李雪芹女士为本公司董事长陈洪国先生的配偶。</w:t>
      </w:r>
    </w:p>
    <w:p>
      <w:pPr>
        <w:pStyle w:val="BodyText"/>
        <w:spacing w:line="300" w:lineRule="auto" w:before="31"/>
        <w:ind w:right="190" w:firstLine="404"/>
        <w:jc w:val="both"/>
      </w:pPr>
      <w:r>
        <w:rPr/>
        <w:t>胡长青先生，</w:t>
      </w:r>
      <w:r>
        <w:rPr>
          <w:rFonts w:ascii="Times New Roman" w:hAnsi="Times New Roman" w:cs="Times New Roman" w:eastAsia="Times New Roman" w:hint="default"/>
        </w:rPr>
        <w:t>1988</w:t>
      </w:r>
      <w:r>
        <w:rPr/>
        <w:t>年加入本公司，历任本公司技改部长、分厂厂长、副总经理、董事等职务，现任公司副总经理，分 管湛江晨鸣浆纸项目工作。</w:t>
      </w:r>
    </w:p>
    <w:p>
      <w:pPr>
        <w:pStyle w:val="BodyText"/>
        <w:spacing w:line="300" w:lineRule="auto" w:before="31"/>
        <w:ind w:right="190" w:firstLine="404"/>
        <w:jc w:val="both"/>
      </w:pPr>
      <w:r>
        <w:rPr/>
        <w:t>王春方先生，</w:t>
      </w:r>
      <w:r>
        <w:rPr>
          <w:rFonts w:ascii="Times New Roman" w:hAnsi="Times New Roman" w:cs="Times New Roman" w:eastAsia="Times New Roman" w:hint="default"/>
        </w:rPr>
        <w:t>1997</w:t>
      </w:r>
      <w:r>
        <w:rPr/>
        <w:t>年加入本公司，历任公司销售分公司财务主管、销售总公司财务总监、吉林晨鸣纸业有限责任公司 财务总监、公司总经理助理、财务部长等职务。现任公司财务总监、董事会秘书。</w:t>
      </w:r>
    </w:p>
    <w:p>
      <w:pPr>
        <w:pStyle w:val="BodyText"/>
        <w:spacing w:line="240" w:lineRule="auto" w:before="31"/>
        <w:ind w:left="558" w:right="99"/>
        <w:jc w:val="left"/>
      </w:pPr>
      <w:r>
        <w:rPr/>
        <w:t>常立亭先生，</w:t>
      </w:r>
      <w:r>
        <w:rPr>
          <w:rFonts w:ascii="Times New Roman" w:hAnsi="Times New Roman" w:cs="Times New Roman" w:eastAsia="Times New Roman" w:hint="default"/>
        </w:rPr>
        <w:t>1985</w:t>
      </w:r>
      <w:r>
        <w:rPr/>
        <w:t>年加入本公司</w:t>
      </w:r>
      <w:r>
        <w:rPr>
          <w:rFonts w:ascii="Times New Roman" w:hAnsi="Times New Roman" w:cs="Times New Roman" w:eastAsia="Times New Roman" w:hint="default"/>
        </w:rPr>
        <w:t>,</w:t>
      </w:r>
      <w:r>
        <w:rPr/>
        <w:t>历任公司工会主席、销售公司产品总经理，现任公司工会主席、副总经理，兼任营销</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73" w:right="0" w:hanging="420"/>
        <w:jc w:val="left"/>
      </w:pPr>
      <w:r>
        <w:rPr/>
        <w:t>副总监，一并分管法务部工作。 李振中先生，</w:t>
      </w:r>
      <w:r>
        <w:rPr>
          <w:rFonts w:ascii="Times New Roman" w:hAnsi="Times New Roman" w:cs="Times New Roman" w:eastAsia="Times New Roman" w:hint="default"/>
        </w:rPr>
        <w:t>1995</w:t>
      </w:r>
      <w:r>
        <w:rPr/>
        <w:t>年加入本公司，历任销售公司上海管理区首席代表、轻涂文化纸产品销售经理等职务，现任公司副</w:t>
      </w:r>
    </w:p>
    <w:p>
      <w:pPr>
        <w:pStyle w:val="BodyText"/>
        <w:spacing w:line="235" w:lineRule="exact"/>
        <w:ind w:left="153" w:right="0"/>
        <w:jc w:val="left"/>
      </w:pPr>
      <w:r>
        <w:rPr/>
        <w:t>总经理。</w:t>
      </w:r>
    </w:p>
    <w:p>
      <w:pPr>
        <w:pStyle w:val="BodyText"/>
        <w:spacing w:line="300" w:lineRule="auto" w:before="76"/>
        <w:ind w:left="153" w:right="0" w:firstLine="404"/>
        <w:jc w:val="left"/>
      </w:pPr>
      <w:r>
        <w:rPr/>
        <w:t>张延军先生，</w:t>
      </w:r>
      <w:r>
        <w:rPr>
          <w:rFonts w:ascii="Times New Roman" w:hAnsi="Times New Roman" w:cs="Times New Roman" w:eastAsia="Times New Roman" w:hint="default"/>
        </w:rPr>
        <w:t>1985</w:t>
      </w:r>
      <w:r>
        <w:rPr/>
        <w:t>年加入本公司，历任公司生产部部长、厂长、控股子公司齐河板纸有限责任公司董事长、吉林晨鸣 纸业有限责任公司总经理等职务，现任本公司副总经理、美术纸工厂厂长。</w:t>
      </w:r>
    </w:p>
    <w:p>
      <w:pPr>
        <w:pStyle w:val="BodyText"/>
        <w:spacing w:line="300" w:lineRule="auto" w:before="31"/>
        <w:ind w:right="0" w:firstLine="403"/>
        <w:jc w:val="left"/>
      </w:pPr>
      <w:r>
        <w:rPr/>
        <w:t>夏继钢先生，</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月就职于宁波中华纸业有限公司生产部一级专员，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月加入本公司，负责集团生 产工作，现任公司副总经理。</w:t>
      </w:r>
    </w:p>
    <w:p>
      <w:pPr>
        <w:pStyle w:val="BodyText"/>
        <w:spacing w:line="316" w:lineRule="auto" w:before="31"/>
        <w:ind w:right="0" w:firstLine="360"/>
        <w:jc w:val="left"/>
      </w:pPr>
      <w:r>
        <w:rPr>
          <w:spacing w:val="-2"/>
        </w:rPr>
        <w:t>潘兆昌先生，现为香港会计师公会及澳洲会计师公会资深会计师，取得中央昆士兰大学会计系硕士学位和南格斯大学工</w:t>
      </w:r>
      <w:r>
        <w:rPr/>
        <w:t> 商管理硕士学位。</w:t>
      </w:r>
      <w:r>
        <w:rPr>
          <w:rFonts w:ascii="Times New Roman" w:hAnsi="Times New Roman" w:cs="Times New Roman" w:eastAsia="Times New Roman" w:hint="default"/>
        </w:rPr>
        <w:t>2008</w:t>
      </w:r>
      <w:r>
        <w:rPr/>
        <w:t>年加入本公司，现任本公司之合资格会计师及公司秘书。</w:t>
      </w:r>
    </w:p>
    <w:p>
      <w:pPr>
        <w:pStyle w:val="BodyText"/>
        <w:spacing w:line="240" w:lineRule="auto" w:before="40"/>
        <w:ind w:right="0"/>
        <w:jc w:val="left"/>
      </w:pPr>
      <w:r>
        <w:rPr/>
        <w:t>在股东单位任职情况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1"/>
        <w:gridCol w:w="2039"/>
        <w:gridCol w:w="1440"/>
        <w:gridCol w:w="1620"/>
        <w:gridCol w:w="168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陈洪国</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尹同远</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耿光林</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谭道诚</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李雪芹</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高俊杰</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579"/>
        <w:gridCol w:w="1080"/>
        <w:gridCol w:w="1620"/>
        <w:gridCol w:w="149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山东海化股份有限公司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中通客车控股股份有限公司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山东新能泰山发电股份有限公司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bottom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山东共达电声股份有限公司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山东天业恒基股份有限公司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山东钢铁集团股份有限公司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中国玉米油股份有限公司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bottom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山东省章丘鼓风机股份有限公司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国开国际投资有限公司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vMerge/>
            <w:tcBorders>
              <w:left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财讯传媒集团有限公司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vMerge/>
            <w:tcBorders>
              <w:left w:val="single" w:sz="4" w:space="0" w:color="000000"/>
              <w:bottom w:val="nil" w:sz="6" w:space="0" w:color="auto"/>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南南资源实业有限公司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2579"/>
        <w:gridCol w:w="1080"/>
        <w:gridCol w:w="1620"/>
        <w:gridCol w:w="1494"/>
        <w:gridCol w:w="1594"/>
      </w:tblGrid>
      <w:tr>
        <w:trPr>
          <w:trHeight w:val="402" w:hRule="exact"/>
        </w:trPr>
        <w:tc>
          <w:tcPr>
            <w:tcW w:w="1201" w:type="dxa"/>
            <w:tcBorders>
              <w:top w:val="nil" w:sz="6" w:space="0" w:color="auto"/>
              <w:left w:val="single" w:sz="4" w:space="0" w:color="000000"/>
              <w:bottom w:val="single" w:sz="4" w:space="0" w:color="000000"/>
              <w:right w:val="single" w:sz="4" w:space="0" w:color="000000"/>
            </w:tcBorders>
          </w:tcPr>
          <w:p>
            <w:pP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深圳农村商业银行有限公司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以上四位均为公司独立董事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董事、监事、高级管理人员报酬的决策程序、确定依据、实际支付情况</w:t>
      </w:r>
    </w:p>
    <w:p>
      <w:pPr>
        <w:pStyle w:val="BodyText"/>
        <w:spacing w:line="300" w:lineRule="auto" w:before="116"/>
        <w:ind w:left="153" w:right="149" w:firstLine="360"/>
        <w:jc w:val="both"/>
      </w:pPr>
      <w:r>
        <w:rPr>
          <w:rFonts w:ascii="Times New Roman" w:hAnsi="Times New Roman" w:cs="Times New Roman" w:eastAsia="Times New Roman" w:hint="default"/>
          <w:spacing w:val="-2"/>
        </w:rPr>
        <w:t>1</w:t>
      </w:r>
      <w:r>
        <w:rPr>
          <w:spacing w:val="-2"/>
        </w:rPr>
        <w:t>、公司向每位独立非执行董事和非执行董事每年支付津贴</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10</w:t>
      </w:r>
      <w:r>
        <w:rPr>
          <w:spacing w:val="-2"/>
        </w:rPr>
        <w:t>万元人民币（税后），独立非执行董事和非执行董事出</w:t>
      </w:r>
      <w:r>
        <w:rPr/>
        <w:t> 席公司董事会和股东大会的差旅费及按《公司章程》行使职权所需的合理费用由公司据实报销。</w:t>
      </w:r>
    </w:p>
    <w:p>
      <w:pPr>
        <w:pStyle w:val="BodyText"/>
        <w:spacing w:line="312" w:lineRule="auto" w:before="72"/>
        <w:ind w:left="153" w:right="150" w:firstLine="360"/>
        <w:jc w:val="both"/>
      </w:pPr>
      <w:r>
        <w:rPr>
          <w:rFonts w:ascii="Times New Roman" w:hAnsi="Times New Roman" w:cs="Times New Roman" w:eastAsia="Times New Roman" w:hint="default"/>
          <w:spacing w:val="-2"/>
        </w:rPr>
        <w:t>2</w:t>
      </w:r>
      <w:r>
        <w:rPr>
          <w:spacing w:val="-2"/>
        </w:rPr>
        <w:t>、公司每位执行董事与高级管理人员年度薪酬在人民币</w:t>
      </w:r>
      <w:r>
        <w:rPr>
          <w:rFonts w:ascii="Times New Roman" w:hAnsi="Times New Roman" w:cs="Times New Roman" w:eastAsia="Times New Roman" w:hint="default"/>
          <w:spacing w:val="-2"/>
        </w:rPr>
        <w:t>20</w:t>
      </w:r>
      <w:r>
        <w:rPr>
          <w:spacing w:val="-2"/>
        </w:rPr>
        <w:t>万元－</w:t>
      </w:r>
      <w:r>
        <w:rPr>
          <w:rFonts w:ascii="Times New Roman" w:hAnsi="Times New Roman" w:cs="Times New Roman" w:eastAsia="Times New Roman" w:hint="default"/>
          <w:spacing w:val="-2"/>
        </w:rPr>
        <w:t>500</w:t>
      </w:r>
      <w:r>
        <w:rPr>
          <w:spacing w:val="-2"/>
        </w:rPr>
        <w:t>万元之间，具体分配金额由董事会薪酬委员会根据</w:t>
      </w:r>
      <w:r>
        <w:rPr/>
        <w:t> </w:t>
      </w:r>
      <w:r>
        <w:rPr>
          <w:spacing w:val="-2"/>
        </w:rPr>
        <w:t>公司主要财务指标和经营目标完成情况，公司董事、高级管理人员分管工作范围及主要职责情况，董事及高级管理人员岗位</w:t>
      </w:r>
      <w:r>
        <w:rPr>
          <w:spacing w:val="-66"/>
        </w:rPr>
        <w:t> </w:t>
      </w:r>
      <w:r>
        <w:rPr>
          <w:spacing w:val="-66"/>
        </w:rPr>
      </w:r>
      <w:r>
        <w:rPr>
          <w:spacing w:val="-2"/>
        </w:rPr>
        <w:t>工作业绩考评系统中涉及指标的完成情况，董事及高级管理人员的业务创新能力和创利能力等确定。具体执行方案由董事会</w:t>
      </w:r>
      <w:r>
        <w:rPr>
          <w:spacing w:val="-64"/>
        </w:rPr>
        <w:t> </w:t>
      </w:r>
      <w:r>
        <w:rPr>
          <w:spacing w:val="-64"/>
        </w:rPr>
      </w:r>
      <w:r>
        <w:rPr/>
        <w:t>之内部薪酬委员会制定，由董事会审议确定。</w:t>
      </w:r>
    </w:p>
    <w:p>
      <w:pPr>
        <w:pStyle w:val="BodyText"/>
        <w:spacing w:line="360" w:lineRule="auto" w:before="62"/>
        <w:ind w:right="2210" w:firstLine="360"/>
        <w:jc w:val="left"/>
      </w:pPr>
      <w:r>
        <w:rPr/>
        <w:t>3、本公司各董事、监事及高级管理人员薪酬详情列于财务报告附注（九）、4关键报酬内。 公司报告期内董事、监事和高级管理人员报酬情况</w:t>
      </w:r>
    </w:p>
    <w:tbl>
      <w:tblPr>
        <w:tblW w:w="0" w:type="auto"/>
        <w:jc w:val="left"/>
        <w:tblInd w:w="121" w:type="dxa"/>
        <w:tblLayout w:type="fixed"/>
        <w:tblCellMar>
          <w:top w:w="0" w:type="dxa"/>
          <w:left w:w="0" w:type="dxa"/>
          <w:bottom w:w="0" w:type="dxa"/>
          <w:right w:w="0" w:type="dxa"/>
        </w:tblCellMar>
        <w:tblLook w:val="01E0"/>
      </w:tblPr>
      <w:tblGrid>
        <w:gridCol w:w="910"/>
        <w:gridCol w:w="1512"/>
        <w:gridCol w:w="1212"/>
        <w:gridCol w:w="1212"/>
        <w:gridCol w:w="1212"/>
        <w:gridCol w:w="1212"/>
        <w:gridCol w:w="1212"/>
        <w:gridCol w:w="1212"/>
      </w:tblGrid>
      <w:tr>
        <w:trPr>
          <w:trHeight w:val="714" w:hRule="exact"/>
        </w:trPr>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6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399.20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399.20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268.20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268.20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100.18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100.18</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121.46</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60.02</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91.79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91.79</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119.89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119.89</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16.55</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10"/>
        <w:gridCol w:w="1512"/>
        <w:gridCol w:w="1212"/>
        <w:gridCol w:w="1212"/>
        <w:gridCol w:w="1212"/>
        <w:gridCol w:w="1212"/>
        <w:gridCol w:w="1212"/>
        <w:gridCol w:w="1212"/>
      </w:tblGrid>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104.46</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185.23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185.23</w:t>
            </w:r>
          </w:p>
        </w:tc>
      </w:tr>
      <w:tr>
        <w:trPr>
          <w:trHeight w:val="714"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王春方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69" w:right="30" w:hanging="540"/>
              <w:jc w:val="left"/>
              <w:rPr>
                <w:rFonts w:ascii="宋体" w:hAnsi="宋体" w:cs="宋体" w:eastAsia="宋体" w:hint="default"/>
                <w:sz w:val="18"/>
                <w:szCs w:val="18"/>
              </w:rPr>
            </w:pPr>
            <w:r>
              <w:rPr>
                <w:rFonts w:ascii="宋体" w:hAnsi="宋体" w:cs="宋体" w:eastAsia="宋体" w:hint="default"/>
                <w:sz w:val="18"/>
                <w:szCs w:val="18"/>
              </w:rPr>
              <w:t>财务总监、董事会 秘书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10"/>
              <w:jc w:val="right"/>
              <w:rPr>
                <w:rFonts w:ascii="Times New Roman" w:hAnsi="Times New Roman" w:cs="Times New Roman" w:eastAsia="Times New Roman" w:hint="default"/>
                <w:sz w:val="18"/>
                <w:szCs w:val="18"/>
              </w:rPr>
            </w:pPr>
            <w:r>
              <w:rPr>
                <w:rFonts w:ascii="Times New Roman"/>
                <w:sz w:val="18"/>
              </w:rPr>
              <w:t>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92.00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常立亭</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59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91.01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91.01</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39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93.71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93.71</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郝  筠</w:t>
            </w:r>
          </w:p>
        </w:tc>
        <w:tc>
          <w:tcPr>
            <w:tcW w:w="15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25.48</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张延军</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48.48</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夏继钢</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37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90.58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90.58</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王世宏</w:t>
            </w:r>
          </w:p>
        </w:tc>
        <w:tc>
          <w:tcPr>
            <w:tcW w:w="15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26.67</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张春林</w:t>
            </w:r>
          </w:p>
        </w:tc>
        <w:tc>
          <w:tcPr>
            <w:tcW w:w="15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48.20</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公司秘书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0"/>
              <w:jc w:val="right"/>
              <w:rPr>
                <w:rFonts w:ascii="Times New Roman" w:hAnsi="Times New Roman" w:cs="Times New Roman" w:eastAsia="Times New Roman" w:hint="default"/>
                <w:sz w:val="18"/>
                <w:szCs w:val="18"/>
              </w:rPr>
            </w:pPr>
            <w:r>
              <w:rPr>
                <w:rFonts w:ascii="Times New Roman"/>
                <w:sz w:val="18"/>
              </w:rPr>
              <w:t>43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12.26</w:t>
            </w:r>
          </w:p>
        </w:tc>
      </w:tr>
      <w:tr>
        <w:trPr>
          <w:trHeight w:val="402" w:hRule="exact"/>
        </w:trPr>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40"/>
              <w:jc w:val="right"/>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2,115.87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2,115.87</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2270"/>
        <w:gridCol w:w="900"/>
        <w:gridCol w:w="2340"/>
        <w:gridCol w:w="272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类型</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郝  筠</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因个人身体原因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王世宏</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因工作需要</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张春林</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离职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因家庭原因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290"/>
        <w:jc w:val="left"/>
      </w:pPr>
      <w:r>
        <w:rPr>
          <w:spacing w:val="-1"/>
        </w:rPr>
        <w:t>报告期内，公司核心技术团队或关键技术人员（非董事、监事、高级管理人员）等对公司核心竞争力有重大影响的人员</w:t>
      </w:r>
      <w:r>
        <w:rPr/>
        <w:t> 未发生变动，未对公司经营产生影响。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报告期末，集团在职员工总数为</w:t>
      </w:r>
      <w:r>
        <w:rPr>
          <w:rFonts w:ascii="Times New Roman" w:hAnsi="Times New Roman" w:cs="Times New Roman" w:eastAsia="Times New Roman" w:hint="default"/>
        </w:rPr>
        <w:t>15,775</w:t>
      </w:r>
      <w:r>
        <w:rPr/>
        <w:t>人。</w:t>
      </w:r>
    </w:p>
    <w:p>
      <w:pPr>
        <w:pStyle w:val="BodyText"/>
        <w:spacing w:line="240" w:lineRule="auto" w:before="102"/>
        <w:ind w:left="444" w:right="0"/>
        <w:jc w:val="left"/>
      </w:pPr>
      <w:r>
        <w:rPr/>
        <w:t>（</w:t>
      </w:r>
      <w:r>
        <w:rPr>
          <w:rFonts w:ascii="Times New Roman" w:hAnsi="Times New Roman" w:cs="Times New Roman" w:eastAsia="Times New Roman" w:hint="default"/>
        </w:rPr>
        <w:t>1</w:t>
      </w:r>
      <w:r>
        <w:rPr/>
        <w:t>）专业构成</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15" w:lineRule="exact"/>
        <w:ind w:left="15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58606" cy="24860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5258606"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444" w:right="181"/>
        <w:jc w:val="left"/>
      </w:pPr>
      <w:r>
        <w:rPr/>
        <w:t>（</w:t>
      </w:r>
      <w:r>
        <w:rPr>
          <w:rFonts w:ascii="Times New Roman" w:hAnsi="Times New Roman" w:cs="Times New Roman" w:eastAsia="Times New Roman" w:hint="default"/>
        </w:rPr>
        <w:t>2</w:t>
      </w:r>
      <w:r>
        <w:rPr/>
        <w:t>）教育程度</w:t>
      </w:r>
    </w:p>
    <w:p>
      <w:pPr>
        <w:spacing w:line="240" w:lineRule="auto" w:before="12"/>
        <w:rPr>
          <w:rFonts w:ascii="宋体" w:hAnsi="宋体" w:cs="宋体" w:eastAsia="宋体" w:hint="default"/>
          <w:sz w:val="17"/>
          <w:szCs w:val="17"/>
        </w:rPr>
      </w:pPr>
    </w:p>
    <w:p>
      <w:pPr>
        <w:spacing w:line="4080" w:lineRule="exact"/>
        <w:ind w:left="154"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257800" cy="25908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3" cstate="print"/>
                    <a:stretch>
                      <a:fillRect/>
                    </a:stretch>
                  </pic:blipFill>
                  <pic:spPr>
                    <a:xfrm>
                      <a:off x="0" y="0"/>
                      <a:ext cx="5257800"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2"/>
        <w:rPr>
          <w:rFonts w:ascii="宋体" w:hAnsi="宋体" w:cs="宋体" w:eastAsia="宋体" w:hint="default"/>
          <w:sz w:val="14"/>
          <w:szCs w:val="14"/>
        </w:rPr>
      </w:pPr>
    </w:p>
    <w:p>
      <w:pPr>
        <w:pStyle w:val="BodyText"/>
        <w:spacing w:line="240" w:lineRule="auto"/>
        <w:ind w:left="513" w:right="181"/>
        <w:jc w:val="left"/>
      </w:pPr>
      <w:r>
        <w:rPr/>
        <w:t>公司需承担费用的离退休职工</w:t>
      </w:r>
      <w:r>
        <w:rPr>
          <w:rFonts w:ascii="Times New Roman" w:hAnsi="Times New Roman" w:cs="Times New Roman" w:eastAsia="Times New Roman" w:hint="default"/>
        </w:rPr>
        <w:t>4</w:t>
      </w:r>
      <w:r>
        <w:rPr/>
        <w:t>名。以上人员包括控股子公司员工。</w:t>
      </w:r>
    </w:p>
    <w:p>
      <w:pPr>
        <w:pStyle w:val="BodyText"/>
        <w:spacing w:line="338" w:lineRule="auto" w:before="103"/>
        <w:ind w:left="513" w:right="91" w:hanging="70"/>
        <w:jc w:val="left"/>
      </w:pPr>
      <w:r>
        <w:rPr/>
        <w:t>（</w:t>
      </w:r>
      <w:r>
        <w:rPr>
          <w:rFonts w:ascii="Times New Roman" w:hAnsi="Times New Roman" w:cs="Times New Roman" w:eastAsia="Times New Roman" w:hint="default"/>
        </w:rPr>
        <w:t>3</w:t>
      </w:r>
      <w:r>
        <w:rPr/>
        <w:t>）薪酬政策 公司员工的薪酬包括工资奖金及其它福利计划。本公司在遵循中国有关法律及法规的情况下，根据员工的业绩、资历、</w:t>
      </w:r>
    </w:p>
    <w:p>
      <w:pPr>
        <w:pStyle w:val="BodyText"/>
        <w:spacing w:line="240" w:lineRule="auto" w:before="2"/>
        <w:ind w:left="153" w:right="0"/>
        <w:jc w:val="left"/>
      </w:pPr>
      <w:r>
        <w:rPr/>
        <w:t>职务等因素，对不同的员工执行不同的薪酬标准。本集团员工</w:t>
      </w:r>
      <w:r>
        <w:rPr>
          <w:rFonts w:ascii="Times New Roman" w:hAnsi="Times New Roman" w:cs="Times New Roman" w:eastAsia="Times New Roman" w:hint="default"/>
        </w:rPr>
        <w:t>2012</w:t>
      </w:r>
      <w:r>
        <w:rPr/>
        <w:t>年度薪酬详情载列于按企业会计准则编制的财务报表注释</w:t>
      </w:r>
    </w:p>
    <w:p>
      <w:pPr>
        <w:pStyle w:val="BodyText"/>
        <w:spacing w:line="240" w:lineRule="auto" w:before="64"/>
        <w:ind w:left="153" w:right="181"/>
        <w:jc w:val="left"/>
      </w:pPr>
      <w:r>
        <w:rPr>
          <w:rFonts w:ascii="Times New Roman" w:hAnsi="Times New Roman" w:cs="Times New Roman" w:eastAsia="Times New Roman" w:hint="default"/>
        </w:rPr>
        <w:t>[27]</w:t>
      </w:r>
      <w:r>
        <w:rPr/>
        <w:t>。</w:t>
      </w:r>
    </w:p>
    <w:p>
      <w:pPr>
        <w:pStyle w:val="BodyText"/>
        <w:spacing w:line="319" w:lineRule="auto" w:before="101"/>
        <w:ind w:left="153" w:right="181" w:firstLine="360"/>
        <w:jc w:val="left"/>
      </w:pPr>
      <w:r>
        <w:rPr>
          <w:spacing w:val="-2"/>
        </w:rPr>
        <w:t>同时，本集团之中国员工为地方政府组织之国营退休福利计划之成员。本集团须向退休福利计划按彼等薪金成本之若干</w:t>
      </w:r>
      <w:r>
        <w:rPr/>
        <w:t> 百分比供款，为有关福利供资金。本集团提供的员工退休福利详情载列于按企业会计准则编制的财务报表注释</w:t>
      </w:r>
      <w:r>
        <w:rPr>
          <w:rFonts w:ascii="Times New Roman" w:hAnsi="Times New Roman" w:cs="Times New Roman" w:eastAsia="Times New Roman" w:hint="default"/>
        </w:rPr>
        <w:t>[27]</w:t>
      </w:r>
      <w:r>
        <w:rPr/>
        <w:t>。</w:t>
      </w:r>
    </w:p>
    <w:p>
      <w:pPr>
        <w:pStyle w:val="BodyText"/>
        <w:spacing w:line="338" w:lineRule="auto" w:before="38"/>
        <w:ind w:left="514" w:right="181" w:hanging="70"/>
        <w:jc w:val="left"/>
      </w:pPr>
      <w:r>
        <w:rPr/>
        <w:t>（</w:t>
      </w:r>
      <w:r>
        <w:rPr>
          <w:rFonts w:ascii="Times New Roman" w:hAnsi="Times New Roman" w:cs="Times New Roman" w:eastAsia="Times New Roman" w:hint="default"/>
        </w:rPr>
        <w:t>4</w:t>
      </w:r>
      <w:r>
        <w:rPr/>
        <w:t>）培训计划 </w:t>
      </w:r>
      <w:r>
        <w:rPr>
          <w:spacing w:val="-2"/>
        </w:rPr>
        <w:t>公司非常重视员工培养工作，积极推动学习型组织建设，每年度都编制详细的员工培训计划，多形式、多渠道开展员工</w:t>
      </w:r>
    </w:p>
    <w:p>
      <w:pPr>
        <w:pStyle w:val="BodyText"/>
        <w:spacing w:line="319" w:lineRule="auto" w:before="2"/>
        <w:ind w:right="90"/>
        <w:jc w:val="left"/>
      </w:pPr>
      <w:r>
        <w:rPr/>
        <w:t>培训。同时，积极营造快乐的学习氛围，为员工编制简单实用的学习培训教材，并通过技能等级评定，激励引导员工自学， 全面提升业务技能。</w:t>
      </w:r>
    </w:p>
    <w:p>
      <w:pPr>
        <w:spacing w:after="0" w:line="319"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1"/>
        <w:jc w:val="center"/>
        <w:rPr>
          <w:b w:val="0"/>
          <w:bCs w:val="0"/>
        </w:rPr>
      </w:pPr>
      <w:bookmarkStart w:name="_bookmark8" w:id="10"/>
      <w:bookmarkEnd w:id="1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51" w:firstLine="360"/>
        <w:jc w:val="both"/>
      </w:pPr>
      <w:r>
        <w:rPr>
          <w:spacing w:val="-2"/>
        </w:rPr>
        <w:t>报告期内，公司按照《公司法》、《证券法》、《上市公司治理准则》、《深圳证券交易所股票上市规则》、《香港联</w:t>
      </w:r>
      <w:r>
        <w:rPr/>
        <w:t> </w:t>
      </w:r>
      <w:r>
        <w:rPr>
          <w:spacing w:val="-2"/>
        </w:rPr>
        <w:t>合交易所上市规则》和中国证监会有关规定的要求规范运作，不断健全和完善公司法人治理结构。董事会认为公司治理的实</w:t>
      </w:r>
      <w:r>
        <w:rPr>
          <w:spacing w:val="-66"/>
        </w:rPr>
        <w:t> </w:t>
      </w:r>
      <w:r>
        <w:rPr>
          <w:spacing w:val="-66"/>
        </w:rPr>
      </w:r>
      <w:r>
        <w:rPr/>
        <w:t>际情况与《上市公司治理准则》等规范性文件的规定和要求基本相符。</w:t>
      </w:r>
    </w:p>
    <w:p>
      <w:pPr>
        <w:pStyle w:val="BodyText"/>
        <w:spacing w:line="309" w:lineRule="auto" w:before="55"/>
        <w:ind w:left="153" w:right="148" w:firstLine="360"/>
        <w:jc w:val="both"/>
      </w:pPr>
      <w:r>
        <w:rPr>
          <w:rFonts w:ascii="Times New Roman" w:hAnsi="Times New Roman" w:cs="Times New Roman" w:eastAsia="Times New Roman" w:hint="default"/>
          <w:spacing w:val="-2"/>
        </w:rPr>
        <w:t>2012</w:t>
      </w:r>
      <w:r>
        <w:rPr>
          <w:spacing w:val="-2"/>
        </w:rPr>
        <w:t>年，董事会着力从完善公司治理入手，规范公司运行。根据监管规定，适时完善公司治理制度，制定完善了《公司</w:t>
      </w:r>
      <w:r>
        <w:rPr/>
        <w:t> </w:t>
      </w:r>
      <w:r>
        <w:rPr>
          <w:spacing w:val="-2"/>
        </w:rPr>
        <w:t>章程》修订案、</w:t>
      </w:r>
      <w:hyperlink r:id="rId14">
        <w:r>
          <w:rPr>
            <w:spacing w:val="-2"/>
          </w:rPr>
          <w:t>《内幕信息知情人登记制度》</w:t>
        </w:r>
      </w:hyperlink>
      <w:r>
        <w:rPr>
          <w:spacing w:val="-2"/>
        </w:rPr>
        <w:t>、《</w:t>
      </w:r>
      <w:hyperlink r:id="rId15">
        <w:r>
          <w:rPr>
            <w:spacing w:val="-2"/>
          </w:rPr>
          <w:t>股东大会议事规则》</w:t>
        </w:r>
      </w:hyperlink>
      <w:r>
        <w:rPr>
          <w:spacing w:val="-2"/>
        </w:rPr>
        <w:t>、《银行间债券市场信息披露事务管理制度》等管理</w:t>
      </w:r>
      <w:r>
        <w:rPr>
          <w:spacing w:val="-68"/>
        </w:rPr>
        <w:t> </w:t>
      </w:r>
      <w:r>
        <w:rPr>
          <w:spacing w:val="-68"/>
        </w:rPr>
      </w:r>
      <w:r>
        <w:rPr/>
        <w:t>制度。</w:t>
      </w:r>
    </w:p>
    <w:p>
      <w:pPr>
        <w:pStyle w:val="BodyText"/>
        <w:spacing w:line="307" w:lineRule="auto" w:before="62"/>
        <w:ind w:left="153" w:right="149" w:firstLine="360"/>
        <w:jc w:val="both"/>
      </w:pPr>
      <w:r>
        <w:rPr/>
        <w:t>根据中国证券监督管理委员会山东证监局下发的《关于转发中国证监会</w:t>
      </w:r>
      <w:r>
        <w:rPr>
          <w:rFonts w:ascii="Times New Roman" w:hAnsi="Times New Roman" w:cs="Times New Roman" w:eastAsia="Times New Roman" w:hint="default"/>
        </w:rPr>
        <w:t>&lt;</w:t>
      </w:r>
      <w:r>
        <w:rPr/>
        <w:t>关于进一步落实上市公司现金分红有关事项的 通知</w:t>
      </w:r>
      <w:r>
        <w:rPr>
          <w:rFonts w:ascii="Times New Roman" w:hAnsi="Times New Roman" w:cs="Times New Roman" w:eastAsia="Times New Roman" w:hint="default"/>
        </w:rPr>
        <w:t>&gt;</w:t>
      </w:r>
      <w:r>
        <w:rPr/>
        <w:t>的通知》（鲁证监发〔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18</w:t>
      </w:r>
      <w:r>
        <w:rPr/>
        <w:t>号）相关要求，结合公司的实际情况，对《公司章程》的现金分红的分配原则，分配 </w:t>
      </w:r>
      <w:r>
        <w:rPr>
          <w:spacing w:val="-2"/>
        </w:rPr>
        <w:t>的条件、形式和比例；利润分配的期间间隔；利润分配政策的决策程序；利润分配政策的调整等内容进行了完善和补充。已</w:t>
      </w:r>
      <w:r>
        <w:rPr>
          <w:spacing w:val="-66"/>
        </w:rPr>
        <w:t> </w:t>
      </w:r>
      <w:r>
        <w:rPr>
          <w:spacing w:val="-66"/>
        </w:rPr>
      </w:r>
      <w:r>
        <w:rPr/>
        <w:t>提交公司董事会和股东大会审议通过，并实施。</w:t>
      </w:r>
    </w:p>
    <w:p>
      <w:pPr>
        <w:pStyle w:val="BodyText"/>
        <w:spacing w:line="240" w:lineRule="auto" w:before="65"/>
        <w:ind w:left="513" w:right="0"/>
        <w:jc w:val="left"/>
      </w:pPr>
      <w:r>
        <w:rPr/>
        <w:t>为规范公司在银行间债券市场发行债务融资工具的信息披露行为</w:t>
      </w:r>
      <w:r>
        <w:rPr>
          <w:rFonts w:ascii="Times New Roman" w:hAnsi="Times New Roman" w:cs="Times New Roman" w:eastAsia="Times New Roman" w:hint="default"/>
        </w:rPr>
        <w:t>,</w:t>
      </w:r>
      <w:r>
        <w:rPr/>
        <w:t>保护投资者合法权益</w:t>
      </w:r>
      <w:r>
        <w:rPr>
          <w:rFonts w:ascii="Times New Roman" w:hAnsi="Times New Roman" w:cs="Times New Roman" w:eastAsia="Times New Roman" w:hint="default"/>
        </w:rPr>
        <w:t>,</w:t>
      </w:r>
      <w:r>
        <w:rPr/>
        <w:t>根据中国银行间市场交易商协会</w:t>
      </w:r>
    </w:p>
    <w:p>
      <w:pPr>
        <w:pStyle w:val="BodyText"/>
        <w:spacing w:line="319" w:lineRule="auto" w:before="62"/>
        <w:ind w:left="153" w:right="0"/>
        <w:jc w:val="left"/>
      </w:pPr>
      <w:r>
        <w:rPr>
          <w:spacing w:val="-2"/>
        </w:rPr>
        <w:t>《银行间债券市场非金融企业债务融资工具信息披露规则》及相关法律法规，特制定了《银行间债券市场信息披露事务管理</w:t>
      </w:r>
      <w:r>
        <w:rPr>
          <w:spacing w:val="-66"/>
        </w:rPr>
        <w:t> </w:t>
      </w:r>
      <w:r>
        <w:rPr>
          <w:spacing w:val="-66"/>
        </w:rPr>
      </w:r>
      <w:r>
        <w:rPr/>
        <w:t>制度》。</w:t>
      </w:r>
    </w:p>
    <w:p>
      <w:pPr>
        <w:pStyle w:val="BodyText"/>
        <w:spacing w:line="338" w:lineRule="auto" w:before="55"/>
        <w:ind w:left="153" w:right="0" w:firstLine="360"/>
        <w:jc w:val="left"/>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 公司治理与《公司法》和中国证监会相关规定的要求是否存在差异</w:t>
      </w:r>
    </w:p>
    <w:p>
      <w:pPr>
        <w:pStyle w:val="BodyText"/>
        <w:spacing w:line="338" w:lineRule="auto" w:before="43"/>
        <w:ind w:left="153" w:right="4551"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2"/>
        <w:ind w:left="513" w:right="0" w:hanging="360"/>
        <w:jc w:val="left"/>
      </w:pPr>
      <w:r>
        <w:rPr/>
        <w:t>公司治理专项活动开展情况以及内幕信息知情人登记管理制度的制定、实施情况 </w:t>
      </w:r>
      <w:r>
        <w:rPr>
          <w:spacing w:val="-2"/>
        </w:rPr>
        <w:t>为规范公司内幕信息管理行为，加强公司内幕信息保密工作，维护信息披露的公平原则，报告期内，公司依据中国证券</w:t>
      </w:r>
    </w:p>
    <w:p>
      <w:pPr>
        <w:pStyle w:val="BodyText"/>
        <w:spacing w:line="237" w:lineRule="exact"/>
        <w:ind w:left="153" w:right="0"/>
        <w:jc w:val="left"/>
      </w:pPr>
      <w:r>
        <w:rPr/>
        <w:t>监督管理委员会《关于上市公司建立内幕信息知情人登记管理制度的规定</w:t>
      </w:r>
      <w:r>
        <w:rPr>
          <w:spacing w:val="-90"/>
        </w:rPr>
        <w:t>》</w:t>
      </w:r>
      <w:r>
        <w:rPr/>
        <w:t>（证监会公告）</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号）和深圳证券交易所</w:t>
      </w:r>
    </w:p>
    <w:p>
      <w:pPr>
        <w:pStyle w:val="BodyText"/>
        <w:spacing w:line="314" w:lineRule="auto" w:before="62"/>
        <w:ind w:right="0" w:hanging="1"/>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日发布的修订后的《信息披露业务备忘录第</w:t>
      </w:r>
      <w:r>
        <w:rPr>
          <w:spacing w:val="-47"/>
        </w:rPr>
        <w:t> </w:t>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内幕信息知情人员登记管理事项》相关要求，并结合 </w:t>
      </w:r>
      <w:r>
        <w:rPr>
          <w:spacing w:val="-2"/>
        </w:rPr>
        <w:t>实际情况，修订了《内幕信息知情人登记制度》明确了内幕信息的范围、内幕信息知情人及其范围、登记备案管理、保密及</w:t>
      </w:r>
      <w:r>
        <w:rPr>
          <w:spacing w:val="-69"/>
        </w:rPr>
        <w:t> </w:t>
      </w:r>
      <w:r>
        <w:rPr>
          <w:spacing w:val="-69"/>
        </w:rPr>
      </w:r>
      <w:r>
        <w:rPr>
          <w:spacing w:val="-2"/>
        </w:rPr>
        <w:t>相关的责任追究等。董事会是内幕信息的管理机构，指定董事会秘书为内幕信息管理工作负责人。公司强化内幕信息知情人</w:t>
      </w:r>
      <w:r>
        <w:rPr>
          <w:spacing w:val="-67"/>
        </w:rPr>
        <w:t> </w:t>
      </w:r>
      <w:r>
        <w:rPr>
          <w:spacing w:val="-67"/>
        </w:rPr>
      </w:r>
      <w:r>
        <w:rPr>
          <w:spacing w:val="-2"/>
        </w:rPr>
        <w:t>的登记管理制度和监督检查工作，规范重大信息的内部流转程序，保证信息披露的公平。切实避免内幕信息外泄和内幕交易</w:t>
      </w:r>
      <w:r>
        <w:rPr>
          <w:spacing w:val="-67"/>
        </w:rPr>
        <w:t> </w:t>
      </w:r>
      <w:r>
        <w:rPr>
          <w:spacing w:val="-67"/>
        </w:rPr>
      </w:r>
      <w:r>
        <w:rPr>
          <w:spacing w:val="-2"/>
        </w:rPr>
        <w:t>行为的发生。公司严格执行内幕信息知情人登记制度及相关制度，禁止内幕信息知情人在影响公司股价的重大敏感信息披露</w:t>
      </w:r>
      <w:r>
        <w:rPr>
          <w:spacing w:val="-65"/>
        </w:rPr>
        <w:t> </w:t>
      </w:r>
      <w:r>
        <w:rPr>
          <w:spacing w:val="-65"/>
        </w:rPr>
      </w:r>
      <w:r>
        <w:rPr/>
        <w:t>前买卖公司股份。</w:t>
      </w:r>
    </w:p>
    <w:p>
      <w:pPr>
        <w:pStyle w:val="BodyText"/>
        <w:spacing w:line="240" w:lineRule="auto" w:before="60"/>
        <w:ind w:left="514" w:right="0"/>
        <w:jc w:val="left"/>
      </w:pPr>
      <w:r>
        <w:rPr/>
        <w:t>通过自查，未发现公司内幕信息知情人在敏感期买卖公司股票的行为，无监管处罚记录。</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030"/>
        <w:gridCol w:w="1158"/>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年度董事会工</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作报告</w:t>
            </w:r>
            <w:r>
              <w:rPr>
                <w:rFonts w:ascii="宋体" w:hAnsi="宋体" w:cs="宋体" w:eastAsia="宋体" w:hint="default"/>
                <w:spacing w:val="-89"/>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十项议案全部 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0"/>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r>
        <w:rPr/>
        <w:pict>
          <v:group style="position:absolute;margin-left:328.079987pt;margin-top:286.140015pt;width:51.15pt;height:17.6pt;mso-position-horizontal-relative:page;mso-position-vertical-relative:page;z-index:-1371256" coordorigin="6562,5723" coordsize="1023,352">
            <v:shape style="position:absolute;left:6562;top:5723;width:1023;height:352" coordorigin="6562,5723" coordsize="1023,352" path="m6562,6074l7584,6074,7584,5723,6562,5723,6562,607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2030"/>
        <w:gridCol w:w="1158"/>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事会工作报告、公司独立 董事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年度述职报告 等十项议案</w:t>
            </w:r>
          </w:p>
        </w:tc>
        <w:tc>
          <w:tcPr>
            <w:tcW w:w="115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1540"/>
        <w:gridCol w:w="2600"/>
        <w:gridCol w:w="1078"/>
        <w:gridCol w:w="1595"/>
        <w:gridCol w:w="1594"/>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2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关于为全资子公司山东晨鸣纸业</w:t>
            </w:r>
          </w:p>
        </w:tc>
        <w:tc>
          <w:tcPr>
            <w:tcW w:w="107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4"/>
              <w:jc w:val="both"/>
              <w:rPr>
                <w:rFonts w:ascii="宋体" w:hAnsi="宋体" w:cs="宋体" w:eastAsia="宋体" w:hint="default"/>
                <w:sz w:val="18"/>
                <w:szCs w:val="18"/>
              </w:rPr>
            </w:pPr>
            <w:r>
              <w:rPr>
                <w:rFonts w:ascii="宋体" w:hAnsi="宋体" w:cs="宋体" w:eastAsia="宋体" w:hint="default"/>
                <w:sz w:val="18"/>
                <w:szCs w:val="18"/>
              </w:rPr>
              <w:t>销售有限公司提供融资担保的议 案、关于为全资子公司延边晨鸣 纸业有限公司综合授信提供融资</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两项议案全 部审议通过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62" w:lineRule="auto"/>
              <w:ind w:left="22" w:right="30"/>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2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担保的议案</w:t>
            </w:r>
          </w:p>
        </w:tc>
        <w:tc>
          <w:tcPr>
            <w:tcW w:w="107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2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关于收购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SAPPI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所持江西晨鸣股</w:t>
            </w:r>
          </w:p>
        </w:tc>
        <w:tc>
          <w:tcPr>
            <w:tcW w:w="107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00" w:type="dxa"/>
            <w:tcBorders>
              <w:top w:val="nil" w:sz="6" w:space="0" w:color="auto"/>
              <w:left w:val="single" w:sz="4" w:space="0" w:color="000000"/>
              <w:bottom w:val="nil" w:sz="6" w:space="0" w:color="auto"/>
              <w:right w:val="single" w:sz="13" w:space="0" w:color="FFFFFF"/>
            </w:tcBorders>
          </w:tcPr>
          <w:p>
            <w:pPr>
              <w:pStyle w:val="TableParagraph"/>
              <w:spacing w:line="316" w:lineRule="auto" w:before="5"/>
              <w:ind w:left="23" w:right="-44"/>
              <w:jc w:val="left"/>
              <w:rPr>
                <w:rFonts w:ascii="宋体" w:hAnsi="宋体" w:cs="宋体" w:eastAsia="宋体" w:hint="default"/>
                <w:sz w:val="18"/>
                <w:szCs w:val="18"/>
              </w:rPr>
            </w:pPr>
            <w:r>
              <w:rPr>
                <w:rFonts w:ascii="宋体" w:hAnsi="宋体" w:cs="宋体" w:eastAsia="宋体" w:hint="default"/>
                <w:spacing w:val="-7"/>
                <w:sz w:val="18"/>
                <w:szCs w:val="18"/>
              </w:rPr>
              <w:t>权的议案、关于修订《公司章程》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的议案、关于修订《股东大会议</w:t>
            </w:r>
          </w:p>
        </w:tc>
        <w:tc>
          <w:tcPr>
            <w:tcW w:w="1078" w:type="dxa"/>
            <w:tcBorders>
              <w:top w:val="nil" w:sz="6" w:space="0" w:color="auto"/>
              <w:left w:val="single" w:sz="13" w:space="0" w:color="FFFFFF"/>
              <w:bottom w:val="nil" w:sz="6" w:space="0" w:color="auto"/>
              <w:right w:val="single" w:sz="4" w:space="0" w:color="000000"/>
            </w:tcBorders>
          </w:tcPr>
          <w:p>
            <w:pPr>
              <w:pStyle w:val="TableParagraph"/>
              <w:spacing w:line="316" w:lineRule="auto" w:before="6"/>
              <w:ind w:left="11" w:right="143"/>
              <w:jc w:val="left"/>
              <w:rPr>
                <w:rFonts w:ascii="宋体" w:hAnsi="宋体" w:cs="宋体" w:eastAsia="宋体" w:hint="default"/>
                <w:sz w:val="18"/>
                <w:szCs w:val="18"/>
              </w:rPr>
            </w:pPr>
            <w:r>
              <w:rPr>
                <w:rFonts w:ascii="宋体" w:hAnsi="宋体" w:cs="宋体" w:eastAsia="宋体" w:hint="default"/>
                <w:sz w:val="18"/>
                <w:szCs w:val="18"/>
              </w:rPr>
              <w:t>三项议案全 部审议通过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30"/>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2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事规则》的议案</w:t>
            </w:r>
          </w:p>
        </w:tc>
        <w:tc>
          <w:tcPr>
            <w:tcW w:w="107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tcPr>
          <w:p>
            <w:pPr/>
          </w:p>
        </w:tc>
        <w:tc>
          <w:tcPr>
            <w:tcW w:w="1540" w:type="dxa"/>
            <w:tcBorders>
              <w:top w:val="single" w:sz="4" w:space="0" w:color="000000"/>
              <w:left w:val="single" w:sz="4" w:space="0" w:color="000000"/>
              <w:bottom w:val="nil" w:sz="6" w:space="0" w:color="auto"/>
              <w:right w:val="single" w:sz="4" w:space="0" w:color="000000"/>
            </w:tcBorders>
          </w:tcPr>
          <w:p>
            <w:pPr/>
          </w:p>
        </w:tc>
        <w:tc>
          <w:tcPr>
            <w:tcW w:w="2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关于回购公司部分境内上市外资</w:t>
            </w:r>
          </w:p>
        </w:tc>
        <w:tc>
          <w:tcPr>
            <w:tcW w:w="107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B </w:t>
            </w:r>
            <w:r>
              <w:rPr>
                <w:rFonts w:ascii="宋体" w:hAnsi="宋体" w:cs="宋体" w:eastAsia="宋体" w:hint="default"/>
                <w:sz w:val="18"/>
                <w:szCs w:val="18"/>
              </w:rPr>
              <w:t>股）股份的议案、关于提</w:t>
            </w:r>
          </w:p>
        </w:tc>
        <w:tc>
          <w:tcPr>
            <w:tcW w:w="107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623"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44"/>
              <w:jc w:val="left"/>
              <w:rPr>
                <w:rFonts w:ascii="宋体" w:hAnsi="宋体" w:cs="宋体" w:eastAsia="宋体" w:hint="default"/>
                <w:sz w:val="18"/>
                <w:szCs w:val="18"/>
              </w:rPr>
            </w:pPr>
            <w:r>
              <w:rPr>
                <w:rFonts w:ascii="宋体" w:hAnsi="宋体" w:cs="宋体" w:eastAsia="宋体" w:hint="default"/>
                <w:sz w:val="18"/>
                <w:szCs w:val="18"/>
              </w:rPr>
              <w:t>请股东大会授权董事会具体办理 回购公司部分境内上市外资股</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43"/>
              <w:jc w:val="left"/>
              <w:rPr>
                <w:rFonts w:ascii="宋体" w:hAnsi="宋体" w:cs="宋体" w:eastAsia="宋体" w:hint="default"/>
                <w:sz w:val="18"/>
                <w:szCs w:val="18"/>
              </w:rPr>
            </w:pPr>
            <w:r>
              <w:rPr>
                <w:rFonts w:ascii="宋体" w:hAnsi="宋体" w:cs="宋体" w:eastAsia="宋体" w:hint="default"/>
                <w:sz w:val="18"/>
                <w:szCs w:val="18"/>
              </w:rPr>
              <w:t>三项议案全 部审议通过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30"/>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tcPr>
          <w:p>
            <w:pPr/>
          </w:p>
        </w:tc>
        <w:tc>
          <w:tcPr>
            <w:tcW w:w="1540" w:type="dxa"/>
            <w:tcBorders>
              <w:top w:val="nil" w:sz="6" w:space="0" w:color="auto"/>
              <w:left w:val="single" w:sz="4" w:space="0" w:color="000000"/>
              <w:bottom w:val="nil" w:sz="6" w:space="0" w:color="auto"/>
              <w:right w:val="single" w:sz="4" w:space="0" w:color="000000"/>
            </w:tcBorders>
          </w:tcPr>
          <w:p>
            <w:pP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股）股份相关事宜的议案、</w:t>
            </w:r>
          </w:p>
        </w:tc>
        <w:tc>
          <w:tcPr>
            <w:tcW w:w="107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tcPr>
          <w:p>
            <w:pPr/>
          </w:p>
        </w:tc>
        <w:tc>
          <w:tcPr>
            <w:tcW w:w="1540" w:type="dxa"/>
            <w:tcBorders>
              <w:top w:val="nil" w:sz="6" w:space="0" w:color="auto"/>
              <w:left w:val="single" w:sz="4" w:space="0" w:color="000000"/>
              <w:bottom w:val="single" w:sz="4" w:space="0" w:color="000000"/>
              <w:right w:val="single" w:sz="4" w:space="0" w:color="000000"/>
            </w:tcBorders>
          </w:tcPr>
          <w:p>
            <w:pPr/>
          </w:p>
        </w:tc>
        <w:tc>
          <w:tcPr>
            <w:tcW w:w="2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关于发行短期融资券的议案</w:t>
            </w:r>
          </w:p>
        </w:tc>
        <w:tc>
          <w:tcPr>
            <w:tcW w:w="107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c>
          <w:tcPr>
            <w:tcW w:w="1540" w:type="dxa"/>
            <w:tcBorders>
              <w:top w:val="single" w:sz="4" w:space="0" w:color="000000"/>
              <w:left w:val="single" w:sz="4" w:space="0" w:color="000000"/>
              <w:bottom w:val="nil" w:sz="6" w:space="0" w:color="auto"/>
              <w:right w:val="single" w:sz="4" w:space="0" w:color="000000"/>
            </w:tcBorders>
          </w:tcPr>
          <w:p>
            <w:pPr/>
          </w:p>
        </w:tc>
        <w:tc>
          <w:tcPr>
            <w:tcW w:w="2600"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境内上市股份</w:t>
            </w:r>
          </w:p>
          <w:p>
            <w:pPr>
              <w:pStyle w:val="TableParagraph"/>
              <w:spacing w:line="30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类别股东大会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次境外上市股 </w:t>
            </w:r>
            <w:r>
              <w:rPr>
                <w:rFonts w:ascii="宋体" w:hAnsi="宋体" w:cs="宋体" w:eastAsia="宋体" w:hint="default"/>
                <w:spacing w:val="-9"/>
                <w:sz w:val="18"/>
                <w:szCs w:val="18"/>
              </w:rPr>
              <w:t>份（</w:t>
            </w:r>
            <w:r>
              <w:rPr>
                <w:rFonts w:ascii="Times New Roman" w:hAnsi="Times New Roman" w:cs="Times New Roman" w:eastAsia="Times New Roman" w:hint="default"/>
                <w:spacing w:val="-9"/>
                <w:sz w:val="18"/>
                <w:szCs w:val="18"/>
              </w:rPr>
              <w:t>H</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股）类别</w:t>
            </w:r>
          </w:p>
        </w:tc>
        <w:tc>
          <w:tcPr>
            <w:tcW w:w="1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12" w:lineRule="auto"/>
              <w:ind w:left="23" w:right="44"/>
              <w:jc w:val="both"/>
              <w:rPr>
                <w:rFonts w:ascii="宋体" w:hAnsi="宋体" w:cs="宋体" w:eastAsia="宋体" w:hint="default"/>
                <w:sz w:val="18"/>
                <w:szCs w:val="18"/>
              </w:rPr>
            </w:pPr>
            <w:r>
              <w:rPr>
                <w:rFonts w:ascii="宋体" w:hAnsi="宋体" w:cs="宋体" w:eastAsia="宋体" w:hint="default"/>
                <w:sz w:val="18"/>
                <w:szCs w:val="18"/>
              </w:rPr>
              <w:t>关于回购公司部分境内上市外资 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股）股份的议案、关于提 请股东大会授权董事会具体办理 回购公司部分境内上市外资股</w:t>
            </w:r>
          </w:p>
          <w:p>
            <w:pPr>
              <w:pStyle w:val="TableParagraph"/>
              <w:spacing w:line="240" w:lineRule="auto" w:before="23"/>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股）股份相关事宜的议案</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316" w:lineRule="auto"/>
              <w:ind w:left="22" w:right="143"/>
              <w:jc w:val="both"/>
              <w:rPr>
                <w:rFonts w:ascii="宋体" w:hAnsi="宋体" w:cs="宋体" w:eastAsia="宋体" w:hint="default"/>
                <w:sz w:val="18"/>
                <w:szCs w:val="18"/>
              </w:rPr>
            </w:pPr>
            <w:r>
              <w:rPr>
                <w:rFonts w:ascii="宋体" w:hAnsi="宋体" w:cs="宋体" w:eastAsia="宋体" w:hint="default"/>
                <w:sz w:val="18"/>
                <w:szCs w:val="18"/>
              </w:rPr>
              <w:t>两项项议案 全部审议通 过</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62" w:lineRule="auto"/>
              <w:ind w:left="22" w:right="30"/>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40" w:type="dxa"/>
            <w:tcBorders>
              <w:top w:val="nil" w:sz="6" w:space="0" w:color="auto"/>
              <w:left w:val="single" w:sz="4" w:space="0" w:color="000000"/>
              <w:bottom w:val="single" w:sz="4" w:space="0" w:color="000000"/>
              <w:right w:val="single" w:sz="4" w:space="0" w:color="000000"/>
            </w:tcBorders>
          </w:tcPr>
          <w:p>
            <w:pPr/>
          </w:p>
        </w:tc>
        <w:tc>
          <w:tcPr>
            <w:tcW w:w="2600"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53" w:right="5490"/>
        <w:jc w:val="left"/>
      </w:pPr>
      <w:r>
        <w:rPr/>
        <w:t>连续两次未亲自出席董事会的说明 公司独立董事无连续两次未出席董事会的情况。</w:t>
      </w:r>
    </w:p>
    <w:p>
      <w:pPr>
        <w:spacing w:line="240" w:lineRule="auto" w:before="11"/>
        <w:rPr>
          <w:rFonts w:ascii="宋体" w:hAnsi="宋体" w:cs="宋体" w:eastAsia="宋体" w:hint="default"/>
          <w:sz w:val="19"/>
          <w:szCs w:val="19"/>
        </w:rPr>
      </w:pPr>
    </w:p>
    <w:p>
      <w:pPr>
        <w:pStyle w:val="Heading3"/>
        <w:spacing w:line="240" w:lineRule="auto"/>
        <w:ind w:right="18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18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独立董事对公司有关建议是否被采纳</w:t>
      </w:r>
    </w:p>
    <w:p>
      <w:pPr>
        <w:pStyle w:val="BodyText"/>
        <w:spacing w:line="338" w:lineRule="auto" w:before="116"/>
        <w:ind w:right="585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3"/>
        <w:ind w:right="181"/>
        <w:jc w:val="left"/>
      </w:pPr>
      <w:r>
        <w:rPr/>
        <w:t>公司采纳独立董事建议继续购买董监高责任险，防范职业风险。</w:t>
      </w:r>
    </w:p>
    <w:p>
      <w:pPr>
        <w:spacing w:line="240" w:lineRule="auto" w:before="13"/>
        <w:rPr>
          <w:rFonts w:ascii="宋体" w:hAnsi="宋体" w:cs="宋体" w:eastAsia="宋体" w:hint="default"/>
          <w:sz w:val="24"/>
          <w:szCs w:val="24"/>
        </w:rPr>
      </w:pPr>
    </w:p>
    <w:p>
      <w:pPr>
        <w:pStyle w:val="Heading2"/>
        <w:spacing w:line="240" w:lineRule="auto"/>
        <w:ind w:right="181"/>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181" w:hanging="70"/>
        <w:jc w:val="left"/>
      </w:pPr>
      <w:r>
        <w:rPr>
          <w:rFonts w:ascii="Times New Roman" w:hAnsi="Times New Roman" w:cs="Times New Roman" w:eastAsia="Times New Roman" w:hint="default"/>
        </w:rPr>
        <w:t>1</w:t>
      </w:r>
      <w:r>
        <w:rPr/>
        <w:t>、审计委员会 </w:t>
      </w:r>
      <w:r>
        <w:rPr>
          <w:spacing w:val="-2"/>
        </w:rPr>
        <w:t>根据中国证监会、深交所有关规定及公司董事会审计委员会工作细则，董事会审计委员会本着勤勉尽责的原则，履行了</w:t>
      </w:r>
    </w:p>
    <w:p>
      <w:pPr>
        <w:pStyle w:val="BodyText"/>
        <w:spacing w:line="240" w:lineRule="auto"/>
        <w:ind w:left="153" w:right="181"/>
        <w:jc w:val="left"/>
      </w:pPr>
      <w:r>
        <w:rPr/>
        <w:t>以下工作职责：</w:t>
      </w:r>
    </w:p>
    <w:p>
      <w:pPr>
        <w:pStyle w:val="BodyText"/>
        <w:spacing w:line="240" w:lineRule="auto" w:before="117"/>
        <w:ind w:left="444" w:right="18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年度主要做了以下工作：</w:t>
      </w:r>
    </w:p>
    <w:p>
      <w:pPr>
        <w:pStyle w:val="BodyText"/>
        <w:spacing w:line="302" w:lineRule="auto" w:before="101"/>
        <w:ind w:left="153" w:right="181" w:firstLine="290"/>
        <w:jc w:val="left"/>
      </w:pPr>
      <w:r>
        <w:rPr>
          <w:spacing w:val="-1"/>
        </w:rPr>
        <w:t>①与公司聘请的外部审计机构对</w:t>
      </w:r>
      <w:r>
        <w:rPr>
          <w:rFonts w:ascii="Times New Roman" w:hAnsi="Times New Roman" w:cs="Times New Roman" w:eastAsia="Times New Roman" w:hint="default"/>
          <w:spacing w:val="-1"/>
        </w:rPr>
        <w:t>2011</w:t>
      </w:r>
      <w:r>
        <w:rPr>
          <w:spacing w:val="-1"/>
        </w:rPr>
        <w:t>年度财务报告的审计工作进行审计前的沟通，并审阅了</w:t>
      </w:r>
      <w:r>
        <w:rPr>
          <w:rFonts w:ascii="Times New Roman" w:hAnsi="Times New Roman" w:cs="Times New Roman" w:eastAsia="Times New Roman" w:hint="default"/>
          <w:spacing w:val="-1"/>
        </w:rPr>
        <w:t>2011</w:t>
      </w:r>
      <w:r>
        <w:rPr>
          <w:spacing w:val="-1"/>
        </w:rPr>
        <w:t>年度审计报告和财务报</w:t>
      </w:r>
      <w:r>
        <w:rPr/>
        <w:t> 告，向公司董事会提交了该报告；</w:t>
      </w:r>
    </w:p>
    <w:p>
      <w:pPr>
        <w:pStyle w:val="BodyText"/>
        <w:spacing w:line="240" w:lineRule="auto" w:before="69"/>
        <w:ind w:left="444" w:right="181"/>
        <w:jc w:val="left"/>
      </w:pPr>
      <w:r>
        <w:rPr/>
        <w:t>②审阅截至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日止六个月的本公司半年度财务报告，并提交董事会审议通过。</w:t>
      </w:r>
    </w:p>
    <w:p>
      <w:pPr>
        <w:pStyle w:val="BodyText"/>
        <w:spacing w:line="240" w:lineRule="auto" w:before="103"/>
        <w:ind w:left="444" w:right="181"/>
        <w:jc w:val="left"/>
      </w:pPr>
      <w:r>
        <w:rPr/>
        <w:t>（</w:t>
      </w: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2012</w:t>
      </w:r>
      <w:r>
        <w:rPr/>
        <w:t>年度财务报告审计工作情况如下：</w:t>
      </w:r>
    </w:p>
    <w:p>
      <w:pPr>
        <w:pStyle w:val="BodyText"/>
        <w:spacing w:line="300" w:lineRule="auto" w:before="101"/>
        <w:ind w:left="153" w:right="189" w:firstLine="290"/>
        <w:jc w:val="both"/>
      </w:pPr>
      <w:r>
        <w:rPr>
          <w:spacing w:val="-1"/>
        </w:rPr>
        <w:t>①在会计师进场审计前，与年度审计注册会计师、公司财务部门召开会议，认真审阅了公司</w:t>
      </w:r>
      <w:r>
        <w:rPr>
          <w:rFonts w:ascii="Times New Roman" w:hAnsi="Times New Roman" w:cs="Times New Roman" w:eastAsia="Times New Roman" w:hint="default"/>
          <w:spacing w:val="-1"/>
        </w:rPr>
        <w:t>2012</w:t>
      </w:r>
      <w:r>
        <w:rPr>
          <w:spacing w:val="-1"/>
        </w:rPr>
        <w:t>年度审计工作计划及相</w:t>
      </w:r>
      <w:r>
        <w:rPr/>
        <w:t> </w:t>
      </w:r>
      <w:r>
        <w:rPr>
          <w:spacing w:val="-2"/>
        </w:rPr>
        <w:t>关资料，与负责公司年度审计工作的中瑞岳华会计师事务所注册会计师协商确定了公司</w:t>
      </w:r>
      <w:r>
        <w:rPr>
          <w:rFonts w:ascii="Times New Roman" w:hAnsi="Times New Roman" w:cs="Times New Roman" w:eastAsia="Times New Roman" w:hint="default"/>
          <w:spacing w:val="-2"/>
        </w:rPr>
        <w:t>2012</w:t>
      </w:r>
      <w:r>
        <w:rPr>
          <w:spacing w:val="-2"/>
        </w:rPr>
        <w:t>年度财务审计报告的时间安排计</w:t>
      </w:r>
      <w:r>
        <w:rPr>
          <w:spacing w:val="-60"/>
        </w:rPr>
        <w:t> </w:t>
      </w:r>
      <w:r>
        <w:rPr/>
        <w:t>划；</w:t>
      </w:r>
    </w:p>
    <w:p>
      <w:pPr>
        <w:pStyle w:val="BodyText"/>
        <w:spacing w:line="240" w:lineRule="auto" w:before="71"/>
        <w:ind w:left="444" w:right="181"/>
        <w:jc w:val="left"/>
      </w:pPr>
      <w:r>
        <w:rPr/>
        <w:t>②在年度审计注册会计师进场前认真审阅了公司初步编制的财务会计报表，并出具了同意审计的意见；</w:t>
      </w:r>
    </w:p>
    <w:p>
      <w:pPr>
        <w:pStyle w:val="BodyText"/>
        <w:spacing w:line="319" w:lineRule="auto" w:before="116"/>
        <w:ind w:left="153" w:right="181" w:firstLine="290"/>
        <w:jc w:val="left"/>
      </w:pPr>
      <w:r>
        <w:rPr>
          <w:spacing w:val="-1"/>
        </w:rPr>
        <w:t>③公司年度审计注册会计师进场后，审计委员会不断加强与会计师的沟通，并发出督促函，督促其在约定的时间内提交</w:t>
      </w:r>
      <w:r>
        <w:rPr/>
        <w:t> 审计报告；</w:t>
      </w:r>
    </w:p>
    <w:p>
      <w:pPr>
        <w:pStyle w:val="BodyText"/>
        <w:spacing w:line="319" w:lineRule="auto" w:before="55"/>
        <w:ind w:left="153" w:right="87" w:firstLine="290"/>
        <w:jc w:val="left"/>
      </w:pPr>
      <w:r>
        <w:rPr>
          <w:spacing w:val="-2"/>
        </w:rPr>
        <w:t>④公司年度审计注册会计师出具初步审计意见后审计委员会又一次审阅了公司财务报表，认为公司财务报表真实、准确、</w:t>
      </w:r>
      <w:r>
        <w:rPr/>
        <w:t> 完整的反映了公司的整体情况；</w:t>
      </w:r>
    </w:p>
    <w:p>
      <w:pPr>
        <w:pStyle w:val="BodyText"/>
        <w:spacing w:line="302" w:lineRule="auto" w:before="55"/>
        <w:ind w:left="153" w:right="181" w:firstLine="290"/>
        <w:jc w:val="left"/>
      </w:pPr>
      <w:r>
        <w:rPr>
          <w:spacing w:val="-1"/>
        </w:rPr>
        <w:t>⑤审计委员会</w:t>
      </w:r>
      <w:r>
        <w:rPr>
          <w:rFonts w:ascii="Times New Roman" w:hAnsi="Times New Roman" w:cs="Times New Roman" w:eastAsia="Times New Roman" w:hint="default"/>
          <w:spacing w:val="-1"/>
        </w:rPr>
        <w:t>2012</w:t>
      </w:r>
      <w:r>
        <w:rPr>
          <w:spacing w:val="-1"/>
        </w:rPr>
        <w:t>年第一次会议审议了公司年度审计会计师事务所出具的本年度审计工作总结，并向董事会提交了该报</w:t>
      </w:r>
      <w:r>
        <w:rPr/>
        <w:t> 告；</w:t>
      </w:r>
    </w:p>
    <w:p>
      <w:pPr>
        <w:pStyle w:val="BodyText"/>
        <w:spacing w:line="240" w:lineRule="auto" w:before="69"/>
        <w:ind w:left="444" w:right="181"/>
        <w:jc w:val="left"/>
      </w:pPr>
      <w:r>
        <w:rPr/>
        <w:t>⑥审阅截至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日止年度的本公司内部审计及内部控制情况的报告。</w:t>
      </w:r>
    </w:p>
    <w:p>
      <w:pPr>
        <w:pStyle w:val="BodyText"/>
        <w:spacing w:line="240" w:lineRule="auto" w:before="102"/>
        <w:ind w:left="444" w:right="181"/>
        <w:jc w:val="left"/>
      </w:pPr>
      <w:r>
        <w:rPr>
          <w:rFonts w:ascii="Times New Roman" w:hAnsi="Times New Roman" w:cs="Times New Roman" w:eastAsia="Times New Roman" w:hint="default"/>
        </w:rPr>
        <w:t>2</w:t>
      </w:r>
      <w:r>
        <w:rPr/>
        <w:t>、薪酬与考核委员会</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09" w:lineRule="auto" w:before="44"/>
        <w:ind w:left="153" w:right="191" w:firstLine="360"/>
        <w:jc w:val="both"/>
      </w:pPr>
      <w:r>
        <w:rPr>
          <w:spacing w:val="-2"/>
        </w:rPr>
        <w:t>公司董事会下设薪酬与考核委员会，主要负责制定公司董事及高管人员的薪酬考核、制定、审查董事及高管人员的薪酬</w:t>
      </w:r>
      <w:r>
        <w:rPr/>
        <w:t> </w:t>
      </w:r>
      <w:r>
        <w:rPr>
          <w:spacing w:val="-2"/>
        </w:rPr>
        <w:t>方案，对董事会负责。报告期内，公司董事会薪酬和考核委员会根据</w:t>
      </w:r>
      <w:r>
        <w:rPr>
          <w:rFonts w:ascii="Times New Roman" w:hAnsi="Times New Roman" w:cs="Times New Roman" w:eastAsia="Times New Roman" w:hint="default"/>
          <w:spacing w:val="-2"/>
        </w:rPr>
        <w:t>2012</w:t>
      </w:r>
      <w:r>
        <w:rPr>
          <w:spacing w:val="-2"/>
        </w:rPr>
        <w:t>年的经营情况、董事及高管人员的考核情况，制定</w:t>
      </w:r>
      <w:r>
        <w:rPr>
          <w:spacing w:val="-63"/>
        </w:rPr>
        <w:t> </w:t>
      </w:r>
      <w:r>
        <w:rPr>
          <w:spacing w:val="-63"/>
        </w:rPr>
      </w:r>
      <w:r>
        <w:rPr/>
        <w:t>了公司董事及高管人员</w:t>
      </w:r>
      <w:r>
        <w:rPr>
          <w:rFonts w:ascii="Times New Roman" w:hAnsi="Times New Roman" w:cs="Times New Roman" w:eastAsia="Times New Roman" w:hint="default"/>
        </w:rPr>
        <w:t>2012</w:t>
      </w:r>
      <w:r>
        <w:rPr/>
        <w:t>年度的薪酬方案，并提交了董事会。</w:t>
      </w:r>
    </w:p>
    <w:p>
      <w:pPr>
        <w:pStyle w:val="BodyText"/>
        <w:spacing w:line="340" w:lineRule="auto" w:before="43"/>
        <w:ind w:left="513" w:right="181" w:hanging="70"/>
        <w:jc w:val="left"/>
      </w:pPr>
      <w:r>
        <w:rPr>
          <w:rFonts w:ascii="Times New Roman" w:hAnsi="Times New Roman" w:cs="Times New Roman" w:eastAsia="Times New Roman" w:hint="default"/>
        </w:rPr>
        <w:t>3</w:t>
      </w:r>
      <w:r>
        <w:rPr/>
        <w:t>、提名委员会 </w:t>
      </w:r>
      <w:r>
        <w:rPr>
          <w:spacing w:val="-2"/>
        </w:rPr>
        <w:t>报告期内，提名委员会召开两次会议。</w:t>
      </w:r>
      <w:r>
        <w:rPr>
          <w:rFonts w:ascii="Times New Roman" w:hAnsi="Times New Roman" w:cs="Times New Roman" w:eastAsia="Times New Roman" w:hint="default"/>
          <w:spacing w:val="-2"/>
        </w:rPr>
        <w:t>2012</w:t>
      </w:r>
      <w:r>
        <w:rPr>
          <w:spacing w:val="-2"/>
        </w:rPr>
        <w:t>年第一次会议主要工作包括讨论郝筠先生辞去公司副总经理和董事会秘书职</w:t>
      </w:r>
    </w:p>
    <w:p>
      <w:pPr>
        <w:pStyle w:val="BodyText"/>
        <w:spacing w:line="228" w:lineRule="exact"/>
        <w:ind w:left="153" w:right="0"/>
        <w:jc w:val="left"/>
      </w:pPr>
      <w:r>
        <w:rPr/>
        <w:t>务、王世宏先生辞去公司副总经理职务，并提交本公司第六届董事会第十四次会议审议通过。</w:t>
      </w:r>
      <w:r>
        <w:rPr>
          <w:rFonts w:ascii="Times New Roman" w:hAnsi="Times New Roman" w:cs="Times New Roman" w:eastAsia="Times New Roman" w:hint="default"/>
        </w:rPr>
        <w:t>2012</w:t>
      </w:r>
      <w:r>
        <w:rPr/>
        <w:t>年第二次会议主要工作包</w:t>
      </w:r>
    </w:p>
    <w:p>
      <w:pPr>
        <w:pStyle w:val="BodyText"/>
        <w:spacing w:line="319" w:lineRule="auto" w:before="62"/>
        <w:ind w:left="153" w:right="181"/>
        <w:jc w:val="left"/>
      </w:pPr>
      <w:r>
        <w:rPr>
          <w:spacing w:val="-2"/>
        </w:rPr>
        <w:t>括讨论张春林先生辞去公司副总经理职务，讨论聘任王春方先生为公司董事会秘书，并提交本公司第六届董事会第六次临时</w:t>
      </w:r>
      <w:r>
        <w:rPr>
          <w:spacing w:val="-64"/>
        </w:rPr>
        <w:t> </w:t>
      </w:r>
      <w:r>
        <w:rPr>
          <w:spacing w:val="-64"/>
        </w:rPr>
      </w:r>
      <w:r>
        <w:rPr/>
        <w:t>会议审议通过。</w:t>
      </w:r>
    </w:p>
    <w:p>
      <w:pPr>
        <w:pStyle w:val="BodyText"/>
        <w:spacing w:line="300" w:lineRule="auto" w:before="55"/>
        <w:ind w:left="513" w:right="181" w:hanging="70"/>
        <w:jc w:val="left"/>
      </w:pPr>
      <w:r>
        <w:rPr>
          <w:rFonts w:ascii="Times New Roman" w:hAnsi="Times New Roman" w:cs="Times New Roman" w:eastAsia="Times New Roman" w:hint="default"/>
        </w:rPr>
        <w:t>4</w:t>
      </w:r>
      <w:r>
        <w:rPr/>
        <w:t>、战略委员会 </w:t>
      </w:r>
      <w:r>
        <w:rPr>
          <w:spacing w:val="-2"/>
        </w:rPr>
        <w:t>报告期内，战略委员会召开一次会议。战略委员会关注董事会对项目发展和融资等授权情况，与管理层保持着顺畅的日</w:t>
      </w:r>
    </w:p>
    <w:p>
      <w:pPr>
        <w:pStyle w:val="BodyText"/>
        <w:spacing w:line="240" w:lineRule="auto" w:before="31"/>
        <w:ind w:left="153" w:right="181"/>
        <w:jc w:val="left"/>
      </w:pPr>
      <w:r>
        <w:rPr/>
        <w:t>常沟通，对授权范围内各项事务保持充分了解。</w:t>
      </w:r>
    </w:p>
    <w:p>
      <w:pPr>
        <w:spacing w:line="240" w:lineRule="auto" w:before="2"/>
        <w:rPr>
          <w:rFonts w:ascii="宋体" w:hAnsi="宋体" w:cs="宋体" w:eastAsia="宋体" w:hint="default"/>
          <w:sz w:val="25"/>
          <w:szCs w:val="25"/>
        </w:rPr>
      </w:pPr>
    </w:p>
    <w:p>
      <w:pPr>
        <w:pStyle w:val="Heading2"/>
        <w:spacing w:line="240" w:lineRule="auto"/>
        <w:ind w:right="181"/>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监事会在报告期内的监督活动中发现公司是否存在风险</w:t>
      </w:r>
    </w:p>
    <w:p>
      <w:pPr>
        <w:pStyle w:val="BodyText"/>
        <w:spacing w:line="340" w:lineRule="auto" w:before="116"/>
        <w:ind w:right="675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81"/>
        <w:jc w:val="left"/>
        <w:rPr>
          <w:b w:val="0"/>
          <w:bCs w:val="0"/>
        </w:rPr>
      </w:pP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81"/>
        <w:jc w:val="left"/>
      </w:pPr>
      <w:r>
        <w:rPr>
          <w:rFonts w:ascii="Times New Roman" w:hAnsi="Times New Roman" w:cs="Times New Roman" w:eastAsia="Times New Roman" w:hint="default"/>
        </w:rPr>
        <w:t>1</w:t>
      </w:r>
      <w:r>
        <w:rPr/>
        <w:t>、业务独立：公司在业务方面完全独立于控股股东，具有独立完整的业务及自主经营能力。</w:t>
      </w:r>
    </w:p>
    <w:p>
      <w:pPr>
        <w:pStyle w:val="BodyText"/>
        <w:spacing w:line="240" w:lineRule="auto" w:before="102"/>
        <w:ind w:left="513" w:right="181"/>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240" w:lineRule="auto" w:before="102"/>
        <w:ind w:left="513" w:right="181"/>
        <w:jc w:val="left"/>
      </w:pPr>
      <w:r>
        <w:rPr>
          <w:rFonts w:ascii="Times New Roman" w:hAnsi="Times New Roman" w:cs="Times New Roman" w:eastAsia="Times New Roman" w:hint="default"/>
        </w:rPr>
        <w:t>3</w:t>
      </w:r>
      <w:r>
        <w:rPr/>
        <w:t>、资产独立情况：公司与控股股东寿光晨鸣控股有限公司在资产方面只有股权投资关系，双方资产完全分开。</w:t>
      </w:r>
    </w:p>
    <w:p>
      <w:pPr>
        <w:pStyle w:val="BodyText"/>
        <w:spacing w:line="302" w:lineRule="auto" w:before="102"/>
        <w:ind w:left="153" w:right="198" w:firstLine="360"/>
        <w:jc w:val="both"/>
      </w:pPr>
      <w:r>
        <w:rPr>
          <w:rFonts w:ascii="Times New Roman" w:hAnsi="Times New Roman" w:cs="Times New Roman" w:eastAsia="Times New Roman" w:hint="default"/>
        </w:rPr>
        <w:t>4</w:t>
      </w:r>
      <w:r>
        <w:rPr/>
        <w:t>、机构分开情况：公司拥有完整的组织机构、机构的设置完全按照法定程序并根据公司情况需要设立，公司机构与控 股股东完全分开。</w:t>
      </w:r>
    </w:p>
    <w:p>
      <w:pPr>
        <w:pStyle w:val="BodyText"/>
        <w:spacing w:line="302" w:lineRule="auto" w:before="68"/>
        <w:ind w:left="153" w:right="198" w:firstLine="360"/>
        <w:jc w:val="both"/>
      </w:pPr>
      <w:r>
        <w:rPr>
          <w:rFonts w:ascii="Times New Roman" w:hAnsi="Times New Roman" w:cs="Times New Roman" w:eastAsia="Times New Roman" w:hint="default"/>
        </w:rPr>
        <w:t>5</w:t>
      </w:r>
      <w:r>
        <w:rPr/>
        <w:t>、财务分开情况：公司拥有独立的财务部门，并建立了独立的会计核算体系和财务管理制度，在银行单独开立帐户， 控股股东不干涉公司的财务活动。</w:t>
      </w:r>
    </w:p>
    <w:p>
      <w:pPr>
        <w:pStyle w:val="BodyText"/>
        <w:spacing w:line="240" w:lineRule="auto" w:before="69"/>
        <w:ind w:left="513" w:right="0"/>
        <w:jc w:val="left"/>
      </w:pPr>
      <w:r>
        <w:rPr/>
        <w:t>综上所述，公司与控股股东在业务、人员、资产、机构、财务等方面完全分开，具有独立完整的业务及自主经营能力。</w:t>
      </w:r>
    </w:p>
    <w:p>
      <w:pPr>
        <w:spacing w:line="240" w:lineRule="auto" w:before="1"/>
        <w:rPr>
          <w:rFonts w:ascii="宋体" w:hAnsi="宋体" w:cs="宋体" w:eastAsia="宋体" w:hint="default"/>
          <w:sz w:val="25"/>
          <w:szCs w:val="25"/>
        </w:rPr>
      </w:pPr>
    </w:p>
    <w:p>
      <w:pPr>
        <w:pStyle w:val="Heading2"/>
        <w:spacing w:line="240" w:lineRule="auto"/>
        <w:ind w:right="181"/>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公司与控股股东、实际控制人不存在同业竞争的情况。</w:t>
      </w:r>
    </w:p>
    <w:p>
      <w:pPr>
        <w:spacing w:line="240" w:lineRule="auto" w:before="13"/>
        <w:rPr>
          <w:rFonts w:ascii="宋体" w:hAnsi="宋体" w:cs="宋体" w:eastAsia="宋体" w:hint="default"/>
          <w:sz w:val="24"/>
          <w:szCs w:val="24"/>
        </w:rPr>
      </w:pPr>
    </w:p>
    <w:p>
      <w:pPr>
        <w:pStyle w:val="Heading2"/>
        <w:spacing w:line="240" w:lineRule="auto"/>
        <w:ind w:right="181"/>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9" w:firstLine="360"/>
        <w:jc w:val="both"/>
      </w:pPr>
      <w:r>
        <w:rPr>
          <w:spacing w:val="-2"/>
        </w:rPr>
        <w:t>公司对高管人员的考评建立起了月度考评与年度考评相结合的考评机制。月度考评以年度重点工作做指引，结合月度完</w:t>
      </w:r>
      <w:r>
        <w:rPr/>
        <w:t> </w:t>
      </w:r>
      <w:r>
        <w:rPr>
          <w:spacing w:val="-2"/>
        </w:rPr>
        <w:t>成情况及重要绩效指标考评两项硬指标考核为主，并通过互相监督、相互评价，按月进行；年度考评由公司薪酬委员会结合</w:t>
      </w:r>
      <w:r>
        <w:rPr>
          <w:spacing w:val="-66"/>
        </w:rPr>
        <w:t> </w:t>
      </w:r>
      <w:r>
        <w:rPr>
          <w:spacing w:val="-66"/>
        </w:rPr>
      </w:r>
      <w:r>
        <w:rPr/>
        <w:t>高管人员月度考评情况及年度整体情况包括高管综合素质及内部人才培养情况做出评定。</w:t>
      </w:r>
    </w:p>
    <w:p>
      <w:pPr>
        <w:spacing w:line="240" w:lineRule="auto" w:before="6"/>
        <w:rPr>
          <w:rFonts w:ascii="宋体" w:hAnsi="宋体" w:cs="宋体" w:eastAsia="宋体" w:hint="default"/>
          <w:sz w:val="20"/>
          <w:szCs w:val="20"/>
        </w:rPr>
      </w:pPr>
    </w:p>
    <w:p>
      <w:pPr>
        <w:pStyle w:val="Heading2"/>
        <w:spacing w:line="240" w:lineRule="auto"/>
        <w:ind w:right="181"/>
        <w:jc w:val="left"/>
        <w:rPr>
          <w:b w:val="0"/>
          <w:bCs w:val="0"/>
        </w:rPr>
      </w:pPr>
      <w:r>
        <w:rPr/>
        <w:t>九、</w:t>
      </w:r>
      <w:r>
        <w:rPr>
          <w:spacing w:val="-24"/>
        </w:rPr>
        <w:t> </w:t>
      </w:r>
      <w:r>
        <w:rPr/>
        <w:t>根据香港联合交易所有限公司公布的香港上市规则披露</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181" w:firstLine="1"/>
        <w:jc w:val="left"/>
        <w:rPr>
          <w:rFonts w:ascii="宋体" w:hAnsi="宋体" w:cs="宋体" w:eastAsia="宋体" w:hint="default"/>
          <w:sz w:val="18"/>
          <w:szCs w:val="18"/>
        </w:rPr>
      </w:pPr>
      <w:r>
        <w:rPr>
          <w:rFonts w:ascii="宋体" w:hAnsi="宋体" w:cs="宋体" w:eastAsia="宋体" w:hint="default"/>
          <w:b/>
          <w:bCs/>
          <w:sz w:val="18"/>
          <w:szCs w:val="18"/>
        </w:rPr>
        <w:t>（一）遵守《企业管治守则》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本公司透过不同的内部监控管制以维持高水平的企业管治常规，董事会并会不时对企业管治常规作出检讨以提高本公司</w:t>
      </w:r>
    </w:p>
    <w:p>
      <w:pPr>
        <w:spacing w:after="0" w:line="357"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85" w:hanging="360"/>
        <w:jc w:val="left"/>
      </w:pPr>
      <w:r>
        <w:rPr/>
        <w:t>的企业管治标准。 </w:t>
      </w:r>
      <w:r>
        <w:rPr>
          <w:spacing w:val="-1"/>
        </w:rPr>
        <w:t>除本节第四点</w:t>
      </w:r>
      <w:r>
        <w:rPr>
          <w:rFonts w:ascii="Times New Roman" w:hAnsi="Times New Roman" w:cs="Times New Roman" w:eastAsia="Times New Roman" w:hint="default"/>
          <w:spacing w:val="-1"/>
        </w:rPr>
        <w:t>“</w:t>
      </w:r>
      <w:r>
        <w:rPr>
          <w:spacing w:val="-1"/>
        </w:rPr>
        <w:t>董事长与总经理</w:t>
      </w:r>
      <w:r>
        <w:rPr>
          <w:rFonts w:ascii="Times New Roman" w:hAnsi="Times New Roman" w:cs="Times New Roman" w:eastAsia="Times New Roman" w:hint="default"/>
          <w:spacing w:val="-1"/>
        </w:rPr>
        <w:t>”</w:t>
      </w:r>
      <w:r>
        <w:rPr>
          <w:spacing w:val="-1"/>
        </w:rPr>
        <w:t>及本节第十六点</w:t>
      </w:r>
      <w:r>
        <w:rPr>
          <w:rFonts w:ascii="Times New Roman" w:hAnsi="Times New Roman" w:cs="Times New Roman" w:eastAsia="Times New Roman" w:hint="default"/>
          <w:spacing w:val="-1"/>
        </w:rPr>
        <w:t>“</w:t>
      </w:r>
      <w:r>
        <w:rPr>
          <w:spacing w:val="-1"/>
        </w:rPr>
        <w:t>与股东的沟通</w:t>
      </w:r>
      <w:r>
        <w:rPr>
          <w:rFonts w:ascii="Times New Roman" w:hAnsi="Times New Roman" w:cs="Times New Roman" w:eastAsia="Times New Roman" w:hint="default"/>
          <w:spacing w:val="-1"/>
        </w:rPr>
        <w:t>”</w:t>
      </w:r>
      <w:r>
        <w:rPr>
          <w:spacing w:val="-1"/>
        </w:rPr>
        <w:t>所述内容外，本公司报告期内全面遵守香港上市规则附</w:t>
      </w:r>
    </w:p>
    <w:p>
      <w:pPr>
        <w:pStyle w:val="BodyText"/>
        <w:spacing w:line="202" w:lineRule="exact"/>
        <w:ind w:right="181"/>
        <w:jc w:val="left"/>
      </w:pPr>
      <w:r>
        <w:rPr/>
        <w:t>录十四所载《企业管治守则》中的原则及守则条文。</w:t>
      </w:r>
    </w:p>
    <w:p>
      <w:pPr>
        <w:pStyle w:val="BodyText"/>
        <w:spacing w:line="357" w:lineRule="auto" w:before="117"/>
        <w:ind w:left="514" w:right="181" w:firstLine="1"/>
        <w:jc w:val="left"/>
      </w:pPr>
      <w:r>
        <w:rPr>
          <w:rFonts w:ascii="宋体" w:hAnsi="宋体" w:cs="宋体" w:eastAsia="宋体" w:hint="default"/>
          <w:b/>
          <w:bCs/>
        </w:rPr>
        <w:t>（二）董事的证券交易活动</w:t>
      </w:r>
      <w:r>
        <w:rPr>
          <w:rFonts w:ascii="宋体" w:hAnsi="宋体" w:cs="宋体" w:eastAsia="宋体" w:hint="default"/>
          <w:b/>
          <w:bCs/>
          <w:w w:val="99"/>
        </w:rPr>
        <w:t> </w:t>
      </w:r>
      <w:r>
        <w:rPr>
          <w:spacing w:val="-2"/>
        </w:rPr>
        <w:t>公司董事确认公司已经采纳香港上市规则附录十《上市发行人董事进行证券交易标准守则》。经向公司全体董事及监事</w:t>
      </w:r>
    </w:p>
    <w:p>
      <w:pPr>
        <w:pStyle w:val="BodyText"/>
        <w:spacing w:line="225" w:lineRule="exact"/>
        <w:ind w:right="181"/>
        <w:jc w:val="left"/>
      </w:pPr>
      <w:r>
        <w:rPr/>
        <w:t>做出充分咨询后，公司并无获悉任何资料合理的显示各位董事及监事于报告期内未遵守该守则所规定的准则。</w:t>
      </w:r>
    </w:p>
    <w:p>
      <w:pPr>
        <w:pStyle w:val="BodyText"/>
        <w:spacing w:line="357" w:lineRule="auto" w:before="116"/>
        <w:ind w:left="514" w:right="180" w:firstLine="1"/>
        <w:jc w:val="left"/>
      </w:pPr>
      <w:r>
        <w:rPr>
          <w:rFonts w:ascii="宋体" w:hAnsi="宋体" w:cs="宋体" w:eastAsia="宋体" w:hint="default"/>
          <w:b/>
          <w:bCs/>
        </w:rPr>
        <w:t>（三）董事会</w:t>
      </w:r>
      <w:r>
        <w:rPr>
          <w:rFonts w:ascii="宋体" w:hAnsi="宋体" w:cs="宋体" w:eastAsia="宋体" w:hint="default"/>
          <w:b/>
          <w:bCs/>
          <w:w w:val="99"/>
        </w:rPr>
        <w:t> </w:t>
      </w:r>
      <w:r>
        <w:rPr/>
        <w:t>本公司董事会由股东大会选举产生，并向股东大会负责，行使下列职权：（</w:t>
      </w:r>
      <w:r>
        <w:rPr>
          <w:rFonts w:ascii="Times New Roman" w:hAnsi="Times New Roman" w:cs="Times New Roman" w:eastAsia="Times New Roman" w:hint="default"/>
        </w:rPr>
        <w:t>1</w:t>
      </w:r>
      <w:r>
        <w:rPr/>
        <w:t>）负责召集股东大会，并向股东大会报告</w:t>
      </w:r>
    </w:p>
    <w:p>
      <w:pPr>
        <w:pStyle w:val="BodyText"/>
        <w:spacing w:line="214" w:lineRule="exact"/>
        <w:ind w:right="91"/>
        <w:jc w:val="left"/>
      </w:pPr>
      <w:r>
        <w:rPr>
          <w:spacing w:val="-2"/>
        </w:rPr>
        <w:t>工作；（</w:t>
      </w:r>
      <w:r>
        <w:rPr>
          <w:rFonts w:ascii="Times New Roman" w:hAnsi="Times New Roman" w:cs="Times New Roman" w:eastAsia="Times New Roman" w:hint="default"/>
          <w:spacing w:val="-2"/>
        </w:rPr>
        <w:t>2</w:t>
      </w:r>
      <w:r>
        <w:rPr>
          <w:spacing w:val="-2"/>
        </w:rPr>
        <w:t>）执行股东大会的决议；（</w:t>
      </w:r>
      <w:r>
        <w:rPr>
          <w:rFonts w:ascii="Times New Roman" w:hAnsi="Times New Roman" w:cs="Times New Roman" w:eastAsia="Times New Roman" w:hint="default"/>
          <w:spacing w:val="-2"/>
        </w:rPr>
        <w:t>3</w:t>
      </w:r>
      <w:r>
        <w:rPr>
          <w:spacing w:val="-2"/>
        </w:rPr>
        <w:t>）决定公司的经营计划和投资方案；（</w:t>
      </w:r>
      <w:r>
        <w:rPr>
          <w:rFonts w:ascii="Times New Roman" w:hAnsi="Times New Roman" w:cs="Times New Roman" w:eastAsia="Times New Roman" w:hint="default"/>
          <w:spacing w:val="-2"/>
        </w:rPr>
        <w:t>4</w:t>
      </w:r>
      <w:r>
        <w:rPr>
          <w:spacing w:val="-2"/>
        </w:rPr>
        <w:t>）制定公司的年度财务预算方案、决算方案；</w:t>
      </w:r>
    </w:p>
    <w:p>
      <w:pPr>
        <w:pStyle w:val="BodyText"/>
        <w:spacing w:line="300" w:lineRule="auto" w:before="62"/>
        <w:ind w:right="90"/>
        <w:jc w:val="left"/>
      </w:pPr>
      <w:r>
        <w:rPr>
          <w:spacing w:val="-2"/>
        </w:rPr>
        <w:t>（</w:t>
      </w:r>
      <w:r>
        <w:rPr>
          <w:rFonts w:ascii="Times New Roman" w:hAnsi="Times New Roman" w:cs="Times New Roman" w:eastAsia="Times New Roman" w:hint="default"/>
          <w:spacing w:val="-2"/>
        </w:rPr>
        <w:t>5</w:t>
      </w:r>
      <w:r>
        <w:rPr>
          <w:spacing w:val="-2"/>
        </w:rPr>
        <w:t>）制定公司的利润分配方案和弥补亏损方案；（</w:t>
      </w:r>
      <w:r>
        <w:rPr>
          <w:rFonts w:ascii="Times New Roman" w:hAnsi="Times New Roman" w:cs="Times New Roman" w:eastAsia="Times New Roman" w:hint="default"/>
          <w:spacing w:val="-2"/>
        </w:rPr>
        <w:t>6</w:t>
      </w:r>
      <w:r>
        <w:rPr>
          <w:spacing w:val="-2"/>
        </w:rPr>
        <w:t>）制定公司增加或者减少注册资本的方案以及发行公司债券或其他证券</w:t>
      </w:r>
      <w:r>
        <w:rPr>
          <w:spacing w:val="-63"/>
        </w:rPr>
        <w:t> </w:t>
      </w:r>
      <w:r>
        <w:rPr>
          <w:spacing w:val="-63"/>
        </w:rPr>
      </w:r>
      <w:r>
        <w:rPr>
          <w:spacing w:val="-5"/>
        </w:rPr>
        <w:t>及上市方案；（</w:t>
      </w:r>
      <w:r>
        <w:rPr>
          <w:rFonts w:ascii="Times New Roman" w:hAnsi="Times New Roman" w:cs="Times New Roman" w:eastAsia="Times New Roman" w:hint="default"/>
          <w:spacing w:val="-5"/>
        </w:rPr>
        <w:t>7</w:t>
      </w:r>
      <w:r>
        <w:rPr>
          <w:spacing w:val="-5"/>
        </w:rPr>
        <w:t>）拟定公司重大收购、收购公司股票的方案；（</w:t>
      </w:r>
      <w:r>
        <w:rPr>
          <w:rFonts w:ascii="Times New Roman" w:hAnsi="Times New Roman" w:cs="Times New Roman" w:eastAsia="Times New Roman" w:hint="default"/>
          <w:spacing w:val="-5"/>
        </w:rPr>
        <w:t>8</w:t>
      </w:r>
      <w:r>
        <w:rPr>
          <w:spacing w:val="-5"/>
        </w:rPr>
        <w:t>）拟定公司合并、分立、解散及变更公司形式的方案；（</w:t>
      </w:r>
      <w:r>
        <w:rPr>
          <w:rFonts w:ascii="Times New Roman" w:hAnsi="Times New Roman" w:cs="Times New Roman" w:eastAsia="Times New Roman" w:hint="default"/>
          <w:spacing w:val="-5"/>
        </w:rPr>
        <w:t>9</w:t>
      </w:r>
      <w:r>
        <w:rPr>
          <w:spacing w:val="-5"/>
        </w:rPr>
        <w:t>）</w:t>
      </w:r>
      <w:r>
        <w:rPr>
          <w:spacing w:val="-71"/>
        </w:rPr>
        <w:t> </w:t>
      </w:r>
      <w:r>
        <w:rPr>
          <w:spacing w:val="-4"/>
        </w:rPr>
        <w:t>在股东大会授权范围内，决定公司对外投资、收购出售资产、资产抵押、对外担保事项、委托理财、关联交易等事项；（</w:t>
      </w:r>
      <w:r>
        <w:rPr>
          <w:rFonts w:ascii="Times New Roman" w:hAnsi="Times New Roman" w:cs="Times New Roman" w:eastAsia="Times New Roman" w:hint="default"/>
          <w:spacing w:val="-4"/>
        </w:rPr>
        <w:t>10</w:t>
      </w:r>
      <w:r>
        <w:rPr>
          <w:spacing w:val="-4"/>
        </w:rPr>
        <w:t>）</w:t>
      </w:r>
      <w:r>
        <w:rPr>
          <w:spacing w:val="-42"/>
        </w:rPr>
        <w:t> </w:t>
      </w:r>
      <w:r>
        <w:rPr>
          <w:spacing w:val="-2"/>
        </w:rPr>
        <w:t>决定公司内部管理机构的设置；（</w:t>
      </w:r>
      <w:r>
        <w:rPr>
          <w:rFonts w:ascii="Times New Roman" w:hAnsi="Times New Roman" w:cs="Times New Roman" w:eastAsia="Times New Roman" w:hint="default"/>
          <w:spacing w:val="-2"/>
        </w:rPr>
        <w:t>11</w:t>
      </w:r>
      <w:r>
        <w:rPr>
          <w:spacing w:val="-2"/>
        </w:rPr>
        <w:t>）聘任或者解聘公司经理、董事会秘书，根据经理提名，聘任或者解聘公司副经理、财</w:t>
      </w:r>
      <w:r>
        <w:rPr>
          <w:spacing w:val="-68"/>
        </w:rPr>
        <w:t> </w:t>
      </w:r>
      <w:r>
        <w:rPr>
          <w:spacing w:val="-68"/>
        </w:rPr>
      </w:r>
      <w:r>
        <w:rPr/>
        <w:t>务负责人等高级管理人员，决定其报酬和奖惩事项；（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p>
    <w:p>
      <w:pPr>
        <w:pStyle w:val="BodyText"/>
        <w:spacing w:line="302" w:lineRule="auto" w:before="13"/>
        <w:ind w:right="181"/>
        <w:jc w:val="left"/>
      </w:pPr>
      <w:r>
        <w:rPr>
          <w:spacing w:val="-2"/>
        </w:rPr>
        <w:t>（</w:t>
      </w:r>
      <w:r>
        <w:rPr>
          <w:rFonts w:ascii="Times New Roman" w:hAnsi="Times New Roman" w:cs="Times New Roman" w:eastAsia="Times New Roman" w:hint="default"/>
          <w:spacing w:val="-2"/>
        </w:rPr>
        <w:t>14</w:t>
      </w:r>
      <w:r>
        <w:rPr>
          <w:spacing w:val="-2"/>
        </w:rPr>
        <w:t>）管理公司资讯披露事项；（</w:t>
      </w:r>
      <w:r>
        <w:rPr>
          <w:rFonts w:ascii="Times New Roman" w:hAnsi="Times New Roman" w:cs="Times New Roman" w:eastAsia="Times New Roman" w:hint="default"/>
          <w:spacing w:val="-2"/>
        </w:rPr>
        <w:t>15</w:t>
      </w:r>
      <w:r>
        <w:rPr>
          <w:spacing w:val="-2"/>
        </w:rPr>
        <w:t>）向股东大会提请聘请或更换为公司审计的会计师事务所；（</w:t>
      </w:r>
      <w:r>
        <w:rPr>
          <w:rFonts w:ascii="Times New Roman" w:hAnsi="Times New Roman" w:cs="Times New Roman" w:eastAsia="Times New Roman" w:hint="default"/>
          <w:spacing w:val="-2"/>
        </w:rPr>
        <w:t>16</w:t>
      </w:r>
      <w:r>
        <w:rPr>
          <w:spacing w:val="-2"/>
        </w:rPr>
        <w:t>）听取公司经理的工作</w:t>
      </w:r>
      <w:r>
        <w:rPr>
          <w:spacing w:val="-62"/>
        </w:rPr>
        <w:t> </w:t>
      </w:r>
      <w:r>
        <w:rPr>
          <w:spacing w:val="-62"/>
        </w:rPr>
      </w:r>
      <w:r>
        <w:rPr/>
        <w:t>汇报并检查经理工作；（</w:t>
      </w:r>
      <w:r>
        <w:rPr>
          <w:rFonts w:ascii="Times New Roman" w:hAnsi="Times New Roman" w:cs="Times New Roman" w:eastAsia="Times New Roman" w:hint="default"/>
        </w:rPr>
        <w:t>17</w:t>
      </w:r>
      <w:r>
        <w:rPr/>
        <w:t>）公司章程规定或者股东大会授予的其他职权。</w:t>
      </w:r>
    </w:p>
    <w:p>
      <w:pPr>
        <w:pStyle w:val="BodyText"/>
        <w:spacing w:line="319" w:lineRule="auto" w:before="49"/>
        <w:ind w:right="190" w:firstLine="360"/>
        <w:jc w:val="both"/>
      </w:pPr>
      <w:r>
        <w:rPr>
          <w:spacing w:val="-2"/>
        </w:rPr>
        <w:t>本公司董事会由七名执行董事：陈洪国（董事长）、尹同远、李峰、耿光林、谭道诚、侯焕才、周少华，三名非执行董</w:t>
      </w:r>
      <w:r>
        <w:rPr/>
        <w:t> </w:t>
      </w:r>
      <w:r>
        <w:rPr>
          <w:spacing w:val="-2"/>
        </w:rPr>
        <w:t>事：崔友平、王效群、王凤荣及五名独立非执行董事：张志元、王爱国、张宏、王玉玫、王翔飞组成。其个人简历请参见本</w:t>
      </w:r>
      <w:r>
        <w:rPr>
          <w:spacing w:val="-69"/>
        </w:rPr>
        <w:t> </w:t>
      </w:r>
      <w:r>
        <w:rPr>
          <w:spacing w:val="-69"/>
        </w:rPr>
      </w:r>
      <w:r>
        <w:rPr/>
        <w:t>年度报告的第八节。</w:t>
      </w:r>
    </w:p>
    <w:p>
      <w:pPr>
        <w:pStyle w:val="BodyText"/>
        <w:spacing w:line="319" w:lineRule="auto" w:before="55"/>
        <w:ind w:right="189" w:firstLine="360"/>
        <w:jc w:val="both"/>
      </w:pPr>
      <w:r>
        <w:rPr>
          <w:spacing w:val="-2"/>
        </w:rPr>
        <w:t>本公司董事会负有领导及监控公司的责任，并集体负责统管并监督公司事务以促使公司成功。本公司的日常管理授权执</w:t>
      </w:r>
      <w:r>
        <w:rPr/>
        <w:t> </w:t>
      </w:r>
      <w:r>
        <w:rPr>
          <w:spacing w:val="-2"/>
        </w:rPr>
        <w:t>行董事或负责各分部及职能的高级管理人员及管理层处理。本公司董事客观行事，所作决定亦符合公司利益。公司管理层及</w:t>
      </w:r>
      <w:r>
        <w:rPr>
          <w:spacing w:val="-66"/>
        </w:rPr>
        <w:t> </w:t>
      </w:r>
      <w:r>
        <w:rPr>
          <w:spacing w:val="-66"/>
        </w:rPr>
      </w:r>
      <w:r>
        <w:rPr>
          <w:spacing w:val="-2"/>
        </w:rPr>
        <w:t>高级管理人员定期召开会议与董事会商讨公司的日常业务运作及表现并具体实施董事会的有关决策。如董事会或任何董事会</w:t>
      </w:r>
      <w:r>
        <w:rPr>
          <w:spacing w:val="-64"/>
        </w:rPr>
        <w:t> </w:t>
      </w:r>
      <w:r>
        <w:rPr>
          <w:spacing w:val="-64"/>
        </w:rPr>
      </w:r>
      <w:r>
        <w:rPr/>
        <w:t>辖下委员会认为需要寻求独立的专业意见，公司将按董事或该董事会辖下委员会要求安排独立法律意见。</w:t>
      </w:r>
    </w:p>
    <w:p>
      <w:pPr>
        <w:pStyle w:val="BodyText"/>
        <w:spacing w:line="319" w:lineRule="auto" w:before="56"/>
        <w:ind w:right="190" w:firstLine="360"/>
        <w:jc w:val="both"/>
      </w:pPr>
      <w:r>
        <w:rPr>
          <w:spacing w:val="-2"/>
        </w:rPr>
        <w:t>本公司董事会在报告期内共召开十二次会议，定期会议六次，临时会议六次，除张志元先生因公务无法亲自出席六届十</w:t>
      </w:r>
      <w:r>
        <w:rPr/>
        <w:t> 次董事会会议，委托独立董事王爱国先生代为出席外，公司其他董事均出席了十二次董事会。</w:t>
      </w:r>
    </w:p>
    <w:p>
      <w:pPr>
        <w:spacing w:line="240" w:lineRule="auto" w:before="6"/>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159"/>
        <w:gridCol w:w="1351"/>
        <w:gridCol w:w="1102"/>
        <w:gridCol w:w="1062"/>
        <w:gridCol w:w="1018"/>
        <w:gridCol w:w="1362"/>
        <w:gridCol w:w="1179"/>
        <w:gridCol w:w="1425"/>
      </w:tblGrid>
      <w:tr>
        <w:trPr>
          <w:trHeight w:val="427" w:hRule="exact"/>
        </w:trPr>
        <w:tc>
          <w:tcPr>
            <w:tcW w:w="1159"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47" w:type="dxa"/>
            <w:gridSpan w:val="6"/>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left="2011"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739" w:hRule="exact"/>
        </w:trPr>
        <w:tc>
          <w:tcPr>
            <w:tcW w:w="1159"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351" w:type="dxa"/>
            <w:tcBorders>
              <w:top w:val="single" w:sz="6" w:space="0" w:color="000000"/>
              <w:left w:val="single" w:sz="6" w:space="0" w:color="000000"/>
              <w:bottom w:val="single" w:sz="6" w:space="0" w:color="000000"/>
              <w:right w:val="single" w:sz="6" w:space="0" w:color="000000"/>
            </w:tcBorders>
            <w:shd w:val="clear" w:color="auto" w:fill="DCDCDC"/>
          </w:tcPr>
          <w:p>
            <w:pPr/>
          </w:p>
        </w:tc>
        <w:tc>
          <w:tcPr>
            <w:tcW w:w="110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06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62"/>
              <w:ind w:left="343" w:right="72" w:hanging="270"/>
              <w:jc w:val="left"/>
              <w:rPr>
                <w:rFonts w:ascii="宋体" w:hAnsi="宋体" w:cs="宋体" w:eastAsia="宋体" w:hint="default"/>
                <w:sz w:val="18"/>
                <w:szCs w:val="18"/>
              </w:rPr>
            </w:pPr>
            <w:r>
              <w:rPr>
                <w:rFonts w:ascii="宋体" w:hAnsi="宋体" w:cs="宋体" w:eastAsia="宋体" w:hint="default"/>
                <w:sz w:val="18"/>
                <w:szCs w:val="18"/>
              </w:rPr>
              <w:t>审计委员会 会议</w:t>
            </w:r>
          </w:p>
        </w:tc>
        <w:tc>
          <w:tcPr>
            <w:tcW w:w="101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62"/>
              <w:ind w:left="321" w:right="49" w:hanging="270"/>
              <w:jc w:val="left"/>
              <w:rPr>
                <w:rFonts w:ascii="宋体" w:hAnsi="宋体" w:cs="宋体" w:eastAsia="宋体" w:hint="default"/>
                <w:sz w:val="18"/>
                <w:szCs w:val="18"/>
              </w:rPr>
            </w:pPr>
            <w:r>
              <w:rPr>
                <w:rFonts w:ascii="宋体" w:hAnsi="宋体" w:cs="宋体" w:eastAsia="宋体" w:hint="default"/>
                <w:sz w:val="18"/>
                <w:szCs w:val="18"/>
              </w:rPr>
              <w:t>提名委员会 会议</w:t>
            </w:r>
          </w:p>
        </w:tc>
        <w:tc>
          <w:tcPr>
            <w:tcW w:w="136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62"/>
              <w:ind w:left="403" w:right="42" w:hanging="360"/>
              <w:jc w:val="left"/>
              <w:rPr>
                <w:rFonts w:ascii="宋体" w:hAnsi="宋体" w:cs="宋体" w:eastAsia="宋体" w:hint="default"/>
                <w:sz w:val="18"/>
                <w:szCs w:val="18"/>
              </w:rPr>
            </w:pPr>
            <w:r>
              <w:rPr>
                <w:rFonts w:ascii="宋体" w:hAnsi="宋体" w:cs="宋体" w:eastAsia="宋体" w:hint="default"/>
                <w:sz w:val="18"/>
                <w:szCs w:val="18"/>
              </w:rPr>
              <w:t>薪酬与考核委员 会会议</w:t>
            </w:r>
          </w:p>
        </w:tc>
        <w:tc>
          <w:tcPr>
            <w:tcW w:w="1179" w:type="dxa"/>
            <w:tcBorders>
              <w:top w:val="single" w:sz="6" w:space="0" w:color="000000"/>
              <w:left w:val="single" w:sz="6" w:space="0" w:color="000000"/>
              <w:bottom w:val="single" w:sz="6" w:space="0" w:color="000000"/>
              <w:right w:val="single" w:sz="4" w:space="0" w:color="000000"/>
            </w:tcBorders>
            <w:shd w:val="clear" w:color="auto" w:fill="DCDCDC"/>
          </w:tcPr>
          <w:p>
            <w:pPr>
              <w:pStyle w:val="TableParagraph"/>
              <w:spacing w:line="316" w:lineRule="auto" w:before="62"/>
              <w:ind w:left="484" w:right="51" w:hanging="450"/>
              <w:jc w:val="left"/>
              <w:rPr>
                <w:rFonts w:ascii="宋体" w:hAnsi="宋体" w:cs="宋体" w:eastAsia="宋体" w:hint="default"/>
                <w:sz w:val="18"/>
                <w:szCs w:val="18"/>
              </w:rPr>
            </w:pPr>
            <w:r>
              <w:rPr>
                <w:rFonts w:ascii="宋体" w:hAnsi="宋体" w:cs="宋体" w:eastAsia="宋体" w:hint="default"/>
                <w:sz w:val="18"/>
                <w:szCs w:val="18"/>
              </w:rPr>
              <w:t>战略委员会会 议</w:t>
            </w:r>
          </w:p>
        </w:tc>
        <w:tc>
          <w:tcPr>
            <w:tcW w:w="1425" w:type="dxa"/>
            <w:tcBorders>
              <w:top w:val="single" w:sz="6" w:space="0" w:color="000000"/>
              <w:left w:val="single" w:sz="4" w:space="0" w:color="000000"/>
              <w:bottom w:val="single" w:sz="6" w:space="0" w:color="000000"/>
              <w:right w:val="single" w:sz="6" w:space="0" w:color="000000"/>
            </w:tcBorders>
            <w:shd w:val="clear" w:color="auto" w:fill="DCDCDC"/>
          </w:tcPr>
          <w:p>
            <w:pPr>
              <w:pStyle w:val="TableParagraph"/>
              <w:spacing w:line="316" w:lineRule="auto" w:before="62"/>
              <w:ind w:left="160" w:right="1" w:hanging="170"/>
              <w:jc w:val="left"/>
              <w:rPr>
                <w:rFonts w:ascii="宋体" w:hAnsi="宋体" w:cs="宋体" w:eastAsia="宋体" w:hint="default"/>
                <w:sz w:val="18"/>
                <w:szCs w:val="18"/>
              </w:rPr>
            </w:pPr>
            <w:r>
              <w:rPr>
                <w:rFonts w:ascii="宋体" w:hAnsi="宋体" w:cs="宋体" w:eastAsia="宋体" w:hint="default"/>
                <w:spacing w:val="-3"/>
                <w:sz w:val="18"/>
                <w:szCs w:val="18"/>
              </w:rPr>
              <w:t>股东会会议（包括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类别股东会）</w:t>
            </w:r>
          </w:p>
        </w:tc>
      </w:tr>
      <w:tr>
        <w:trPr>
          <w:trHeight w:val="426" w:hRule="exact"/>
        </w:trPr>
        <w:tc>
          <w:tcPr>
            <w:tcW w:w="965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 / 2</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1 / 1</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1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 / 2</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1 / 1</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5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峰</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1 / 1</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0 / 5</w:t>
            </w:r>
          </w:p>
        </w:tc>
      </w:tr>
      <w:tr>
        <w:trPr>
          <w:trHeight w:val="426"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1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1 / 1</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965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 / 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left="2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0 / 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1159"/>
        <w:gridCol w:w="1351"/>
        <w:gridCol w:w="1102"/>
        <w:gridCol w:w="1062"/>
        <w:gridCol w:w="1018"/>
        <w:gridCol w:w="1362"/>
        <w:gridCol w:w="1206"/>
        <w:gridCol w:w="1398"/>
      </w:tblGrid>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 /5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 / 5</w:t>
            </w:r>
          </w:p>
        </w:tc>
      </w:tr>
      <w:tr>
        <w:trPr>
          <w:trHeight w:val="426" w:hRule="exact"/>
        </w:trPr>
        <w:tc>
          <w:tcPr>
            <w:tcW w:w="965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 / 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 / 2</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 / 1</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 / 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 / 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 / 2</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 / 5</w:t>
            </w:r>
          </w:p>
        </w:tc>
      </w:tr>
      <w:tr>
        <w:trPr>
          <w:trHeight w:val="427" w:hRule="exact"/>
        </w:trPr>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36"/>
              <w:jc w:val="right"/>
              <w:rPr>
                <w:rFonts w:ascii="Times New Roman" w:hAnsi="Times New Roman" w:cs="Times New Roman" w:eastAsia="Times New Roman" w:hint="default"/>
                <w:sz w:val="18"/>
                <w:szCs w:val="18"/>
              </w:rPr>
            </w:pPr>
            <w:r>
              <w:rPr>
                <w:rFonts w:ascii="Times New Roman"/>
                <w:sz w:val="18"/>
              </w:rPr>
              <w:t>12/12</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 / 2</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 / 1</w:t>
            </w:r>
          </w:p>
        </w:tc>
        <w:tc>
          <w:tcPr>
            <w:tcW w:w="139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0 / 5</w:t>
            </w:r>
          </w:p>
        </w:tc>
      </w:tr>
    </w:tbl>
    <w:p>
      <w:pPr>
        <w:pStyle w:val="BodyText"/>
        <w:spacing w:line="357" w:lineRule="auto" w:before="51"/>
        <w:ind w:left="513" w:right="99"/>
        <w:jc w:val="left"/>
      </w:pPr>
      <w:r>
        <w:rPr/>
        <w:t>除在本年报公司董事简介部分所述外，董事会所有成员之间概无任何财务、业务、亲属关系或重大相关关系。 </w:t>
      </w:r>
      <w:r>
        <w:rPr>
          <w:spacing w:val="-2"/>
        </w:rPr>
        <w:t>董事会在本年度举行定期会议</w:t>
      </w:r>
      <w:r>
        <w:rPr>
          <w:rFonts w:ascii="Times New Roman" w:hAnsi="Times New Roman" w:cs="Times New Roman" w:eastAsia="Times New Roman" w:hint="default"/>
          <w:spacing w:val="-2"/>
        </w:rPr>
        <w:t>6</w:t>
      </w:r>
      <w:r>
        <w:rPr>
          <w:spacing w:val="-2"/>
        </w:rPr>
        <w:t>次，每次定期会议均予提前</w:t>
      </w:r>
      <w:r>
        <w:rPr>
          <w:rFonts w:ascii="Times New Roman" w:hAnsi="Times New Roman" w:cs="Times New Roman" w:eastAsia="Times New Roman" w:hint="default"/>
          <w:spacing w:val="-2"/>
        </w:rPr>
        <w:t>14</w:t>
      </w:r>
      <w:r>
        <w:rPr>
          <w:spacing w:val="-2"/>
        </w:rPr>
        <w:t>天通知，以确保全体董事皆有机会提出商讨事项列入议程。</w:t>
      </w:r>
    </w:p>
    <w:p>
      <w:pPr>
        <w:pStyle w:val="BodyText"/>
        <w:spacing w:line="202" w:lineRule="exact"/>
        <w:ind w:left="153" w:right="181"/>
        <w:jc w:val="left"/>
      </w:pPr>
      <w:r>
        <w:rPr/>
        <w:t>其他董事会会议均发出了合理通知，以让所有董事皆有机会腾空出席。</w:t>
      </w:r>
    </w:p>
    <w:p>
      <w:pPr>
        <w:pStyle w:val="BodyText"/>
        <w:spacing w:line="357" w:lineRule="auto" w:before="116"/>
        <w:ind w:left="513" w:right="1531"/>
        <w:jc w:val="left"/>
      </w:pPr>
      <w:r>
        <w:rPr/>
        <w:t>所有董事均可获得董事会秘书的意见及服务，以确保董事会程序及所有适用规则及规例均获得遵守。 本公司已为其董事及高级管理人员购买董事及高级管理人员责任保险。</w:t>
      </w:r>
    </w:p>
    <w:p>
      <w:pPr>
        <w:pStyle w:val="BodyText"/>
        <w:spacing w:line="357" w:lineRule="auto" w:before="29"/>
        <w:ind w:left="513" w:right="181" w:firstLine="1"/>
        <w:jc w:val="left"/>
      </w:pPr>
      <w:r>
        <w:rPr>
          <w:rFonts w:ascii="宋体" w:hAnsi="宋体" w:cs="宋体" w:eastAsia="宋体" w:hint="default"/>
          <w:b/>
          <w:bCs/>
        </w:rPr>
        <w:t>董事培圳及专业发展</w:t>
      </w:r>
      <w:r>
        <w:rPr>
          <w:rFonts w:ascii="宋体" w:hAnsi="宋体" w:cs="宋体" w:eastAsia="宋体" w:hint="default"/>
          <w:b/>
          <w:bCs/>
          <w:spacing w:val="1"/>
          <w:w w:val="99"/>
        </w:rPr>
        <w:t> </w:t>
      </w:r>
      <w:r>
        <w:rPr>
          <w:spacing w:val="-2"/>
        </w:rPr>
        <w:t>所有新委任的董事均获提供必要的入职培训数据，确保其对本公司的运作及业务以至于相关法例、规则及上市规则下的</w:t>
      </w:r>
    </w:p>
    <w:p>
      <w:pPr>
        <w:pStyle w:val="BodyText"/>
        <w:spacing w:line="357" w:lineRule="auto"/>
        <w:ind w:left="513" w:right="182" w:hanging="360"/>
        <w:jc w:val="left"/>
      </w:pPr>
      <w:r>
        <w:rPr/>
        <w:t>责任有一定程度的了解。 回顾年内，董事会成员的组成并无变动。本公司董事、监事获公司安排已参加了山东上市公司协会举办的</w:t>
      </w:r>
      <w:r>
        <w:rPr>
          <w:spacing w:val="-46"/>
        </w:rPr>
        <w:t> </w:t>
      </w:r>
      <w:r>
        <w:rPr/>
        <w:t>2012</w:t>
      </w:r>
      <w:r>
        <w:rPr>
          <w:spacing w:val="-45"/>
        </w:rPr>
        <w:t> </w:t>
      </w:r>
      <w:r>
        <w:rPr/>
        <w:t>第二期</w:t>
      </w:r>
    </w:p>
    <w:p>
      <w:pPr>
        <w:pStyle w:val="BodyText"/>
        <w:spacing w:line="224" w:lineRule="exact"/>
        <w:ind w:left="153" w:right="99"/>
        <w:jc w:val="left"/>
      </w:pPr>
      <w:r>
        <w:rPr>
          <w:spacing w:val="-3"/>
        </w:rPr>
        <w:t>董事、监事培圳班</w:t>
      </w:r>
      <w:r>
        <w:rPr>
          <w:spacing w:val="-60"/>
        </w:rPr>
        <w:t> </w:t>
      </w:r>
      <w:r>
        <w:rPr/>
        <w:t>，[同时亦就香港《证券及期货条例》就股价敏感资料披露的新规定向各董事及监事派发由本公司香港法</w:t>
      </w:r>
    </w:p>
    <w:p>
      <w:pPr>
        <w:pStyle w:val="BodyText"/>
        <w:spacing w:line="319" w:lineRule="auto" w:before="76"/>
        <w:ind w:left="153" w:right="174"/>
        <w:jc w:val="left"/>
      </w:pPr>
      <w:r>
        <w:rPr/>
        <w:t>律顾问准备的简介文件]</w:t>
      </w:r>
      <w:r>
        <w:rPr>
          <w:spacing w:val="3"/>
        </w:rPr>
        <w:t> </w:t>
      </w:r>
      <w:r>
        <w:rPr>
          <w:spacing w:val="-2"/>
        </w:rPr>
        <w:t>，以确保各董事及监事遵守有关法例及遵守良好的企业管治常规，并提升其对良好企业管治常规的</w:t>
      </w:r>
      <w:r>
        <w:rPr/>
        <w:t> 意识。</w:t>
      </w:r>
    </w:p>
    <w:p>
      <w:pPr>
        <w:spacing w:line="357" w:lineRule="auto" w:before="58"/>
        <w:ind w:left="513" w:right="3331" w:firstLine="1"/>
        <w:jc w:val="left"/>
        <w:rPr>
          <w:rFonts w:ascii="宋体" w:hAnsi="宋体" w:cs="宋体" w:eastAsia="宋体" w:hint="default"/>
          <w:sz w:val="18"/>
          <w:szCs w:val="18"/>
        </w:rPr>
      </w:pPr>
      <w:r>
        <w:rPr>
          <w:rFonts w:ascii="宋体" w:hAnsi="宋体" w:cs="宋体" w:eastAsia="宋体" w:hint="default"/>
          <w:b/>
          <w:bCs/>
          <w:sz w:val="18"/>
          <w:szCs w:val="18"/>
        </w:rPr>
        <w:t>（四）董事长与总经理</w:t>
      </w:r>
      <w:r>
        <w:rPr>
          <w:rFonts w:ascii="宋体" w:hAnsi="宋体" w:cs="宋体" w:eastAsia="宋体" w:hint="default"/>
          <w:b/>
          <w:bCs/>
          <w:w w:val="99"/>
          <w:sz w:val="18"/>
          <w:szCs w:val="18"/>
        </w:rPr>
        <w:t> </w:t>
      </w:r>
      <w:r>
        <w:rPr>
          <w:rFonts w:ascii="宋体" w:hAnsi="宋体" w:cs="宋体" w:eastAsia="宋体" w:hint="default"/>
          <w:sz w:val="18"/>
          <w:szCs w:val="18"/>
        </w:rPr>
        <w:t>本公司董事长及总经理均为陈洪国先生，其个人简历请见本年度报告第八节。</w:t>
      </w:r>
    </w:p>
    <w:p>
      <w:pPr>
        <w:pStyle w:val="BodyText"/>
        <w:spacing w:line="300" w:lineRule="auto" w:before="26"/>
        <w:ind w:left="153" w:right="190" w:firstLine="360"/>
        <w:jc w:val="both"/>
      </w:pPr>
      <w:r>
        <w:rPr>
          <w:spacing w:val="-2"/>
        </w:rPr>
        <w:t>根据《公司章程》，董事长行使下列职权：（</w:t>
      </w:r>
      <w:r>
        <w:rPr>
          <w:rFonts w:ascii="Times New Roman" w:hAnsi="Times New Roman" w:cs="Times New Roman" w:eastAsia="Times New Roman" w:hint="default"/>
          <w:spacing w:val="-2"/>
        </w:rPr>
        <w:t>1</w:t>
      </w:r>
      <w:r>
        <w:rPr>
          <w:spacing w:val="-2"/>
        </w:rPr>
        <w:t>）主持股东大会和召集、主持董事会会议；（</w:t>
      </w:r>
      <w:r>
        <w:rPr>
          <w:rFonts w:ascii="Times New Roman" w:hAnsi="Times New Roman" w:cs="Times New Roman" w:eastAsia="Times New Roman" w:hint="default"/>
          <w:spacing w:val="-2"/>
        </w:rPr>
        <w:t>2</w:t>
      </w:r>
      <w:r>
        <w:rPr>
          <w:spacing w:val="-2"/>
        </w:rPr>
        <w:t>）督促、检查董事会决议</w:t>
      </w:r>
      <w:r>
        <w:rPr/>
        <w:t> </w:t>
      </w:r>
      <w:r>
        <w:rPr>
          <w:spacing w:val="-2"/>
        </w:rPr>
        <w:t>的实施情况；（</w:t>
      </w:r>
      <w:r>
        <w:rPr>
          <w:rFonts w:ascii="Times New Roman" w:hAnsi="Times New Roman" w:cs="Times New Roman" w:eastAsia="Times New Roman" w:hint="default"/>
          <w:spacing w:val="-2"/>
        </w:rPr>
        <w:t>3</w:t>
      </w:r>
      <w:r>
        <w:rPr>
          <w:spacing w:val="-2"/>
        </w:rPr>
        <w:t>）签署公司股票、公司债券及其他有价证券；（</w:t>
      </w:r>
      <w:r>
        <w:rPr>
          <w:rFonts w:ascii="Times New Roman" w:hAnsi="Times New Roman" w:cs="Times New Roman" w:eastAsia="Times New Roman" w:hint="default"/>
          <w:spacing w:val="-2"/>
        </w:rPr>
        <w:t>4</w:t>
      </w:r>
      <w:r>
        <w:rPr>
          <w:spacing w:val="-2"/>
        </w:rPr>
        <w:t>）签署董事会重要文件和其他应由公司法定代表人签署的</w:t>
      </w:r>
      <w:r>
        <w:rPr>
          <w:spacing w:val="-66"/>
        </w:rPr>
        <w:t> </w:t>
      </w:r>
      <w:r>
        <w:rPr>
          <w:spacing w:val="-66"/>
        </w:rPr>
      </w:r>
      <w:r>
        <w:rPr/>
        <w:t>其他文件；（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 紧急情况下，对公司事务行使符合法律规定和公司利益的特别处置权，并在事后向公司董事会和股东大会报告；（</w:t>
      </w:r>
      <w:r>
        <w:rPr>
          <w:rFonts w:ascii="Times New Roman" w:hAnsi="Times New Roman" w:cs="Times New Roman" w:eastAsia="Times New Roman" w:hint="default"/>
        </w:rPr>
        <w:t>8</w:t>
      </w:r>
      <w:r>
        <w:rPr/>
        <w:t>）董事 会授予的其他职权。</w:t>
      </w:r>
    </w:p>
    <w:p>
      <w:pPr>
        <w:pStyle w:val="BodyText"/>
        <w:spacing w:line="300" w:lineRule="auto" w:before="71"/>
        <w:ind w:left="153" w:right="191" w:firstLine="360"/>
        <w:jc w:val="both"/>
      </w:pPr>
      <w:r>
        <w:rPr>
          <w:spacing w:val="-2"/>
        </w:rPr>
        <w:t>总经理行使下列职权：（</w:t>
      </w:r>
      <w:r>
        <w:rPr>
          <w:rFonts w:ascii="Times New Roman" w:hAnsi="Times New Roman" w:cs="Times New Roman" w:eastAsia="Times New Roman" w:hint="default"/>
          <w:spacing w:val="-2"/>
        </w:rPr>
        <w:t>1</w:t>
      </w:r>
      <w:r>
        <w:rPr>
          <w:spacing w:val="-2"/>
        </w:rPr>
        <w:t>）主持公司的生产经营管理工作，组织实施董事会决议；（</w:t>
      </w:r>
      <w:r>
        <w:rPr>
          <w:rFonts w:ascii="Times New Roman" w:hAnsi="Times New Roman" w:cs="Times New Roman" w:eastAsia="Times New Roman" w:hint="default"/>
          <w:spacing w:val="-2"/>
        </w:rPr>
        <w:t>2</w:t>
      </w:r>
      <w:r>
        <w:rPr>
          <w:spacing w:val="-2"/>
        </w:rPr>
        <w:t>）组织实施公司年度经营计划和</w:t>
      </w:r>
      <w:r>
        <w:rPr/>
        <w:t> </w:t>
      </w:r>
      <w:r>
        <w:rPr>
          <w:spacing w:val="-2"/>
        </w:rPr>
        <w:t>投资方案；（</w:t>
      </w:r>
      <w:r>
        <w:rPr>
          <w:rFonts w:ascii="Times New Roman" w:hAnsi="Times New Roman" w:cs="Times New Roman" w:eastAsia="Times New Roman" w:hint="default"/>
          <w:spacing w:val="-2"/>
        </w:rPr>
        <w:t>3</w:t>
      </w:r>
      <w:r>
        <w:rPr>
          <w:spacing w:val="-2"/>
        </w:rPr>
        <w:t>）拟订公司内部管理机构设置方案；（</w:t>
      </w:r>
      <w:r>
        <w:rPr>
          <w:rFonts w:ascii="Times New Roman" w:hAnsi="Times New Roman" w:cs="Times New Roman" w:eastAsia="Times New Roman" w:hint="default"/>
          <w:spacing w:val="-2"/>
        </w:rPr>
        <w:t>4</w:t>
      </w:r>
      <w:r>
        <w:rPr>
          <w:spacing w:val="-2"/>
        </w:rPr>
        <w:t>）拟订公司的基本管理制度；（</w:t>
      </w:r>
      <w:r>
        <w:rPr>
          <w:rFonts w:ascii="Times New Roman" w:hAnsi="Times New Roman" w:cs="Times New Roman" w:eastAsia="Times New Roman" w:hint="default"/>
          <w:spacing w:val="-2"/>
        </w:rPr>
        <w:t>5</w:t>
      </w:r>
      <w:r>
        <w:rPr>
          <w:spacing w:val="-2"/>
        </w:rPr>
        <w:t>）制定公司的基本规章；（</w:t>
      </w:r>
      <w:r>
        <w:rPr>
          <w:rFonts w:ascii="Times New Roman" w:hAnsi="Times New Roman" w:cs="Times New Roman" w:eastAsia="Times New Roman" w:hint="default"/>
          <w:spacing w:val="-2"/>
        </w:rPr>
        <w:t>6</w:t>
      </w:r>
      <w:r>
        <w:rPr>
          <w:spacing w:val="-2"/>
        </w:rPr>
        <w:t>）提请</w:t>
      </w:r>
      <w:r>
        <w:rPr>
          <w:spacing w:val="-66"/>
        </w:rPr>
        <w:t> </w:t>
      </w:r>
      <w:r>
        <w:rPr>
          <w:spacing w:val="-66"/>
        </w:rPr>
      </w:r>
      <w:r>
        <w:rPr>
          <w:spacing w:val="-2"/>
        </w:rPr>
        <w:t>聘任或者解聘公司副经理、财务负责人；（</w:t>
      </w:r>
      <w:r>
        <w:rPr>
          <w:rFonts w:ascii="Times New Roman" w:hAnsi="Times New Roman" w:cs="Times New Roman" w:eastAsia="Times New Roman" w:hint="default"/>
          <w:spacing w:val="-2"/>
        </w:rPr>
        <w:t>7</w:t>
      </w:r>
      <w:r>
        <w:rPr>
          <w:spacing w:val="-2"/>
        </w:rPr>
        <w:t>）聘任或者解聘除应由董事会聘任或者解聘以外的负责管理人员；（</w:t>
      </w:r>
      <w:r>
        <w:rPr>
          <w:rFonts w:ascii="Times New Roman" w:hAnsi="Times New Roman" w:cs="Times New Roman" w:eastAsia="Times New Roman" w:hint="default"/>
          <w:spacing w:val="-2"/>
        </w:rPr>
        <w:t>8</w:t>
      </w:r>
      <w:r>
        <w:rPr>
          <w:spacing w:val="-2"/>
        </w:rPr>
        <w:t>）拟定公</w:t>
      </w:r>
      <w:r>
        <w:rPr>
          <w:spacing w:val="-65"/>
        </w:rPr>
        <w:t> </w:t>
      </w:r>
      <w:r>
        <w:rPr>
          <w:spacing w:val="-65"/>
        </w:rPr>
      </w:r>
      <w:r>
        <w:rPr/>
        <w:t>司职工的工资、福利、奖惩，决定公司职工的聘用和解聘；（</w:t>
      </w:r>
      <w:r>
        <w:rPr>
          <w:rFonts w:ascii="Times New Roman" w:hAnsi="Times New Roman" w:cs="Times New Roman" w:eastAsia="Times New Roman" w:hint="default"/>
        </w:rPr>
        <w:t>9</w:t>
      </w:r>
      <w:r>
        <w:rPr/>
        <w:t>）提议召开董事会临时会议；（</w:t>
      </w:r>
      <w:r>
        <w:rPr>
          <w:rFonts w:ascii="Times New Roman" w:hAnsi="Times New Roman" w:cs="Times New Roman" w:eastAsia="Times New Roman" w:hint="default"/>
        </w:rPr>
        <w:t>10</w:t>
      </w:r>
      <w:r>
        <w:rPr/>
        <w:t>）《公司章程》和董事会 授予的其他职权。</w:t>
      </w:r>
    </w:p>
    <w:p>
      <w:pPr>
        <w:pStyle w:val="BodyText"/>
        <w:spacing w:line="319" w:lineRule="auto" w:before="70"/>
        <w:ind w:right="90" w:firstLine="360"/>
        <w:jc w:val="left"/>
      </w:pPr>
      <w:r>
        <w:rPr/>
        <w:t>陈洪国先生兼任董事长与总经理负责本公司的整体管理，尽管出现与香港上市规则附录十四所载《企业管治常规守则》 </w:t>
      </w:r>
      <w:r>
        <w:rPr>
          <w:spacing w:val="-2"/>
        </w:rPr>
        <w:t>中的原则及守则条文偏离情况，公司董事相信，让陈洪国先生同时兼任董事长及总经理可让本公司更有效地计划及执行业务</w:t>
      </w:r>
      <w:r>
        <w:rPr>
          <w:spacing w:val="-64"/>
        </w:rPr>
        <w:t> </w:t>
      </w:r>
      <w:r>
        <w:rPr>
          <w:spacing w:val="-64"/>
        </w:rPr>
      </w:r>
      <w:r>
        <w:rPr>
          <w:spacing w:val="-2"/>
        </w:rPr>
        <w:t>策略，从而令本集团能够有效、迅速地把握商机。由于所有主要决定是咨询董事会其它成员后才能作出，本公司相信，通过</w:t>
      </w:r>
      <w:r>
        <w:rPr>
          <w:spacing w:val="-66"/>
        </w:rPr>
        <w:t> </w:t>
      </w:r>
      <w:r>
        <w:rPr>
          <w:spacing w:val="-66"/>
        </w:rPr>
      </w:r>
      <w:r>
        <w:rPr/>
        <w:t>董事会及独立非执行董事的监督，此足以维持权力及职权平衡。</w:t>
      </w:r>
    </w:p>
    <w:p>
      <w:pPr>
        <w:pStyle w:val="BodyText"/>
        <w:spacing w:line="357" w:lineRule="auto" w:before="56"/>
        <w:ind w:left="514" w:right="181" w:firstLine="1"/>
        <w:jc w:val="left"/>
      </w:pPr>
      <w:r>
        <w:rPr>
          <w:rFonts w:ascii="宋体" w:hAnsi="宋体" w:cs="宋体" w:eastAsia="宋体" w:hint="default"/>
          <w:b/>
          <w:bCs/>
        </w:rPr>
        <w:t>（五）独立非执行董事</w:t>
      </w:r>
      <w:r>
        <w:rPr>
          <w:rFonts w:ascii="宋体" w:hAnsi="宋体" w:cs="宋体" w:eastAsia="宋体" w:hint="default"/>
          <w:b/>
          <w:bCs/>
          <w:w w:val="99"/>
        </w:rPr>
        <w:t> </w:t>
      </w:r>
      <w:r>
        <w:rPr>
          <w:spacing w:val="-2"/>
        </w:rPr>
        <w:t>董事会成员中有五名独立非执行董事，符合香港上市规则有关独立非执行董事人数的最低要求。本公司独立非执行董事</w:t>
      </w:r>
    </w:p>
    <w:p>
      <w:pPr>
        <w:pStyle w:val="BodyText"/>
        <w:spacing w:line="237" w:lineRule="exact"/>
        <w:ind w:right="99"/>
        <w:jc w:val="left"/>
      </w:pPr>
      <w:r>
        <w:rPr/>
        <w:t>王爱国及王翔飞具备了适当的会计及财务管理专长，符合香港上市规则第</w:t>
      </w:r>
      <w:r>
        <w:rPr>
          <w:rFonts w:ascii="Times New Roman" w:hAnsi="Times New Roman" w:cs="Times New Roman" w:eastAsia="Times New Roman" w:hint="default"/>
        </w:rPr>
        <w:t>3.10</w:t>
      </w:r>
      <w:r>
        <w:rPr/>
        <w:t>条的要求，其个人简历请参见本年度报告第八</w:t>
      </w:r>
    </w:p>
    <w:p>
      <w:pPr>
        <w:pStyle w:val="BodyText"/>
        <w:spacing w:line="240" w:lineRule="auto" w:before="62"/>
        <w:ind w:right="99"/>
        <w:jc w:val="left"/>
      </w:pPr>
      <w:r>
        <w:rPr/>
        <w:t>节。公司已收取各独立非执行董事根据香港上市规则第</w:t>
      </w:r>
      <w:r>
        <w:rPr>
          <w:rFonts w:ascii="Times New Roman" w:hAnsi="Times New Roman" w:cs="Times New Roman" w:eastAsia="Times New Roman" w:hint="default"/>
        </w:rPr>
        <w:t>3.13</w:t>
      </w:r>
      <w:r>
        <w:rPr/>
        <w:t>条就彼等各自之独立性发出年度确认函。本公司认为各独立非执</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行董事均属独立人士。</w:t>
      </w:r>
    </w:p>
    <w:p>
      <w:pPr>
        <w:pStyle w:val="BodyText"/>
        <w:spacing w:line="357" w:lineRule="auto" w:before="116"/>
        <w:ind w:left="514" w:right="181" w:firstLine="1"/>
        <w:jc w:val="left"/>
      </w:pPr>
      <w:r>
        <w:rPr>
          <w:rFonts w:ascii="宋体" w:hAnsi="宋体" w:cs="宋体" w:eastAsia="宋体" w:hint="default"/>
          <w:b/>
          <w:bCs/>
        </w:rPr>
        <w:t>（六）董事任期</w:t>
      </w:r>
      <w:r>
        <w:rPr>
          <w:rFonts w:ascii="宋体" w:hAnsi="宋体" w:cs="宋体" w:eastAsia="宋体" w:hint="default"/>
          <w:b/>
          <w:bCs/>
          <w:w w:val="99"/>
        </w:rPr>
        <w:t> </w:t>
      </w:r>
      <w:r>
        <w:rPr>
          <w:spacing w:val="-2"/>
        </w:rPr>
        <w:t>根据《公司章程》，所有董事（包括非执行董事）由股东大会选举产生，任期三年，由</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月起至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月止。董</w:t>
      </w:r>
    </w:p>
    <w:p>
      <w:pPr>
        <w:pStyle w:val="BodyText"/>
        <w:spacing w:line="201" w:lineRule="exact"/>
        <w:ind w:right="0"/>
        <w:jc w:val="left"/>
      </w:pPr>
      <w:r>
        <w:rPr/>
        <w:t>事任期届满，可以连选连任。拟于本公司即将召开之股东周年大会对董事会进行换届选举的各候任董事将不会与公司订立不</w:t>
      </w:r>
    </w:p>
    <w:p>
      <w:pPr>
        <w:pStyle w:val="BodyText"/>
        <w:spacing w:line="319" w:lineRule="auto" w:before="76"/>
        <w:ind w:right="180"/>
        <w:jc w:val="left"/>
      </w:pPr>
      <w:r>
        <w:rPr/>
        <w:t>可于一年内在不予赔偿（法定赔偿除外）之情况下由本集团终止之服务合约。拟向H股东寄发之通函将载有建议于大会上候 任董事之个人资料，以供股东于选举董事时作出知情的决定。</w:t>
      </w:r>
    </w:p>
    <w:p>
      <w:pPr>
        <w:spacing w:line="357" w:lineRule="auto" w:before="56"/>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（七）董事对财务报表的责任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董事申明其有责任就各财政年度，编制真实、公允的反映本公司情况的财务报表。董事认为在财务报表的编制过程中，</w:t>
      </w:r>
    </w:p>
    <w:p>
      <w:pPr>
        <w:pStyle w:val="BodyText"/>
        <w:spacing w:line="225" w:lineRule="exact"/>
        <w:ind w:right="181"/>
        <w:jc w:val="left"/>
      </w:pPr>
      <w:r>
        <w:rPr/>
        <w:t>本公司贯彻了适当的会计政策，并遵守所有相关会计准则。</w:t>
      </w:r>
    </w:p>
    <w:p>
      <w:pPr>
        <w:pStyle w:val="BodyText"/>
        <w:spacing w:line="357" w:lineRule="auto" w:before="117"/>
        <w:ind w:left="514" w:right="181" w:firstLine="1"/>
        <w:jc w:val="left"/>
      </w:pPr>
      <w:r>
        <w:rPr>
          <w:rFonts w:ascii="宋体" w:hAnsi="宋体" w:cs="宋体" w:eastAsia="宋体" w:hint="default"/>
          <w:b/>
          <w:bCs/>
        </w:rPr>
        <w:t>（八）董事委员会</w:t>
      </w:r>
      <w:r>
        <w:rPr>
          <w:rFonts w:ascii="宋体" w:hAnsi="宋体" w:cs="宋体" w:eastAsia="宋体" w:hint="default"/>
          <w:b/>
          <w:bCs/>
          <w:spacing w:val="1"/>
          <w:w w:val="99"/>
        </w:rPr>
        <w:t> </w:t>
      </w:r>
      <w:r>
        <w:rPr>
          <w:spacing w:val="-2"/>
        </w:rPr>
        <w:t>根据企业管治守则，董事会辖下成立三个委员会，分别为审计委员会、薪酬与考核委员会及提名委员会，以监察本公司</w:t>
      </w:r>
    </w:p>
    <w:p>
      <w:pPr>
        <w:pStyle w:val="BodyText"/>
        <w:spacing w:line="357" w:lineRule="auto"/>
        <w:ind w:left="514" w:right="630" w:hanging="360"/>
        <w:jc w:val="left"/>
      </w:pPr>
      <w:r>
        <w:rPr/>
        <w:t>事务之特定范畴。各董事委员会均定有界定书面职权范围。各董事委员会之书面职权范围刊载于联交所及公司网页。 除企业管治守则的规定外，公司亦成立战略委员会，以监察公司长期发展战略规划进行研究并提出建议。</w:t>
      </w:r>
    </w:p>
    <w:p>
      <w:pPr>
        <w:pStyle w:val="BodyText"/>
        <w:spacing w:line="357" w:lineRule="auto" w:before="29"/>
        <w:ind w:left="514" w:right="181" w:firstLine="1"/>
        <w:jc w:val="left"/>
      </w:pPr>
      <w:r>
        <w:rPr>
          <w:rFonts w:ascii="宋体" w:hAnsi="宋体" w:cs="宋体" w:eastAsia="宋体" w:hint="default"/>
          <w:b/>
          <w:bCs/>
        </w:rPr>
        <w:t>（九）审计委员会</w:t>
      </w:r>
      <w:r>
        <w:rPr>
          <w:rFonts w:ascii="宋体" w:hAnsi="宋体" w:cs="宋体" w:eastAsia="宋体" w:hint="default"/>
          <w:b/>
          <w:bCs/>
          <w:spacing w:val="1"/>
          <w:w w:val="99"/>
        </w:rPr>
        <w:t> </w:t>
      </w:r>
      <w:r>
        <w:rPr>
          <w:spacing w:val="-2"/>
        </w:rPr>
        <w:t>公司审计委员会由公司三名独立非执行董事及两名非执行董事组成，主要负责公司内、外部审计的沟通、监督和核查工</w:t>
      </w:r>
    </w:p>
    <w:p>
      <w:pPr>
        <w:pStyle w:val="BodyText"/>
        <w:spacing w:line="224" w:lineRule="exact"/>
        <w:ind w:right="0"/>
        <w:jc w:val="left"/>
      </w:pPr>
      <w:r>
        <w:rPr/>
        <w:t>作。审计委员会主任为独立非执行董事张宏，委员包括崔友平、王凤荣、王爱国及张志元。王爱国具备香港上市规则对该委</w:t>
      </w:r>
    </w:p>
    <w:p>
      <w:pPr>
        <w:pStyle w:val="BodyText"/>
        <w:spacing w:line="357" w:lineRule="auto" w:before="77"/>
        <w:ind w:left="514" w:right="180" w:hanging="360"/>
        <w:jc w:val="left"/>
      </w:pPr>
      <w:r>
        <w:rPr/>
        <w:t>任所要求之适当专业资格，或具备适当的会计或相关财务管理专长。 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）监督公司的内部审计制度及实施；（</w:t>
      </w:r>
      <w:r>
        <w:rPr>
          <w:rFonts w:ascii="Times New Roman" w:hAnsi="Times New Roman" w:cs="Times New Roman" w:eastAsia="Times New Roman" w:hint="default"/>
        </w:rPr>
        <w:t>3</w:t>
      </w:r>
      <w:r>
        <w:rPr/>
        <w:t>）</w:t>
      </w:r>
    </w:p>
    <w:p>
      <w:pPr>
        <w:pStyle w:val="BodyText"/>
        <w:spacing w:line="214" w:lineRule="exact"/>
        <w:ind w:right="0"/>
        <w:jc w:val="left"/>
      </w:pPr>
      <w:r>
        <w:rPr/>
        <w:t>负责内部审计与外部审计之间的沟通；（</w:t>
      </w:r>
      <w:r>
        <w:rPr>
          <w:rFonts w:ascii="Times New Roman" w:hAnsi="Times New Roman" w:cs="Times New Roman" w:eastAsia="Times New Roman" w:hint="default"/>
        </w:rPr>
        <w:t>4</w:t>
      </w:r>
      <w:r>
        <w:rPr/>
        <w:t>）审核公司的财务资讯及其披露；（</w:t>
      </w:r>
      <w:r>
        <w:rPr>
          <w:rFonts w:ascii="Times New Roman" w:hAnsi="Times New Roman" w:cs="Times New Roman" w:eastAsia="Times New Roman" w:hint="default"/>
        </w:rPr>
        <w:t>5</w:t>
      </w:r>
      <w:r>
        <w:rPr/>
        <w:t>）审查公司内控制度，对重大关联交易进行</w:t>
      </w:r>
    </w:p>
    <w:p>
      <w:pPr>
        <w:pStyle w:val="BodyText"/>
        <w:spacing w:line="338" w:lineRule="auto" w:before="64"/>
        <w:ind w:left="514" w:right="270" w:hanging="360"/>
        <w:jc w:val="left"/>
        <w:rPr>
          <w:rFonts w:ascii="Times New Roman" w:hAnsi="Times New Roman" w:cs="Times New Roman" w:eastAsia="Times New Roman" w:hint="default"/>
        </w:rPr>
      </w:pPr>
      <w:r>
        <w:rPr/>
        <w:t>审计；（</w:t>
      </w:r>
      <w:r>
        <w:rPr>
          <w:rFonts w:ascii="Times New Roman" w:hAnsi="Times New Roman" w:cs="Times New Roman" w:eastAsia="Times New Roman" w:hint="default"/>
        </w:rPr>
        <w:t>6</w:t>
      </w:r>
      <w:r>
        <w:rPr/>
        <w:t>）公司董事会授予的其他事宜。 审计委员会已经联同管理层讨论本集团所采纳的会计准则及惯例，并讨论审阅了本报告，包括审阅了本集团截止</w:t>
      </w:r>
      <w:r>
        <w:rPr>
          <w:rFonts w:ascii="Times New Roman" w:hAnsi="Times New Roman" w:cs="Times New Roman" w:eastAsia="Times New Roman" w:hint="default"/>
        </w:rPr>
        <w:t>2012</w:t>
      </w:r>
    </w:p>
    <w:p>
      <w:pPr>
        <w:pStyle w:val="BodyText"/>
        <w:spacing w:line="231" w:lineRule="exact"/>
        <w:ind w:right="181"/>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pStyle w:val="BodyText"/>
        <w:spacing w:line="240" w:lineRule="auto" w:before="102"/>
        <w:ind w:left="514" w:right="181"/>
        <w:jc w:val="left"/>
      </w:pPr>
      <w:r>
        <w:rPr/>
        <w:t>审计委员会在报告期内会议情况详见本章节第三部分。</w:t>
      </w:r>
    </w:p>
    <w:p>
      <w:pPr>
        <w:pStyle w:val="BodyText"/>
        <w:spacing w:line="357" w:lineRule="auto" w:before="116"/>
        <w:ind w:left="514" w:right="181" w:firstLine="1"/>
        <w:jc w:val="left"/>
      </w:pPr>
      <w:r>
        <w:rPr>
          <w:rFonts w:ascii="宋体" w:hAnsi="宋体" w:cs="宋体" w:eastAsia="宋体" w:hint="default"/>
          <w:b/>
          <w:bCs/>
        </w:rPr>
        <w:t>（十）薪酬与考核委员会</w:t>
      </w:r>
      <w:r>
        <w:rPr>
          <w:rFonts w:ascii="宋体" w:hAnsi="宋体" w:cs="宋体" w:eastAsia="宋体" w:hint="default"/>
          <w:b/>
          <w:bCs/>
          <w:spacing w:val="1"/>
          <w:w w:val="99"/>
        </w:rPr>
        <w:t> </w:t>
      </w:r>
      <w:r>
        <w:rPr>
          <w:spacing w:val="-2"/>
        </w:rPr>
        <w:t>本公司已成立薪酬与考核委员会，由五名董事组成，包括主任委员王爱国、委员陈洪国、尹同远、张志元及王玉玫，其</w:t>
      </w:r>
    </w:p>
    <w:p>
      <w:pPr>
        <w:pStyle w:val="BodyText"/>
        <w:spacing w:line="224" w:lineRule="exact"/>
        <w:ind w:right="0"/>
        <w:jc w:val="left"/>
      </w:pPr>
      <w:r>
        <w:rPr/>
        <w:t>中三名（包括主任委员）为独立非执行董事，符合《企业管治常规守则》的规定。薪酬与考核委员会主要负责制定公司董事</w:t>
      </w:r>
    </w:p>
    <w:p>
      <w:pPr>
        <w:pStyle w:val="BodyText"/>
        <w:spacing w:line="357" w:lineRule="auto" w:before="77"/>
        <w:ind w:left="514" w:right="180" w:hanging="360"/>
        <w:jc w:val="left"/>
      </w:pPr>
      <w:r>
        <w:rPr/>
        <w:t>及经理人员的考核标准并进行考核；负责制定、审查公司董事及经理人员的薪酬政策与方案，对董事会负责。 本公司薪酬与考核委员会的主要职责是：（</w:t>
      </w:r>
      <w:r>
        <w:rPr>
          <w:rFonts w:ascii="Times New Roman" w:hAnsi="Times New Roman" w:cs="Times New Roman" w:eastAsia="Times New Roman" w:hint="default"/>
        </w:rPr>
        <w:t>1</w:t>
      </w:r>
      <w:r>
        <w:rPr/>
        <w:t>）根据董事及高级管理人员管理岗位的主要范围、职责、重要性及其他相</w:t>
      </w:r>
    </w:p>
    <w:p>
      <w:pPr>
        <w:pStyle w:val="BodyText"/>
        <w:spacing w:line="214" w:lineRule="exact"/>
        <w:ind w:right="99"/>
        <w:jc w:val="left"/>
      </w:pPr>
      <w:r>
        <w:rPr/>
        <w:t>关企业相关岗位的薪酬水平制定薪酬计划或方案；（</w:t>
      </w:r>
      <w:r>
        <w:rPr>
          <w:rFonts w:ascii="Times New Roman" w:hAnsi="Times New Roman" w:cs="Times New Roman" w:eastAsia="Times New Roman" w:hint="default"/>
        </w:rPr>
        <w:t>2</w:t>
      </w:r>
      <w:r>
        <w:rPr/>
        <w:t>）薪酬计划或方案主要包括但不限于绩效评价标准、程式及主要评价</w:t>
      </w:r>
    </w:p>
    <w:p>
      <w:pPr>
        <w:pStyle w:val="BodyText"/>
        <w:spacing w:line="302" w:lineRule="auto" w:before="62"/>
        <w:ind w:right="180"/>
        <w:jc w:val="left"/>
      </w:pPr>
      <w:r>
        <w:rPr/>
        <w:t>体系，奖励和惩罚的主要方案和制度等；（</w:t>
      </w:r>
      <w:r>
        <w:rPr>
          <w:rFonts w:ascii="Times New Roman" w:hAnsi="Times New Roman" w:cs="Times New Roman" w:eastAsia="Times New Roman" w:hint="default"/>
        </w:rPr>
        <w:t>3</w:t>
      </w:r>
      <w:r>
        <w:rPr/>
        <w:t>）审查公司董事（非独立非执行董事）及高级管理人员的履行职责情况并对其 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）董事会授权的其他事宜。</w:t>
      </w:r>
    </w:p>
    <w:p>
      <w:pPr>
        <w:pStyle w:val="BodyText"/>
        <w:spacing w:line="240" w:lineRule="auto" w:before="50"/>
        <w:ind w:left="514" w:right="181"/>
        <w:jc w:val="left"/>
      </w:pPr>
      <w:r>
        <w:rPr/>
        <w:t>薪酬与考核委员会在本报告期内会议情况详见本章节第三部分。</w:t>
      </w:r>
    </w:p>
    <w:p>
      <w:pPr>
        <w:pStyle w:val="BodyText"/>
        <w:spacing w:line="357" w:lineRule="auto" w:before="117"/>
        <w:ind w:left="514" w:right="181" w:firstLine="1"/>
        <w:jc w:val="left"/>
      </w:pPr>
      <w:r>
        <w:rPr>
          <w:rFonts w:ascii="宋体" w:hAnsi="宋体" w:cs="宋体" w:eastAsia="宋体" w:hint="default"/>
          <w:b/>
          <w:bCs/>
        </w:rPr>
        <w:t>（十一）提名委员会</w:t>
      </w:r>
      <w:r>
        <w:rPr>
          <w:rFonts w:ascii="宋体" w:hAnsi="宋体" w:cs="宋体" w:eastAsia="宋体" w:hint="default"/>
          <w:b/>
          <w:bCs/>
          <w:spacing w:val="1"/>
          <w:w w:val="99"/>
        </w:rPr>
        <w:t> </w:t>
      </w:r>
      <w:r>
        <w:rPr>
          <w:spacing w:val="-2"/>
        </w:rPr>
        <w:t>本公司已成立提名委员会，由五名董事组成，包括主任委员张志元，委员陈洪国、尹同远、王翔飞及王玉玫，其中三名</w:t>
      </w:r>
    </w:p>
    <w:p>
      <w:pPr>
        <w:pStyle w:val="BodyText"/>
        <w:spacing w:line="224" w:lineRule="exact"/>
        <w:ind w:right="0"/>
        <w:jc w:val="left"/>
      </w:pPr>
      <w:r>
        <w:rPr/>
        <w:t>（包括主任委员）为独立非执行董事，符合《企业管治常规守则》的规定。提名委员会主要负责对公司董事和经理人员的人</w:t>
      </w:r>
    </w:p>
    <w:p>
      <w:pPr>
        <w:pStyle w:val="BodyText"/>
        <w:spacing w:line="357" w:lineRule="auto" w:before="77"/>
        <w:ind w:left="514" w:right="180" w:hanging="360"/>
        <w:jc w:val="left"/>
      </w:pPr>
      <w:r>
        <w:rPr/>
        <w:t>选、选择标准和程式进行选择并提出建议。 本公司提名委员会的主要职责是：（</w:t>
      </w:r>
      <w:r>
        <w:rPr>
          <w:rFonts w:ascii="Times New Roman" w:hAnsi="Times New Roman" w:cs="Times New Roman" w:eastAsia="Times New Roman" w:hint="default"/>
        </w:rPr>
        <w:t>1</w:t>
      </w:r>
      <w:r>
        <w:rPr/>
        <w:t>）根据公司经营活动情况、资产规模和股权结构对董事会的规模和构成向董事会</w:t>
      </w:r>
    </w:p>
    <w:p>
      <w:pPr>
        <w:pStyle w:val="BodyText"/>
        <w:spacing w:line="214" w:lineRule="exact"/>
        <w:ind w:right="0" w:hanging="1"/>
        <w:jc w:val="left"/>
      </w:pPr>
      <w:r>
        <w:rPr/>
        <w:t>提出建议；（</w:t>
      </w:r>
      <w:r>
        <w:rPr>
          <w:rFonts w:ascii="Times New Roman" w:hAnsi="Times New Roman" w:cs="Times New Roman" w:eastAsia="Times New Roman" w:hint="default"/>
        </w:rPr>
        <w:t>2</w:t>
      </w:r>
      <w:r>
        <w:rPr/>
        <w:t>）研究董事、经理人员的选择标准和程式，并向董事会提出建议；（</w:t>
      </w:r>
      <w:r>
        <w:rPr>
          <w:rFonts w:ascii="Times New Roman" w:hAnsi="Times New Roman" w:cs="Times New Roman" w:eastAsia="Times New Roman" w:hint="default"/>
        </w:rPr>
        <w:t>3</w:t>
      </w:r>
      <w:r>
        <w:rPr/>
        <w:t>）广泛搜寻合格的董事和经理人员的人</w:t>
      </w:r>
    </w:p>
    <w:p>
      <w:pPr>
        <w:pStyle w:val="BodyText"/>
        <w:spacing w:line="302" w:lineRule="auto" w:before="63"/>
        <w:ind w:left="153" w:right="181"/>
        <w:jc w:val="left"/>
      </w:pPr>
      <w:r>
        <w:rPr>
          <w:spacing w:val="-2"/>
        </w:rPr>
        <w:t>选；（</w:t>
      </w:r>
      <w:r>
        <w:rPr>
          <w:rFonts w:ascii="Times New Roman" w:hAnsi="Times New Roman" w:cs="Times New Roman" w:eastAsia="Times New Roman" w:hint="default"/>
          <w:spacing w:val="-2"/>
        </w:rPr>
        <w:t>4</w:t>
      </w:r>
      <w:r>
        <w:rPr>
          <w:spacing w:val="-2"/>
        </w:rPr>
        <w:t>）对董事候选人和经理人选进行审查并提出建议；（</w:t>
      </w:r>
      <w:r>
        <w:rPr>
          <w:rFonts w:ascii="Times New Roman" w:hAnsi="Times New Roman" w:cs="Times New Roman" w:eastAsia="Times New Roman" w:hint="default"/>
          <w:spacing w:val="-2"/>
        </w:rPr>
        <w:t>5</w:t>
      </w:r>
      <w:r>
        <w:rPr>
          <w:spacing w:val="-2"/>
        </w:rPr>
        <w:t>）对须提请董事会聘任的其他高级管理人员进行审查并提出建</w:t>
      </w:r>
      <w:r>
        <w:rPr>
          <w:spacing w:val="-67"/>
        </w:rPr>
        <w:t> </w:t>
      </w:r>
      <w:r>
        <w:rPr>
          <w:spacing w:val="-67"/>
        </w:rPr>
      </w:r>
      <w:r>
        <w:rPr/>
        <w:t>议；（</w:t>
      </w:r>
      <w:r>
        <w:rPr>
          <w:rFonts w:ascii="Times New Roman" w:hAnsi="Times New Roman" w:cs="Times New Roman" w:eastAsia="Times New Roman" w:hint="default"/>
        </w:rPr>
        <w:t>6</w:t>
      </w:r>
      <w:r>
        <w:rPr/>
        <w:t>）董事会授权的其他事宜。</w:t>
      </w:r>
    </w:p>
    <w:p>
      <w:pPr>
        <w:pStyle w:val="BodyText"/>
        <w:spacing w:line="300" w:lineRule="auto" w:before="50"/>
        <w:ind w:left="153" w:right="181" w:firstLine="360"/>
        <w:jc w:val="left"/>
      </w:pPr>
      <w:r>
        <w:rPr>
          <w:spacing w:val="-1"/>
        </w:rPr>
        <w:t>提名委员会于报告期内研究公司对新董事及经理人员的需要后，透过不同途径</w:t>
      </w:r>
      <w:r>
        <w:rPr>
          <w:rFonts w:ascii="Times New Roman" w:hAnsi="Times New Roman" w:cs="Times New Roman" w:eastAsia="Times New Roman" w:hint="default"/>
          <w:spacing w:val="-1"/>
        </w:rPr>
        <w:t>(</w:t>
      </w:r>
      <w:r>
        <w:rPr>
          <w:spacing w:val="-1"/>
        </w:rPr>
        <w:t>包括在本集团内部及人才市场</w:t>
      </w:r>
      <w:r>
        <w:rPr>
          <w:rFonts w:ascii="Times New Roman" w:hAnsi="Times New Roman" w:cs="Times New Roman" w:eastAsia="Times New Roman" w:hint="default"/>
          <w:spacing w:val="-1"/>
        </w:rPr>
        <w:t>)</w:t>
      </w:r>
      <w:r>
        <w:rPr>
          <w:spacing w:val="-1"/>
        </w:rPr>
        <w:t>广泛寻找</w:t>
      </w:r>
      <w:r>
        <w:rPr/>
        <w:t> </w:t>
      </w:r>
      <w:r>
        <w:rPr>
          <w:spacing w:val="-2"/>
        </w:rPr>
        <w:t>合适的董事及经理人员人选。在得到被提名人对提名的同意后，提名委员会将召集会议对初选人员进行资格审查，审查的标</w:t>
      </w:r>
    </w:p>
    <w:p>
      <w:pPr>
        <w:spacing w:after="0" w:line="300" w:lineRule="auto"/>
        <w:jc w:val="left"/>
        <w:sectPr>
          <w:footerReference w:type="default" r:id="rId25"/>
          <w:pgSz w:w="11910" w:h="16840"/>
          <w:pgMar w:footer="982" w:header="747" w:top="1060" w:bottom="1180" w:left="980" w:right="940"/>
          <w:pgNumType w:start="68"/>
        </w:sectPr>
      </w:pPr>
    </w:p>
    <w:p>
      <w:pPr>
        <w:spacing w:line="240" w:lineRule="auto" w:before="12"/>
        <w:rPr>
          <w:rFonts w:ascii="宋体" w:hAnsi="宋体" w:cs="宋体" w:eastAsia="宋体" w:hint="default"/>
          <w:sz w:val="25"/>
          <w:szCs w:val="25"/>
        </w:rPr>
      </w:pPr>
    </w:p>
    <w:p>
      <w:pPr>
        <w:pStyle w:val="BodyText"/>
        <w:spacing w:line="319" w:lineRule="auto" w:before="44"/>
        <w:ind w:left="153" w:right="181"/>
        <w:jc w:val="left"/>
      </w:pPr>
      <w:r>
        <w:rPr>
          <w:spacing w:val="-2"/>
        </w:rPr>
        <w:t>准包括初选人员的学历、相关经验及专门技术等。在选举新董事前一个月，提名委员会向董事会提出董事候选人的建议和相</w:t>
      </w:r>
      <w:r>
        <w:rPr>
          <w:spacing w:val="-66"/>
        </w:rPr>
        <w:t> </w:t>
      </w:r>
      <w:r>
        <w:rPr>
          <w:spacing w:val="-66"/>
        </w:rPr>
      </w:r>
      <w:r>
        <w:rPr/>
        <w:t>关材料；在聘任新的高级管理人员前，提名委员会向董事会提出新聘高级管理人员人选的建议和相关材料。</w:t>
      </w:r>
    </w:p>
    <w:p>
      <w:pPr>
        <w:pStyle w:val="BodyText"/>
        <w:spacing w:line="240" w:lineRule="auto" w:before="56"/>
        <w:ind w:left="513" w:right="181"/>
        <w:jc w:val="left"/>
      </w:pPr>
      <w:r>
        <w:rPr/>
        <w:t>提名委员会在本报告期内会议情况详见本章节第三部分。</w:t>
      </w:r>
    </w:p>
    <w:p>
      <w:pPr>
        <w:pStyle w:val="BodyText"/>
        <w:spacing w:line="357" w:lineRule="auto" w:before="117"/>
        <w:ind w:left="513" w:right="181" w:firstLine="1"/>
        <w:jc w:val="left"/>
      </w:pPr>
      <w:r>
        <w:rPr>
          <w:rFonts w:ascii="宋体" w:hAnsi="宋体" w:cs="宋体" w:eastAsia="宋体" w:hint="default"/>
          <w:b/>
          <w:bCs/>
        </w:rPr>
        <w:t>（十二）战略委员会</w:t>
      </w:r>
      <w:r>
        <w:rPr>
          <w:rFonts w:ascii="宋体" w:hAnsi="宋体" w:cs="宋体" w:eastAsia="宋体" w:hint="default"/>
          <w:b/>
          <w:bCs/>
          <w:spacing w:val="1"/>
          <w:w w:val="99"/>
        </w:rPr>
        <w:t> </w:t>
      </w:r>
      <w:r>
        <w:rPr>
          <w:spacing w:val="-2"/>
        </w:rPr>
        <w:t>本公司已成立战略委员会，由七名董事组成，包括主任委员陈洪国，委员尹同远、李峰、周少华、王翔飞、张志元及张</w:t>
      </w:r>
    </w:p>
    <w:p>
      <w:pPr>
        <w:pStyle w:val="BodyText"/>
        <w:spacing w:line="357" w:lineRule="auto"/>
        <w:ind w:left="513" w:right="181" w:hanging="360"/>
        <w:jc w:val="left"/>
      </w:pPr>
      <w:r>
        <w:rPr/>
        <w:t>宏。战略委员会主要负责对公司长期发展战略和重大投资决策进行研究并提出建议。 </w:t>
      </w:r>
      <w:r>
        <w:rPr>
          <w:spacing w:val="-2"/>
        </w:rPr>
        <w:t>本公司战略委员会的主要职责是：（</w:t>
      </w:r>
      <w:r>
        <w:rPr>
          <w:rFonts w:ascii="Times New Roman" w:hAnsi="Times New Roman" w:cs="Times New Roman" w:eastAsia="Times New Roman" w:hint="default"/>
          <w:spacing w:val="-2"/>
        </w:rPr>
        <w:t>1</w:t>
      </w:r>
      <w:r>
        <w:rPr>
          <w:spacing w:val="-2"/>
        </w:rPr>
        <w:t>）公司长期发展战略规划进行研究并提出建议；（</w:t>
      </w:r>
      <w:r>
        <w:rPr>
          <w:rFonts w:ascii="Times New Roman" w:hAnsi="Times New Roman" w:cs="Times New Roman" w:eastAsia="Times New Roman" w:hint="default"/>
          <w:spacing w:val="-2"/>
        </w:rPr>
        <w:t>2</w:t>
      </w:r>
      <w:r>
        <w:rPr>
          <w:spacing w:val="-2"/>
        </w:rPr>
        <w:t>）对《公司章程》规定的须董</w:t>
      </w:r>
    </w:p>
    <w:p>
      <w:pPr>
        <w:pStyle w:val="BodyText"/>
        <w:spacing w:line="214" w:lineRule="exact"/>
        <w:ind w:left="153" w:right="99"/>
        <w:jc w:val="left"/>
      </w:pPr>
      <w:r>
        <w:rPr/>
        <w:t>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w:t>
      </w:r>
    </w:p>
    <w:p>
      <w:pPr>
        <w:pStyle w:val="BodyText"/>
        <w:spacing w:line="240" w:lineRule="auto" w:before="62"/>
        <w:ind w:left="153" w:right="99"/>
        <w:jc w:val="left"/>
      </w:pPr>
      <w:r>
        <w:rPr>
          <w:spacing w:val="-4"/>
        </w:rPr>
        <w:t>营项目进行研究并提出建议；（</w:t>
      </w:r>
      <w:r>
        <w:rPr>
          <w:rFonts w:ascii="Times New Roman" w:hAnsi="Times New Roman" w:cs="Times New Roman" w:eastAsia="Times New Roman" w:hint="default"/>
          <w:spacing w:val="-4"/>
        </w:rPr>
        <w:t>4</w:t>
      </w:r>
      <w:r>
        <w:rPr>
          <w:spacing w:val="-4"/>
        </w:rPr>
        <w:t>）对其他影响公司发展的重大事项进行研究并提出建议；（</w:t>
      </w:r>
      <w:r>
        <w:rPr>
          <w:rFonts w:ascii="Times New Roman" w:hAnsi="Times New Roman" w:cs="Times New Roman" w:eastAsia="Times New Roman" w:hint="default"/>
          <w:spacing w:val="-4"/>
        </w:rPr>
        <w:t>5</w:t>
      </w:r>
      <w:r>
        <w:rPr>
          <w:spacing w:val="-4"/>
        </w:rPr>
        <w:t>）对以上事项的实施进行检查；</w:t>
      </w:r>
    </w:p>
    <w:p>
      <w:pPr>
        <w:pStyle w:val="BodyText"/>
        <w:spacing w:line="240" w:lineRule="auto" w:before="64"/>
        <w:ind w:left="153" w:right="181"/>
        <w:jc w:val="left"/>
      </w:pPr>
      <w:r>
        <w:rPr/>
        <w:t>（</w:t>
      </w:r>
      <w:r>
        <w:rPr>
          <w:rFonts w:ascii="Times New Roman" w:hAnsi="Times New Roman" w:cs="Times New Roman" w:eastAsia="Times New Roman" w:hint="default"/>
        </w:rPr>
        <w:t>6</w:t>
      </w:r>
      <w:r>
        <w:rPr/>
        <w:t>）董事会授权的其他事宜。</w:t>
      </w:r>
    </w:p>
    <w:p>
      <w:pPr>
        <w:pStyle w:val="Heading6"/>
        <w:spacing w:line="240" w:lineRule="auto" w:before="103"/>
        <w:ind w:left="515" w:right="181"/>
        <w:jc w:val="left"/>
        <w:rPr>
          <w:b w:val="0"/>
          <w:bCs w:val="0"/>
        </w:rPr>
      </w:pPr>
      <w:r>
        <w:rPr/>
        <w:t>（十三）核数师</w:t>
      </w:r>
      <w:r>
        <w:rPr>
          <w:b w:val="0"/>
          <w:bCs w:val="0"/>
        </w:rPr>
      </w:r>
    </w:p>
    <w:p>
      <w:pPr>
        <w:pStyle w:val="BodyText"/>
        <w:spacing w:line="302" w:lineRule="auto" w:before="115"/>
        <w:ind w:right="181" w:firstLine="360"/>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日本公司董事会、及</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日本公司</w:t>
      </w:r>
      <w:r>
        <w:rPr>
          <w:rFonts w:ascii="Times New Roman" w:hAnsi="Times New Roman" w:cs="Times New Roman" w:eastAsia="Times New Roman" w:hint="default"/>
          <w:spacing w:val="-2"/>
        </w:rPr>
        <w:t>2010</w:t>
      </w:r>
      <w:r>
        <w:rPr>
          <w:spacing w:val="-2"/>
        </w:rPr>
        <w:t>年第二次临时股东大会审议批准聘任中瑞岳华会计师事务</w:t>
      </w:r>
      <w:r>
        <w:rPr/>
        <w:t> 所、中瑞岳华（香港）会计师事务所负责本公司</w:t>
      </w:r>
      <w:r>
        <w:rPr>
          <w:rFonts w:ascii="Times New Roman" w:hAnsi="Times New Roman" w:cs="Times New Roman" w:eastAsia="Times New Roman" w:hint="default"/>
        </w:rPr>
        <w:t>2010</w:t>
      </w:r>
      <w:r>
        <w:rPr/>
        <w:t>年度境内及境外审计工作。</w:t>
      </w:r>
    </w:p>
    <w:p>
      <w:pPr>
        <w:pStyle w:val="BodyText"/>
        <w:spacing w:line="302" w:lineRule="auto" w:before="49"/>
        <w:ind w:right="180"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日，本公司</w:t>
      </w:r>
      <w:r>
        <w:rPr>
          <w:rFonts w:ascii="Times New Roman" w:hAnsi="Times New Roman" w:cs="Times New Roman" w:eastAsia="Times New Roman" w:hint="default"/>
        </w:rPr>
        <w:t>2010</w:t>
      </w:r>
      <w:r>
        <w:rPr/>
        <w:t>年度股东大会同意继续聘任中瑞岳华会计师事务所（特殊普通合伙）作为本公司</w:t>
      </w:r>
      <w:r>
        <w:rPr>
          <w:rFonts w:ascii="Times New Roman" w:hAnsi="Times New Roman" w:cs="Times New Roman" w:eastAsia="Times New Roman" w:hint="default"/>
        </w:rPr>
        <w:t>2011</w:t>
      </w:r>
      <w:r>
        <w:rPr/>
        <w:t>年度 境内审计机构，负责本公司</w:t>
      </w:r>
      <w:r>
        <w:rPr>
          <w:rFonts w:ascii="Times New Roman" w:hAnsi="Times New Roman" w:cs="Times New Roman" w:eastAsia="Times New Roman" w:hint="default"/>
        </w:rPr>
        <w:t>2011</w:t>
      </w:r>
      <w:r>
        <w:rPr/>
        <w:t>年度境内审计工作。</w:t>
      </w:r>
    </w:p>
    <w:p>
      <w:pPr>
        <w:pStyle w:val="BodyText"/>
        <w:spacing w:line="302" w:lineRule="auto" w:before="50"/>
        <w:ind w:right="18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日，本公司</w:t>
      </w:r>
      <w:r>
        <w:rPr>
          <w:rFonts w:ascii="Times New Roman" w:hAnsi="Times New Roman" w:cs="Times New Roman" w:eastAsia="Times New Roman" w:hint="default"/>
        </w:rPr>
        <w:t>2011</w:t>
      </w:r>
      <w:r>
        <w:rPr/>
        <w:t>年度股东大会同意继续聘任中瑞岳华会计师事务所（特殊普通合伙）作为本公司</w:t>
      </w:r>
      <w:r>
        <w:rPr>
          <w:rFonts w:ascii="Times New Roman" w:hAnsi="Times New Roman" w:cs="Times New Roman" w:eastAsia="Times New Roman" w:hint="default"/>
        </w:rPr>
        <w:t>2012</w:t>
      </w:r>
      <w:r>
        <w:rPr/>
        <w:t>年度 境内审计机构，负责本公司</w:t>
      </w:r>
      <w:r>
        <w:rPr>
          <w:rFonts w:ascii="Times New Roman" w:hAnsi="Times New Roman" w:cs="Times New Roman" w:eastAsia="Times New Roman" w:hint="default"/>
        </w:rPr>
        <w:t>2012</w:t>
      </w:r>
      <w:r>
        <w:rPr/>
        <w:t>年度境内审计工作。</w:t>
      </w:r>
    </w:p>
    <w:p>
      <w:pPr>
        <w:pStyle w:val="BodyText"/>
        <w:spacing w:line="319" w:lineRule="auto" w:before="49"/>
        <w:ind w:right="181" w:firstLine="360"/>
        <w:jc w:val="left"/>
      </w:pPr>
      <w:r>
        <w:rPr>
          <w:spacing w:val="-2"/>
        </w:rPr>
        <w:t>由中瑞岳华会计师事务所（特殊普通合伙）续任本公司2013年度境内审计机构之决议，将于即将召开之股东周年大会上</w:t>
      </w:r>
      <w:r>
        <w:rPr/>
        <w:t> 提呈。</w:t>
      </w:r>
    </w:p>
    <w:p>
      <w:pPr>
        <w:pStyle w:val="BodyText"/>
        <w:spacing w:line="357" w:lineRule="auto" w:before="56"/>
        <w:ind w:left="514" w:right="181" w:firstLine="1"/>
        <w:jc w:val="left"/>
      </w:pPr>
      <w:r>
        <w:rPr>
          <w:rFonts w:ascii="宋体" w:hAnsi="宋体" w:cs="宋体" w:eastAsia="宋体" w:hint="default"/>
          <w:b/>
          <w:bCs/>
        </w:rPr>
        <w:t>（十四）核数师酬金</w:t>
      </w:r>
      <w:r>
        <w:rPr>
          <w:rFonts w:ascii="宋体" w:hAnsi="宋体" w:cs="宋体" w:eastAsia="宋体" w:hint="default"/>
          <w:b/>
          <w:bCs/>
          <w:spacing w:val="1"/>
          <w:w w:val="99"/>
        </w:rPr>
        <w:t> </w:t>
      </w:r>
      <w:r>
        <w:rPr>
          <w:spacing w:val="-2"/>
        </w:rPr>
        <w:t>中瑞岳华会计师事务所（特殊普通合伙）负责对本集团按照企业会计准则编制</w:t>
      </w:r>
      <w:r>
        <w:rPr>
          <w:rFonts w:ascii="Times New Roman" w:hAnsi="Times New Roman" w:cs="Times New Roman" w:eastAsia="Times New Roman" w:hint="default"/>
          <w:spacing w:val="-2"/>
        </w:rPr>
        <w:t>2012</w:t>
      </w:r>
      <w:r>
        <w:rPr>
          <w:spacing w:val="-2"/>
        </w:rPr>
        <w:t>年度财务报表。公司</w:t>
      </w:r>
      <w:r>
        <w:rPr>
          <w:rFonts w:ascii="Times New Roman" w:hAnsi="Times New Roman" w:cs="Times New Roman" w:eastAsia="Times New Roman" w:hint="default"/>
          <w:spacing w:val="-2"/>
        </w:rPr>
        <w:t>2012</w:t>
      </w:r>
      <w:r>
        <w:rPr>
          <w:spacing w:val="-2"/>
        </w:rPr>
        <w:t>年度向核数</w:t>
      </w:r>
    </w:p>
    <w:p>
      <w:pPr>
        <w:pStyle w:val="BodyText"/>
        <w:spacing w:line="214" w:lineRule="exact"/>
        <w:ind w:right="99"/>
        <w:jc w:val="left"/>
      </w:pPr>
      <w:r>
        <w:rPr/>
        <w:t>师支付了财务报告审计费用人民币</w:t>
      </w:r>
      <w:r>
        <w:rPr>
          <w:rFonts w:ascii="Times New Roman" w:hAnsi="Times New Roman" w:cs="Times New Roman" w:eastAsia="Times New Roman" w:hint="default"/>
        </w:rPr>
        <w:t>200</w:t>
      </w:r>
      <w:r>
        <w:rPr/>
        <w:t>万元，非审计服务费用为人民币</w:t>
      </w:r>
      <w:r>
        <w:rPr>
          <w:rFonts w:ascii="Times New Roman" w:hAnsi="Times New Roman" w:cs="Times New Roman" w:eastAsia="Times New Roman" w:hint="default"/>
        </w:rPr>
        <w:t>60</w:t>
      </w:r>
      <w:r>
        <w:rPr/>
        <w:t>万元，费用用于内部控制审计，除此之外，年内无</w:t>
      </w:r>
    </w:p>
    <w:p>
      <w:pPr>
        <w:pStyle w:val="BodyText"/>
        <w:spacing w:line="357" w:lineRule="auto" w:before="64"/>
        <w:ind w:left="514" w:right="180" w:hanging="360"/>
        <w:jc w:val="left"/>
        <w:rPr>
          <w:rFonts w:ascii="Times New Roman" w:hAnsi="Times New Roman" w:cs="Times New Roman" w:eastAsia="Times New Roman" w:hint="default"/>
        </w:rPr>
      </w:pPr>
      <w:r>
        <w:rPr/>
        <w:t>其他非审计服务费用。 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日举行的</w:t>
      </w:r>
      <w:r>
        <w:rPr>
          <w:rFonts w:ascii="Times New Roman" w:hAnsi="Times New Roman" w:cs="Times New Roman" w:eastAsia="Times New Roman" w:hint="default"/>
        </w:rPr>
        <w:t>2011</w:t>
      </w:r>
      <w:r>
        <w:rPr/>
        <w:t>年度股东大会通过决议聘任中瑞岳华会计师事务所（特殊普通合伙）作为公司</w:t>
      </w:r>
      <w:r>
        <w:rPr>
          <w:rFonts w:ascii="Times New Roman" w:hAnsi="Times New Roman" w:cs="Times New Roman" w:eastAsia="Times New Roman" w:hint="default"/>
        </w:rPr>
        <w:t>2012</w:t>
      </w:r>
    </w:p>
    <w:p>
      <w:pPr>
        <w:pStyle w:val="BodyText"/>
        <w:spacing w:line="202" w:lineRule="exact"/>
        <w:ind w:right="181"/>
        <w:jc w:val="left"/>
      </w:pPr>
      <w:r>
        <w:rPr/>
        <w:t>年度财务审计机构。</w:t>
      </w:r>
    </w:p>
    <w:p>
      <w:pPr>
        <w:pStyle w:val="BodyText"/>
        <w:spacing w:line="240" w:lineRule="auto" w:before="116"/>
        <w:ind w:left="514" w:right="0"/>
        <w:jc w:val="left"/>
      </w:pPr>
      <w:r>
        <w:rPr/>
        <w:t>中瑞岳华会计师事务所对本集团财务呈报所承担责任的声明分别载于本年度报告中境内审计师报告第二节</w:t>
      </w:r>
      <w:r>
        <w:rPr>
          <w:spacing w:val="-87"/>
        </w:rPr>
        <w:t>内</w:t>
      </w:r>
      <w:r>
        <w:rPr/>
        <w:t>（第</w:t>
      </w:r>
      <w:r>
        <w:rPr>
          <w:rFonts w:ascii="Times New Roman" w:hAnsi="Times New Roman" w:cs="Times New Roman" w:eastAsia="Times New Roman" w:hint="default"/>
        </w:rPr>
        <w:t>77</w:t>
      </w:r>
      <w:r>
        <w:rPr/>
        <w:t>页</w:t>
      </w:r>
      <w:r>
        <w:rPr>
          <w:spacing w:val="-87"/>
        </w:rPr>
        <w:t>）</w:t>
      </w:r>
      <w:r>
        <w:rPr/>
        <w:t>。</w:t>
      </w:r>
    </w:p>
    <w:p>
      <w:pPr>
        <w:pStyle w:val="BodyText"/>
        <w:spacing w:line="357" w:lineRule="auto" w:before="103"/>
        <w:ind w:left="514" w:right="90" w:firstLine="1"/>
        <w:jc w:val="left"/>
      </w:pPr>
      <w:r>
        <w:rPr>
          <w:rFonts w:ascii="宋体" w:hAnsi="宋体" w:cs="宋体" w:eastAsia="宋体" w:hint="default"/>
          <w:b/>
          <w:bCs/>
        </w:rPr>
        <w:t>（十五）监事与监事会</w:t>
      </w:r>
      <w:r>
        <w:rPr>
          <w:rFonts w:ascii="宋体" w:hAnsi="宋体" w:cs="宋体" w:eastAsia="宋体" w:hint="default"/>
          <w:b/>
          <w:bCs/>
          <w:w w:val="99"/>
        </w:rPr>
        <w:t> </w:t>
      </w:r>
      <w:r>
        <w:rPr/>
        <w:t>本公司监事会向全体股东负责，对公司财务以及公司董事、经理和其他高级管理人员履行职责的合法合规性进行监督，</w:t>
      </w:r>
    </w:p>
    <w:p>
      <w:pPr>
        <w:pStyle w:val="BodyText"/>
        <w:spacing w:line="224" w:lineRule="exact"/>
        <w:ind w:right="0"/>
        <w:jc w:val="left"/>
      </w:pPr>
      <w:r>
        <w:rPr/>
        <w:t>维护公司及股东的合法权益。监事会成员由三名股东代表、二名公司职工代表组成。股东代表出任的监事由股东大会选举和</w:t>
      </w:r>
    </w:p>
    <w:p>
      <w:pPr>
        <w:pStyle w:val="BodyText"/>
        <w:spacing w:line="240" w:lineRule="auto" w:before="77"/>
        <w:ind w:right="181"/>
        <w:jc w:val="left"/>
      </w:pPr>
      <w:r>
        <w:rPr/>
        <w:t>罢免，职工代表出任的监事由公司职工民主选举和罢免。</w:t>
      </w:r>
    </w:p>
    <w:p>
      <w:pPr>
        <w:pStyle w:val="BodyText"/>
        <w:spacing w:line="357" w:lineRule="auto" w:before="116"/>
        <w:ind w:left="514" w:right="181" w:firstLine="1"/>
        <w:jc w:val="left"/>
      </w:pPr>
      <w:r>
        <w:rPr>
          <w:rFonts w:ascii="宋体" w:hAnsi="宋体" w:cs="宋体" w:eastAsia="宋体" w:hint="default"/>
          <w:b/>
          <w:bCs/>
        </w:rPr>
        <w:t>（十六）与股东的沟通</w:t>
      </w:r>
      <w:r>
        <w:rPr>
          <w:rFonts w:ascii="宋体" w:hAnsi="宋体" w:cs="宋体" w:eastAsia="宋体" w:hint="default"/>
          <w:b/>
          <w:bCs/>
          <w:w w:val="99"/>
        </w:rPr>
        <w:t> </w:t>
      </w:r>
      <w:r>
        <w:rPr>
          <w:spacing w:val="-2"/>
        </w:rPr>
        <w:t>本公司认为与股东有效沟通极为重要，藉以让股东对本集团业绩作出清晰评估，以及向董事会提问。下为本公司与股东</w:t>
      </w:r>
    </w:p>
    <w:p>
      <w:pPr>
        <w:pStyle w:val="BodyText"/>
        <w:spacing w:line="357" w:lineRule="auto"/>
        <w:ind w:left="514" w:right="7650" w:hanging="360"/>
        <w:jc w:val="left"/>
      </w:pPr>
      <w:r>
        <w:rPr/>
        <w:t>沟通的主要方式： 于公司网页的资料披露</w:t>
      </w:r>
    </w:p>
    <w:p>
      <w:pPr>
        <w:pStyle w:val="BodyText"/>
        <w:spacing w:line="309" w:lineRule="auto" w:before="26"/>
        <w:ind w:right="231" w:firstLine="360"/>
        <w:jc w:val="left"/>
      </w:pPr>
      <w:r>
        <w:rPr/>
        <w:t>本公司会以最全面及适时的方式向所有希望获得本公司数据的人士披露与集团有关的所有重要资料。本公司的网页 </w:t>
      </w:r>
      <w:r>
        <w:rPr>
          <w:rFonts w:ascii="Times New Roman" w:hAnsi="Times New Roman" w:cs="Times New Roman" w:eastAsia="Times New Roman" w:hint="default"/>
        </w:rPr>
        <w:t>(www.chenmingpaper.com)</w:t>
      </w:r>
      <w:r>
        <w:rPr/>
        <w:t>可提供有关本集团的活动及企业事宜的重要资料（如致股东的年度报告及半年度报告、公告、业 务发展及营运、企业管治常规及其它数据等），以供股东及其它持份者查阅。</w:t>
      </w:r>
    </w:p>
    <w:p>
      <w:pPr>
        <w:pStyle w:val="BodyText"/>
        <w:spacing w:line="357" w:lineRule="auto" w:before="65"/>
        <w:ind w:left="514" w:right="4950"/>
        <w:jc w:val="left"/>
      </w:pPr>
      <w:r>
        <w:rPr/>
        <w:t>另外，透过联交所发出的公告亦可在本公司的网页查阅。 股东大会</w:t>
      </w:r>
    </w:p>
    <w:p>
      <w:pPr>
        <w:pStyle w:val="BodyText"/>
        <w:spacing w:line="319" w:lineRule="auto" w:before="26"/>
        <w:ind w:right="189" w:firstLine="360"/>
        <w:jc w:val="both"/>
        <w:rPr>
          <w:rFonts w:ascii="Times New Roman" w:hAnsi="Times New Roman" w:cs="Times New Roman" w:eastAsia="Times New Roman" w:hint="default"/>
        </w:rPr>
      </w:pPr>
      <w:r>
        <w:rPr>
          <w:spacing w:val="-2"/>
        </w:rPr>
        <w:t>本公司的股东周年大会为董事会直接与股东沟通提供了一个实用的平台。本公司将于股东大会上就每项实质上不同的议</w:t>
      </w:r>
      <w:r>
        <w:rPr/>
        <w:t> </w:t>
      </w:r>
      <w:r>
        <w:rPr>
          <w:spacing w:val="-2"/>
        </w:rPr>
        <w:t>题提呈独立决议案。于二零一二年，公司除了于二零一二年五月二十九日举行股东周年大会外，还召开了三次临时股东会及</w:t>
      </w:r>
      <w:r>
        <w:rPr>
          <w:spacing w:val="-66"/>
        </w:rPr>
        <w:t> </w:t>
      </w:r>
      <w:r>
        <w:rPr>
          <w:spacing w:val="-66"/>
        </w:rPr>
      </w:r>
      <w:r>
        <w:rPr/>
        <w:t>一次类别股东会。各股东会议的董事出席名单如下</w:t>
      </w:r>
      <w:r>
        <w:rPr>
          <w:rFonts w:ascii="Times New Roman" w:hAnsi="Times New Roman" w:cs="Times New Roman" w:eastAsia="Times New Roman" w:hint="default"/>
        </w:rPr>
        <w:t>:</w:t>
      </w:r>
    </w:p>
    <w:p>
      <w:pPr>
        <w:spacing w:after="0" w:line="319" w:lineRule="auto"/>
        <w:jc w:val="both"/>
        <w:rPr>
          <w:rFonts w:ascii="Times New Roman" w:hAnsi="Times New Roman" w:cs="Times New Roman" w:eastAsia="Times New Roman" w:hint="default"/>
        </w:rPr>
        <w:sectPr>
          <w:footerReference w:type="default" r:id="rId26"/>
          <w:pgSz w:w="11910" w:h="16840"/>
          <w:pgMar w:footer="982" w:header="747" w:top="1060" w:bottom="1180" w:left="980" w:right="940"/>
          <w:pgNumType w:start="6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tbl>
      <w:tblPr>
        <w:tblW w:w="0" w:type="auto"/>
        <w:jc w:val="left"/>
        <w:tblInd w:w="203" w:type="dxa"/>
        <w:tblLayout w:type="fixed"/>
        <w:tblCellMar>
          <w:top w:w="0" w:type="dxa"/>
          <w:left w:w="0" w:type="dxa"/>
          <w:bottom w:w="0" w:type="dxa"/>
          <w:right w:w="0" w:type="dxa"/>
        </w:tblCellMar>
        <w:tblLook w:val="01E0"/>
      </w:tblPr>
      <w:tblGrid>
        <w:gridCol w:w="5260"/>
        <w:gridCol w:w="4433"/>
      </w:tblGrid>
      <w:tr>
        <w:trPr>
          <w:trHeight w:val="4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尹同远、王效群</w:t>
            </w:r>
          </w:p>
        </w:tc>
      </w:tr>
      <w:tr>
        <w:trPr>
          <w:trHeight w:val="421"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第一次临时股东会</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尹同远、侯焕才</w:t>
            </w:r>
          </w:p>
        </w:tc>
      </w:tr>
      <w:tr>
        <w:trPr>
          <w:trHeight w:val="4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第二次临时股东会</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陈洪国、尹同远</w:t>
            </w:r>
          </w:p>
        </w:tc>
      </w:tr>
      <w:tr>
        <w:trPr>
          <w:trHeight w:val="4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第三次临时股东会</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尹同远、王凤荣、王效群</w:t>
            </w:r>
          </w:p>
        </w:tc>
      </w:tr>
      <w:tr>
        <w:trPr>
          <w:trHeight w:val="4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类别股东会</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尹同远、王凤荣、王效群</w:t>
            </w:r>
          </w:p>
        </w:tc>
      </w:tr>
    </w:tbl>
    <w:p>
      <w:pPr>
        <w:pStyle w:val="BodyText"/>
        <w:spacing w:line="316" w:lineRule="auto" w:before="51"/>
        <w:ind w:right="271" w:firstLine="360"/>
        <w:jc w:val="left"/>
      </w:pPr>
      <w:r>
        <w:rPr>
          <w:spacing w:val="-2"/>
        </w:rPr>
        <w:t>公司董事长及战略委员会主席陈洪国先生、审计委员会主席张宏女士、薪酬与考核委员会主席王爱国先生及提名委员会</w:t>
      </w:r>
      <w:r>
        <w:rPr/>
        <w:t> 主席张志元先生因公务繁忙缺席股东周年大会。公司外聘核数师列席股东周年大会并监票。</w:t>
      </w:r>
    </w:p>
    <w:p>
      <w:pPr>
        <w:pStyle w:val="BodyText"/>
        <w:spacing w:line="357" w:lineRule="auto" w:before="58"/>
        <w:ind w:left="513" w:right="271"/>
        <w:jc w:val="left"/>
      </w:pPr>
      <w:r>
        <w:rPr/>
        <w:t>按股数投票 </w:t>
      </w:r>
      <w:r>
        <w:rPr>
          <w:spacing w:val="-2"/>
        </w:rPr>
        <w:t>在本公司股东大会上提呈表决的决议案，将会按股数投票的方式进行。于每次股东大会开始时，将会向股东说明按股数</w:t>
      </w:r>
    </w:p>
    <w:p>
      <w:pPr>
        <w:pStyle w:val="BodyText"/>
        <w:spacing w:line="224" w:lineRule="exact"/>
        <w:ind w:left="153" w:right="0"/>
        <w:jc w:val="left"/>
      </w:pPr>
      <w:r>
        <w:rPr/>
        <w:t>投票的程序，亦会回答股东提出与投票程序有关的问题。而按股数投票方式表决的结果会于同日分别登载于联交所及本公司</w:t>
      </w:r>
    </w:p>
    <w:p>
      <w:pPr>
        <w:pStyle w:val="BodyText"/>
        <w:spacing w:line="240" w:lineRule="auto" w:before="77"/>
        <w:ind w:left="153" w:right="271"/>
        <w:jc w:val="left"/>
      </w:pPr>
      <w:r>
        <w:rPr/>
        <w:t>的网页。</w:t>
      </w:r>
    </w:p>
    <w:p>
      <w:pPr>
        <w:pStyle w:val="BodyText"/>
        <w:spacing w:line="240" w:lineRule="auto" w:before="116"/>
        <w:ind w:left="513" w:right="271"/>
        <w:jc w:val="left"/>
      </w:pPr>
      <w:r>
        <w:rPr/>
        <w:t>股东权利</w:t>
      </w:r>
    </w:p>
    <w:p>
      <w:pPr>
        <w:spacing w:line="338" w:lineRule="auto" w:before="116"/>
        <w:ind w:left="514" w:right="271"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、股东召开股东特别大会的程序</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根据本公司章程第</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条规定，单独或者合计持有公司百分之十以上股份的股东有权向董事会请求召开临时股东大会，并</w:t>
      </w:r>
    </w:p>
    <w:p>
      <w:pPr>
        <w:pStyle w:val="BodyText"/>
        <w:spacing w:line="217" w:lineRule="exact"/>
        <w:ind w:right="0"/>
        <w:jc w:val="left"/>
      </w:pPr>
      <w:r>
        <w:rPr/>
        <w:t>应当以书面形式向董事会提出。董事会应当根据法律、行政法规和本章程的规定，在收到请求后十日内提出同意或不同意召</w:t>
      </w:r>
    </w:p>
    <w:p>
      <w:pPr>
        <w:pStyle w:val="BodyText"/>
        <w:spacing w:line="319" w:lineRule="auto" w:before="76"/>
        <w:ind w:right="271"/>
        <w:jc w:val="left"/>
      </w:pPr>
      <w:r>
        <w:rPr>
          <w:spacing w:val="-2"/>
        </w:rPr>
        <w:t>开临时股东大会的书面反馈意见。董事会同意召开临时股东大会的，应当在作出董事会决议后的五日内发出召开股东大会的</w:t>
      </w:r>
      <w:r>
        <w:rPr>
          <w:spacing w:val="-64"/>
        </w:rPr>
        <w:t> </w:t>
      </w:r>
      <w:r>
        <w:rPr>
          <w:spacing w:val="-64"/>
        </w:rPr>
      </w:r>
      <w:r>
        <w:rPr/>
        <w:t>通知，通知中对原请求的变更，应当征得相关股东的同意。</w:t>
      </w:r>
    </w:p>
    <w:p>
      <w:pPr>
        <w:pStyle w:val="BodyText"/>
        <w:spacing w:line="319" w:lineRule="auto" w:before="55"/>
        <w:ind w:right="271" w:firstLine="360"/>
        <w:jc w:val="left"/>
      </w:pPr>
      <w:r>
        <w:rPr>
          <w:spacing w:val="-2"/>
        </w:rPr>
        <w:t>董事会不同意召开临时股东大会，或者在收到请求后十日内未作出反馈的，单独或者合计持有公司百分之十以上股份的</w:t>
      </w:r>
      <w:r>
        <w:rPr/>
        <w:t> 股东有权向监事会提议召开临时股东大会，并应当以书面形式向监事会提出请求。</w:t>
      </w:r>
    </w:p>
    <w:p>
      <w:pPr>
        <w:pStyle w:val="BodyText"/>
        <w:spacing w:line="319" w:lineRule="auto" w:before="55"/>
        <w:ind w:right="271" w:firstLine="360"/>
        <w:jc w:val="left"/>
      </w:pPr>
      <w:r>
        <w:rPr>
          <w:spacing w:val="-2"/>
        </w:rPr>
        <w:t>监事会同意召开临时股东大会的，应在收到请求五日内发出召开股东大会的通知，通知中对原提案的变更，应当征得相</w:t>
      </w:r>
      <w:r>
        <w:rPr/>
        <w:t> 关股东的同意。</w:t>
      </w:r>
    </w:p>
    <w:p>
      <w:pPr>
        <w:pStyle w:val="BodyText"/>
        <w:spacing w:line="319" w:lineRule="auto" w:before="56"/>
        <w:ind w:right="271" w:firstLine="360"/>
        <w:jc w:val="left"/>
      </w:pPr>
      <w:r>
        <w:rPr>
          <w:spacing w:val="-2"/>
        </w:rPr>
        <w:t>监事会未在规定期限内发出股东大会通知的，视为监事会不召集和主持股东大会，连续九十日以上单独或者合计持有公</w:t>
      </w:r>
      <w:r>
        <w:rPr/>
        <w:t> 司百分之十以上股份的股东可以自行召集和主持。</w:t>
      </w:r>
    </w:p>
    <w:p>
      <w:pPr>
        <w:pStyle w:val="BodyText"/>
        <w:spacing w:line="302" w:lineRule="auto" w:before="55"/>
        <w:ind w:right="271" w:firstLine="360"/>
        <w:jc w:val="left"/>
      </w:pPr>
      <w:r>
        <w:rPr>
          <w:spacing w:val="-2"/>
        </w:rPr>
        <w:t>根据本公司章程第</w:t>
      </w:r>
      <w:r>
        <w:rPr>
          <w:rFonts w:ascii="Times New Roman" w:hAnsi="Times New Roman" w:cs="Times New Roman" w:eastAsia="Times New Roman" w:hint="default"/>
          <w:spacing w:val="-2"/>
        </w:rPr>
        <w:t>91</w:t>
      </w:r>
      <w:r>
        <w:rPr>
          <w:spacing w:val="-2"/>
        </w:rPr>
        <w:t>条规定，股东决定自行召集股东大会的，须书面通知董事会，同时向公司所在地中国证券监督管理</w:t>
      </w:r>
      <w:r>
        <w:rPr/>
        <w:t> 机构的派出机构和证券交易所备案。在股东大会决议公告前，召集股东持股比例不得低于百分之十。</w:t>
      </w:r>
    </w:p>
    <w:p>
      <w:pPr>
        <w:pStyle w:val="BodyText"/>
        <w:spacing w:line="319" w:lineRule="auto" w:before="68"/>
        <w:ind w:right="271" w:firstLine="360"/>
        <w:jc w:val="left"/>
      </w:pPr>
      <w:r>
        <w:rPr>
          <w:spacing w:val="-2"/>
        </w:rPr>
        <w:t>召集股东应在发出股东大会通知及股东大会决议公告时，向公司所在地中国证券监督管理机构的派出机构和证券交易所</w:t>
      </w:r>
      <w:r>
        <w:rPr/>
        <w:t> 提交有关证明材料。</w:t>
      </w:r>
    </w:p>
    <w:p>
      <w:pPr>
        <w:pStyle w:val="BodyText"/>
        <w:spacing w:line="319" w:lineRule="auto" w:before="56"/>
        <w:ind w:right="271" w:firstLine="360"/>
        <w:jc w:val="left"/>
      </w:pPr>
      <w:r>
        <w:rPr>
          <w:spacing w:val="-2"/>
        </w:rPr>
        <w:t>对于股东自行召集的股东大会，董事会和董事会秘书将予配合。董事会应当提供股权登记日的股东名册。股东自行召集</w:t>
      </w:r>
      <w:r>
        <w:rPr/>
        <w:t> 的股东大会，会议所必需的费用由公司承担。</w:t>
      </w:r>
    </w:p>
    <w:p>
      <w:pPr>
        <w:spacing w:line="338" w:lineRule="auto" w:before="56"/>
        <w:ind w:left="514" w:right="31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、将股东的查询送达董事会的程序</w:t>
      </w:r>
      <w:r>
        <w:rPr>
          <w:rFonts w:ascii="宋体" w:hAnsi="宋体" w:cs="宋体" w:eastAsia="宋体" w:hint="default"/>
          <w:b/>
          <w:bCs/>
          <w:spacing w:val="1"/>
          <w:w w:val="99"/>
          <w:sz w:val="18"/>
          <w:szCs w:val="18"/>
        </w:rPr>
        <w:t> </w:t>
      </w:r>
      <w:r>
        <w:rPr>
          <w:rFonts w:ascii="宋体" w:hAnsi="宋体" w:cs="宋体" w:eastAsia="宋体" w:hint="default"/>
          <w:sz w:val="18"/>
          <w:szCs w:val="18"/>
        </w:rPr>
        <w:t>股东可随时以书面形式透过公司秘书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董事会秘书转交彼等的查询及关注事项予公司的董事会，公司秘书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董事会秘书的</w:t>
      </w:r>
    </w:p>
    <w:p>
      <w:pPr>
        <w:pStyle w:val="BodyText"/>
        <w:spacing w:line="231" w:lineRule="exact"/>
        <w:ind w:right="271"/>
        <w:jc w:val="left"/>
        <w:rPr>
          <w:rFonts w:ascii="Times New Roman" w:hAnsi="Times New Roman" w:cs="Times New Roman" w:eastAsia="Times New Roman" w:hint="default"/>
        </w:rPr>
      </w:pPr>
      <w:r>
        <w:rPr/>
        <w:t>联络详情如下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27"/>
        <w:gridCol w:w="4927"/>
      </w:tblGrid>
      <w:tr>
        <w:trPr>
          <w:trHeight w:val="421"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王春方</w:t>
            </w:r>
          </w:p>
        </w:tc>
      </w:tr>
      <w:tr>
        <w:trPr>
          <w:trHeight w:val="4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香港中环环球大厦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  </w:t>
            </w:r>
            <w:r>
              <w:rPr>
                <w:rFonts w:ascii="宋体" w:hAnsi="宋体" w:cs="宋体" w:eastAsia="宋体" w:hint="default"/>
                <w:sz w:val="18"/>
                <w:szCs w:val="18"/>
              </w:rPr>
              <w:t>山东省寿光市农圣东街</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1">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kentpoon_1009@yahoo.com.hk</w:t>
              </w:r>
            </w:hyperlink>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0">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chenmmingpaper@163.com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27"/>
        <w:gridCol w:w="4927"/>
      </w:tblGrid>
      <w:tr>
        <w:trPr>
          <w:trHeight w:val="4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(852)-2501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0088</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(86)-0536</w:t>
            </w:r>
            <w:r>
              <w:rPr>
                <w:rFonts w:ascii="宋体" w:hAnsi="宋体" w:cs="宋体" w:eastAsia="宋体" w:hint="default"/>
                <w:sz w:val="18"/>
                <w:szCs w:val="18"/>
              </w:rPr>
              <w:t>－</w:t>
            </w:r>
            <w:r>
              <w:rPr>
                <w:rFonts w:ascii="Times New Roman" w:hAnsi="Times New Roman" w:cs="Times New Roman" w:eastAsia="Times New Roman" w:hint="default"/>
                <w:sz w:val="18"/>
                <w:szCs w:val="18"/>
              </w:rPr>
              <w:t>2158008</w:t>
            </w:r>
          </w:p>
        </w:tc>
      </w:tr>
      <w:tr>
        <w:trPr>
          <w:trHeight w:val="4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 真：</w:t>
            </w:r>
            <w:r>
              <w:rPr>
                <w:rFonts w:ascii="Times New Roman" w:hAnsi="Times New Roman" w:cs="Times New Roman" w:eastAsia="Times New Roman" w:hint="default"/>
                <w:sz w:val="18"/>
                <w:szCs w:val="18"/>
              </w:rPr>
              <w:t>(852)-2501</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0028</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w:t>
            </w:r>
            <w:r>
              <w:rPr>
                <w:rFonts w:ascii="宋体" w:hAnsi="宋体" w:cs="宋体" w:eastAsia="宋体" w:hint="default"/>
                <w:spacing w:val="-19"/>
                <w:sz w:val="18"/>
                <w:szCs w:val="18"/>
              </w:rPr>
              <w:t> </w:t>
            </w:r>
            <w:r>
              <w:rPr>
                <w:rFonts w:ascii="宋体" w:hAnsi="宋体" w:cs="宋体" w:eastAsia="宋体" w:hint="default"/>
                <w:sz w:val="18"/>
                <w:szCs w:val="18"/>
              </w:rPr>
              <w:t>真：</w:t>
            </w:r>
            <w:r>
              <w:rPr>
                <w:rFonts w:ascii="Times New Roman" w:hAnsi="Times New Roman" w:cs="Times New Roman" w:eastAsia="Times New Roman" w:hint="default"/>
                <w:sz w:val="18"/>
                <w:szCs w:val="18"/>
              </w:rPr>
              <w:t>0536-2158977</w:t>
            </w:r>
          </w:p>
        </w:tc>
      </w:tr>
    </w:tbl>
    <w:p>
      <w:pPr>
        <w:pStyle w:val="BodyText"/>
        <w:spacing w:line="300" w:lineRule="auto" w:before="51"/>
        <w:ind w:left="153" w:right="311" w:firstLine="360"/>
        <w:jc w:val="left"/>
      </w:pPr>
      <w:r>
        <w:rPr/>
        <w:t>公司秘书</w:t>
      </w:r>
      <w:r>
        <w:rPr>
          <w:rFonts w:ascii="Times New Roman" w:hAnsi="Times New Roman" w:cs="Times New Roman" w:eastAsia="Times New Roman" w:hint="default"/>
        </w:rPr>
        <w:t>/</w:t>
      </w:r>
      <w:r>
        <w:rPr/>
        <w:t>董事会秘书将转交股东的查询及关注事项予本公司的董事会及</w:t>
      </w:r>
      <w:r>
        <w:rPr>
          <w:rFonts w:ascii="Times New Roman" w:hAnsi="Times New Roman" w:cs="Times New Roman" w:eastAsia="Times New Roman" w:hint="default"/>
        </w:rPr>
        <w:t>/</w:t>
      </w:r>
      <w:r>
        <w:rPr/>
        <w:t>或有关的董事会辖下委员会（若适当），以便 回复股东的提问。</w:t>
      </w:r>
    </w:p>
    <w:p>
      <w:pPr>
        <w:pStyle w:val="BodyText"/>
        <w:spacing w:line="338" w:lineRule="auto" w:before="71"/>
        <w:ind w:left="513" w:right="271" w:firstLine="1"/>
        <w:jc w:val="left"/>
      </w:pP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spacing w:val="1"/>
          <w:w w:val="99"/>
        </w:rPr>
        <w:t> </w:t>
      </w:r>
      <w:r>
        <w:rPr/>
        <w:t>根据本公司章程第</w:t>
      </w:r>
      <w:r>
        <w:rPr>
          <w:rFonts w:ascii="Times New Roman" w:hAnsi="Times New Roman" w:cs="Times New Roman" w:eastAsia="Times New Roman" w:hint="default"/>
        </w:rPr>
        <w:t>106</w:t>
      </w:r>
      <w:r>
        <w:rPr/>
        <w:t>条规定，单独或者合并持有公司百分之三以上股份的股东，有权向公司于股东大会提出提案。 </w:t>
      </w:r>
      <w:r>
        <w:rPr>
          <w:spacing w:val="-2"/>
        </w:rPr>
        <w:t>单独或者合计持有公司百分之三以上股份的股东，可以在股东大会召开十日前提出临时提案并书面提交董事会或董事会</w:t>
      </w:r>
    </w:p>
    <w:p>
      <w:pPr>
        <w:pStyle w:val="BodyText"/>
        <w:spacing w:line="357" w:lineRule="auto" w:before="4"/>
        <w:ind w:left="513" w:right="271" w:hanging="360"/>
        <w:jc w:val="left"/>
      </w:pPr>
      <w:r>
        <w:rPr/>
        <w:t>秘书。董事会或董事会秘书应当在收到提案后二日内发出股东大会补充通知，公告临时提案的内容。 </w:t>
      </w:r>
      <w:r>
        <w:rPr>
          <w:spacing w:val="-2"/>
        </w:rPr>
        <w:t>除前款规定的情形外，董事会或董事会秘书在发出股东大会通知公告后，不得修改股东大会通知中已列明的提案或增加</w:t>
      </w:r>
    </w:p>
    <w:p>
      <w:pPr>
        <w:pStyle w:val="BodyText"/>
        <w:spacing w:line="225" w:lineRule="exact"/>
        <w:ind w:left="153" w:right="0"/>
        <w:jc w:val="both"/>
      </w:pPr>
      <w:r>
        <w:rPr/>
        <w:t>新的提案。</w:t>
      </w:r>
    </w:p>
    <w:p>
      <w:pPr>
        <w:pStyle w:val="BodyText"/>
        <w:spacing w:line="319" w:lineRule="auto" w:before="116"/>
        <w:ind w:left="153" w:right="271" w:firstLine="360"/>
        <w:jc w:val="left"/>
      </w:pPr>
      <w:r>
        <w:rPr>
          <w:spacing w:val="-2"/>
        </w:rPr>
        <w:t>股东大会通知中未列明或不符合公司章程规定的提案，股东大会不得进行表决并作出决议。临时股东大会不得决定通告</w:t>
      </w:r>
      <w:r>
        <w:rPr/>
        <w:t> 未载明的事项。</w:t>
      </w:r>
    </w:p>
    <w:p>
      <w:pPr>
        <w:pStyle w:val="BodyText"/>
        <w:spacing w:line="357" w:lineRule="auto" w:before="56"/>
        <w:ind w:left="513" w:right="271"/>
        <w:jc w:val="left"/>
      </w:pPr>
      <w:r>
        <w:rPr/>
        <w:t>投资者关系 </w:t>
      </w:r>
      <w:r>
        <w:rPr>
          <w:spacing w:val="-2"/>
        </w:rPr>
        <w:t>本公司了解本身须向持有权益的人士阐述其业务状况及响应彼等的提问。本公司适时接待及造访投资者，藉以阐释本集</w:t>
      </w:r>
    </w:p>
    <w:p>
      <w:pPr>
        <w:pStyle w:val="BodyText"/>
        <w:spacing w:line="224" w:lineRule="exact"/>
        <w:ind w:left="153" w:right="0"/>
        <w:jc w:val="both"/>
      </w:pPr>
      <w:r>
        <w:rPr/>
        <w:t>团的业务。此外，本公司会迅速地解答公众人士及个别股东提出的问题。在任何情况下，本公司将采取审慎态度以确保不会</w:t>
      </w:r>
    </w:p>
    <w:p>
      <w:pPr>
        <w:pStyle w:val="BodyText"/>
        <w:spacing w:line="240" w:lineRule="auto" w:before="77"/>
        <w:ind w:left="153" w:right="0"/>
        <w:jc w:val="both"/>
      </w:pPr>
      <w:r>
        <w:rPr/>
        <w:t>选择性地披露任何影响股价的数据。</w:t>
      </w:r>
    </w:p>
    <w:p>
      <w:pPr>
        <w:spacing w:line="357" w:lineRule="auto" w:before="117"/>
        <w:ind w:left="513" w:right="4731" w:firstLine="60"/>
        <w:jc w:val="left"/>
        <w:rPr>
          <w:rFonts w:ascii="宋体" w:hAnsi="宋体" w:cs="宋体" w:eastAsia="宋体" w:hint="default"/>
          <w:sz w:val="18"/>
          <w:szCs w:val="18"/>
        </w:rPr>
      </w:pPr>
      <w:r>
        <w:rPr>
          <w:rFonts w:ascii="宋体" w:hAnsi="宋体" w:cs="宋体" w:eastAsia="宋体" w:hint="default"/>
          <w:b/>
          <w:bCs/>
          <w:sz w:val="18"/>
          <w:szCs w:val="18"/>
        </w:rPr>
        <w:t>（十七）内部控制</w:t>
      </w:r>
      <w:r>
        <w:rPr>
          <w:rFonts w:ascii="宋体" w:hAnsi="宋体" w:cs="宋体" w:eastAsia="宋体" w:hint="default"/>
          <w:b/>
          <w:bCs/>
          <w:spacing w:val="1"/>
          <w:w w:val="99"/>
          <w:sz w:val="18"/>
          <w:szCs w:val="18"/>
        </w:rPr>
        <w:t> </w:t>
      </w:r>
      <w:r>
        <w:rPr>
          <w:rFonts w:ascii="宋体" w:hAnsi="宋体" w:cs="宋体" w:eastAsia="宋体" w:hint="default"/>
          <w:sz w:val="18"/>
          <w:szCs w:val="18"/>
        </w:rPr>
        <w:t>本公司内部控制的详细情况参见本年度报告第十节内部控制。</w:t>
      </w:r>
    </w:p>
    <w:p>
      <w:pPr>
        <w:pStyle w:val="BodyText"/>
        <w:spacing w:line="357" w:lineRule="auto" w:before="27"/>
        <w:ind w:left="513" w:right="271" w:firstLine="59"/>
        <w:jc w:val="left"/>
      </w:pPr>
      <w:r>
        <w:rPr>
          <w:rFonts w:ascii="宋体" w:hAnsi="宋体" w:cs="宋体" w:eastAsia="宋体" w:hint="default"/>
          <w:b/>
          <w:bCs/>
        </w:rPr>
        <w:t>（十八）组织章程文件</w:t>
      </w:r>
      <w:r>
        <w:rPr>
          <w:rFonts w:ascii="宋体" w:hAnsi="宋体" w:cs="宋体" w:eastAsia="宋体" w:hint="default"/>
          <w:b/>
          <w:bCs/>
          <w:w w:val="99"/>
        </w:rPr>
        <w:t> </w:t>
      </w:r>
      <w:r>
        <w:rPr>
          <w:spacing w:val="-2"/>
        </w:rPr>
        <w:t>本公司股东于二零一二年十一月五日的</w:t>
      </w:r>
      <w:r>
        <w:rPr>
          <w:rFonts w:ascii="Times New Roman" w:hAnsi="Times New Roman" w:cs="Times New Roman" w:eastAsia="Times New Roman" w:hint="default"/>
          <w:spacing w:val="-2"/>
        </w:rPr>
        <w:t>2012</w:t>
      </w:r>
      <w:r>
        <w:rPr>
          <w:spacing w:val="-2"/>
        </w:rPr>
        <w:t>年第二次股东特别大会上审批了本公司新组织章程细则之修订，修订范围主</w:t>
      </w:r>
    </w:p>
    <w:p>
      <w:pPr>
        <w:pStyle w:val="BodyText"/>
        <w:spacing w:line="214" w:lineRule="exact"/>
        <w:ind w:left="153" w:right="0"/>
        <w:jc w:val="both"/>
      </w:pPr>
      <w:r>
        <w:rPr/>
        <w:t>要是为了合乎中国证券监督管理委员会山东证监局下发</w:t>
      </w:r>
      <w:r>
        <w:rPr>
          <w:spacing w:val="-76"/>
        </w:rPr>
        <w:t>的</w:t>
      </w:r>
      <w:r>
        <w:rPr/>
        <w:t>《关于转发中国证监会</w:t>
      </w:r>
      <w:r>
        <w:rPr>
          <w:rFonts w:ascii="Times New Roman" w:hAnsi="Times New Roman" w:cs="Times New Roman" w:eastAsia="Times New Roman" w:hint="default"/>
        </w:rPr>
        <w:t>&lt; </w:t>
      </w:r>
      <w:r>
        <w:rPr>
          <w:rFonts w:ascii="Times New Roman" w:hAnsi="Times New Roman" w:cs="Times New Roman" w:eastAsia="Times New Roman" w:hint="default"/>
          <w:spacing w:val="-17"/>
        </w:rPr>
        <w:t> </w:t>
      </w:r>
      <w:r>
        <w:rPr>
          <w:spacing w:val="-2"/>
        </w:rPr>
        <w:t>关</w:t>
      </w:r>
      <w:r>
        <w:rPr/>
        <w:t>于进一步落实上市公司现金分红有关事</w:t>
      </w:r>
    </w:p>
    <w:p>
      <w:pPr>
        <w:pStyle w:val="BodyText"/>
        <w:spacing w:line="309" w:lineRule="auto" w:before="62"/>
        <w:ind w:left="153" w:right="330"/>
        <w:jc w:val="both"/>
      </w:pPr>
      <w:r>
        <w:rPr/>
        <w:t>项的通知</w:t>
      </w:r>
      <w:r>
        <w:rPr>
          <w:rFonts w:ascii="Times New Roman" w:hAnsi="Times New Roman" w:cs="Times New Roman" w:eastAsia="Times New Roman" w:hint="default"/>
        </w:rPr>
        <w:t>&gt; </w:t>
      </w:r>
      <w:r>
        <w:rPr/>
        <w:t>的通知》（鲁证监发〔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号）的要求，为改进《公司章程》内股利分配的决策之有关条款；提高股利分 </w:t>
      </w:r>
      <w:r>
        <w:rPr>
          <w:spacing w:val="-2"/>
        </w:rPr>
        <w:t>配决策之透明度及可行性并加强对股东法定权利及利益的保障，以及配合业务发展需要及提升本公司之行政效率。本公司组</w:t>
      </w:r>
      <w:r>
        <w:rPr>
          <w:spacing w:val="-64"/>
        </w:rPr>
        <w:t> </w:t>
      </w:r>
      <w:r>
        <w:rPr>
          <w:spacing w:val="-64"/>
        </w:rPr>
      </w:r>
      <w:r>
        <w:rPr/>
        <w:t>织章程大纲及新组织章程细则之修订版本可于本公司及联交所网页查阅。</w:t>
      </w:r>
    </w:p>
    <w:p>
      <w:pPr>
        <w:spacing w:after="0" w:line="309" w:lineRule="auto"/>
        <w:jc w:val="both"/>
        <w:sectPr>
          <w:pgSz w:w="11910" w:h="16840"/>
          <w:pgMar w:header="747" w:footer="982" w:top="1060" w:bottom="1180" w:left="9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bookmark9" w:id="11"/>
      <w:bookmarkEnd w:id="11"/>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1"/>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9" w:firstLine="360"/>
        <w:jc w:val="left"/>
      </w:pPr>
      <w:r>
        <w:rPr>
          <w:spacing w:val="-2"/>
        </w:rPr>
        <w:t>按中国证监会和深交所的要求，公司形成了全面有效的法人治理机构体系，并每年通过各种监管部门及中介机构的检查</w:t>
      </w:r>
      <w:r>
        <w:rPr/>
        <w:t> </w:t>
      </w:r>
      <w:r>
        <w:rPr>
          <w:spacing w:val="-2"/>
        </w:rPr>
        <w:t>审核，股东会、董事会、监事会和经理层严格按相关制度运行，确保其行使决策权、执行权和监督权。同时，董事会还建立</w:t>
      </w:r>
      <w:r>
        <w:rPr>
          <w:spacing w:val="-72"/>
        </w:rPr>
        <w:t> </w:t>
      </w:r>
      <w:r>
        <w:rPr>
          <w:spacing w:val="-72"/>
        </w:rPr>
      </w:r>
      <w:r>
        <w:rPr>
          <w:spacing w:val="-4"/>
        </w:rPr>
        <w:t>了董事会战略委员会、提名委员会、审计委员会、薪酬与考核委员会四个专门委员会。四个专门委员会依据相应的工作细则，</w:t>
      </w:r>
      <w:r>
        <w:rPr>
          <w:spacing w:val="-46"/>
        </w:rPr>
        <w:t> </w:t>
      </w:r>
      <w:r>
        <w:rPr>
          <w:spacing w:val="-46"/>
        </w:rPr>
      </w:r>
      <w:r>
        <w:rPr>
          <w:spacing w:val="-2"/>
        </w:rPr>
        <w:t>分别承担公司重大工作事项讨论与决策的职能，提高了公司董事会决策的科学性和专业性。目前董事会中有过半数的董事为</w:t>
      </w:r>
      <w:r>
        <w:rPr>
          <w:spacing w:val="-64"/>
        </w:rPr>
        <w:t> </w:t>
      </w:r>
      <w:r>
        <w:rPr>
          <w:spacing w:val="-64"/>
        </w:rPr>
      </w:r>
      <w:r>
        <w:rPr/>
        <w:t>公司外部董事，能够更好的发挥决策和监督作用。</w:t>
      </w:r>
    </w:p>
    <w:p>
      <w:pPr>
        <w:pStyle w:val="BodyText"/>
        <w:spacing w:line="319" w:lineRule="auto" w:before="55"/>
        <w:ind w:left="153" w:right="99" w:firstLine="360"/>
        <w:jc w:val="left"/>
      </w:pPr>
      <w:r>
        <w:rPr>
          <w:spacing w:val="-10"/>
        </w:rPr>
        <w:t>公司根据《公司法》、《证券法》、《上市公司治理准则》等有关法律法规的规定，</w:t>
      </w:r>
      <w:r>
        <w:rPr>
          <w:spacing w:val="8"/>
        </w:rPr>
        <w:t> </w:t>
      </w:r>
      <w:r>
        <w:rPr>
          <w:spacing w:val="-11"/>
        </w:rPr>
        <w:t>制订了《股东大会议事规则》、《董事</w:t>
      </w:r>
      <w:r>
        <w:rPr/>
        <w:t> </w:t>
      </w:r>
      <w:r>
        <w:rPr>
          <w:spacing w:val="-14"/>
        </w:rPr>
        <w:t>会议事规则》、《监事会议事规则》、董事会各专门委员会的《工作细则》、《总经理工作细则》、《信息披露管理制度》、《独立</w:t>
      </w:r>
      <w:r>
        <w:rPr>
          <w:spacing w:val="-88"/>
        </w:rPr>
        <w:t> </w:t>
      </w:r>
      <w:r>
        <w:rPr>
          <w:spacing w:val="-88"/>
        </w:rPr>
      </w:r>
      <w:r>
        <w:rPr>
          <w:spacing w:val="-17"/>
        </w:rPr>
        <w:t>董事工作制度》、《投资者关系管理制度》、《募集资金管理办法》、《内部控制制度》、《财务管理制度》、《防范控股股东及关联</w:t>
      </w:r>
      <w:r>
        <w:rPr>
          <w:spacing w:val="-71"/>
        </w:rPr>
        <w:t> </w:t>
      </w:r>
      <w:r>
        <w:rPr>
          <w:spacing w:val="-71"/>
        </w:rPr>
      </w:r>
      <w:r>
        <w:rPr>
          <w:spacing w:val="-10"/>
        </w:rPr>
        <w:t>方占用上市公司资金制度》、《年报信息披露重大差错责任追究制度》、《外部信息使用人制度》、《内幕信息知情人登记制度》</w:t>
      </w:r>
      <w:r>
        <w:rPr>
          <w:spacing w:val="-60"/>
        </w:rPr>
        <w:t> </w:t>
      </w:r>
      <w:r>
        <w:rPr>
          <w:spacing w:val="-60"/>
        </w:rPr>
      </w:r>
      <w:r>
        <w:rPr>
          <w:spacing w:val="-2"/>
        </w:rPr>
        <w:t>等重大规章制度，确保了公司股东大会、董事会、监事会的召开、重大决策等行为合法、合规、真实、有效。公司制订的内</w:t>
      </w:r>
      <w:r>
        <w:rPr>
          <w:spacing w:val="-67"/>
        </w:rPr>
        <w:t> </w:t>
      </w:r>
      <w:r>
        <w:rPr>
          <w:spacing w:val="-67"/>
        </w:rPr>
      </w:r>
      <w:r>
        <w:rPr>
          <w:spacing w:val="-2"/>
        </w:rPr>
        <w:t>部管理与控制制度以公司的基本控制制度为基础，涵盖了财务管理、生产管理、物资采购、产品销售、对外投资、行政管理</w:t>
      </w:r>
      <w:r>
        <w:rPr>
          <w:spacing w:val="-68"/>
        </w:rPr>
        <w:t> </w:t>
      </w:r>
      <w:r>
        <w:rPr>
          <w:spacing w:val="-68"/>
        </w:rPr>
      </w:r>
      <w:r>
        <w:rPr/>
        <w:t>等整个生产经营过程，确保各项工作都有章可循，形成了较为规范的管理体系。</w:t>
      </w:r>
    </w:p>
    <w:p>
      <w:pPr>
        <w:spacing w:line="357" w:lineRule="auto" w:before="56"/>
        <w:ind w:left="514" w:right="181" w:firstLine="1"/>
        <w:jc w:val="left"/>
        <w:rPr>
          <w:rFonts w:ascii="宋体" w:hAnsi="宋体" w:cs="宋体" w:eastAsia="宋体" w:hint="default"/>
          <w:sz w:val="18"/>
          <w:szCs w:val="18"/>
        </w:rPr>
      </w:pPr>
      <w:r>
        <w:rPr>
          <w:rFonts w:ascii="宋体" w:hAnsi="宋体" w:cs="宋体" w:eastAsia="宋体" w:hint="default"/>
          <w:b/>
          <w:bCs/>
          <w:sz w:val="18"/>
          <w:szCs w:val="18"/>
        </w:rPr>
        <w:t>（1）对控股子公司的管理控制</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公司严格依照有关法律法规和深交所及香港联交所对上市公司的有关规定对控股子公司进行管理，控股子公司根据《公</w:t>
      </w:r>
    </w:p>
    <w:p>
      <w:pPr>
        <w:pStyle w:val="BodyText"/>
        <w:spacing w:line="224" w:lineRule="exact"/>
        <w:ind w:right="0"/>
        <w:jc w:val="left"/>
      </w:pPr>
      <w:r>
        <w:rPr/>
        <w:t>司法》的要求建立了董事会、监事会，依法管理和监督经营活动，并结合其实际情况建立健全经营和财务管理制度。公司通</w:t>
      </w:r>
    </w:p>
    <w:p>
      <w:pPr>
        <w:pStyle w:val="BodyText"/>
        <w:spacing w:line="319" w:lineRule="auto" w:before="76"/>
        <w:ind w:right="270"/>
        <w:jc w:val="left"/>
      </w:pPr>
      <w:r>
        <w:rPr/>
        <w:t>过行使股东权力决定公司各控股子公司董事会及主要领导的任命和重要决策，这样可以保证对控股子公司的控制权牢固掌 握，对于公司的各种决策和制度能有效、快速地在子公司贯彻执行，达到整个公司各项工作的高度统一。</w:t>
      </w:r>
    </w:p>
    <w:p>
      <w:pPr>
        <w:pStyle w:val="Heading6"/>
        <w:spacing w:line="240" w:lineRule="auto" w:before="56"/>
        <w:ind w:left="515" w:right="181"/>
        <w:jc w:val="left"/>
        <w:rPr>
          <w:b w:val="0"/>
          <w:bCs w:val="0"/>
        </w:rPr>
      </w:pPr>
      <w:r>
        <w:rPr/>
        <w:t>（2）对关联交易的管理控制</w:t>
      </w:r>
      <w:r>
        <w:rPr>
          <w:b w:val="0"/>
          <w:bCs w:val="0"/>
        </w:rPr>
      </w:r>
    </w:p>
    <w:p>
      <w:pPr>
        <w:pStyle w:val="BodyText"/>
        <w:spacing w:line="319" w:lineRule="auto" w:before="115"/>
        <w:ind w:right="90" w:firstLine="360"/>
        <w:jc w:val="left"/>
      </w:pPr>
      <w:r>
        <w:rPr>
          <w:spacing w:val="-2"/>
        </w:rPr>
        <w:t>《公司章程》对公司股东大会、董事会审议关联交易事项的权限、审计程序、关联董事回避、关联股东回避等均作了明</w:t>
      </w:r>
      <w:r>
        <w:rPr/>
        <w:t> </w:t>
      </w:r>
      <w:r>
        <w:rPr>
          <w:spacing w:val="-4"/>
        </w:rPr>
        <w:t>确的规定。根据《深圳证券交易所上市公司内部控制指引》，公司制订了《关联交易管理制度》，对公司关联交易协议类别、</w:t>
      </w:r>
      <w:r>
        <w:rPr>
          <w:spacing w:val="-50"/>
        </w:rPr>
        <w:t> </w:t>
      </w:r>
      <w:r>
        <w:rPr>
          <w:spacing w:val="-50"/>
        </w:rPr>
      </w:r>
      <w:r>
        <w:rPr>
          <w:spacing w:val="-4"/>
        </w:rPr>
        <w:t>判断标准、合同签订、信息披露等内容进行了具体规定。同时公司制定了《防范控股股东及关联方占有公司资金专项制度》，</w:t>
      </w:r>
      <w:r>
        <w:rPr>
          <w:spacing w:val="-45"/>
        </w:rPr>
        <w:t> </w:t>
      </w:r>
      <w:r>
        <w:rPr>
          <w:spacing w:val="-45"/>
        </w:rPr>
      </w:r>
      <w:r>
        <w:rPr/>
        <w:t>现时公司不存在被控股股东及其关联方占用、转移公司资金、资产及其它资源的情况，关联交易事项符合诚实守信、平等、 </w:t>
      </w:r>
      <w:r>
        <w:rPr>
          <w:spacing w:val="-2"/>
        </w:rPr>
        <w:t>自愿、公平、公开、公允的原则，并按照信息披露规定履行了信息披露义务，在公司年度报告中作了详细披露，未发生损害</w:t>
      </w:r>
      <w:r>
        <w:rPr>
          <w:spacing w:val="-67"/>
        </w:rPr>
        <w:t> </w:t>
      </w:r>
      <w:r>
        <w:rPr>
          <w:spacing w:val="-67"/>
        </w:rPr>
      </w:r>
      <w:r>
        <w:rPr/>
        <w:t>公司和其它股东利益的情形，符合《深圳证券交易所上市公司内部控制指引》及相关法律法规的规定。</w:t>
      </w:r>
    </w:p>
    <w:p>
      <w:pPr>
        <w:pStyle w:val="Heading6"/>
        <w:spacing w:line="240" w:lineRule="auto" w:before="58"/>
        <w:ind w:left="515" w:right="181"/>
        <w:jc w:val="left"/>
        <w:rPr>
          <w:b w:val="0"/>
          <w:bCs w:val="0"/>
        </w:rPr>
      </w:pPr>
      <w:r>
        <w:rPr/>
        <w:t>（3）对对外担保的管理控制</w:t>
      </w:r>
      <w:r>
        <w:rPr>
          <w:b w:val="0"/>
          <w:bCs w:val="0"/>
        </w:rPr>
      </w:r>
    </w:p>
    <w:p>
      <w:pPr>
        <w:pStyle w:val="BodyText"/>
        <w:spacing w:line="319" w:lineRule="auto" w:before="115"/>
        <w:ind w:right="189" w:firstLine="360"/>
        <w:jc w:val="both"/>
      </w:pPr>
      <w:r>
        <w:rPr>
          <w:spacing w:val="-2"/>
        </w:rPr>
        <w:t>《公司章程》对对外担保的权限作了具体明确的规定，执行《深圳证券交易所股票上市规则》关于对外担保累计计算的</w:t>
      </w:r>
      <w:r>
        <w:rPr/>
        <w:t> </w:t>
      </w:r>
      <w:r>
        <w:rPr>
          <w:spacing w:val="-2"/>
        </w:rPr>
        <w:t>相关规定。同时公司制定了《融资、担保工作程序》，除对控股子公司的担保外，无其它对外担保事项，符合《深圳证券交</w:t>
      </w:r>
      <w:r>
        <w:rPr>
          <w:spacing w:val="-72"/>
        </w:rPr>
        <w:t> </w:t>
      </w:r>
      <w:r>
        <w:rPr>
          <w:spacing w:val="-72"/>
        </w:rPr>
      </w:r>
      <w:r>
        <w:rPr/>
        <w:t>易所上市公司内部控制指引》及相关法律法规的规定。</w:t>
      </w:r>
    </w:p>
    <w:p>
      <w:pPr>
        <w:spacing w:line="357" w:lineRule="auto" w:before="56"/>
        <w:ind w:left="514" w:right="194" w:firstLine="1"/>
        <w:jc w:val="left"/>
        <w:rPr>
          <w:rFonts w:ascii="宋体" w:hAnsi="宋体" w:cs="宋体" w:eastAsia="宋体" w:hint="default"/>
          <w:sz w:val="18"/>
          <w:szCs w:val="18"/>
        </w:rPr>
      </w:pPr>
      <w:r>
        <w:rPr>
          <w:rFonts w:ascii="宋体" w:hAnsi="宋体" w:cs="宋体" w:eastAsia="宋体" w:hint="default"/>
          <w:b/>
          <w:bCs/>
          <w:sz w:val="18"/>
          <w:szCs w:val="18"/>
        </w:rPr>
        <w:t>（4）对募集资金使用的管理控制</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公司制订了《募集资金使用管理办法》，对募集资金投向、募集资金使用的审批、未使用的募集资金的存放、变更、募</w:t>
      </w:r>
    </w:p>
    <w:p>
      <w:pPr>
        <w:pStyle w:val="BodyText"/>
        <w:spacing w:line="223" w:lineRule="exact"/>
        <w:ind w:right="0"/>
        <w:jc w:val="left"/>
      </w:pPr>
      <w:r>
        <w:rPr/>
        <w:t>集资金使用情况的报告和监督以及责任追究等作了明确的规定，做到了专款专用，确保了募集资金安全及依法使用。同时，</w:t>
      </w:r>
    </w:p>
    <w:p>
      <w:pPr>
        <w:pStyle w:val="BodyText"/>
        <w:spacing w:line="240" w:lineRule="auto" w:before="77"/>
        <w:ind w:right="181"/>
        <w:jc w:val="left"/>
      </w:pPr>
      <w:r>
        <w:rPr/>
        <w:t>公司严格按照规定对募集资金使用情况进行了披露。</w:t>
      </w:r>
    </w:p>
    <w:p>
      <w:pPr>
        <w:pStyle w:val="BodyText"/>
        <w:spacing w:line="357" w:lineRule="auto" w:before="117"/>
        <w:ind w:left="514" w:right="181" w:firstLine="1"/>
        <w:jc w:val="left"/>
      </w:pPr>
      <w:r>
        <w:rPr>
          <w:rFonts w:ascii="宋体" w:hAnsi="宋体" w:cs="宋体" w:eastAsia="宋体" w:hint="default"/>
          <w:b/>
          <w:bCs/>
        </w:rPr>
        <w:t>（5）对资金使用的管理控制</w:t>
      </w:r>
      <w:r>
        <w:rPr>
          <w:rFonts w:ascii="宋体" w:hAnsi="宋体" w:cs="宋体" w:eastAsia="宋体" w:hint="default"/>
          <w:b/>
          <w:bCs/>
          <w:w w:val="99"/>
        </w:rPr>
        <w:t> </w:t>
      </w:r>
      <w:r>
        <w:rPr>
          <w:spacing w:val="-15"/>
        </w:rPr>
        <w:t>公司制定了《资金管理规定》、《融资、担保工作程序》、《财务重大事项提报管理规定》、《应收账款管理规定》、《大额资</w:t>
      </w:r>
    </w:p>
    <w:p>
      <w:pPr>
        <w:pStyle w:val="BodyText"/>
        <w:spacing w:line="224" w:lineRule="exact"/>
        <w:ind w:right="0"/>
        <w:jc w:val="left"/>
      </w:pPr>
      <w:r>
        <w:rPr/>
        <w:t>金使用管理暂行规定》等制度，对货币资金的收支业务等建立了严格的授权批准程序，办理货币资金业务的不相容岗位已作</w:t>
      </w:r>
    </w:p>
    <w:p>
      <w:pPr>
        <w:pStyle w:val="BodyText"/>
        <w:spacing w:line="240" w:lineRule="auto" w:before="77"/>
        <w:ind w:right="181"/>
        <w:jc w:val="left"/>
      </w:pPr>
      <w:r>
        <w:rPr/>
        <w:t>分离，相关机构和人员存在相互制约关系。公司制定了收付款审批权限等系列程序，严格执行对款项收付的稽核及审查。</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spacing w:line="357" w:lineRule="auto" w:before="44"/>
        <w:ind w:left="513" w:right="195" w:firstLine="1"/>
        <w:jc w:val="left"/>
        <w:rPr>
          <w:rFonts w:ascii="宋体" w:hAnsi="宋体" w:cs="宋体" w:eastAsia="宋体" w:hint="default"/>
          <w:sz w:val="18"/>
          <w:szCs w:val="18"/>
        </w:rPr>
      </w:pPr>
      <w:r>
        <w:rPr>
          <w:rFonts w:ascii="宋体" w:hAnsi="宋体" w:cs="宋体" w:eastAsia="宋体" w:hint="default"/>
          <w:b/>
          <w:bCs/>
          <w:sz w:val="18"/>
          <w:szCs w:val="18"/>
        </w:rPr>
        <w:t>（6）对重大投资的管理控制</w:t>
      </w:r>
      <w:r>
        <w:rPr>
          <w:rFonts w:ascii="宋体" w:hAnsi="宋体" w:cs="宋体" w:eastAsia="宋体" w:hint="default"/>
          <w:b/>
          <w:bCs/>
          <w:w w:val="99"/>
          <w:sz w:val="18"/>
          <w:szCs w:val="18"/>
        </w:rPr>
        <w:t> </w:t>
      </w:r>
      <w:r>
        <w:rPr>
          <w:rFonts w:ascii="宋体" w:hAnsi="宋体" w:cs="宋体" w:eastAsia="宋体" w:hint="default"/>
          <w:spacing w:val="-2"/>
          <w:sz w:val="18"/>
          <w:szCs w:val="18"/>
        </w:rPr>
        <w:t>公司重大投资坚持合法、审慎、安全、有效的原则，控制投资风险、注重投资效益。《公司章程》中对董事会及股东大</w:t>
      </w:r>
    </w:p>
    <w:p>
      <w:pPr>
        <w:pStyle w:val="BodyText"/>
        <w:spacing w:line="225" w:lineRule="exact"/>
        <w:ind w:left="153" w:right="181"/>
        <w:jc w:val="left"/>
      </w:pPr>
      <w:r>
        <w:rPr/>
        <w:t>会在重大投资的审批权限方面均有明确规定。</w:t>
      </w:r>
    </w:p>
    <w:p>
      <w:pPr>
        <w:pStyle w:val="BodyText"/>
        <w:spacing w:line="357" w:lineRule="auto" w:before="117"/>
        <w:ind w:left="513" w:right="181" w:firstLine="1"/>
        <w:jc w:val="left"/>
      </w:pPr>
      <w:r>
        <w:rPr>
          <w:rFonts w:ascii="宋体" w:hAnsi="宋体" w:cs="宋体" w:eastAsia="宋体" w:hint="default"/>
          <w:b/>
          <w:bCs/>
        </w:rPr>
        <w:t>（7）对财务的管理控制</w:t>
      </w:r>
      <w:r>
        <w:rPr>
          <w:rFonts w:ascii="宋体" w:hAnsi="宋体" w:cs="宋体" w:eastAsia="宋体" w:hint="default"/>
          <w:b/>
          <w:bCs/>
          <w:w w:val="99"/>
        </w:rPr>
        <w:t> </w:t>
      </w:r>
      <w:r>
        <w:rPr>
          <w:spacing w:val="-9"/>
        </w:rPr>
        <w:t>公司已按《公司法》、《会计法》、《企业会计准则》等法律法规及其补充规定的要求制定了《财务会计制度》等有关财务</w:t>
      </w:r>
    </w:p>
    <w:p>
      <w:pPr>
        <w:pStyle w:val="BodyText"/>
        <w:spacing w:line="224" w:lineRule="exact"/>
        <w:ind w:right="0"/>
        <w:jc w:val="left"/>
      </w:pPr>
      <w:r>
        <w:rPr/>
        <w:t>制度，明确规定了重要财务决策程序与规则，规范了会计凭证、会计帐簿和会计报告的处理程序，明确了会计人员的岗位职</w:t>
      </w:r>
    </w:p>
    <w:p>
      <w:pPr>
        <w:pStyle w:val="BodyText"/>
        <w:spacing w:line="319" w:lineRule="auto" w:before="76"/>
        <w:ind w:right="87"/>
        <w:jc w:val="left"/>
      </w:pPr>
      <w:r>
        <w:rPr>
          <w:spacing w:val="-2"/>
        </w:rPr>
        <w:t>责，制定了凭证流转程序。执行交易时能及时编制有关凭证，及时送交会计部门及公司档案室记录及归档，并且将记录同相</w:t>
      </w:r>
      <w:r>
        <w:rPr>
          <w:spacing w:val="-66"/>
        </w:rPr>
        <w:t> </w:t>
      </w:r>
      <w:r>
        <w:rPr>
          <w:spacing w:val="-66"/>
        </w:rPr>
      </w:r>
      <w:r>
        <w:rPr>
          <w:spacing w:val="-4"/>
        </w:rPr>
        <w:t>应的会计分录独立比较，建立健全了会计电算化的内部控制制度。公司导入了</w:t>
      </w:r>
      <w:r>
        <w:rPr>
          <w:spacing w:val="-37"/>
        </w:rPr>
        <w:t> </w:t>
      </w:r>
      <w:r>
        <w:rPr/>
        <w:t>ERP</w:t>
      </w:r>
      <w:r>
        <w:rPr>
          <w:spacing w:val="-37"/>
        </w:rPr>
        <w:t> </w:t>
      </w:r>
      <w:r>
        <w:rPr>
          <w:spacing w:val="-3"/>
        </w:rPr>
        <w:t>管理系统，作为公司的管理控制技术平台，</w:t>
      </w:r>
      <w:r>
        <w:rPr>
          <w:spacing w:val="-88"/>
        </w:rPr>
        <w:t> </w:t>
      </w:r>
      <w:r>
        <w:rPr>
          <w:spacing w:val="-88"/>
        </w:rPr>
      </w:r>
      <w:r>
        <w:rPr>
          <w:spacing w:val="-2"/>
        </w:rPr>
        <w:t>有效规范了公司和基础信息、业务流程，提高了经营管理效率，能够为公司管理层和董事会及时提供相关信息。公司的会计</w:t>
      </w:r>
      <w:r>
        <w:rPr>
          <w:spacing w:val="-66"/>
        </w:rPr>
        <w:t> </w:t>
      </w:r>
      <w:r>
        <w:rPr>
          <w:spacing w:val="-66"/>
        </w:rPr>
      </w:r>
      <w:r>
        <w:rPr/>
        <w:t>核算体系健全、制度完善，符合相关法律法规的规定。</w:t>
      </w:r>
    </w:p>
    <w:p>
      <w:pPr>
        <w:pStyle w:val="BodyText"/>
        <w:spacing w:line="338" w:lineRule="auto" w:before="56"/>
        <w:ind w:right="182" w:firstLine="361"/>
        <w:jc w:val="left"/>
      </w:pPr>
      <w:r>
        <w:rPr>
          <w:rFonts w:ascii="宋体" w:hAnsi="宋体" w:cs="宋体" w:eastAsia="宋体" w:hint="default"/>
          <w:b/>
          <w:bCs/>
        </w:rPr>
        <w:t>（8）对信息披露的管理控制</w:t>
      </w:r>
      <w:r>
        <w:rPr>
          <w:rFonts w:ascii="宋体" w:hAnsi="宋体" w:cs="宋体" w:eastAsia="宋体" w:hint="default"/>
          <w:b/>
          <w:bCs/>
          <w:w w:val="99"/>
        </w:rPr>
        <w:t> </w:t>
      </w:r>
      <w:r>
        <w:rPr>
          <w:spacing w:val="-14"/>
        </w:rPr>
        <w:t>公司制订了《信息披露管理制度》、《重大信息内部报告制度》、《投资者关系管理工作规范》、投资者《接待和推广制度》、《年</w:t>
      </w:r>
      <w:r>
        <w:rPr>
          <w:spacing w:val="-82"/>
        </w:rPr>
        <w:t> </w:t>
      </w:r>
      <w:r>
        <w:rPr>
          <w:spacing w:val="-82"/>
        </w:rPr>
      </w:r>
      <w:r>
        <w:rPr>
          <w:spacing w:val="-2"/>
        </w:rPr>
        <w:t>报信息披露重大差错责任追究制度》，明确了重大信息的范围，报告、审核程序和披露办法以及保密规定。公司选择《中国</w:t>
      </w:r>
    </w:p>
    <w:p>
      <w:pPr>
        <w:pStyle w:val="BodyText"/>
        <w:spacing w:line="319" w:lineRule="auto" w:before="2"/>
        <w:ind w:right="188" w:hanging="1"/>
        <w:jc w:val="both"/>
      </w:pPr>
      <w:r>
        <w:rPr>
          <w:spacing w:val="-11"/>
        </w:rPr>
        <w:t>证券报》、《上海证券报》、《证券时报》、《香港商报》、巨潮资讯网站和香港联合交易所网站作为公开信息披露的渠道，所披</w:t>
      </w:r>
      <w:r>
        <w:rPr>
          <w:spacing w:val="-86"/>
        </w:rPr>
        <w:t> </w:t>
      </w:r>
      <w:r>
        <w:rPr>
          <w:spacing w:val="-86"/>
        </w:rPr>
      </w:r>
      <w:r>
        <w:rPr>
          <w:spacing w:val="-2"/>
        </w:rPr>
        <w:t>露的信息均首先在上述指定媒体披露。公司同时通过公司网站及时公布相关信息，与投资者进行广泛交流。公司投资者关系</w:t>
      </w:r>
      <w:r>
        <w:rPr>
          <w:spacing w:val="-67"/>
        </w:rPr>
        <w:t> </w:t>
      </w:r>
      <w:r>
        <w:rPr>
          <w:spacing w:val="-67"/>
        </w:rPr>
      </w:r>
      <w:r>
        <w:rPr/>
        <w:t>活动规范，确保了信息披露公开、公正、公平。</w:t>
      </w:r>
    </w:p>
    <w:p>
      <w:pPr>
        <w:pStyle w:val="Heading6"/>
        <w:spacing w:line="240" w:lineRule="auto" w:before="56"/>
        <w:ind w:right="181"/>
        <w:jc w:val="left"/>
        <w:rPr>
          <w:b w:val="0"/>
          <w:bCs w:val="0"/>
        </w:rPr>
      </w:pPr>
      <w:r>
        <w:rPr/>
        <w:t>（</w:t>
      </w:r>
      <w:r>
        <w:rPr>
          <w:rFonts w:ascii="Times New Roman" w:hAnsi="Times New Roman" w:cs="Times New Roman" w:eastAsia="Times New Roman" w:hint="default"/>
        </w:rPr>
        <w:t>9</w:t>
      </w:r>
      <w:r>
        <w:rPr/>
        <w:t>）公司控股子公司控制结构</w:t>
      </w:r>
      <w:r>
        <w:rPr>
          <w:b w:val="0"/>
          <w:bCs w:val="0"/>
        </w:rPr>
      </w:r>
    </w:p>
    <w:p>
      <w:pPr>
        <w:spacing w:after="0" w:line="240" w:lineRule="auto"/>
        <w:jc w:val="left"/>
        <w:sectPr>
          <w:pgSz w:w="11910" w:h="16840"/>
          <w:pgMar w:header="747" w:footer="982" w:top="1060" w:bottom="1180" w:left="980" w:right="940"/>
        </w:sectPr>
      </w:pPr>
    </w:p>
    <w:p>
      <w:pPr>
        <w:pStyle w:val="BodyText"/>
        <w:spacing w:line="240" w:lineRule="auto" w:before="17"/>
        <w:ind w:left="0" w:right="339"/>
        <w:jc w:val="right"/>
      </w:pPr>
      <w:r>
        <w:rPr/>
        <w:t>山东晨鸣纸业集团股份有限公司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0"/>
          <w:szCs w:val="10"/>
        </w:rPr>
      </w:pPr>
    </w:p>
    <w:p>
      <w:pPr>
        <w:spacing w:line="9293" w:lineRule="exact"/>
        <w:ind w:left="139" w:right="0" w:firstLine="0"/>
        <w:rPr>
          <w:rFonts w:ascii="宋体" w:hAnsi="宋体" w:cs="宋体" w:eastAsia="宋体" w:hint="default"/>
          <w:sz w:val="20"/>
          <w:szCs w:val="20"/>
        </w:rPr>
      </w:pPr>
      <w:r>
        <w:rPr>
          <w:rFonts w:ascii="宋体" w:hAnsi="宋体" w:cs="宋体" w:eastAsia="宋体" w:hint="default"/>
          <w:position w:val="-185"/>
          <w:sz w:val="20"/>
          <w:szCs w:val="20"/>
        </w:rPr>
        <w:drawing>
          <wp:inline distT="0" distB="0" distL="0" distR="0">
            <wp:extent cx="8895298" cy="590159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9" cstate="print"/>
                    <a:stretch>
                      <a:fillRect/>
                    </a:stretch>
                  </pic:blipFill>
                  <pic:spPr>
                    <a:xfrm>
                      <a:off x="0" y="0"/>
                      <a:ext cx="8895298" cy="5901594"/>
                    </a:xfrm>
                    <a:prstGeom prst="rect">
                      <a:avLst/>
                    </a:prstGeom>
                  </pic:spPr>
                </pic:pic>
              </a:graphicData>
            </a:graphic>
          </wp:inline>
        </w:drawing>
      </w:r>
      <w:r>
        <w:rPr>
          <w:rFonts w:ascii="宋体" w:hAnsi="宋体" w:cs="宋体" w:eastAsia="宋体" w:hint="default"/>
          <w:position w:val="-185"/>
          <w:sz w:val="20"/>
          <w:szCs w:val="20"/>
        </w:rPr>
      </w:r>
    </w:p>
    <w:p>
      <w:pPr>
        <w:pStyle w:val="BodyText"/>
        <w:spacing w:line="240" w:lineRule="auto" w:before="143"/>
        <w:ind w:left="0" w:right="339"/>
        <w:jc w:val="right"/>
        <w:rPr>
          <w:rFonts w:ascii="Times New Roman" w:hAnsi="Times New Roman" w:cs="Times New Roman" w:eastAsia="Times New Roman" w:hint="default"/>
        </w:rPr>
      </w:pPr>
      <w:r>
        <w:rPr>
          <w:rFonts w:ascii="Times New Roman"/>
        </w:rPr>
        <w:t>74</w:t>
      </w:r>
    </w:p>
    <w:p>
      <w:pPr>
        <w:spacing w:after="0" w:line="240" w:lineRule="auto"/>
        <w:jc w:val="right"/>
        <w:rPr>
          <w:rFonts w:ascii="Times New Roman" w:hAnsi="Times New Roman" w:cs="Times New Roman" w:eastAsia="Times New Roman" w:hint="default"/>
        </w:rPr>
        <w:sectPr>
          <w:headerReference w:type="default" r:id="rId27"/>
          <w:footerReference w:type="default" r:id="rId28"/>
          <w:pgSz w:w="16840" w:h="11910" w:orient="landscape"/>
          <w:pgMar w:header="0" w:footer="0" w:top="800" w:bottom="280" w:left="130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Heading2"/>
        <w:spacing w:line="240" w:lineRule="auto" w:before="26"/>
        <w:ind w:right="181"/>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02" w:firstLine="540"/>
        <w:jc w:val="left"/>
      </w:pPr>
      <w:r>
        <w:rPr>
          <w:spacing w:val="-7"/>
        </w:rPr>
        <w:t>公司董事会认为：公司以《公司法》、《上市公司治理准则》、《企业内部控制基本规范》和《企业内部控制应用指引》</w:t>
      </w:r>
      <w:r>
        <w:rPr/>
        <w:t> </w:t>
      </w:r>
      <w:r>
        <w:rPr>
          <w:spacing w:val="-2"/>
        </w:rPr>
        <w:t>等法律、法规为指导，结合实际情况建立了涵盖公司经营活动的各种内部控制制度，并得到了有效的执行，合理保证企业经</w:t>
      </w:r>
      <w:r>
        <w:rPr>
          <w:spacing w:val="-66"/>
        </w:rPr>
        <w:t> </w:t>
      </w:r>
      <w:r>
        <w:rPr>
          <w:spacing w:val="-66"/>
        </w:rPr>
      </w:r>
      <w:r>
        <w:rPr>
          <w:spacing w:val="-2"/>
        </w:rPr>
        <w:t>营管理合法合规、资产安全、财务报告及相关信息真实完整，有效地控制了风险，保证公司经营活动的正常进行。公司内部</w:t>
      </w:r>
      <w:r>
        <w:rPr>
          <w:spacing w:val="-66"/>
        </w:rPr>
        <w:t> </w:t>
      </w:r>
      <w:r>
        <w:rPr>
          <w:spacing w:val="-66"/>
        </w:rPr>
      </w:r>
      <w:r>
        <w:rPr>
          <w:spacing w:val="-2"/>
        </w:rPr>
        <w:t>控制的实际情况与有关规范性文件的规定和要求相符。公司也将根据公司发展需要和针对执行过程中发现的不足，不断对内</w:t>
      </w:r>
      <w:r>
        <w:rPr>
          <w:spacing w:val="-64"/>
        </w:rPr>
        <w:t> </w:t>
      </w:r>
      <w:r>
        <w:rPr>
          <w:spacing w:val="-64"/>
        </w:rPr>
      </w:r>
      <w:r>
        <w:rPr/>
        <w:t>控制度进行改进、充实和完善，为公司健康、稳定的发展奠定坚实基础。</w:t>
      </w:r>
    </w:p>
    <w:p>
      <w:pPr>
        <w:pStyle w:val="BodyText"/>
        <w:spacing w:line="302" w:lineRule="auto" w:before="56"/>
        <w:ind w:right="183" w:firstLine="359"/>
        <w:jc w:val="left"/>
      </w:pPr>
      <w:r>
        <w:rPr/>
        <w:t>本公司《董事会关于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年内部控制自我评价报告》及审计机构对公司内部控制报告的审核评价意见请详见深圳证券 交易所网站。</w:t>
      </w:r>
    </w:p>
    <w:p>
      <w:pPr>
        <w:spacing w:line="240" w:lineRule="auto" w:before="5"/>
        <w:rPr>
          <w:rFonts w:ascii="宋体" w:hAnsi="宋体" w:cs="宋体" w:eastAsia="宋体" w:hint="default"/>
          <w:sz w:val="21"/>
          <w:szCs w:val="21"/>
        </w:rPr>
      </w:pPr>
    </w:p>
    <w:p>
      <w:pPr>
        <w:pStyle w:val="Heading2"/>
        <w:spacing w:line="240" w:lineRule="auto"/>
        <w:ind w:right="181"/>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88" w:firstLine="539"/>
        <w:jc w:val="both"/>
      </w:pPr>
      <w:r>
        <w:rPr>
          <w:spacing w:val="-9"/>
        </w:rPr>
        <w:t>公司已按《公司法》、《会计法》、《企业会计准则》等法律法规及其补充规定的要求制定了《财务会计制度》等有关财</w:t>
      </w:r>
      <w:r>
        <w:rPr/>
        <w:t> </w:t>
      </w:r>
      <w:r>
        <w:rPr>
          <w:spacing w:val="-2"/>
        </w:rPr>
        <w:t>务制度，明确规定了重要财务决策程序与规则，规范了会计凭证、会计帐簿和会计报告的处理程序，明确了会计人员的岗位</w:t>
      </w:r>
      <w:r>
        <w:rPr>
          <w:spacing w:val="-66"/>
        </w:rPr>
        <w:t> </w:t>
      </w:r>
      <w:r>
        <w:rPr>
          <w:spacing w:val="-66"/>
        </w:rPr>
      </w:r>
      <w:r>
        <w:rPr>
          <w:spacing w:val="-2"/>
        </w:rPr>
        <w:t>职责，制定了凭证流转程序。执行交易时能及时编制有关凭证，及时送交会计部门及公司档案室记录及归档，并且将记录同</w:t>
      </w:r>
      <w:r>
        <w:rPr>
          <w:spacing w:val="-66"/>
        </w:rPr>
        <w:t> </w:t>
      </w:r>
      <w:r>
        <w:rPr>
          <w:spacing w:val="-66"/>
        </w:rPr>
      </w:r>
      <w:r>
        <w:rPr/>
        <w:t>相应的会计分录独立比较，建立健全了会计电算化的内部控制制度。公司导入了</w:t>
      </w:r>
      <w:r>
        <w:rPr>
          <w:spacing w:val="-46"/>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管理系统，作为公司的管理控制技术 </w:t>
      </w:r>
      <w:r>
        <w:rPr>
          <w:spacing w:val="-2"/>
        </w:rPr>
        <w:t>平台，有效规范了公司和基础信息、业务流程，提高了经营管理效率，能够为公司管理层和董事会及时提供相关信息。公司</w:t>
      </w:r>
      <w:r>
        <w:rPr>
          <w:spacing w:val="-66"/>
        </w:rPr>
        <w:t> </w:t>
      </w:r>
      <w:r>
        <w:rPr>
          <w:spacing w:val="-66"/>
        </w:rPr>
      </w:r>
      <w:r>
        <w:rPr/>
        <w:t>的会计核算体系健全、制度完善，符合相关法律法规的规定。</w:t>
      </w:r>
    </w:p>
    <w:p>
      <w:pPr>
        <w:spacing w:line="240" w:lineRule="auto" w:before="9"/>
        <w:rPr>
          <w:rFonts w:ascii="宋体" w:hAnsi="宋体" w:cs="宋体" w:eastAsia="宋体" w:hint="default"/>
          <w:sz w:val="20"/>
          <w:szCs w:val="20"/>
        </w:rPr>
      </w:pPr>
    </w:p>
    <w:p>
      <w:pPr>
        <w:pStyle w:val="Heading2"/>
        <w:spacing w:line="240" w:lineRule="auto"/>
        <w:ind w:right="181"/>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60"/>
        <w:gridCol w:w="650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110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公司董事会根据基本规范、评价指引的要求，结合日常监督和专项监督情况，未发现报告期内存在重大缺陷和重要缺陷。</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81"/>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031"/>
        <w:gridCol w:w="653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10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pStyle w:val="BodyText"/>
        <w:spacing w:line="240" w:lineRule="auto" w:before="51"/>
        <w:ind w:right="181"/>
        <w:jc w:val="left"/>
      </w:pPr>
      <w:r>
        <w:rPr/>
        <w:t>会计师事务所是否出具非标准意见的内部控制审计报告</w:t>
      </w:r>
    </w:p>
    <w:p>
      <w:pPr>
        <w:pStyle w:val="BodyText"/>
        <w:spacing w:line="240" w:lineRule="auto" w:before="117"/>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after="0" w:line="240" w:lineRule="auto"/>
        <w:jc w:val="left"/>
        <w:sectPr>
          <w:footerReference w:type="default" r:id="rId30"/>
          <w:pgSz w:w="11910" w:h="16840"/>
          <w:pgMar w:footer="982" w:header="0" w:top="1060" w:bottom="1180" w:left="980" w:right="940"/>
          <w:pgNumType w:start="75"/>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会计师事务所出具的内部控制审计报告与董事会的自我评价报告意见是否一致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540"/>
        <w:jc w:val="left"/>
      </w:pPr>
      <w:r>
        <w:rPr>
          <w:spacing w:val="-2"/>
        </w:rPr>
        <w:t>公司在《信息披露管理制度》中对信息披露违规、差错的有关责任认定及问责方式等事项进行了明确规定。报告期内</w:t>
      </w:r>
      <w:r>
        <w:rPr/>
        <w:t> 未发生重大会计差错更正、重大遗漏信息补充以及业绩预告修正等情况。</w:t>
      </w:r>
    </w:p>
    <w:p>
      <w:pPr>
        <w:spacing w:after="0" w:line="319" w:lineRule="auto"/>
        <w:jc w:val="left"/>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bookmark10" w:id="12"/>
      <w:bookmarkEnd w:id="12"/>
      <w:r>
        <w:rPr>
          <w:b w:val="0"/>
          <w:bCs w:val="0"/>
        </w:rPr>
      </w:r>
      <w:r>
        <w:rPr/>
        <w:t>第十一节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81"/>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40"/>
        </w:sectPr>
      </w:pPr>
    </w:p>
    <w:p>
      <w:pPr>
        <w:spacing w:line="240" w:lineRule="auto" w:before="11"/>
        <w:rPr>
          <w:rFonts w:ascii="宋体" w:hAnsi="宋体" w:cs="宋体" w:eastAsia="宋体" w:hint="default"/>
          <w:b/>
          <w:bCs/>
          <w:sz w:val="28"/>
          <w:szCs w:val="28"/>
        </w:rPr>
      </w:pPr>
    </w:p>
    <w:p>
      <w:pPr>
        <w:pStyle w:val="Heading3"/>
        <w:spacing w:line="240" w:lineRule="auto"/>
        <w:ind w:right="0"/>
        <w:jc w:val="left"/>
        <w:rPr>
          <w:b w:val="0"/>
          <w:bCs w:val="0"/>
        </w:rPr>
      </w:pPr>
      <w:r>
        <w:rPr>
          <w:w w:val="95"/>
        </w:rPr>
        <w:t>山东晨鸣纸业集团股份有限公司全体股东：</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80" w:left="980" w:right="940"/>
          <w:cols w:num="2" w:equalWidth="0">
            <w:col w:w="4160" w:space="120"/>
            <w:col w:w="5710"/>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00" w:lineRule="auto"/>
        <w:ind w:left="153" w:right="190" w:firstLine="420"/>
        <w:jc w:val="both"/>
      </w:pPr>
      <w:r>
        <w:rPr>
          <w:spacing w:val="-2"/>
        </w:rPr>
        <w:t>我们审计了后附的山东晨鸣纸业集团股份有限公司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及其子公司财务报表，包括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w:t>
      </w:r>
      <w:r>
        <w:rPr>
          <w:spacing w:val="-2"/>
        </w:rPr>
        <w:t>并及公司的资产负债表，</w:t>
      </w:r>
      <w:r>
        <w:rPr>
          <w:rFonts w:ascii="Times New Roman" w:hAnsi="Times New Roman" w:cs="Times New Roman" w:eastAsia="Times New Roman" w:hint="default"/>
          <w:spacing w:val="-2"/>
        </w:rPr>
        <w:t>2012</w:t>
      </w:r>
      <w:r>
        <w:rPr>
          <w:spacing w:val="-2"/>
        </w:rPr>
        <w:t>年度合并及公司的利润表、合并及公司的现金流量表和合并及公司的所有者权益变动表以及财</w:t>
      </w:r>
      <w:r>
        <w:rPr>
          <w:spacing w:val="-60"/>
        </w:rPr>
        <w:t> </w:t>
      </w:r>
      <w:r>
        <w:rPr>
          <w:spacing w:val="-60"/>
        </w:rPr>
      </w:r>
      <w:r>
        <w:rPr/>
        <w:t>务报表附注。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3"/>
        <w:spacing w:line="240" w:lineRule="auto"/>
        <w:ind w:left="576" w:right="181"/>
        <w:jc w:val="left"/>
        <w:rPr>
          <w:b w:val="0"/>
          <w:bCs w:val="0"/>
        </w:rPr>
      </w:pPr>
      <w:r>
        <w:rPr/>
        <w:t>（一）管理层对财务报表的责任</w:t>
      </w:r>
      <w:r>
        <w:rPr>
          <w:b w:val="0"/>
          <w:bCs w:val="0"/>
        </w:rPr>
      </w:r>
    </w:p>
    <w:p>
      <w:pPr>
        <w:pStyle w:val="BodyText"/>
        <w:spacing w:line="302" w:lineRule="auto" w:before="101"/>
        <w:ind w:right="191" w:firstLine="419"/>
        <w:jc w:val="both"/>
      </w:pPr>
      <w:r>
        <w:rPr>
          <w:spacing w:val="-2"/>
        </w:rPr>
        <w:t>编制和公允列报财务报表是贵公司管理层的责任。这种责任包括：（</w:t>
      </w:r>
      <w:r>
        <w:rPr>
          <w:rFonts w:ascii="Times New Roman" w:hAnsi="Times New Roman" w:cs="Times New Roman" w:eastAsia="Times New Roman" w:hint="default"/>
          <w:spacing w:val="-2"/>
        </w:rPr>
        <w:t>1</w:t>
      </w:r>
      <w:r>
        <w:rPr>
          <w:spacing w:val="-2"/>
        </w:rPr>
        <w:t>）按照企业会计准则的规定编制财务报表，并使</w:t>
      </w:r>
      <w:r>
        <w:rPr/>
        <w:t>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Heading3"/>
        <w:spacing w:line="240" w:lineRule="auto" w:before="142"/>
        <w:ind w:left="576" w:right="181"/>
        <w:jc w:val="left"/>
        <w:rPr>
          <w:b w:val="0"/>
          <w:bCs w:val="0"/>
        </w:rPr>
      </w:pPr>
      <w:r>
        <w:rPr/>
        <w:t>（二）注册会计师的责任</w:t>
      </w:r>
      <w:r>
        <w:rPr>
          <w:b w:val="0"/>
          <w:bCs w:val="0"/>
        </w:rPr>
      </w:r>
    </w:p>
    <w:p>
      <w:pPr>
        <w:pStyle w:val="BodyText"/>
        <w:spacing w:line="319" w:lineRule="auto" w:before="101"/>
        <w:ind w:right="187" w:firstLine="419"/>
        <w:jc w:val="both"/>
      </w:pPr>
      <w:r>
        <w:rPr/>
        <w:t>我们的责任是在执行审计工作的基础上对财务报表发表审计意见。我们按照中国注册会计师审计准则的规定执行了审</w:t>
      </w:r>
      <w:r>
        <w:rPr>
          <w:spacing w:val="1"/>
        </w:rPr>
        <w:t>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9" w:lineRule="auto" w:before="55"/>
        <w:ind w:right="90" w:firstLine="419"/>
        <w:jc w:val="left"/>
      </w:pPr>
      <w:r>
        <w:rPr>
          <w:spacing w:val="-2"/>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58"/>
        <w:ind w:left="574" w:right="181"/>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left="576" w:right="181"/>
        <w:jc w:val="left"/>
        <w:rPr>
          <w:b w:val="0"/>
          <w:bCs w:val="0"/>
        </w:rPr>
      </w:pPr>
      <w:r>
        <w:rPr/>
        <w:t>（三）审计意见</w:t>
      </w:r>
      <w:r>
        <w:rPr>
          <w:b w:val="0"/>
          <w:bCs w:val="0"/>
        </w:rPr>
      </w:r>
    </w:p>
    <w:p>
      <w:pPr>
        <w:pStyle w:val="BodyText"/>
        <w:spacing w:line="309" w:lineRule="auto" w:before="102"/>
        <w:ind w:right="187" w:firstLine="419"/>
        <w:jc w:val="both"/>
      </w:pPr>
      <w:r>
        <w:rPr/>
        <w:t>我们认为，上述财务报表在所有重大方面按照企业会计准则的规定编制，公允反映了山东晨鸣纸业集团股份有限公司</w:t>
      </w:r>
      <w:r>
        <w:rPr>
          <w:spacing w:val="1"/>
        </w:rPr>
        <w:t> </w:t>
      </w:r>
      <w:r>
        <w:rPr>
          <w:spacing w:val="-2"/>
        </w:rPr>
        <w:t>及其子公司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日的合并财务状况以及</w:t>
      </w:r>
      <w:r>
        <w:rPr>
          <w:rFonts w:ascii="Times New Roman" w:hAnsi="Times New Roman" w:cs="Times New Roman" w:eastAsia="Times New Roman" w:hint="default"/>
          <w:spacing w:val="-2"/>
        </w:rPr>
        <w:t>2012</w:t>
      </w:r>
      <w:r>
        <w:rPr>
          <w:spacing w:val="-2"/>
        </w:rPr>
        <w:t>年度的合并经营成果和合并现金流量，以及山东晨鸣纸业集团股份有限</w:t>
      </w:r>
      <w:r>
        <w:rPr>
          <w:spacing w:val="-52"/>
        </w:rPr>
        <w:t> </w:t>
      </w:r>
      <w:r>
        <w:rPr>
          <w:spacing w:val="-52"/>
        </w:rPr>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4"/>
        <w:tabs>
          <w:tab w:pos="6457" w:val="left" w:leader="none"/>
        </w:tabs>
        <w:spacing w:line="360" w:lineRule="auto"/>
        <w:ind w:left="2238" w:right="1214" w:hanging="1443"/>
        <w:jc w:val="left"/>
      </w:pPr>
      <w:r>
        <w:rPr/>
        <w:t>中瑞岳华会计师事务所（特殊普通合伙）</w:t>
        <w:tab/>
        <w:t>中国注册会计师：王传顺 </w:t>
      </w:r>
      <w:r>
        <w:rPr>
          <w:w w:val="95"/>
        </w:rPr>
        <w:t>中国</w:t>
      </w:r>
      <w:r>
        <w:rPr>
          <w:rFonts w:ascii="Times New Roman" w:hAnsi="Times New Roman" w:cs="Times New Roman" w:eastAsia="Times New Roman" w:hint="default"/>
          <w:w w:val="95"/>
        </w:rPr>
        <w:t>·</w:t>
      </w:r>
      <w:r>
        <w:rPr>
          <w:w w:val="95"/>
        </w:rPr>
        <w:t>北京</w:t>
        <w:tab/>
      </w:r>
      <w:r>
        <w:rPr/>
        <w:t>中国注册会计师：景传轩</w:t>
      </w:r>
    </w:p>
    <w:p>
      <w:pPr>
        <w:pStyle w:val="Heading4"/>
        <w:spacing w:line="240" w:lineRule="auto" w:before="6"/>
        <w:ind w:left="0" w:right="1687"/>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p>
    <w:p>
      <w:pPr>
        <w:spacing w:after="0" w:line="240" w:lineRule="auto"/>
        <w:jc w:val="right"/>
        <w:sectPr>
          <w:type w:val="continuous"/>
          <w:pgSz w:w="11910" w:h="16840"/>
          <w:pgMar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4,456,217,362.86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3,529,938,211.47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1,852,478,364.46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2,444,508,997.74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3,602,955,051.18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2,886,437,754.69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1,636,233,924.64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764,880,237.90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1,284,655,342.63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325,550,913.72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4,412,548,700.68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5,586,472,121.37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1,803,256,307.61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1,698,362,261.63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19,048,345,054.06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17,236,150,498.52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356,796,777.78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77,434,005.49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21,211,699.99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19,751,339,991.06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22,740,904,031.02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5,017,604,821.59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2,618,039,624.85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75,054,992.09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61,924,581.85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287,309,818.03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1,169,269,054.15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959,061,500.85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1,416,497,159.22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1,517,137,201.36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184,770,685.65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192,917,245.62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376,938,086.60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174,026,534.27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28,677,076,873.33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28,394,678,468.51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47,725,421,927.39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45,630,828,967.03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12,876,398,495.16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12,086,984,606.69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1,285,627,762.07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615,327,402.85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3,239,781,724.81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4,685,585,997.60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347,835,800.87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231,428,013.45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177,847,769.71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147,063,891.65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106,816,413.87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68,240,005.91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133,046,123.31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106,854,702.74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435,772,288.98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763,621,538.95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1,368,108,800.00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1,203,616,858.22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17,659,498.56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10,227,001.60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19,988,894,677.34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19,918,950,019.66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3,933,167,835.94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5,143,067,496.05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6,256,263,237.00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2,476,942,694.79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641,526,872.70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2,560,151,371.36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2,444,093,897.14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13,391,109,317.00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10,724,104,087.98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33,380,003,994.34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30,643,054,107.64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2,062,045,941.00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6,414,892,999.53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6,098,264,836.00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4,149,511,927.88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4,237,783,996.54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929,205.04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-1,588,560.03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13,759,496,179.85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13,528,622,319.91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585,921,753.20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1,459,152,539.48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14,345,417,933.05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14,987,774,859.39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47,725,421,927.39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45,630,828,967.03</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3"/>
        <w:gridCol w:w="3302"/>
        <w:gridCol w:w="3289"/>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002" w:right="0"/>
              <w:jc w:val="left"/>
              <w:rPr>
                <w:rFonts w:ascii="Times New Roman" w:hAnsi="Times New Roman" w:cs="Times New Roman" w:eastAsia="Times New Roman" w:hint="default"/>
                <w:sz w:val="18"/>
                <w:szCs w:val="18"/>
              </w:rPr>
            </w:pPr>
            <w:r>
              <w:rPr>
                <w:rFonts w:ascii="Times New Roman"/>
                <w:sz w:val="18"/>
              </w:rPr>
              <w:t>3,057,756,467.02</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1,747,384,563.57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2,592,967,374.30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1,432,408,267.82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342,497,381.57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1,743,034,281.97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646,962,478.93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664,693,619.26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512,215,933.76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9,232,778,999.32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6,928,079,845.18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937,107,565.73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1,173,839,484.91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62,260,013.84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15,216,230.82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17,884,546,214.47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13,754,656,293.53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8,991,578,553.83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8,748,703,461.63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21,211,699.99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5,006,474,783.75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5,264,187,852.03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513,157,612.96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422,232,622.40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2,536,053.61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3,589,906.68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313,572,418.35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322,623,412.83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21,517,455.45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41,388,325.93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14,870,048,577.94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15,335,675,537.53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32,754,594,792.41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29,090,331,831.06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7,847,558,953.68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8,080,716,020.88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643,432,387.04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346,418,281.23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1,044,590,466.45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1,698,958,458.63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417,522,231.17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119,723,590.83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101,268,730.42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79,433,205.74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25,109,370.51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21,270,847.19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129,893,611.11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103,910,194.44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255,596,331.72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211,491,763.93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514,843,000.00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543,009,000.00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2,328,791.64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1,345,288.40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10,982,143,873.74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11,206,276,651.27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352,112,035.94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648,055,935.94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5,760,200,575.93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1,983,425,123.62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2,214,846,544.38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2,314,615,977.46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8,327,159,156.25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4,946,097,037.02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19,309,303,029.99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16,152,373,688.29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2,062,045,941.00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6,184,215,988.77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6,184,215,988.77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1,119,926,524.49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1,119,926,524.49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4,079,103,308.16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3,571,769,688.51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13,445,291,762.42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12,937,958,142.77</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32,754,594,792.41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29,090,331,831.06</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after="0" w:line="240" w:lineRule="auto"/>
        <w:jc w:val="left"/>
        <w:sectPr>
          <w:pgSz w:w="11910" w:h="16840"/>
          <w:pgMar w:header="0"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325"/>
        <w:gridCol w:w="2911"/>
        <w:gridCol w:w="2447"/>
      </w:tblGrid>
      <w:tr>
        <w:trPr>
          <w:trHeight w:val="401"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19,761,679,230.05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17,747,489,900.87</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19,761,679,230.05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17,747,489,900.87</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20,190,204,636.07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17,427,488,408.38</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16,693,768,322.36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14,931,153,175.89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78,689,990.94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75,717,528.59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1,144,489,246.04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932,884,617.97</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1,110,246,902.75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1,014,494,608.50</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1,092,760,015.04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432,022,027.84</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70,250,158.94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41,216,449.59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47,822,076.87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48,173,926.26</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-35,524,960.75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7,871,420.17</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-637,227.71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-3,246,150.00</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-416,228,289.90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376,046,838.92</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421,528,346.56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364,826,920.31</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21,440,038.10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41,883,862.53</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4,484,098.29</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5,791,866.58</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-16,139,981.44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698,989,896.70</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-62,826,238.51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110,263,113.88</w:t>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46,686,257.07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588,726,782.82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325"/>
        <w:gridCol w:w="2911"/>
        <w:gridCol w:w="2447"/>
      </w:tblGrid>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221,034,822.54</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608,271,256.29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-174,348,565.47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-19,544,473.47</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2,250,198.82</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-1,592,779.91</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48,936,455.89</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587,134,002.91</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223,285,021.36</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606,678,476.38</w:t>
            </w:r>
          </w:p>
        </w:tc>
      </w:tr>
      <w:tr>
        <w:trPr>
          <w:trHeight w:val="402" w:hRule="exact"/>
        </w:trPr>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91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-174,348,565.47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-19,544,473.47</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27"/>
        <w:ind w:left="153" w:right="0"/>
        <w:jc w:val="left"/>
      </w:pPr>
      <w:r>
        <w:rPr/>
        <w:t>法定代表人：陈洪国</w:t>
        <w:tab/>
        <w:t>主管会计工作负责人：王春方</w:t>
        <w:tab/>
        <w:t>会计机构负责人：董连明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490"/>
        <w:gridCol w:w="2726"/>
        <w:gridCol w:w="2466"/>
      </w:tblGrid>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8,641,208,942.54</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8,997,521,699.60</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7,177,585,076.21</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7,477,073,368.37</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45,538,835.46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38,828,780.64</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287,036,491.45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284,936,730.61</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531,555,114.76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478,414,289.42</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509,080,279.98</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251,663,081.97</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-8,992,017.36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-67,463,391.85</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7"/>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26" w:type="dxa"/>
            <w:tcBorders>
              <w:top w:val="single" w:sz="4" w:space="0" w:color="000000"/>
              <w:left w:val="single" w:sz="13" w:space="0" w:color="D3D3D3"/>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601,171,586.41</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263,319,140.54</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-3,246,150.00</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700,576,748.45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797,387,980.98</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206,421,196.02</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179,866,219.03</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45,274,377.35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26,502,320.95</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273,373.64</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4,147,861.71</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861,723,567.12</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950,751,879.06</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45,083,056.27</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94,697,624.94</w:t>
            </w:r>
          </w:p>
        </w:tc>
      </w:tr>
      <w:tr>
        <w:trPr>
          <w:trHeight w:val="403"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816,640,510.85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856,054,254.12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4490"/>
        <w:gridCol w:w="2726"/>
        <w:gridCol w:w="2466"/>
      </w:tblGrid>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8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8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726" w:type="dxa"/>
            <w:tcBorders>
              <w:top w:val="single" w:sz="4" w:space="0" w:color="000000"/>
              <w:left w:val="single" w:sz="13" w:space="0" w:color="D3D3D3"/>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816,640,510.85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856,054,254.12</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860"/>
        <w:gridCol w:w="2531"/>
        <w:gridCol w:w="2286"/>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18,898,272,759.78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18,171,618,384.23</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8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81"/>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23,554,462.43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25,768,916.35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478,057,899.37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460,889,042.22</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19,399,885,121.58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18,658,276,342.80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13,883,922,321.10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15,868,791,276.57</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81"/>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31"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8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980,078,937.56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858,514,134.68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1,046,466,624.71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1,353,466,742.90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860"/>
        <w:gridCol w:w="2536"/>
        <w:gridCol w:w="2286"/>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1,532,550,760.22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1,014,967,199.54</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17,443,018,643.59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19,095,739,353.69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1,956,866,477.99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-437,463,010.89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处置固定资产、无形资产和其他长期资产收回的现金净额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81,287,275.09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25,503,242.42</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114,228,233.04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85,833,861.65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825,144,486.68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789,995,907.49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1,020,659,994.81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901,333,011.56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2,836,141,166.67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5,079,862,426.10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779,039,794.00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96,641,800.00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51,603,949.43</w:t>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36" w:type="dxa"/>
            <w:tcBorders>
              <w:top w:val="single" w:sz="4" w:space="0" w:color="000000"/>
              <w:left w:val="single" w:sz="13"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3,666,784,910.10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5,176,504,226.10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-2,646,124,915.29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-4,275,171,214.54</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20,431,257,575.12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17,871,971,078.39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3,773,400,000.00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2,473,750,000.00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1,083,500,000.00</w:t>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25,318,157,575.12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20,350,721,078.39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21,884,060,289.27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12,449,904,961.19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1,811,123,256.04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1,599,494,479.86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34,709,480.76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78,991,189.35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899,777,585.47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1,116,270,631.02</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24,594,961,130.78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15,165,670,072.07</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723,196,444.34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5,185,051,006.32</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-7,436,441.12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-10,604,141.16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26,501,565.92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461,812,639.73</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2,317,048,619.53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1,855,235,979.80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2,343,550,185.45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2,317,048,619.53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573" w:val="left" w:leader="none"/>
          <w:tab w:pos="7713" w:val="left" w:leader="none"/>
        </w:tabs>
        <w:spacing w:line="240" w:lineRule="auto" w:before="44"/>
        <w:ind w:left="153" w:right="0"/>
        <w:jc w:val="left"/>
      </w:pPr>
      <w:r>
        <w:rPr/>
        <w:t>法定代表人：陈洪国</w:t>
        <w:tab/>
        <w:t>主管会计工作负责人：王春方</w:t>
        <w:tab/>
        <w:t>会计机构负责人：董连明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837"/>
        <w:gridCol w:w="2532"/>
        <w:gridCol w:w="2188"/>
      </w:tblGrid>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10,633,676,349.76</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10,591,768,302.84</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224,089,911.79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186,090,658.90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10,857,766,261.55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10,777,858,961.74</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7,687,404,057.11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7,405,120,325.58</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190,589,314.60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290,407,296.36</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447,492,526.52</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639,922,431.42</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2,395,664,137.91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2,333,136,686.35</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10,721,150,036.14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10,668,586,739.71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136,616,225.41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109,272,222.03</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1,785,965,599.18</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62,413,545.49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255,656,071.44</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60,584,699.60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599,046.24</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11,753,324.01</w:t>
            </w: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299,751,569.10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2,042,220,716.86</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444,035,770.10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671,496,041.41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659,306,351.20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2,841,003,755.00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1,103,342,121.30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3,512,499,796.41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-803,590,552.20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-1,470,279,079.55</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13,811,876,225.40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10,764,488,694.56</w:t>
            </w:r>
          </w:p>
        </w:tc>
      </w:tr>
      <w:tr>
        <w:trPr>
          <w:trHeight w:val="401"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3,773,400,000.00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60"/>
        <w:gridCol w:w="2520"/>
        <w:gridCol w:w="2188"/>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1,083,500,000.00</w:t>
            </w: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18,668,776,225.40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12,746,488,694.56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15,569,143,192.60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9,183,064,949.46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1,118,202,959.20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1,155,318,645.28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813,788,127.94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415,445,919.04</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17,501,134,279.74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10,753,829,513.78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1,167,641,945.66</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1,992,659,180.78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-4,083,843.36</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-3,822,851.98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496,583,775.51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627,829,471.28</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1,290,039,078.57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662,209,607.29</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1,786,622,854.08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1,290,039,078.57</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060" w:bottom="1180" w:left="980" w:right="980"/>
        </w:sectPr>
      </w:pPr>
    </w:p>
    <w:p>
      <w:pPr>
        <w:pStyle w:val="BodyText"/>
        <w:spacing w:line="360" w:lineRule="auto" w:before="44"/>
        <w:ind w:left="153" w:right="-19"/>
        <w:jc w:val="left"/>
      </w:pPr>
      <w:r>
        <w:rPr/>
        <w:t>编制单位：山东晨鸣纸业集团股份有限公司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68"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6,098,26</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4,836.00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4,237,78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3,996.54</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-1,588,5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60.03</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1,459,152</w:t>
            </w:r>
          </w:p>
          <w:p>
            <w:pPr>
              <w:pStyle w:val="TableParagraph"/>
              <w:spacing w:line="240" w:lineRule="auto" w:before="106"/>
              <w:ind w:left="220" w:right="0"/>
              <w:jc w:val="center"/>
              <w:rPr>
                <w:rFonts w:ascii="Times New Roman" w:hAnsi="Times New Roman" w:cs="Times New Roman" w:eastAsia="Times New Roman" w:hint="default"/>
                <w:sz w:val="18"/>
                <w:szCs w:val="18"/>
              </w:rPr>
            </w:pPr>
            <w:r>
              <w:rPr>
                <w:rFonts w:ascii="Times New Roman"/>
                <w:sz w:val="18"/>
              </w:rPr>
              <w:t>,539.48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14,987,774</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,859.39</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6,098,26</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4,836.00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4,237,78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3,996.54</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-1,588,5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60.03</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1,459,152</w:t>
            </w:r>
          </w:p>
          <w:p>
            <w:pPr>
              <w:pStyle w:val="TableParagraph"/>
              <w:spacing w:line="240" w:lineRule="auto" w:before="106"/>
              <w:ind w:left="220" w:right="0"/>
              <w:jc w:val="center"/>
              <w:rPr>
                <w:rFonts w:ascii="Times New Roman" w:hAnsi="Times New Roman" w:cs="Times New Roman" w:eastAsia="Times New Roman" w:hint="default"/>
                <w:sz w:val="18"/>
                <w:szCs w:val="18"/>
              </w:rPr>
            </w:pPr>
            <w:r>
              <w:rPr>
                <w:rFonts w:ascii="Times New Roman"/>
                <w:sz w:val="18"/>
              </w:rPr>
              <w:t>,539.48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14,987,774</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,859.39</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316,628,</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163.53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-88,272,</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068.66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2,517,76</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-873,230,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786.28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-642,356,9</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26.34</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221,034,</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822.54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-174,348,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565.47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46,686,257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2,517,76</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6" w:right="0"/>
              <w:jc w:val="left"/>
              <w:rPr>
                <w:rFonts w:ascii="Times New Roman" w:hAnsi="Times New Roman" w:cs="Times New Roman" w:eastAsia="Times New Roman" w:hint="default"/>
                <w:sz w:val="18"/>
                <w:szCs w:val="18"/>
              </w:rPr>
            </w:pPr>
            <w:r>
              <w:rPr>
                <w:rFonts w:ascii="Times New Roman"/>
                <w:sz w:val="18"/>
              </w:rPr>
              <w:t>2,250,198.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67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6.25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6.25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221,034,</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822.54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2,517,76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-174,348,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565.47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48,936,455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316,895,</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729.78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-669,539,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473.21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-352,643,7</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43.43</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156,396,0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50.57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156,396,05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316,895,</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729.78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-825,935,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523.78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-509,039,7</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94.00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-309,30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6,891.20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-29,342,7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47.60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-338,649,6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-309,30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6,891.20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-29,342,7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47.60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-338,649,6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6,414,89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2,999.53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4,149,51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1,927.88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585,921,7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53.20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14,345,417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,933.05</w:t>
            </w:r>
          </w:p>
        </w:tc>
      </w:tr>
    </w:tbl>
    <w:p>
      <w:pPr>
        <w:pStyle w:val="BodyText"/>
        <w:spacing w:line="240" w:lineRule="auto" w:before="51"/>
        <w:ind w:right="0"/>
        <w:jc w:val="left"/>
      </w:pPr>
      <w:r>
        <w:rPr/>
        <w:t>上年金额</w:t>
      </w:r>
    </w:p>
    <w:p>
      <w:pPr>
        <w:pStyle w:val="BodyText"/>
        <w:spacing w:line="240" w:lineRule="auto" w:before="117"/>
        <w:ind w:left="0" w:right="149"/>
        <w:jc w:val="right"/>
      </w:pPr>
      <w:r>
        <w:rPr/>
        <w:t>单位：元</w:t>
      </w:r>
    </w:p>
    <w:p>
      <w:pPr>
        <w:spacing w:after="0" w:line="240" w:lineRule="auto"/>
        <w:jc w:val="right"/>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97"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44" w:type="dxa"/>
            <w:vMerge/>
            <w:tcBorders>
              <w:left w:val="single" w:sz="4" w:space="0" w:color="000000"/>
              <w:right w:val="single" w:sz="4" w:space="0" w:color="000000"/>
            </w:tcBorders>
            <w:shd w:val="clear" w:color="auto" w:fill="D3D3D3"/>
          </w:tcPr>
          <w:p>
            <w:pP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6,093,49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3,004.71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4,333,73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1,947.96</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4,219.88</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1,724,413</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,211.96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15,260,199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,006.50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6,093,49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3,004.71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4,333,73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1,947.96</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4,219.88</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1,724,413</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,211.96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15,260,199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,006.50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4,771,83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1.29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425.41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-95,947,</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951.42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-1,592,7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79.91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-265,260,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672.48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-272,424,1</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47.11</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608,271,</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256.29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-19,544,4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73.47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588,726,78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2.82</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-1,592,7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79.91</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608,271,</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256.29</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-1,592,7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79.91</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-19,544,4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73.47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587,134,00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2.91</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4,771,83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1.29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-216,438,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980.57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-211,667,1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49.28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4,771,83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1.29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-221,438,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980.57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-216,667,1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49.28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425.41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-704,21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9,207.71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-29,277,2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18.44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-647,891,0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00.74</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425.41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-85,605,</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425.41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6"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96"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-618,61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-29,277,2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-647,891,0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3,782.30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Times New Roman" w:hAnsi="Times New Roman" w:cs="Times New Roman" w:eastAsia="Times New Roman" w:hint="default"/>
                <w:sz w:val="18"/>
                <w:szCs w:val="18"/>
              </w:rPr>
            </w:pPr>
            <w:r>
              <w:rPr>
                <w:rFonts w:ascii="Times New Roman"/>
                <w:sz w:val="18"/>
              </w:rPr>
              <w:t>18.44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4" w:right="0"/>
              <w:jc w:val="left"/>
              <w:rPr>
                <w:rFonts w:ascii="Times New Roman" w:hAnsi="Times New Roman" w:cs="Times New Roman" w:eastAsia="Times New Roman" w:hint="default"/>
                <w:sz w:val="18"/>
                <w:szCs w:val="18"/>
              </w:rPr>
            </w:pPr>
            <w:r>
              <w:rPr>
                <w:rFonts w:ascii="Times New Roman"/>
                <w:sz w:val="18"/>
              </w:rPr>
              <w:t>00.74</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6,098,26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4,836.00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4,237,78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3,996.54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-1,588,5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60.03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1,459,152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,539.48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14,987,774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,859.39</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060" w:bottom="1180" w:left="980" w:right="980"/>
        </w:sectPr>
      </w:pPr>
    </w:p>
    <w:p>
      <w:pPr>
        <w:pStyle w:val="BodyText"/>
        <w:spacing w:line="357" w:lineRule="auto" w:before="44"/>
        <w:ind w:left="153" w:right="-19"/>
        <w:jc w:val="left"/>
      </w:pPr>
      <w:r>
        <w:rPr/>
        <w:t>编制单位：山东晨鸣纸业集团股份有限公司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4"/>
        <w:gridCol w:w="886"/>
        <w:gridCol w:w="884"/>
        <w:gridCol w:w="886"/>
        <w:gridCol w:w="886"/>
        <w:gridCol w:w="887"/>
        <w:gridCol w:w="886"/>
        <w:gridCol w:w="886"/>
        <w:gridCol w:w="893"/>
      </w:tblGrid>
      <w:tr>
        <w:trPr>
          <w:trHeight w:val="40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7"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6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8" w:hRule="exact"/>
        </w:trPr>
        <w:tc>
          <w:tcPr>
            <w:tcW w:w="2464"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6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3,571,769,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688.51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12,937,958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,142.77</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3,571,769,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688.51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12,937,958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,142.77</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507,333,61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507,333,61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9.65</w:t>
            </w: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0.85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0.85</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0.720001pt;margin-top:375.480011pt;width:42.7pt;height:40.950pt;mso-position-horizontal-relative:page;mso-position-vertical-relative:page;z-index:-1371208" coordorigin="3614,7510" coordsize="854,819">
            <v:group style="position:absolute;left:3626;top:7522;width:2;height:393" coordorigin="3626,7522" coordsize="2,393">
              <v:shape style="position:absolute;left:3626;top:7522;width:2;height:393" coordorigin="3626,7522" coordsize="0,393" path="m3626,7522l3626,7914e" filled="false" stroked="true" strokeweight="1.2pt" strokecolor="#ffffff">
                <v:path arrowok="t"/>
              </v:shape>
            </v:group>
            <v:group style="position:absolute;left:3638;top:7522;width:830;height:393" coordorigin="3638,7522" coordsize="830,393">
              <v:shape style="position:absolute;left:3638;top:7522;width:830;height:393" coordorigin="3638,7522" coordsize="830,393" path="m3638,7914l4468,7914,4468,7522,3638,7522,3638,7914xe" filled="true" fillcolor="#ffffff" stroked="false">
                <v:path arrowok="t"/>
                <v:fill type="solid"/>
              </v:shape>
            </v:group>
            <v:group style="position:absolute;left:3626;top:7924;width:2;height:393" coordorigin="3626,7924" coordsize="2,393">
              <v:shape style="position:absolute;left:3626;top:7924;width:2;height:393" coordorigin="3626,7924" coordsize="0,393" path="m3626,7924l3626,8316e" filled="false" stroked="true" strokeweight="1.2pt" strokecolor="#ffffff">
                <v:path arrowok="t"/>
              </v:shape>
            </v:group>
            <v:group style="position:absolute;left:3638;top:7924;width:830;height:393" coordorigin="3638,7924" coordsize="830,393">
              <v:shape style="position:absolute;left:3638;top:7924;width:830;height:393" coordorigin="3638,7924" coordsize="830,393" path="m3638,8316l4468,8316,4468,7924,3638,7924,3638,831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0.85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91.20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91.20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91.20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91.20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941.00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4,079,103,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308.16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13,445,291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,762.42</w:t>
            </w:r>
          </w:p>
        </w:tc>
      </w:tr>
    </w:tbl>
    <w:p>
      <w:pPr>
        <w:pStyle w:val="BodyText"/>
        <w:spacing w:line="240" w:lineRule="auto" w:before="51"/>
        <w:ind w:right="0"/>
        <w:jc w:val="left"/>
      </w:pPr>
      <w:r>
        <w:rPr/>
        <w:t>上年金额</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898"/>
        <w:gridCol w:w="884"/>
        <w:gridCol w:w="886"/>
        <w:gridCol w:w="883"/>
        <w:gridCol w:w="884"/>
        <w:gridCol w:w="884"/>
        <w:gridCol w:w="883"/>
        <w:gridCol w:w="882"/>
      </w:tblGrid>
      <w:tr>
        <w:trPr>
          <w:trHeight w:val="402"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71"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0"/>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6" w:hRule="exact"/>
        </w:trPr>
        <w:tc>
          <w:tcPr>
            <w:tcW w:w="2471" w:type="dxa"/>
            <w:vMerge w:val="restart"/>
            <w:tcBorders>
              <w:top w:val="nil" w:sz="6" w:space="0" w:color="auto"/>
              <w:left w:val="single" w:sz="4" w:space="0" w:color="000000"/>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1"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1,034,321,</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099.08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3,419,934,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642.10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12,700,517</w:t>
            </w:r>
          </w:p>
          <w:p>
            <w:pPr>
              <w:pStyle w:val="TableParagraph"/>
              <w:spacing w:line="240" w:lineRule="auto" w:before="106"/>
              <w:ind w:left="308" w:right="0"/>
              <w:jc w:val="left"/>
              <w:rPr>
                <w:rFonts w:ascii="Times New Roman" w:hAnsi="Times New Roman" w:cs="Times New Roman" w:eastAsia="Times New Roman" w:hint="default"/>
                <w:sz w:val="18"/>
                <w:szCs w:val="18"/>
              </w:rPr>
            </w:pPr>
            <w:r>
              <w:rPr>
                <w:rFonts w:ascii="Times New Roman"/>
                <w:sz w:val="18"/>
              </w:rPr>
              <w:t>,670.95</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498.179993pt;width:42.7pt;height:40.950pt;mso-position-horizontal-relative:page;mso-position-vertical-relative:page;z-index:-1371184" coordorigin="3634,9964" coordsize="854,819">
            <v:group style="position:absolute;left:3646;top:9976;width:2;height:393" coordorigin="3646,9976" coordsize="2,393">
              <v:shape style="position:absolute;left:3646;top:9976;width:2;height:393" coordorigin="3646,9976" coordsize="0,393" path="m3646,9976l3646,10368e" filled="false" stroked="true" strokeweight="1.2pt" strokecolor="#ffffff">
                <v:path arrowok="t"/>
              </v:shape>
            </v:group>
            <v:group style="position:absolute;left:3658;top:9976;width:830;height:393" coordorigin="3658,9976" coordsize="830,393">
              <v:shape style="position:absolute;left:3658;top:9976;width:830;height:393" coordorigin="3658,9976" coordsize="830,393" path="m3658,10368l4487,10368,4487,9976,3658,9976,3658,10368xe" filled="true" fillcolor="#ffffff" stroked="false">
                <v:path arrowok="t"/>
                <v:fill type="solid"/>
              </v:shape>
            </v:group>
            <v:group style="position:absolute;left:3646;top:10378;width:2;height:393" coordorigin="3646,10378" coordsize="2,393">
              <v:shape style="position:absolute;left:3646;top:10378;width:2;height:393" coordorigin="3646,10378" coordsize="0,393" path="m3646,10378l3646,10770e" filled="false" stroked="true" strokeweight="1.2pt" strokecolor="#ffffff">
                <v:path arrowok="t"/>
              </v:shape>
            </v:group>
            <v:group style="position:absolute;left:3658;top:10378;width:830;height:393" coordorigin="3658,10378" coordsize="830,393">
              <v:shape style="position:absolute;left:3658;top:10378;width:830;height:393" coordorigin="3658,10378" coordsize="830,393" path="m3658,10770l4487,10770,4487,10378,3658,10378,3658,1077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941.00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1,034,321,</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099.08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3,419,934,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642.10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12,700,517</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,670.95</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151,835,04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6.41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237,440,47</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1.82</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4.12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4.12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-704,219,2</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07.71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-618,613,7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82.30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-85,605,42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5.41</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-618,613,7</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82.30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-618,613,7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82.30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941.00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524.49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3,571,769,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688.51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12,937,958</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,142.77</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法定代表人：陈洪国</w:t>
        <w:tab/>
        <w:t>主管会计工作负责人：王春方</w:t>
        <w:tab/>
        <w:t>会计机构负责人：董连明</w:t>
      </w:r>
    </w:p>
    <w:p>
      <w:pPr>
        <w:spacing w:after="0" w:line="240" w:lineRule="auto"/>
        <w:jc w:val="left"/>
        <w:sectPr>
          <w:pgSz w:w="11910" w:h="16840"/>
          <w:pgMar w:header="0"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81"/>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420"/>
        <w:jc w:val="both"/>
      </w:pPr>
      <w:r>
        <w:rPr>
          <w:spacing w:val="-1"/>
        </w:rPr>
        <w:t>山东晨鸣纸业集团股份有限公司（以下简称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）前身为山东省寿光县造纸总厂，于</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5</w:t>
      </w:r>
      <w:r>
        <w:rPr>
          <w:spacing w:val="-1"/>
        </w:rPr>
        <w:t>月以定向募</w:t>
      </w:r>
      <w:r>
        <w:rPr/>
        <w:t> </w:t>
      </w:r>
      <w:r>
        <w:rPr>
          <w:spacing w:val="-2"/>
        </w:rPr>
        <w:t>集山东寿光造纸印刷包装（集团）股份有限公司，注册资本</w:t>
      </w:r>
      <w:r>
        <w:rPr>
          <w:rFonts w:ascii="Times New Roman" w:hAnsi="Times New Roman" w:cs="Times New Roman" w:eastAsia="Times New Roman" w:hint="default"/>
          <w:spacing w:val="-2"/>
        </w:rPr>
        <w:t>66,647,400</w:t>
      </w:r>
      <w:r>
        <w:rPr>
          <w:spacing w:val="-2"/>
        </w:rPr>
        <w:t>元人民币，总股本</w:t>
      </w:r>
      <w:r>
        <w:rPr>
          <w:rFonts w:ascii="Times New Roman" w:hAnsi="Times New Roman" w:cs="Times New Roman" w:eastAsia="Times New Roman" w:hint="default"/>
          <w:spacing w:val="-2"/>
        </w:rPr>
        <w:t>66,647,400</w:t>
      </w:r>
      <w:r>
        <w:rPr>
          <w:spacing w:val="-2"/>
        </w:rPr>
        <w:t>股。股权结构为：发起人</w:t>
      </w:r>
      <w:r>
        <w:rPr>
          <w:spacing w:val="-51"/>
        </w:rPr>
        <w:t> </w:t>
      </w:r>
      <w:r>
        <w:rPr>
          <w:spacing w:val="-51"/>
        </w:rPr>
      </w:r>
      <w:r>
        <w:rPr>
          <w:spacing w:val="-1"/>
        </w:rPr>
        <w:t>国家股</w:t>
      </w:r>
      <w:r>
        <w:rPr>
          <w:rFonts w:ascii="Times New Roman" w:hAnsi="Times New Roman" w:cs="Times New Roman" w:eastAsia="Times New Roman" w:hint="default"/>
          <w:spacing w:val="-1"/>
        </w:rPr>
        <w:t>46,497,400</w:t>
      </w:r>
      <w:r>
        <w:rPr>
          <w:spacing w:val="-1"/>
        </w:rPr>
        <w:t>股，占总股本的</w:t>
      </w:r>
      <w:r>
        <w:rPr>
          <w:rFonts w:ascii="Times New Roman" w:hAnsi="Times New Roman" w:cs="Times New Roman" w:eastAsia="Times New Roman" w:hint="default"/>
          <w:spacing w:val="-1"/>
        </w:rPr>
        <w:t>69.76%</w:t>
      </w:r>
      <w:r>
        <w:rPr>
          <w:spacing w:val="-1"/>
        </w:rPr>
        <w:t>；境内法人股</w:t>
      </w:r>
      <w:r>
        <w:rPr>
          <w:rFonts w:ascii="Times New Roman" w:hAnsi="Times New Roman" w:cs="Times New Roman" w:eastAsia="Times New Roman" w:hint="default"/>
          <w:spacing w:val="-1"/>
        </w:rPr>
        <w:t>1,558,500</w:t>
      </w:r>
      <w:r>
        <w:rPr>
          <w:spacing w:val="-1"/>
        </w:rPr>
        <w:t>股，占总股本的</w:t>
      </w:r>
      <w:r>
        <w:rPr>
          <w:rFonts w:ascii="Times New Roman" w:hAnsi="Times New Roman" w:cs="Times New Roman" w:eastAsia="Times New Roman" w:hint="default"/>
          <w:spacing w:val="-1"/>
        </w:rPr>
        <w:t>2.34%</w:t>
      </w:r>
      <w:r>
        <w:rPr>
          <w:spacing w:val="-1"/>
        </w:rPr>
        <w:t>；内部职工股</w:t>
      </w:r>
      <w:r>
        <w:rPr>
          <w:rFonts w:ascii="Times New Roman" w:hAnsi="Times New Roman" w:cs="Times New Roman" w:eastAsia="Times New Roman" w:hint="default"/>
          <w:spacing w:val="-1"/>
        </w:rPr>
        <w:t>18,591,500</w:t>
      </w:r>
      <w:r>
        <w:rPr>
          <w:spacing w:val="-1"/>
        </w:rPr>
        <w:t>股，占总股本</w:t>
      </w:r>
      <w:r>
        <w:rPr>
          <w:spacing w:val="-46"/>
        </w:rPr>
        <w:t> </w:t>
      </w:r>
      <w:r>
        <w:rPr>
          <w:spacing w:val="-46"/>
        </w:rPr>
      </w:r>
      <w:r>
        <w:rPr/>
        <w:t>的</w:t>
      </w:r>
      <w:r>
        <w:rPr>
          <w:rFonts w:ascii="Times New Roman" w:hAnsi="Times New Roman" w:cs="Times New Roman" w:eastAsia="Times New Roman" w:hint="default"/>
        </w:rPr>
        <w:t>27.90%</w:t>
      </w:r>
      <w:r>
        <w:rPr/>
        <w:t>。</w:t>
      </w:r>
    </w:p>
    <w:p>
      <w:pPr>
        <w:pStyle w:val="BodyText"/>
        <w:spacing w:line="300" w:lineRule="auto" w:before="51"/>
        <w:ind w:right="90" w:firstLine="419"/>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日，经山东省寿光市经济体制改革办公室核发的《关于山东寿光造纸印刷包装（集团）股份有限公司更名 </w:t>
      </w:r>
      <w:r>
        <w:rPr>
          <w:spacing w:val="-2"/>
        </w:rPr>
        <w:t>为山东寿光造纸（集团）股份有限公司的批复》（寿改发〔</w:t>
      </w:r>
      <w:r>
        <w:rPr>
          <w:rFonts w:ascii="Times New Roman" w:hAnsi="Times New Roman" w:cs="Times New Roman" w:eastAsia="Times New Roman" w:hint="default"/>
          <w:spacing w:val="-2"/>
        </w:rPr>
        <w:t>1993</w:t>
      </w:r>
      <w:r>
        <w:rPr>
          <w:spacing w:val="-2"/>
        </w:rPr>
        <w:t>〕</w:t>
      </w:r>
      <w:r>
        <w:rPr>
          <w:rFonts w:ascii="Times New Roman" w:hAnsi="Times New Roman" w:cs="Times New Roman" w:eastAsia="Times New Roman" w:hint="default"/>
          <w:spacing w:val="-2"/>
        </w:rPr>
        <w:t>23</w:t>
      </w:r>
      <w:r>
        <w:rPr>
          <w:spacing w:val="-2"/>
        </w:rPr>
        <w:t>号）予以批复，山东寿光造纸印刷包装（集团）股份有</w:t>
      </w:r>
      <w:r>
        <w:rPr>
          <w:spacing w:val="-64"/>
        </w:rPr>
        <w:t> </w:t>
      </w:r>
      <w:r>
        <w:rPr>
          <w:spacing w:val="-64"/>
        </w:rPr>
      </w:r>
      <w:r>
        <w:rPr/>
        <w:t>限公司更名为山东寿光造纸（集团）股份有限公司，并于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日办理完相关的工商变更登记手续；</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 经山东省经济改革委员会核发的《关于同意确认山东寿光造纸集团股份有限公司的函》（鲁体改函字〔</w:t>
      </w:r>
      <w:r>
        <w:rPr>
          <w:rFonts w:ascii="Times New Roman" w:hAnsi="Times New Roman" w:cs="Times New Roman" w:eastAsia="Times New Roman" w:hint="default"/>
        </w:rPr>
        <w:t>1996</w:t>
      </w:r>
      <w:r>
        <w:rPr/>
        <w:t>〕第</w:t>
      </w:r>
      <w:r>
        <w:rPr>
          <w:rFonts w:ascii="Times New Roman" w:hAnsi="Times New Roman" w:cs="Times New Roman" w:eastAsia="Times New Roman" w:hint="default"/>
        </w:rPr>
        <w:t>123</w:t>
      </w:r>
      <w:r>
        <w:rPr/>
        <w:t>号）和</w:t>
      </w:r>
      <w:r>
        <w:rPr>
          <w:spacing w:val="-84"/>
        </w:rPr>
        <w:t> </w:t>
      </w:r>
      <w:r>
        <w:rPr>
          <w:spacing w:val="-2"/>
        </w:rPr>
        <w:t>山东省人民政府核发的《山东省股份有限公司批准证书》（鲁政股字〔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98</w:t>
      </w:r>
      <w:r>
        <w:rPr>
          <w:spacing w:val="-2"/>
        </w:rPr>
        <w:t>号），同意山东寿光造纸集团股份有限公司</w:t>
      </w:r>
      <w:r>
        <w:rPr>
          <w:spacing w:val="-62"/>
        </w:rPr>
        <w:t> </w:t>
      </w:r>
      <w:r>
        <w:rPr>
          <w:spacing w:val="-62"/>
        </w:rPr>
      </w:r>
      <w:r>
        <w:rPr/>
        <w:t>更名为山东晨鸣纸业集团股份有限公司（即公司目前名称）。</w:t>
      </w:r>
    </w:p>
    <w:p>
      <w:pPr>
        <w:pStyle w:val="BodyText"/>
        <w:spacing w:line="302" w:lineRule="auto" w:before="71"/>
        <w:ind w:right="191" w:firstLine="420"/>
        <w:jc w:val="both"/>
      </w:pP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日，公司召开第三次股东大会，通过了</w:t>
      </w:r>
      <w:r>
        <w:rPr>
          <w:rFonts w:ascii="Times New Roman" w:hAnsi="Times New Roman" w:cs="Times New Roman" w:eastAsia="Times New Roman" w:hint="default"/>
          <w:spacing w:val="-1"/>
        </w:rPr>
        <w:t>1995</w:t>
      </w:r>
      <w:r>
        <w:rPr>
          <w:spacing w:val="-1"/>
        </w:rPr>
        <w:t>年度以每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3.5</w:t>
      </w:r>
      <w:r>
        <w:rPr>
          <w:spacing w:val="-1"/>
        </w:rPr>
        <w:t>股红股的利润分配方案，同时通过了转增</w:t>
      </w:r>
      <w:r>
        <w:rPr/>
        <w:t> 国有股的议案，该次送股及转增完成后，公司股本由</w:t>
      </w:r>
      <w:r>
        <w:rPr>
          <w:rFonts w:ascii="Times New Roman" w:hAnsi="Times New Roman" w:cs="Times New Roman" w:eastAsia="Times New Roman" w:hint="default"/>
        </w:rPr>
        <w:t>66,647,400</w:t>
      </w:r>
      <w:r>
        <w:rPr/>
        <w:t>股变更为</w:t>
      </w:r>
      <w:r>
        <w:rPr>
          <w:rFonts w:ascii="Times New Roman" w:hAnsi="Times New Roman" w:cs="Times New Roman" w:eastAsia="Times New Roman" w:hint="default"/>
        </w:rPr>
        <w:t>99,840,990</w:t>
      </w:r>
      <w:r>
        <w:rPr/>
        <w:t>股。</w:t>
      </w:r>
    </w:p>
    <w:p>
      <w:pPr>
        <w:pStyle w:val="BodyText"/>
        <w:spacing w:line="240" w:lineRule="auto" w:before="49"/>
        <w:ind w:left="573" w:right="99"/>
        <w:jc w:val="left"/>
      </w:pPr>
      <w:r>
        <w:rPr>
          <w:rFonts w:ascii="Times New Roman" w:hAnsi="Times New Roman" w:cs="Times New Roman" w:eastAsia="Times New Roman" w:hint="default"/>
          <w:spacing w:val="-4"/>
        </w:rPr>
        <w:t>1996</w:t>
      </w:r>
      <w:r>
        <w:rPr>
          <w:spacing w:val="-4"/>
        </w:rPr>
        <w:t>年</w:t>
      </w:r>
      <w:r>
        <w:rPr>
          <w:rFonts w:ascii="Times New Roman" w:hAnsi="Times New Roman" w:cs="Times New Roman" w:eastAsia="Times New Roman" w:hint="default"/>
          <w:spacing w:val="-4"/>
        </w:rPr>
        <w:t>12</w:t>
      </w:r>
      <w:r>
        <w:rPr>
          <w:spacing w:val="-4"/>
        </w:rPr>
        <w:t>月，经山东省人民政府核发的《关于推荐山东寿光造纸集团股份有限公司发行</w:t>
      </w:r>
      <w:r>
        <w:rPr>
          <w:rFonts w:ascii="Times New Roman" w:hAnsi="Times New Roman" w:cs="Times New Roman" w:eastAsia="Times New Roman" w:hint="default"/>
          <w:spacing w:val="-4"/>
        </w:rPr>
        <w:t>B</w:t>
      </w:r>
      <w:r>
        <w:rPr>
          <w:spacing w:val="-4"/>
        </w:rPr>
        <w:t>种股票的函》（鲁政字〔</w:t>
      </w:r>
      <w:r>
        <w:rPr>
          <w:rFonts w:ascii="Times New Roman" w:hAnsi="Times New Roman" w:cs="Times New Roman" w:eastAsia="Times New Roman" w:hint="default"/>
          <w:spacing w:val="-4"/>
        </w:rPr>
        <w:t>1996</w:t>
      </w:r>
      <w:r>
        <w:rPr>
          <w:spacing w:val="-4"/>
        </w:rPr>
        <w:t>〕</w:t>
      </w:r>
    </w:p>
    <w:p>
      <w:pPr>
        <w:pStyle w:val="BodyText"/>
        <w:spacing w:line="240" w:lineRule="auto" w:before="64"/>
        <w:ind w:left="153" w:right="181"/>
        <w:jc w:val="left"/>
      </w:pPr>
      <w:r>
        <w:rPr>
          <w:rFonts w:ascii="Times New Roman" w:hAnsi="Times New Roman" w:cs="Times New Roman" w:eastAsia="Times New Roman" w:hint="default"/>
        </w:rPr>
        <w:t>270</w:t>
      </w:r>
      <w:r>
        <w:rPr/>
        <w:t>号）及国务院证券委员会以</w:t>
      </w:r>
      <w:r>
        <w:rPr>
          <w:rFonts w:ascii="Times New Roman" w:hAnsi="Times New Roman" w:cs="Times New Roman" w:eastAsia="Times New Roman" w:hint="default"/>
        </w:rPr>
        <w:t>[</w:t>
      </w:r>
      <w:r>
        <w:rPr/>
        <w:t>证委〔</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59</w:t>
      </w:r>
      <w:r>
        <w:rPr/>
        <w:t>号</w:t>
      </w:r>
      <w:r>
        <w:rPr>
          <w:rFonts w:ascii="Times New Roman" w:hAnsi="Times New Roman" w:cs="Times New Roman" w:eastAsia="Times New Roman" w:hint="default"/>
        </w:rPr>
        <w:t>]</w:t>
      </w:r>
      <w:r>
        <w:rPr/>
        <w:t>批准，公司变更为募集设立的股份有限公司。</w:t>
      </w:r>
    </w:p>
    <w:p>
      <w:pPr>
        <w:pStyle w:val="BodyText"/>
        <w:spacing w:line="302" w:lineRule="auto" w:before="101"/>
        <w:ind w:right="190" w:firstLine="419"/>
        <w:jc w:val="both"/>
      </w:pP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日，公司召开第四次股东大会，通过了公司吸收合并寿光永立纸业有限公司及</w:t>
      </w:r>
      <w:r>
        <w:rPr>
          <w:rFonts w:ascii="Times New Roman" w:hAnsi="Times New Roman" w:cs="Times New Roman" w:eastAsia="Times New Roman" w:hint="default"/>
          <w:spacing w:val="-1"/>
        </w:rPr>
        <w:t>1996</w:t>
      </w:r>
      <w:r>
        <w:rPr>
          <w:spacing w:val="-1"/>
        </w:rPr>
        <w:t>年度以每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4</w:t>
      </w:r>
      <w:r>
        <w:rPr>
          <w:spacing w:val="-1"/>
        </w:rPr>
        <w:t>股红股</w:t>
      </w:r>
      <w:r>
        <w:rPr/>
        <w:t> 的利润分配方案，该次送股完成后，公司股本由</w:t>
      </w:r>
      <w:r>
        <w:rPr>
          <w:rFonts w:ascii="Times New Roman" w:hAnsi="Times New Roman" w:cs="Times New Roman" w:eastAsia="Times New Roman" w:hint="default"/>
        </w:rPr>
        <w:t>99,840,990</w:t>
      </w:r>
      <w:r>
        <w:rPr/>
        <w:t>股增至</w:t>
      </w:r>
      <w:r>
        <w:rPr>
          <w:rFonts w:ascii="Times New Roman" w:hAnsi="Times New Roman" w:cs="Times New Roman" w:eastAsia="Times New Roman" w:hint="default"/>
        </w:rPr>
        <w:t>158,855,665</w:t>
      </w:r>
      <w:r>
        <w:rPr/>
        <w:t>股。</w:t>
      </w:r>
    </w:p>
    <w:p>
      <w:pPr>
        <w:pStyle w:val="BodyText"/>
        <w:spacing w:line="300" w:lineRule="auto" w:before="50"/>
        <w:ind w:right="188" w:firstLine="420"/>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日，公司根据山东省人民政府核发的《关于推荐山东寿光造纸集团股份有限公司发行</w:t>
      </w:r>
      <w:r>
        <w:rPr>
          <w:rFonts w:ascii="Times New Roman" w:hAnsi="Times New Roman" w:cs="Times New Roman" w:eastAsia="Times New Roman" w:hint="default"/>
        </w:rPr>
        <w:t>B</w:t>
      </w:r>
      <w:r>
        <w:rPr/>
        <w:t>种股票的函》（鲁 政字〔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270</w:t>
      </w:r>
      <w:r>
        <w:rPr/>
        <w:t>号）、国务院证券委员会核发的《关于山东晨鸣纸业集团股份有限公司发行境内上市外资股的批复》（证</w:t>
      </w:r>
      <w:r>
        <w:rPr>
          <w:spacing w:val="-84"/>
        </w:rPr>
        <w:t> </w:t>
      </w:r>
      <w:r>
        <w:rPr>
          <w:spacing w:val="-84"/>
        </w:rPr>
      </w:r>
      <w:r>
        <w:rPr/>
        <w:t>委发〔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26</w:t>
      </w:r>
      <w:r>
        <w:rPr/>
        <w:t>号）和深圳证券交易所以（深证发〔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188</w:t>
      </w:r>
      <w:r>
        <w:rPr/>
        <w:t>号）文批准，发行境内上市外资股（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115,000,000</w:t>
      </w:r>
      <w:r>
        <w:rPr/>
        <w:t>股，</w:t>
      </w:r>
      <w:r>
        <w:rPr>
          <w:spacing w:val="-35"/>
        </w:rPr>
        <w:t> </w:t>
      </w:r>
      <w:r>
        <w:rPr/>
        <w:t>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日在深圳证券交易所上市交易。发行完成后，公司的股本总额由</w:t>
      </w:r>
      <w:r>
        <w:rPr>
          <w:rFonts w:ascii="Times New Roman" w:hAnsi="Times New Roman" w:cs="Times New Roman" w:eastAsia="Times New Roman" w:hint="default"/>
        </w:rPr>
        <w:t>158,855,665</w:t>
      </w:r>
      <w:r>
        <w:rPr/>
        <w:t>股增至</w:t>
      </w:r>
      <w:r>
        <w:rPr>
          <w:rFonts w:ascii="Times New Roman" w:hAnsi="Times New Roman" w:cs="Times New Roman" w:eastAsia="Times New Roman" w:hint="default"/>
        </w:rPr>
        <w:t>273,855,665</w:t>
      </w:r>
      <w:r>
        <w:rPr/>
        <w:t>股。公司经 </w:t>
      </w:r>
      <w:r>
        <w:rPr>
          <w:spacing w:val="-2"/>
        </w:rPr>
        <w:t>原对外经济贸易合作部核发的《关于山东晨鸣纸业集团股份有限公司转为外商投资股份有限公司的批复》（〔</w:t>
      </w:r>
      <w:r>
        <w:rPr>
          <w:rFonts w:ascii="Times New Roman" w:hAnsi="Times New Roman" w:cs="Times New Roman" w:eastAsia="Times New Roman" w:hint="default"/>
          <w:spacing w:val="-2"/>
        </w:rPr>
        <w:t>1997</w:t>
      </w:r>
      <w:r>
        <w:rPr>
          <w:spacing w:val="-2"/>
        </w:rPr>
        <w:t>〕外经贸</w:t>
      </w:r>
      <w:r>
        <w:rPr>
          <w:spacing w:val="-62"/>
        </w:rPr>
        <w:t> </w:t>
      </w:r>
      <w:r>
        <w:rPr>
          <w:spacing w:val="-62"/>
        </w:rPr>
      </w:r>
      <w:r>
        <w:rPr/>
        <w:t>资二函字第</w:t>
      </w:r>
      <w:r>
        <w:rPr>
          <w:rFonts w:ascii="Times New Roman" w:hAnsi="Times New Roman" w:cs="Times New Roman" w:eastAsia="Times New Roman" w:hint="default"/>
        </w:rPr>
        <w:t>415</w:t>
      </w:r>
      <w:r>
        <w:rPr/>
        <w:t>号）转为外商投资股份有限公司。</w:t>
      </w:r>
    </w:p>
    <w:p>
      <w:pPr>
        <w:pStyle w:val="BodyText"/>
        <w:spacing w:line="300" w:lineRule="auto" w:before="51"/>
        <w:ind w:right="182" w:firstLine="420"/>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日，公司召开</w:t>
      </w:r>
      <w:r>
        <w:rPr>
          <w:rFonts w:ascii="Times New Roman" w:hAnsi="Times New Roman" w:cs="Times New Roman" w:eastAsia="Times New Roman" w:hint="default"/>
        </w:rPr>
        <w:t>1997</w:t>
      </w:r>
      <w:r>
        <w:rPr/>
        <w:t>年临时股东大会，审议通过了《关于资本公积金转增股本的议案》，以公司</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 </w:t>
      </w:r>
      <w:r>
        <w:rPr>
          <w:spacing w:val="4"/>
        </w:rPr>
        <w:t>月</w:t>
      </w:r>
      <w:r>
        <w:rPr>
          <w:rFonts w:ascii="Times New Roman" w:hAnsi="Times New Roman" w:cs="Times New Roman" w:eastAsia="Times New Roman" w:hint="default"/>
          <w:spacing w:val="4"/>
        </w:rPr>
        <w:t>30</w:t>
      </w:r>
      <w:r>
        <w:rPr>
          <w:spacing w:val="4"/>
        </w:rPr>
        <w:t>日的股本</w:t>
      </w:r>
      <w:r>
        <w:rPr>
          <w:rFonts w:ascii="Times New Roman" w:hAnsi="Times New Roman" w:cs="Times New Roman" w:eastAsia="Times New Roman" w:hint="default"/>
          <w:spacing w:val="4"/>
        </w:rPr>
        <w:t>273,855,665</w:t>
      </w:r>
      <w:r>
        <w:rPr>
          <w:spacing w:val="4"/>
        </w:rPr>
        <w:t>股计算，按</w:t>
      </w:r>
      <w:r>
        <w:rPr>
          <w:rFonts w:ascii="Times New Roman" w:hAnsi="Times New Roman" w:cs="Times New Roman" w:eastAsia="Times New Roman" w:hint="default"/>
          <w:spacing w:val="4"/>
        </w:rPr>
        <w:t>10:4</w:t>
      </w:r>
      <w:r>
        <w:rPr>
          <w:spacing w:val="4"/>
        </w:rPr>
        <w:t>的比例将资本公积金转增股本</w:t>
      </w:r>
      <w:r>
        <w:rPr>
          <w:rFonts w:ascii="Times New Roman" w:hAnsi="Times New Roman" w:cs="Times New Roman" w:eastAsia="Times New Roman" w:hint="default"/>
          <w:spacing w:val="4"/>
        </w:rPr>
        <w:t>109,542,266</w:t>
      </w:r>
      <w:r>
        <w:rPr>
          <w:spacing w:val="4"/>
        </w:rPr>
        <w:t>股。转增完成后，公司总股本变更为</w:t>
      </w:r>
      <w:r>
        <w:rPr>
          <w:spacing w:val="-47"/>
        </w:rPr>
        <w:t> </w:t>
      </w:r>
      <w:r>
        <w:rPr>
          <w:spacing w:val="-47"/>
        </w:rPr>
      </w:r>
      <w:r>
        <w:rPr>
          <w:rFonts w:ascii="Times New Roman" w:hAnsi="Times New Roman" w:cs="Times New Roman" w:eastAsia="Times New Roman" w:hint="default"/>
        </w:rPr>
        <w:t>383,397,931</w:t>
      </w:r>
      <w:r>
        <w:rPr/>
        <w:t>股。</w:t>
      </w:r>
    </w:p>
    <w:p>
      <w:pPr>
        <w:pStyle w:val="BodyText"/>
        <w:spacing w:line="300" w:lineRule="auto" w:before="51"/>
        <w:ind w:left="153" w:right="189" w:firstLine="420"/>
        <w:jc w:val="both"/>
      </w:pPr>
      <w:r>
        <w:rPr>
          <w:spacing w:val="-1"/>
        </w:rPr>
        <w:t>公司经中国证监会于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日核发的《关于核准山东晨鸣纸业集团股份有限公司申请发行股票的通知》（证监公</w:t>
      </w:r>
      <w:r>
        <w:rPr/>
        <w:t> </w:t>
      </w:r>
      <w:r>
        <w:rPr>
          <w:spacing w:val="-2"/>
        </w:rPr>
        <w:t>司字〔</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号）和深圳证券交易所于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日核发的《上市通知书》（深证上〔</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号）批准，公司人民</w:t>
      </w:r>
      <w:r>
        <w:rPr>
          <w:spacing w:val="-48"/>
        </w:rPr>
        <w:t> </w:t>
      </w:r>
      <w:r>
        <w:rPr>
          <w:spacing w:val="-48"/>
        </w:rPr>
      </w:r>
      <w:r>
        <w:rPr>
          <w:spacing w:val="-1"/>
        </w:rPr>
        <w:t>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7000</w:t>
      </w:r>
      <w:r>
        <w:rPr>
          <w:spacing w:val="-1"/>
        </w:rPr>
        <w:t>万股，并于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日在深圳证券交易所上市交易。发行完成后，公司总股本由</w:t>
      </w:r>
      <w:r>
        <w:rPr>
          <w:rFonts w:ascii="Times New Roman" w:hAnsi="Times New Roman" w:cs="Times New Roman" w:eastAsia="Times New Roman" w:hint="default"/>
          <w:spacing w:val="-1"/>
        </w:rPr>
        <w:t>383,397,931</w:t>
      </w:r>
      <w:r>
        <w:rPr>
          <w:spacing w:val="-1"/>
        </w:rPr>
        <w:t>股增</w:t>
      </w:r>
      <w:r>
        <w:rPr>
          <w:spacing w:val="-60"/>
        </w:rPr>
        <w:t> </w:t>
      </w:r>
      <w:r>
        <w:rPr/>
        <w:t>至</w:t>
      </w:r>
      <w:r>
        <w:rPr>
          <w:rFonts w:ascii="Times New Roman" w:hAnsi="Times New Roman" w:cs="Times New Roman" w:eastAsia="Times New Roman" w:hint="default"/>
        </w:rPr>
        <w:t>453,397,931</w:t>
      </w:r>
      <w:r>
        <w:rPr/>
        <w:t>股。</w:t>
      </w:r>
    </w:p>
    <w:p>
      <w:pPr>
        <w:pStyle w:val="BodyText"/>
        <w:spacing w:line="300" w:lineRule="auto" w:before="52"/>
        <w:ind w:right="188" w:firstLine="419"/>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月，经中国证监会于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日核发的《关于核准山东晨鸣纸业集团股份有限公司非上市外资股上市流通</w:t>
      </w:r>
      <w:r>
        <w:rPr>
          <w:spacing w:val="1"/>
        </w:rPr>
        <w:t> </w:t>
      </w:r>
      <w:r>
        <w:rPr/>
        <w:t>的通知》（证监公司字〔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44</w:t>
      </w:r>
      <w:r>
        <w:rPr/>
        <w:t>号）予以批准，广华公司所持有的公司之原未流通外资法人股</w:t>
      </w:r>
      <w:r>
        <w:rPr>
          <w:rFonts w:ascii="Times New Roman" w:hAnsi="Times New Roman" w:cs="Times New Roman" w:eastAsia="Times New Roman" w:hint="default"/>
        </w:rPr>
        <w:t>26,709,591</w:t>
      </w:r>
      <w:r>
        <w:rPr/>
        <w:t>股转换为</w:t>
      </w:r>
      <w:r>
        <w:rPr>
          <w:rFonts w:ascii="Times New Roman" w:hAnsi="Times New Roman" w:cs="Times New Roman" w:eastAsia="Times New Roman" w:hint="default"/>
        </w:rPr>
        <w:t>B</w:t>
      </w:r>
      <w:r>
        <w:rPr/>
        <w:t>股，</w:t>
      </w:r>
      <w:r>
        <w:rPr>
          <w:spacing w:val="-35"/>
        </w:rPr>
        <w:t> </w:t>
      </w:r>
      <w:r>
        <w:rPr/>
        <w:t>在深圳证券交易所上市流通。公司上市流通</w:t>
      </w:r>
      <w:r>
        <w:rPr>
          <w:rFonts w:ascii="Times New Roman" w:hAnsi="Times New Roman" w:cs="Times New Roman" w:eastAsia="Times New Roman" w:hint="default"/>
        </w:rPr>
        <w:t>B</w:t>
      </w:r>
      <w:r>
        <w:rPr/>
        <w:t>股增至</w:t>
      </w:r>
      <w:r>
        <w:rPr>
          <w:rFonts w:ascii="Times New Roman" w:hAnsi="Times New Roman" w:cs="Times New Roman" w:eastAsia="Times New Roman" w:hint="default"/>
        </w:rPr>
        <w:t>187,709,591</w:t>
      </w:r>
      <w:r>
        <w:rPr/>
        <w:t>股。</w:t>
      </w:r>
    </w:p>
    <w:p>
      <w:pPr>
        <w:pStyle w:val="BodyText"/>
        <w:spacing w:line="302" w:lineRule="auto" w:before="51"/>
        <w:ind w:right="187" w:firstLine="419"/>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日，公司召开</w:t>
      </w:r>
      <w:r>
        <w:rPr>
          <w:rFonts w:ascii="Times New Roman" w:hAnsi="Times New Roman" w:cs="Times New Roman" w:eastAsia="Times New Roman" w:hint="default"/>
          <w:spacing w:val="-1"/>
        </w:rPr>
        <w:t>2000</w:t>
      </w:r>
      <w:r>
        <w:rPr>
          <w:spacing w:val="-1"/>
        </w:rPr>
        <w:t>年度股东大会，审议通过了</w:t>
      </w:r>
      <w:r>
        <w:rPr>
          <w:rFonts w:ascii="Times New Roman" w:hAnsi="Times New Roman" w:cs="Times New Roman" w:eastAsia="Times New Roman" w:hint="default"/>
          <w:spacing w:val="-1"/>
        </w:rPr>
        <w:t>2000</w:t>
      </w:r>
      <w:r>
        <w:rPr>
          <w:spacing w:val="-1"/>
        </w:rPr>
        <w:t>年利润分配方案，以</w:t>
      </w:r>
      <w:r>
        <w:rPr>
          <w:rFonts w:ascii="Times New Roman" w:hAnsi="Times New Roman" w:cs="Times New Roman" w:eastAsia="Times New Roman" w:hint="default"/>
          <w:spacing w:val="-1"/>
        </w:rPr>
        <w:t>2000</w:t>
      </w:r>
      <w:r>
        <w:rPr>
          <w:spacing w:val="-1"/>
        </w:rPr>
        <w:t>年底的总股本</w:t>
      </w:r>
      <w:r>
        <w:rPr>
          <w:rFonts w:ascii="Times New Roman" w:hAnsi="Times New Roman" w:cs="Times New Roman" w:eastAsia="Times New Roman" w:hint="default"/>
          <w:spacing w:val="-1"/>
        </w:rPr>
        <w:t>453,397,931</w:t>
      </w:r>
      <w:r>
        <w:rPr>
          <w:spacing w:val="-1"/>
        </w:rPr>
        <w:t>股为</w:t>
      </w:r>
      <w:r>
        <w:rPr/>
        <w:t> 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w:t>
      </w:r>
      <w:r>
        <w:rPr/>
        <w:t>股，共增加</w:t>
      </w:r>
      <w:r>
        <w:rPr>
          <w:rFonts w:ascii="Times New Roman" w:hAnsi="Times New Roman" w:cs="Times New Roman" w:eastAsia="Times New Roman" w:hint="default"/>
        </w:rPr>
        <w:t>45,339,793</w:t>
      </w:r>
      <w:r>
        <w:rPr/>
        <w:t>股。本次送股完成后，公司总股本增至</w:t>
      </w:r>
      <w:r>
        <w:rPr>
          <w:rFonts w:ascii="Times New Roman" w:hAnsi="Times New Roman" w:cs="Times New Roman" w:eastAsia="Times New Roman" w:hint="default"/>
        </w:rPr>
        <w:t>498,737,724</w:t>
      </w:r>
      <w:r>
        <w:rPr/>
        <w:t>股。</w:t>
      </w:r>
    </w:p>
    <w:p>
      <w:pPr>
        <w:pStyle w:val="BodyText"/>
        <w:spacing w:line="240" w:lineRule="auto" w:before="49"/>
        <w:ind w:left="574" w:right="99"/>
        <w:jc w:val="left"/>
        <w:rPr>
          <w:rFonts w:ascii="Times New Roman" w:hAnsi="Times New Roman" w:cs="Times New Roman" w:eastAsia="Times New Roman" w:hint="default"/>
        </w:rPr>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月，公司实施</w:t>
      </w:r>
      <w:r>
        <w:rPr>
          <w:rFonts w:ascii="Times New Roman" w:hAnsi="Times New Roman" w:cs="Times New Roman" w:eastAsia="Times New Roman" w:hint="default"/>
        </w:rPr>
        <w:t>2002</w:t>
      </w:r>
      <w:r>
        <w:rPr/>
        <w:t>年度利润分配，每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股，共增加</w:t>
      </w:r>
      <w:r>
        <w:rPr>
          <w:rFonts w:ascii="Times New Roman" w:hAnsi="Times New Roman" w:cs="Times New Roman" w:eastAsia="Times New Roman" w:hint="default"/>
        </w:rPr>
        <w:t>398,990,179</w:t>
      </w:r>
    </w:p>
    <w:p>
      <w:pPr>
        <w:pStyle w:val="BodyText"/>
        <w:spacing w:line="240" w:lineRule="auto" w:before="64"/>
        <w:ind w:right="181"/>
        <w:jc w:val="left"/>
      </w:pPr>
      <w:r>
        <w:rPr/>
        <w:t>股。本次送股及转增完成后，公司总股本由</w:t>
      </w:r>
      <w:r>
        <w:rPr>
          <w:rFonts w:ascii="Times New Roman" w:hAnsi="Times New Roman" w:cs="Times New Roman" w:eastAsia="Times New Roman" w:hint="default"/>
        </w:rPr>
        <w:t>498,737,724</w:t>
      </w:r>
      <w:r>
        <w:rPr/>
        <w:t>股增至</w:t>
      </w:r>
      <w:r>
        <w:rPr>
          <w:rFonts w:ascii="Times New Roman" w:hAnsi="Times New Roman" w:cs="Times New Roman" w:eastAsia="Times New Roman" w:hint="default"/>
        </w:rPr>
        <w:t>897,727,903</w:t>
      </w:r>
      <w:r>
        <w:rPr/>
        <w:t>股。</w:t>
      </w:r>
    </w:p>
    <w:p>
      <w:pPr>
        <w:pStyle w:val="BodyText"/>
        <w:spacing w:line="240" w:lineRule="auto" w:before="102"/>
        <w:ind w:left="574" w:right="0"/>
        <w:jc w:val="left"/>
      </w:pP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15</w:t>
      </w:r>
      <w:r>
        <w:rPr>
          <w:spacing w:val="-3"/>
        </w:rPr>
        <w:t>日，公司经中国证监会核发的《关于核准山东晨鸣纸业集团股份有限公司公开发行可转换公司债券的通知》</w:t>
      </w:r>
    </w:p>
    <w:p>
      <w:pPr>
        <w:pStyle w:val="BodyText"/>
        <w:spacing w:line="300" w:lineRule="auto" w:before="63"/>
        <w:ind w:right="99" w:hanging="1"/>
        <w:jc w:val="left"/>
      </w:pPr>
      <w:r>
        <w:rPr>
          <w:spacing w:val="-2"/>
        </w:rPr>
        <w:t>（〔</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147</w:t>
      </w:r>
      <w:r>
        <w:rPr>
          <w:spacing w:val="-2"/>
        </w:rPr>
        <w:t>号）核准，向社会公开发行</w:t>
      </w:r>
      <w:r>
        <w:rPr>
          <w:rFonts w:ascii="Times New Roman" w:hAnsi="Times New Roman" w:cs="Times New Roman" w:eastAsia="Times New Roman" w:hint="default"/>
          <w:spacing w:val="-2"/>
        </w:rPr>
        <w:t>2000</w:t>
      </w:r>
      <w:r>
        <w:rPr>
          <w:spacing w:val="-2"/>
        </w:rPr>
        <w:t>万张可转债，每张面值</w:t>
      </w:r>
      <w:r>
        <w:rPr>
          <w:rFonts w:ascii="Times New Roman" w:hAnsi="Times New Roman" w:cs="Times New Roman" w:eastAsia="Times New Roman" w:hint="default"/>
          <w:spacing w:val="-2"/>
        </w:rPr>
        <w:t>100</w:t>
      </w:r>
      <w:r>
        <w:rPr>
          <w:spacing w:val="-2"/>
        </w:rPr>
        <w:t>元人民币，发行总额</w:t>
      </w:r>
      <w:r>
        <w:rPr>
          <w:rFonts w:ascii="Times New Roman" w:hAnsi="Times New Roman" w:cs="Times New Roman" w:eastAsia="Times New Roman" w:hint="default"/>
          <w:spacing w:val="-2"/>
        </w:rPr>
        <w:t>20</w:t>
      </w:r>
      <w:r>
        <w:rPr>
          <w:spacing w:val="-2"/>
        </w:rPr>
        <w:t>亿元人民币，期限五年，并</w:t>
      </w:r>
      <w:r>
        <w:rPr>
          <w:spacing w:val="-51"/>
        </w:rPr>
        <w:t> </w:t>
      </w:r>
      <w:r>
        <w:rPr>
          <w:spacing w:val="-51"/>
        </w:rPr>
      </w:r>
      <w:r>
        <w:rPr>
          <w:spacing w:val="-2"/>
        </w:rPr>
        <w:t>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日在深圳证券交易所上市交易，转股期自</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日。债券简称：晨鸣转债，转债代码：</w:t>
      </w:r>
      <w:r>
        <w:rPr>
          <w:spacing w:val="-45"/>
        </w:rPr>
        <w:t> </w:t>
      </w:r>
      <w:r>
        <w:rPr>
          <w:spacing w:val="-45"/>
        </w:rPr>
      </w:r>
      <w:r>
        <w:rPr>
          <w:rFonts w:ascii="Times New Roman" w:hAnsi="Times New Roman" w:cs="Times New Roman" w:eastAsia="Times New Roman" w:hint="default"/>
        </w:rPr>
        <w:t>125488</w:t>
      </w:r>
      <w:r>
        <w:rPr/>
        <w:t>。</w:t>
      </w:r>
    </w:p>
    <w:p>
      <w:pPr>
        <w:pStyle w:val="BodyText"/>
        <w:spacing w:line="240" w:lineRule="auto" w:before="51"/>
        <w:ind w:left="574" w:right="181"/>
        <w:jc w:val="left"/>
        <w:rPr>
          <w:rFonts w:ascii="Times New Roman" w:hAnsi="Times New Roman" w:cs="Times New Roman" w:eastAsia="Times New Roman" w:hint="default"/>
        </w:rPr>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2004</w:t>
      </w:r>
      <w:r>
        <w:rPr/>
        <w:t>年度股东大会，审议通过了</w:t>
      </w:r>
      <w:r>
        <w:rPr>
          <w:rFonts w:ascii="Times New Roman" w:hAnsi="Times New Roman" w:cs="Times New Roman" w:eastAsia="Times New Roman" w:hint="default"/>
        </w:rPr>
        <w:t>2004</w:t>
      </w:r>
      <w:r>
        <w:rPr/>
        <w:t>年度利润分配方案，以</w:t>
      </w:r>
      <w:r>
        <w:rPr>
          <w:rFonts w:ascii="Times New Roman" w:hAnsi="Times New Roman" w:cs="Times New Roman" w:eastAsia="Times New Roman" w:hint="default"/>
        </w:rPr>
        <w:t>2004</w:t>
      </w:r>
      <w:r>
        <w:rPr/>
        <w:t>年底的总股本</w:t>
      </w:r>
      <w:r>
        <w:rPr>
          <w:rFonts w:ascii="Times New Roman" w:hAnsi="Times New Roman" w:cs="Times New Roman" w:eastAsia="Times New Roman" w:hint="default"/>
        </w:rPr>
        <w:t>897,727,903</w:t>
      </w:r>
    </w:p>
    <w:p>
      <w:pPr>
        <w:spacing w:after="0" w:line="240" w:lineRule="auto"/>
        <w:jc w:val="left"/>
        <w:rPr>
          <w:rFonts w:ascii="Times New Roman" w:hAnsi="Times New Roman" w:cs="Times New Roman" w:eastAsia="Times New Roman" w:hint="default"/>
        </w:rPr>
        <w:sectPr>
          <w:pgSz w:w="11910" w:h="16840"/>
          <w:pgMar w:header="0"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88" w:hanging="1"/>
        <w:jc w:val="both"/>
      </w:pPr>
      <w:r>
        <w:rPr/>
        <w:t>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股。公司本次股本变更，已经中国商务部核发的《关于同意山东晨鸣纸业集团股份有</w:t>
      </w:r>
      <w:r>
        <w:rPr>
          <w:spacing w:val="-83"/>
        </w:rPr>
        <w:t> </w:t>
      </w:r>
      <w:r>
        <w:rPr>
          <w:spacing w:val="-83"/>
        </w:rPr>
      </w:r>
      <w:r>
        <w:rPr/>
        <w:t>限公司增资的批复》（商资批〔</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1364</w:t>
      </w:r>
      <w:r>
        <w:rPr/>
        <w:t>号）予以批复。根据上述决议及批复，公司以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日为股权登记日的总</w:t>
      </w:r>
      <w:r>
        <w:rPr>
          <w:spacing w:val="-86"/>
        </w:rPr>
        <w:t> </w:t>
      </w:r>
      <w:r>
        <w:rPr>
          <w:spacing w:val="-86"/>
        </w:rPr>
      </w:r>
      <w:r>
        <w:rPr>
          <w:spacing w:val="-2"/>
        </w:rPr>
        <w:t>股本</w:t>
      </w:r>
      <w:r>
        <w:rPr>
          <w:rFonts w:ascii="Times New Roman" w:hAnsi="Times New Roman" w:cs="Times New Roman" w:eastAsia="Times New Roman" w:hint="default"/>
          <w:spacing w:val="-2"/>
        </w:rPr>
        <w:t>897,728,913</w:t>
      </w:r>
      <w:r>
        <w:rPr>
          <w:spacing w:val="-2"/>
        </w:rPr>
        <w:t>股为基数（截至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日，公司可转债转增股本</w:t>
      </w:r>
      <w:r>
        <w:rPr>
          <w:rFonts w:ascii="Times New Roman" w:hAnsi="Times New Roman" w:cs="Times New Roman" w:eastAsia="Times New Roman" w:hint="default"/>
          <w:spacing w:val="-2"/>
        </w:rPr>
        <w:t>1010</w:t>
      </w:r>
      <w:r>
        <w:rPr>
          <w:spacing w:val="-2"/>
        </w:rPr>
        <w:t>股），实施向全体股东每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2</w:t>
      </w:r>
      <w:r>
        <w:rPr>
          <w:spacing w:val="-2"/>
        </w:rPr>
        <w:t>股，以资本公积</w:t>
      </w:r>
      <w:r>
        <w:rPr>
          <w:spacing w:val="-44"/>
        </w:rPr>
        <w:t> </w:t>
      </w:r>
      <w:r>
        <w:rPr>
          <w:spacing w:val="-44"/>
        </w:rPr>
      </w:r>
      <w:r>
        <w:rPr/>
        <w:t>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股的分配方案。本次送转及转增完成后，公司总股本增至</w:t>
      </w:r>
      <w:r>
        <w:rPr>
          <w:rFonts w:ascii="Times New Roman" w:hAnsi="Times New Roman" w:cs="Times New Roman" w:eastAsia="Times New Roman" w:hint="default"/>
        </w:rPr>
        <w:t>1,346,593,369</w:t>
      </w:r>
      <w:r>
        <w:rPr/>
        <w:t>股。</w:t>
      </w:r>
    </w:p>
    <w:p>
      <w:pPr>
        <w:pStyle w:val="BodyText"/>
        <w:spacing w:line="307" w:lineRule="auto" w:before="51"/>
        <w:ind w:right="90" w:firstLine="419"/>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日，公司第四届董事会第二十一次会议审议通过了《关于对满足购回条件尚未转股的可转换公司债券行使</w:t>
      </w:r>
      <w:r>
        <w:rPr>
          <w:spacing w:val="1"/>
        </w:rPr>
        <w:t> </w:t>
      </w:r>
      <w:r>
        <w:rPr/>
        <w:t>购回权的议案》，决定在实际满足可转债《募集说明书》的相关购回条件后，对公司尚未转股的可转债根据《募集说明书》</w:t>
      </w:r>
      <w:r>
        <w:rPr/>
        <w:t> 的约定程序，按面值的</w:t>
      </w:r>
      <w:r>
        <w:rPr>
          <w:rFonts w:ascii="Times New Roman" w:hAnsi="Times New Roman" w:cs="Times New Roman" w:eastAsia="Times New Roman" w:hint="default"/>
        </w:rPr>
        <w:t>105%</w:t>
      </w:r>
      <w:r>
        <w:rPr/>
        <w:t>（含当期利息）购回在购回日之前尚未转股的晨鸣转债。截至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日，公司通过晨鸣转 债实现转股，公司股份总数增加至</w:t>
      </w:r>
      <w:r>
        <w:rPr>
          <w:rFonts w:ascii="Times New Roman" w:hAnsi="Times New Roman" w:cs="Times New Roman" w:eastAsia="Times New Roman" w:hint="default"/>
        </w:rPr>
        <w:t>1,706,345,941</w:t>
      </w:r>
      <w:r>
        <w:rPr/>
        <w:t>股。</w:t>
      </w:r>
    </w:p>
    <w:p>
      <w:pPr>
        <w:pStyle w:val="BodyText"/>
        <w:spacing w:line="300" w:lineRule="auto" w:before="46"/>
        <w:ind w:right="188" w:firstLine="419"/>
        <w:jc w:val="both"/>
      </w:pPr>
      <w:r>
        <w:rPr/>
        <w:t>经中国证监会证监许可</w:t>
      </w:r>
      <w:r>
        <w:rPr>
          <w:rFonts w:ascii="Times New Roman" w:hAnsi="Times New Roman" w:cs="Times New Roman" w:eastAsia="Times New Roman" w:hint="default"/>
        </w:rPr>
        <w:t>[2008]290</w:t>
      </w:r>
      <w:r>
        <w:rPr/>
        <w:t>号档《关于核准山东晨鸣纸业集团股份有限公司发行境外上市外资股的批复》，以及 </w:t>
      </w:r>
      <w:r>
        <w:rPr>
          <w:spacing w:val="3"/>
        </w:rPr>
        <w:t>香港联合交易所有限公司</w:t>
      </w:r>
      <w:r>
        <w:rPr>
          <w:rFonts w:ascii="Times New Roman" w:hAnsi="Times New Roman" w:cs="Times New Roman" w:eastAsia="Times New Roman" w:hint="default"/>
          <w:spacing w:val="3"/>
        </w:rPr>
        <w:t>(</w:t>
      </w:r>
      <w:r>
        <w:rPr>
          <w:spacing w:val="3"/>
        </w:rPr>
        <w:t>以下简称「香港联交所」</w:t>
      </w:r>
      <w:r>
        <w:rPr>
          <w:rFonts w:ascii="Times New Roman" w:hAnsi="Times New Roman" w:cs="Times New Roman" w:eastAsia="Times New Roman" w:hint="default"/>
          <w:spacing w:val="3"/>
        </w:rPr>
        <w:t>)</w:t>
      </w:r>
      <w:r>
        <w:rPr>
          <w:spacing w:val="3"/>
        </w:rPr>
        <w:t>的批复，核准公司公开发行境外上市外资股（</w:t>
      </w:r>
      <w:r>
        <w:rPr>
          <w:rFonts w:ascii="Times New Roman" w:hAnsi="Times New Roman" w:cs="Times New Roman" w:eastAsia="Times New Roman" w:hint="default"/>
          <w:spacing w:val="3"/>
        </w:rPr>
        <w:t>H</w:t>
      </w:r>
      <w:r>
        <w:rPr>
          <w:spacing w:val="3"/>
        </w:rPr>
        <w:t>股）。全球公开发售</w:t>
      </w:r>
      <w:r>
        <w:rPr>
          <w:spacing w:val="-79"/>
        </w:rPr>
        <w:t> </w:t>
      </w:r>
      <w:r>
        <w:rPr>
          <w:spacing w:val="-79"/>
        </w:rPr>
      </w:r>
      <w:r>
        <w:rPr>
          <w:rFonts w:ascii="Times New Roman" w:hAnsi="Times New Roman" w:cs="Times New Roman" w:eastAsia="Times New Roman" w:hint="default"/>
          <w:spacing w:val="-1"/>
        </w:rPr>
        <w:t>355,700,000</w:t>
      </w:r>
      <w:r>
        <w:rPr>
          <w:spacing w:val="-1"/>
        </w:rPr>
        <w:t>股</w:t>
      </w:r>
      <w:r>
        <w:rPr>
          <w:rFonts w:ascii="Times New Roman" w:hAnsi="Times New Roman" w:cs="Times New Roman" w:eastAsia="Times New Roman" w:hint="default"/>
          <w:spacing w:val="-1"/>
        </w:rPr>
        <w:t>H</w:t>
      </w:r>
      <w:r>
        <w:rPr>
          <w:spacing w:val="-1"/>
        </w:rPr>
        <w:t>股，于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日在香港联交所主板挂牌交易，股票简称为晨鸣纸业，股票代码为</w:t>
      </w:r>
      <w:r>
        <w:rPr>
          <w:rFonts w:ascii="Times New Roman" w:hAnsi="Times New Roman" w:cs="Times New Roman" w:eastAsia="Times New Roman" w:hint="default"/>
          <w:spacing w:val="-1"/>
        </w:rPr>
        <w:t>HK1812</w:t>
      </w:r>
      <w:r>
        <w:rPr>
          <w:spacing w:val="-1"/>
        </w:rPr>
        <w:t>。本次发行完</w:t>
      </w:r>
      <w:r>
        <w:rPr>
          <w:spacing w:val="-54"/>
        </w:rPr>
        <w:t> </w:t>
      </w:r>
      <w:r>
        <w:rPr>
          <w:spacing w:val="-54"/>
        </w:rPr>
      </w:r>
      <w:r>
        <w:rPr/>
        <w:t>成后，公司股份总数增加至</w:t>
      </w:r>
      <w:r>
        <w:rPr>
          <w:rFonts w:ascii="Times New Roman" w:hAnsi="Times New Roman" w:cs="Times New Roman" w:eastAsia="Times New Roman" w:hint="default"/>
        </w:rPr>
        <w:t>2,062,045,941</w:t>
      </w:r>
      <w:r>
        <w:rPr/>
        <w:t>股。</w:t>
      </w:r>
    </w:p>
    <w:p>
      <w:pPr>
        <w:pStyle w:val="BodyText"/>
        <w:spacing w:line="338" w:lineRule="auto" w:before="52"/>
        <w:ind w:left="574" w:right="95"/>
        <w:jc w:val="left"/>
      </w:pPr>
      <w:r>
        <w:rPr/>
        <w:t>企业法人营业执照注册号：</w:t>
      </w:r>
      <w:r>
        <w:rPr>
          <w:rFonts w:ascii="Times New Roman" w:hAnsi="Times New Roman" w:cs="Times New Roman" w:eastAsia="Times New Roman" w:hint="default"/>
        </w:rPr>
        <w:t>370000400001170</w:t>
      </w:r>
      <w:r>
        <w:rPr/>
        <w:t>。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日，本公司累计发行股本总数为</w:t>
      </w:r>
      <w:r>
        <w:rPr>
          <w:rFonts w:ascii="Times New Roman" w:hAnsi="Times New Roman" w:cs="Times New Roman" w:eastAsia="Times New Roman" w:hint="default"/>
        </w:rPr>
        <w:t>2,062,045,941</w:t>
      </w:r>
      <w:r>
        <w:rPr/>
        <w:t>股，详见附注七、</w:t>
      </w:r>
      <w:r>
        <w:rPr>
          <w:rFonts w:ascii="Times New Roman" w:hAnsi="Times New Roman" w:cs="Times New Roman" w:eastAsia="Times New Roman" w:hint="default"/>
        </w:rPr>
        <w:t>37</w:t>
      </w:r>
      <w:r>
        <w:rPr/>
        <w:t>。 </w:t>
      </w:r>
      <w:r>
        <w:rPr>
          <w:spacing w:val="-3"/>
        </w:rPr>
        <w:t>本公司及其子公司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spacing w:val="-3"/>
        </w:rPr>
        <w:t>经营范围为：机制纸及纸板等纸制品和造纸原料、造纸机械的加工、销售，电力、</w:t>
      </w:r>
    </w:p>
    <w:p>
      <w:pPr>
        <w:pStyle w:val="BodyText"/>
        <w:spacing w:line="217" w:lineRule="exact"/>
        <w:ind w:left="153" w:right="0"/>
        <w:jc w:val="both"/>
      </w:pPr>
      <w:r>
        <w:rPr/>
        <w:t>热力的生产、销售，林木种植、苗木培育、木材加工及销售，木制品的生产、加工及销售，人造板、强化木地板等的生产及</w:t>
      </w:r>
    </w:p>
    <w:p>
      <w:pPr>
        <w:pStyle w:val="BodyText"/>
        <w:spacing w:line="240" w:lineRule="auto" w:before="77"/>
        <w:ind w:left="153" w:right="0"/>
        <w:jc w:val="both"/>
      </w:pPr>
      <w:r>
        <w:rPr/>
        <w:t>销售。</w:t>
      </w:r>
    </w:p>
    <w:p>
      <w:pPr>
        <w:pStyle w:val="BodyText"/>
        <w:spacing w:line="357" w:lineRule="auto" w:before="116"/>
        <w:ind w:left="573" w:right="181"/>
        <w:jc w:val="left"/>
      </w:pPr>
      <w:r>
        <w:rPr/>
        <w:t>本集团的母公司为寿光晨鸣控股有限公司。 </w:t>
      </w:r>
      <w:r>
        <w:rPr>
          <w:spacing w:val="-2"/>
        </w:rPr>
        <w:t>寿光晨鸣控股有限公司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晨鸣控股</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日，系寿光市国资局以其所持有的本公司国家股作为</w:t>
      </w:r>
    </w:p>
    <w:p>
      <w:pPr>
        <w:pStyle w:val="BodyText"/>
        <w:spacing w:line="214" w:lineRule="exact"/>
        <w:ind w:left="153" w:right="0"/>
        <w:jc w:val="both"/>
      </w:pPr>
      <w:r>
        <w:rPr/>
        <w:t>出资组建。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日中国证券监督管理委员会最终批准了由于设立晨鸣控股引发的晨鸣纸业国有股持股单位及股权性</w:t>
      </w:r>
    </w:p>
    <w:p>
      <w:pPr>
        <w:pStyle w:val="BodyText"/>
        <w:spacing w:line="340" w:lineRule="auto" w:before="64"/>
        <w:ind w:left="573" w:right="541" w:hanging="420"/>
        <w:jc w:val="left"/>
      </w:pPr>
      <w:r>
        <w:rPr/>
        <w:t>质变更</w:t>
      </w:r>
      <w:r>
        <w:rPr>
          <w:rFonts w:ascii="Times New Roman" w:hAnsi="Times New Roman" w:cs="Times New Roman" w:eastAsia="Times New Roman" w:hint="default"/>
        </w:rPr>
        <w:t>(</w:t>
      </w:r>
      <w:r>
        <w:rPr/>
        <w:t>国资产权</w:t>
      </w:r>
      <w:r>
        <w:rPr>
          <w:rFonts w:ascii="Times New Roman" w:hAnsi="Times New Roman" w:cs="Times New Roman" w:eastAsia="Times New Roman" w:hint="default"/>
        </w:rPr>
        <w:t>[2005]1539</w:t>
      </w:r>
      <w:r>
        <w:rPr/>
        <w:t>号</w:t>
      </w:r>
      <w:r>
        <w:rPr>
          <w:rFonts w:ascii="Times New Roman" w:hAnsi="Times New Roman" w:cs="Times New Roman" w:eastAsia="Times New Roman" w:hint="default"/>
        </w:rPr>
        <w:t>)</w:t>
      </w:r>
      <w:r>
        <w:rPr/>
        <w:t>，至此公司第一大股东由寿光市国有资产管理局变更为晨鸣控股。 本集团财务报表于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日已经公司董事会批准报出</w:t>
      </w:r>
      <w:r>
        <w:rPr>
          <w:rFonts w:ascii="Times New Roman" w:hAnsi="Times New Roman" w:cs="Times New Roman" w:eastAsia="Times New Roman" w:hint="default"/>
        </w:rPr>
        <w:t>(</w:t>
      </w:r>
      <w:r>
        <w:rPr/>
        <w:t>根据本公司章程，本财务报表将提交股东大会审议</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8" w:firstLine="420"/>
        <w:jc w:val="both"/>
      </w:pPr>
      <w:r>
        <w:rPr>
          <w:spacing w:val="-1"/>
        </w:rPr>
        <w:t>本集团财务报表以持续经营假设为基础编制，根据实际发生的交易和事项，按照财政部于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日颁布的《企业</w:t>
      </w:r>
      <w:r>
        <w:rPr/>
        <w:t>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w:t>
      </w:r>
      <w:r>
        <w:rPr>
          <w:spacing w:val="-64"/>
        </w:rPr>
        <w:t> </w:t>
      </w:r>
      <w:r>
        <w:rPr>
          <w:spacing w:val="-64"/>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4"/>
        </w:rPr>
        <w:t> </w:t>
      </w:r>
      <w:r>
        <w:rPr/>
        <w:t>般规定》（</w:t>
      </w:r>
      <w:r>
        <w:rPr>
          <w:rFonts w:ascii="Times New Roman" w:hAnsi="Times New Roman" w:cs="Times New Roman" w:eastAsia="Times New Roman" w:hint="default"/>
        </w:rPr>
        <w:t>2010</w:t>
      </w:r>
      <w:r>
        <w:rPr/>
        <w:t>年修订）的披露规定编制。</w:t>
      </w:r>
    </w:p>
    <w:p>
      <w:pPr>
        <w:pStyle w:val="BodyText"/>
        <w:spacing w:line="319" w:lineRule="auto" w:before="51"/>
        <w:ind w:left="153" w:right="187" w:firstLine="419"/>
        <w:jc w:val="both"/>
      </w:pPr>
      <w:r>
        <w:rPr/>
        <w:t>根据企业会计准则的相关规定，本集团会计核算以权责发生制为基础。除某些金融工具和消耗性生物资产外，本财务</w:t>
      </w:r>
      <w:r>
        <w:rPr>
          <w:spacing w:val="1"/>
        </w:rPr>
        <w:t> </w:t>
      </w:r>
      <w:r>
        <w:rPr>
          <w:spacing w:val="-2"/>
        </w:rPr>
        <w:t>报表均以历史成本为计量基础。持有待售的非流动资产，按公允价值减去预计费用后的金额，以及符合持有待售条件时的原</w:t>
      </w:r>
      <w:r>
        <w:rPr>
          <w:spacing w:val="-66"/>
        </w:rPr>
        <w:t> </w:t>
      </w:r>
      <w:r>
        <w:rPr>
          <w:spacing w:val="-66"/>
        </w:rPr>
      </w:r>
      <w:r>
        <w:rPr/>
        <w:t>账面价值，取两者孰低计价。资产如果发生减值，则按照相关规定计提相应的减值准备。</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01" w:firstLine="419"/>
        <w:jc w:val="both"/>
      </w:pPr>
      <w:r>
        <w:rPr/>
        <w:t>本集团编制的财务报表符合企业会计准则的要求，真实、完整地反映了本公司及本集团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spacing w:val="1"/>
        </w:rPr>
        <w:t> </w:t>
      </w:r>
      <w:r>
        <w:rPr>
          <w:rFonts w:ascii="Times New Roman" w:hAnsi="Times New Roman" w:cs="Times New Roman" w:eastAsia="Times New Roman" w:hint="default"/>
          <w:spacing w:val="-2"/>
        </w:rPr>
        <w:t>2012</w:t>
      </w:r>
      <w:r>
        <w:rPr>
          <w:spacing w:val="-2"/>
        </w:rPr>
        <w:t>年度的经营成果和现金流量等有关信息。此外，本公司及本集团的财务报表在所有重大方面符合中国证券监督管理委员</w:t>
      </w:r>
      <w:r>
        <w:rPr>
          <w:spacing w:val="-60"/>
        </w:rPr>
        <w:t> </w:t>
      </w:r>
      <w:r>
        <w:rPr>
          <w:spacing w:val="-60"/>
        </w:rPr>
      </w:r>
      <w:r>
        <w:rPr>
          <w:spacing w:val="-3"/>
        </w:rPr>
        <w:t>会</w:t>
      </w:r>
      <w:r>
        <w:rPr>
          <w:rFonts w:ascii="Times New Roman" w:hAnsi="Times New Roman" w:cs="Times New Roman" w:eastAsia="Times New Roman" w:hint="default"/>
          <w:spacing w:val="-3"/>
        </w:rPr>
        <w:t>2010</w:t>
      </w:r>
      <w:r>
        <w:rPr>
          <w:spacing w:val="-3"/>
        </w:rPr>
        <w:t>年修订的《公开发行证券的公司信息披露编报规则第</w:t>
      </w:r>
      <w:r>
        <w:rPr>
          <w:rFonts w:ascii="Times New Roman" w:hAnsi="Times New Roman" w:cs="Times New Roman" w:eastAsia="Times New Roman" w:hint="default"/>
          <w:spacing w:val="-3"/>
        </w:rPr>
        <w:t>15</w:t>
      </w:r>
      <w:r>
        <w:rPr>
          <w:spacing w:val="-3"/>
        </w:rPr>
        <w:t>号－财务报告的一般规定》有关财务报表及其附注的披露要求。</w:t>
      </w:r>
    </w:p>
    <w:p>
      <w:pPr>
        <w:spacing w:after="0" w:line="300" w:lineRule="auto"/>
        <w:jc w:val="both"/>
        <w:sectPr>
          <w:pgSz w:w="11910" w:h="16840"/>
          <w:pgMar w:header="0"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81"/>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1" w:firstLine="419"/>
        <w:jc w:val="both"/>
      </w:pPr>
      <w:r>
        <w:rPr>
          <w:spacing w:val="-2"/>
        </w:rPr>
        <w:t>本集团的会计期间分为年度和中期，会计中期指短于一个完整的会计年度的报告期间。本集团会计年度采用公历年度，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0"/>
          <w:szCs w:val="20"/>
        </w:rPr>
      </w:pPr>
    </w:p>
    <w:p>
      <w:pPr>
        <w:pStyle w:val="Heading3"/>
        <w:spacing w:line="240" w:lineRule="auto"/>
        <w:ind w:right="18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3" w:right="190" w:firstLine="420"/>
        <w:jc w:val="both"/>
      </w:pPr>
      <w:r>
        <w:rPr/>
        <w:t>人民币为本公司及境内子公司经营所处的主要经济环境中的货币，本公司及境内子公司以人民币为记账本位币。本公 </w:t>
      </w:r>
      <w:r>
        <w:rPr>
          <w:spacing w:val="-1"/>
        </w:rPr>
        <w:t>司之境外子公司晨鸣</w:t>
      </w:r>
      <w:r>
        <w:rPr>
          <w:rFonts w:ascii="Times New Roman" w:hAnsi="Times New Roman" w:cs="Times New Roman" w:eastAsia="Times New Roman" w:hint="default"/>
          <w:spacing w:val="-1"/>
        </w:rPr>
        <w:t>(</w:t>
      </w:r>
      <w:r>
        <w:rPr>
          <w:spacing w:val="-1"/>
        </w:rPr>
        <w:t>香港</w:t>
      </w:r>
      <w:r>
        <w:rPr>
          <w:rFonts w:ascii="Times New Roman" w:hAnsi="Times New Roman" w:cs="Times New Roman" w:eastAsia="Times New Roman" w:hint="default"/>
          <w:spacing w:val="-1"/>
        </w:rPr>
        <w:t>)</w:t>
      </w:r>
      <w:r>
        <w:rPr>
          <w:spacing w:val="-1"/>
        </w:rPr>
        <w:t>有限公司、晨鸣纸业日本株式会社根据其经营所处的主要经济环境中的货币确定美元和日元为其</w:t>
      </w:r>
      <w:r>
        <w:rPr>
          <w:spacing w:val="-57"/>
        </w:rPr>
        <w:t> </w:t>
      </w:r>
      <w:r>
        <w:rPr>
          <w:spacing w:val="-57"/>
        </w:rPr>
      </w:r>
      <w:r>
        <w:rPr/>
        <w:t>记账本位币。本集团编制本财务报表时所采用的货币为人民币。</w:t>
      </w:r>
    </w:p>
    <w:p>
      <w:pPr>
        <w:spacing w:line="240" w:lineRule="auto" w:before="10"/>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00" w:lineRule="atLeast" w:before="0"/>
        <w:ind w:left="574" w:right="181"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）同一控制下企业合并</w:t>
      </w:r>
      <w:r>
        <w:rPr>
          <w:rFonts w:ascii="宋体" w:hAnsi="宋体" w:cs="宋体" w:eastAsia="宋体" w:hint="default"/>
          <w:b/>
          <w:bCs/>
          <w:spacing w:val="1"/>
          <w:w w:val="99"/>
          <w:sz w:val="18"/>
          <w:szCs w:val="18"/>
        </w:rPr>
        <w:t> </w:t>
      </w:r>
      <w:r>
        <w:rPr>
          <w:rFonts w:ascii="宋体" w:hAnsi="宋体" w:cs="宋体" w:eastAsia="宋体" w:hint="default"/>
          <w:sz w:val="18"/>
          <w:szCs w:val="18"/>
        </w:rPr>
        <w:t>参与合并的企业在合并前后均受同一方或相同的多方最终控制，且该控制并非暂时性的，为同一控制下的企业合并。</w:t>
      </w:r>
    </w:p>
    <w:p>
      <w:pPr>
        <w:pStyle w:val="BodyText"/>
        <w:spacing w:line="319" w:lineRule="auto" w:before="76"/>
        <w:ind w:right="181"/>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38" w:lineRule="auto" w:before="56"/>
        <w:ind w:right="99" w:firstLine="419"/>
        <w:jc w:val="left"/>
      </w:pPr>
      <w:r>
        <w:rPr/>
        <w:t>合并方取得的资产和负债均按合并日在被合并方的账面价值计量。合并方取得的净资产账面价值与支付的合并对价账</w:t>
      </w:r>
      <w:r>
        <w:rPr>
          <w:spacing w:val="1"/>
        </w:rPr>
        <w:t> </w:t>
      </w:r>
      <w:r>
        <w:rPr>
          <w:spacing w:val="-4"/>
        </w:rPr>
        <w:t>面价值（或发行股份面值总额）的差额，调整资本公积（股本溢价）；资本公积（股本溢价）不足以冲减的，调整留存收益。</w:t>
      </w:r>
      <w:r>
        <w:rPr>
          <w:spacing w:val="-50"/>
        </w:rPr>
        <w:t> </w:t>
      </w:r>
      <w:r>
        <w:rPr>
          <w:spacing w:val="-50"/>
        </w:rPr>
      </w:r>
      <w:r>
        <w:rPr/>
        <w:t>合并方为进行企业合并发生的各项直接费用，于发生时计入当期损益。</w:t>
      </w:r>
    </w:p>
    <w:p>
      <w:pPr>
        <w:spacing w:line="614" w:lineRule="exact" w:before="20"/>
        <w:ind w:left="574" w:right="181"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参与合并的企业在合并前后不受同一方或相同的多方最终控制的，为非同一控制下的企业合并。非同一控制下的企业</w:t>
      </w:r>
    </w:p>
    <w:p>
      <w:pPr>
        <w:pStyle w:val="BodyText"/>
        <w:spacing w:line="214" w:lineRule="exact"/>
        <w:ind w:right="0"/>
        <w:jc w:val="left"/>
      </w:pPr>
      <w:r>
        <w:rPr/>
        <w:t>合并，在购买日取得对其他参与合并企业控制权的一方为购买方，参与合并的其他企业为被购买方。购买日，是指为购买方</w:t>
      </w:r>
    </w:p>
    <w:p>
      <w:pPr>
        <w:pStyle w:val="BodyText"/>
        <w:spacing w:line="357" w:lineRule="auto" w:before="77"/>
        <w:ind w:left="574" w:right="181" w:hanging="420"/>
        <w:jc w:val="left"/>
      </w:pPr>
      <w:r>
        <w:rPr/>
        <w:t>实际取得对被购买方控制权的日期。 对于非同一控制下的企业合并，合并成本包含购买日购买方为取得对被购买方的控制权而付出的资产、发生或承担的</w:t>
      </w:r>
    </w:p>
    <w:p>
      <w:pPr>
        <w:pStyle w:val="BodyText"/>
        <w:spacing w:line="224" w:lineRule="exact"/>
        <w:ind w:right="0"/>
        <w:jc w:val="left"/>
      </w:pPr>
      <w:r>
        <w:rPr/>
        <w:t>负债以及发行的权益性证券的公允价值，为企业合并发生的审计、法律服务、评估咨询等中介费用以及其他管理费用于发生</w:t>
      </w:r>
    </w:p>
    <w:p>
      <w:pPr>
        <w:pStyle w:val="BodyText"/>
        <w:spacing w:line="309" w:lineRule="auto" w:before="76"/>
        <w:ind w:right="189"/>
        <w:jc w:val="both"/>
      </w:pP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t>一步证据而需要调整或有对价的，相应调整合并商誉。</w:t>
      </w:r>
    </w:p>
    <w:p>
      <w:pPr>
        <w:pStyle w:val="BodyText"/>
        <w:spacing w:line="319" w:lineRule="auto" w:before="63"/>
        <w:ind w:right="186" w:firstLine="419"/>
        <w:jc w:val="both"/>
      </w:pPr>
      <w:r>
        <w:rPr/>
        <w:t>购买方发生的合并成本及在合并中取得的可辨认净资产按购买日的公允价值计量。合并成本大于合并中取得的被购买</w:t>
      </w:r>
      <w:r>
        <w:rPr>
          <w:spacing w:val="1"/>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spacing w:val="-2"/>
        </w:rPr>
        <w:t>额的，首先对取得的被购买方各项可辨认资产、负债及或有负债的公允价值以及合并成本的计量进行复核，复核后合并成本</w:t>
      </w:r>
      <w:r>
        <w:rPr>
          <w:spacing w:val="-66"/>
        </w:rPr>
        <w:t> </w:t>
      </w:r>
      <w:r>
        <w:rPr>
          <w:spacing w:val="-66"/>
        </w:rPr>
      </w:r>
      <w:r>
        <w:rPr/>
        <w:t>仍小于合并中取得的被购买方可辨认净资产公允价值份额的，其差额计入当期损益。</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73" w:right="181"/>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合并财务报表的合并范围以控制为基础予以确定。控制是指本公司能够决定被投资单位的财务和经营政策</w:t>
      </w:r>
      <w:r>
        <w:rPr>
          <w:rFonts w:ascii="Times New Roman" w:hAnsi="Times New Roman" w:cs="Times New Roman" w:eastAsia="Times New Roman" w:hint="default"/>
          <w:spacing w:val="-1"/>
        </w:rPr>
        <w:t>,</w:t>
      </w:r>
      <w:r>
        <w:rPr>
          <w:spacing w:val="-1"/>
        </w:rPr>
        <w:t>并能据以从</w:t>
      </w:r>
    </w:p>
    <w:p>
      <w:pPr>
        <w:pStyle w:val="BodyText"/>
        <w:spacing w:line="218" w:lineRule="exact"/>
        <w:ind w:left="153" w:right="0"/>
        <w:jc w:val="left"/>
      </w:pPr>
      <w:r>
        <w:rPr/>
        <w:t>被投资单位的经营活动中获取利益的权力。合并范围包括本公司及全部子公司。子公司，是指被本公司控制的企业或主体。</w:t>
      </w:r>
    </w:p>
    <w:p>
      <w:pPr>
        <w:pStyle w:val="BodyText"/>
        <w:spacing w:line="338" w:lineRule="auto" w:before="116"/>
        <w:ind w:left="573" w:right="181"/>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从取得子公司的净资产和生产经营决策的实际控制权之日起，本集团开始将其纳入合并范围；从丧失实际控制权之日</w:t>
      </w:r>
    </w:p>
    <w:p>
      <w:pPr>
        <w:spacing w:after="0" w:line="338" w:lineRule="auto"/>
        <w:jc w:val="left"/>
        <w:sectPr>
          <w:pgSz w:w="11910" w:h="16840"/>
          <w:pgMar w:header="0"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69"/>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9" w:lineRule="auto" w:before="55"/>
        <w:ind w:left="153" w:right="167" w:firstLine="419"/>
        <w:jc w:val="both"/>
      </w:pPr>
      <w:r>
        <w:rPr/>
        <w:t>在编制合并财务报表时，子公司与本公司采用的会计政策或会计期间不一致的，按照本公司的会计政策和会计期间对</w:t>
      </w:r>
      <w:r>
        <w:rPr>
          <w:spacing w:val="1"/>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38" w:lineRule="auto" w:before="58"/>
        <w:ind w:left="153" w:right="90" w:firstLine="419"/>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子公司的股东权益及当期净损益中不属于本公司所拥有的部分分别作为少数股东权益及少数股东损益在合并财务报表中股</w:t>
      </w:r>
      <w:r>
        <w:rPr>
          <w:spacing w:val="-9"/>
        </w:rPr>
        <w:t> </w:t>
      </w:r>
      <w:r>
        <w:rPr>
          <w:spacing w:val="-9"/>
        </w:rPr>
      </w:r>
      <w:r>
        <w:rPr/>
        <w:t>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p>
    <w:p>
      <w:pPr>
        <w:pStyle w:val="BodyText"/>
        <w:spacing w:line="230" w:lineRule="exact"/>
        <w:ind w:left="153" w:right="0"/>
        <w:jc w:val="both"/>
      </w:pPr>
      <w:r>
        <w:rPr/>
        <w:t>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项目列示。少数股东分担的子公司的亏损超过了少数股东在该子公司期初所有者权益中所享有的份额，冲减少数股东</w:t>
      </w:r>
    </w:p>
    <w:p>
      <w:pPr>
        <w:pStyle w:val="BodyText"/>
        <w:spacing w:line="240" w:lineRule="auto" w:before="64"/>
        <w:ind w:left="153" w:right="0"/>
        <w:jc w:val="both"/>
      </w:pPr>
      <w:r>
        <w:rPr/>
        <w:t>权益。</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firstLine="419"/>
        <w:jc w:val="left"/>
      </w:pPr>
      <w:r>
        <w:rPr/>
        <w:t>本集团现金及现金等价物包括库存现金、可以随时用于支付的存款以及本集团持有的期限短（一般为从购买日起，三</w:t>
      </w:r>
      <w:r>
        <w:rPr>
          <w:spacing w:val="1"/>
        </w:rPr>
        <w:t> </w:t>
      </w:r>
      <w:r>
        <w:rPr/>
        <w:t>个月内到期）、流动性强、易于转换为已知金额的现金、价值变动风险很小的投资。</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27"/>
        <w:ind w:left="573" w:right="191"/>
        <w:jc w:val="left"/>
      </w:pPr>
      <w:r>
        <w:rPr/>
        <w:t>（</w:t>
      </w:r>
      <w:r>
        <w:rPr>
          <w:rFonts w:ascii="Times New Roman" w:hAnsi="Times New Roman" w:cs="Times New Roman" w:eastAsia="Times New Roman" w:hint="default"/>
        </w:rPr>
        <w:t>1</w:t>
      </w:r>
      <w:r>
        <w:rPr/>
        <w:t>）外币交易的折算方法 本集团发生的外币交易在初始确认时，按交易日的即期汇率（通常指中国人民银行公布的当日外汇牌价的中间价，下</w:t>
      </w:r>
    </w:p>
    <w:p>
      <w:pPr>
        <w:pStyle w:val="BodyText"/>
        <w:spacing w:line="316" w:lineRule="auto" w:before="31"/>
        <w:ind w:right="90"/>
        <w:jc w:val="left"/>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40" w:lineRule="auto" w:before="18"/>
        <w:ind w:left="573" w:right="9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资产负债表日，对于外币货币性项目采用资产负债表日即期汇率折算，由此产生的汇兑差额，除属于与购建符合资本</w:t>
      </w:r>
    </w:p>
    <w:p>
      <w:pPr>
        <w:pStyle w:val="BodyText"/>
        <w:spacing w:line="319" w:lineRule="auto"/>
        <w:ind w:left="153" w:right="90"/>
        <w:jc w:val="left"/>
      </w:pPr>
      <w:r>
        <w:rPr>
          <w:spacing w:val="-2"/>
        </w:rPr>
        <w:t>化条件的资产相关的外币专门借款产生的汇兑差额按照借款费用资本化的原则处理；以及可供出售的外币货币性项目除摊余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9" w:lineRule="auto" w:before="55"/>
        <w:ind w:left="153" w:right="167" w:firstLine="419"/>
        <w:jc w:val="both"/>
      </w:pPr>
      <w:r>
        <w:rPr/>
        <w:t>以历史成本计量的外币非货币性项目，仍采用交易发生日的即期汇率折算的记账本位币金额计量。以公允价值计量的</w:t>
      </w:r>
      <w:r>
        <w:rPr>
          <w:spacing w:val="1"/>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价值变动（含汇率变动）处理，计入当期损益或确认为其他综合收益并计入资本公积。</w:t>
      </w:r>
    </w:p>
    <w:p>
      <w:pPr>
        <w:spacing w:line="614" w:lineRule="exact" w:before="35"/>
        <w:ind w:left="574" w:right="19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）外币财务报表的折算</w:t>
      </w:r>
      <w:r>
        <w:rPr>
          <w:rFonts w:ascii="宋体" w:hAnsi="宋体" w:cs="宋体" w:eastAsia="宋体" w:hint="default"/>
          <w:b/>
          <w:bCs/>
          <w:spacing w:val="1"/>
          <w:w w:val="99"/>
          <w:sz w:val="18"/>
          <w:szCs w:val="18"/>
        </w:rPr>
        <w:t> </w:t>
      </w:r>
      <w:r>
        <w:rPr>
          <w:rFonts w:ascii="宋体" w:hAnsi="宋体" w:cs="宋体" w:eastAsia="宋体" w:hint="default"/>
          <w:sz w:val="18"/>
          <w:szCs w:val="18"/>
        </w:rPr>
        <w:t>编制合并财务报表涉及境外经营的，如有实质上构成对境外经营净投资的外币货币性项目，因汇率变动而产生的汇兑</w:t>
      </w:r>
    </w:p>
    <w:p>
      <w:pPr>
        <w:pStyle w:val="BodyText"/>
        <w:spacing w:line="228" w:lineRule="exact"/>
        <w:ind w:right="0"/>
        <w:jc w:val="both"/>
      </w:pPr>
      <w:r>
        <w:rPr/>
        <w:t>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4" w:lineRule="auto" w:before="62"/>
        <w:ind w:right="90" w:firstLine="419"/>
        <w:jc w:val="left"/>
      </w:pPr>
      <w:r>
        <w:rPr/>
        <w:t>境外经营的外币财务报表按以下方法折算为人民币报表：资产负债表中的资产和负债项目，采用资产负债表日的即期 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各项目计算列示；折算后资产类项目与负债类项目和所有者权益类项目合计数的差额，作为外币报表折算差额，确认为其他</w:t>
      </w:r>
      <w:r>
        <w:rPr>
          <w:spacing w:val="-66"/>
        </w:rPr>
        <w:t> </w:t>
      </w:r>
      <w:r>
        <w:rPr>
          <w:spacing w:val="-66"/>
        </w:rPr>
      </w:r>
      <w:r>
        <w:rPr>
          <w:spacing w:val="-2"/>
        </w:rPr>
        <w:t>综合收益并在资产负债表中股东权益项目下单独列示。处置境外经营并丧失控制权时，将资产负债表中所有者权益项目下列</w:t>
      </w:r>
    </w:p>
    <w:p>
      <w:pPr>
        <w:spacing w:after="0" w:line="314" w:lineRule="auto"/>
        <w:jc w:val="left"/>
        <w:sectPr>
          <w:pgSz w:w="11910" w:h="16840"/>
          <w:pgMar w:header="0" w:footer="982" w:top="1060" w:bottom="1180" w:left="980" w:right="960"/>
        </w:sectPr>
      </w:pPr>
    </w:p>
    <w:p>
      <w:pPr>
        <w:spacing w:line="240" w:lineRule="auto" w:before="12"/>
        <w:rPr>
          <w:rFonts w:ascii="宋体" w:hAnsi="宋体" w:cs="宋体" w:eastAsia="宋体" w:hint="default"/>
          <w:sz w:val="25"/>
          <w:szCs w:val="25"/>
        </w:rPr>
      </w:pPr>
    </w:p>
    <w:p>
      <w:pPr>
        <w:pStyle w:val="BodyText"/>
        <w:spacing w:line="316" w:lineRule="auto" w:before="44"/>
        <w:ind w:left="573" w:right="211" w:hanging="420"/>
        <w:jc w:val="left"/>
      </w:pPr>
      <w:r>
        <w:rPr/>
        <w:t>示的、与该境外经营相关的外币报表折算差额，全部或按处置该境外经营的比例转入处置当期损益。 外币现金流量以及境外子公司的现金流量，采用现金流量发生日的即期汇率折算。汇率变动对现金的影响额作为调节</w:t>
      </w:r>
    </w:p>
    <w:p>
      <w:pPr>
        <w:pStyle w:val="BodyText"/>
        <w:spacing w:line="316" w:lineRule="auto" w:before="18"/>
        <w:ind w:left="573" w:right="4711" w:hanging="420"/>
        <w:jc w:val="left"/>
      </w:pPr>
      <w:r>
        <w:rPr/>
        <w:t>项目，在现金流量表中单独列报。 年初数和上年实际数按照上年财务报表折算后的数额列示。</w:t>
      </w:r>
    </w:p>
    <w:p>
      <w:pPr>
        <w:spacing w:line="240" w:lineRule="auto" w:before="7"/>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612" w:lineRule="exact" w:before="68"/>
        <w:ind w:left="444" w:right="181" w:hanging="29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spacing w:val="-1"/>
        </w:rPr>
        <w:t>金融资产在初始确认时划分为以公允价值计量且其变动计入当期损益的金融资产、持有至到期投资、贷款和应收款项以</w:t>
      </w:r>
    </w:p>
    <w:p>
      <w:pPr>
        <w:pStyle w:val="BodyText"/>
        <w:spacing w:line="215" w:lineRule="exact"/>
        <w:ind w:right="181"/>
        <w:jc w:val="left"/>
      </w:pPr>
      <w:r>
        <w:rPr/>
        <w:t>及可供出售金融资产。</w:t>
      </w:r>
    </w:p>
    <w:p>
      <w:pPr>
        <w:pStyle w:val="BodyText"/>
        <w:spacing w:line="316" w:lineRule="auto" w:before="117"/>
        <w:ind w:right="181" w:firstLine="290"/>
        <w:jc w:val="left"/>
      </w:pPr>
      <w:r>
        <w:rPr>
          <w:spacing w:val="-1"/>
        </w:rPr>
        <w:t>金融负债在初始确认时划分为以下两类：以公允价值计量且其变动计入当期损益的金融负债（包括交易性金融负债和指</w:t>
      </w:r>
      <w:r>
        <w:rPr/>
        <w:t> 定为以公允价值计量且其变动计入当期损益的金融负债）、其他金融负债。</w:t>
      </w:r>
    </w:p>
    <w:p>
      <w:pPr>
        <w:spacing w:line="240" w:lineRule="auto" w:before="7"/>
        <w:rPr>
          <w:rFonts w:ascii="宋体" w:hAnsi="宋体" w:cs="宋体" w:eastAsia="宋体" w:hint="default"/>
          <w:sz w:val="24"/>
          <w:szCs w:val="24"/>
        </w:rPr>
      </w:pPr>
    </w:p>
    <w:p>
      <w:pPr>
        <w:spacing w:line="600" w:lineRule="atLeast" w:before="0"/>
        <w:ind w:left="573" w:right="6691"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金融资产的确认依据和计量方法：</w:t>
      </w:r>
    </w:p>
    <w:p>
      <w:pPr>
        <w:pStyle w:val="BodyText"/>
        <w:spacing w:line="319" w:lineRule="auto" w:before="115"/>
        <w:ind w:right="99" w:firstLine="419"/>
        <w:jc w:val="left"/>
      </w:pPr>
      <w:r>
        <w:rPr/>
        <w:t>以常规方式买卖金融资产，按交易日进行会计确认和终止确认。金融资产在初始确认时划分为以公允价值计量且其变 </w:t>
      </w:r>
      <w:r>
        <w:rPr>
          <w:spacing w:val="-2"/>
        </w:rPr>
        <w:t>动计入当期损益的金融资产、持有至到期投资、贷款和应收款项以及可供出售金融资产。初始确认金融资产，以公允价值计</w:t>
      </w:r>
      <w:r>
        <w:rPr>
          <w:spacing w:val="-66"/>
        </w:rPr>
        <w:t> </w:t>
      </w:r>
      <w:r>
        <w:rPr>
          <w:spacing w:val="-66"/>
        </w:rPr>
      </w:r>
      <w:r>
        <w:rPr>
          <w:spacing w:val="-4"/>
        </w:rPr>
        <w:t>量。对于以公允价值计量且其变动计入当期损益的金融资产，相关的交易费用直接计入当期损益，对于其他类别的金融资产，</w:t>
      </w:r>
      <w:r>
        <w:rPr>
          <w:spacing w:val="-44"/>
        </w:rPr>
        <w:t> </w:t>
      </w:r>
      <w:r>
        <w:rPr>
          <w:spacing w:val="-44"/>
        </w:rPr>
      </w:r>
      <w:r>
        <w:rPr/>
        <w:t>相关交易费用计入初始确认金额。</w:t>
      </w:r>
    </w:p>
    <w:p>
      <w:pPr>
        <w:pStyle w:val="BodyText"/>
        <w:spacing w:line="357" w:lineRule="auto" w:before="58"/>
        <w:ind w:left="573" w:right="231"/>
        <w:jc w:val="left"/>
      </w:pPr>
      <w:r>
        <w:rPr/>
        <w:t>①</w:t>
      </w:r>
      <w:r>
        <w:rPr>
          <w:spacing w:val="-18"/>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214" w:lineRule="exact"/>
        <w:ind w:left="153" w:right="0"/>
        <w:jc w:val="left"/>
      </w:pPr>
      <w:r>
        <w:rPr/>
        <w:t>集中管理的可辨认金融工具组合的一部分，且有客观证据表明本集团近期采用短期获利方式对该组合进行管理；</w:t>
      </w:r>
      <w:r>
        <w:rPr>
          <w:rFonts w:ascii="Times New Roman" w:hAnsi="Times New Roman" w:cs="Times New Roman" w:eastAsia="Times New Roman" w:hint="default"/>
        </w:rPr>
        <w:t>C.</w:t>
      </w:r>
      <w:r>
        <w:rPr/>
        <w:t>属于衍生</w:t>
      </w:r>
    </w:p>
    <w:p>
      <w:pPr>
        <w:pStyle w:val="BodyText"/>
        <w:spacing w:line="319" w:lineRule="auto" w:before="62"/>
        <w:ind w:left="153" w:right="181"/>
        <w:jc w:val="left"/>
      </w:pP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56"/>
        <w:ind w:left="153" w:right="190" w:firstLine="420"/>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本集团风</w:t>
      </w:r>
      <w:r>
        <w:rPr>
          <w:spacing w:val="-49"/>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9" w:lineRule="auto" w:before="64"/>
        <w:ind w:left="153" w:right="228" w:firstLine="419"/>
        <w:jc w:val="both"/>
      </w:pPr>
      <w:r>
        <w:rPr/>
        <w:t>以公允价值计量且其变动计入当期损益的金融资产采用公允价值进行后续计量，公允价值变动形成的利得或损失以及 与该等金融资产相关的股利和利息收入计入当期损益。</w:t>
      </w:r>
    </w:p>
    <w:p>
      <w:pPr>
        <w:pStyle w:val="BodyText"/>
        <w:spacing w:line="357" w:lineRule="auto" w:before="56"/>
        <w:ind w:left="573" w:right="211"/>
        <w:jc w:val="left"/>
      </w:pPr>
      <w:r>
        <w:rPr/>
        <w:t>②</w:t>
      </w:r>
      <w:r>
        <w:rPr>
          <w:spacing w:val="-17"/>
        </w:rPr>
        <w:t> </w:t>
      </w:r>
      <w:r>
        <w:rPr/>
        <w:t>持有至到期投资</w:t>
      </w:r>
      <w:r>
        <w:rPr/>
        <w:t> 是指到期日固定、回收金额固定或可确定，且本集团有明确意图和能力持有至到期的非衍生金融资产。 持有至到期投资采用实际利率法，按摊余成本进行后续计量，在终止确认、发生减值或摊销时产生的利得或损失，计</w:t>
      </w:r>
    </w:p>
    <w:p>
      <w:pPr>
        <w:pStyle w:val="BodyText"/>
        <w:spacing w:line="225" w:lineRule="exact"/>
        <w:ind w:left="153" w:right="181"/>
        <w:jc w:val="left"/>
      </w:pPr>
      <w:r>
        <w:rPr/>
        <w:t>入当期损益。</w:t>
      </w:r>
    </w:p>
    <w:p>
      <w:pPr>
        <w:pStyle w:val="BodyText"/>
        <w:spacing w:line="319" w:lineRule="auto" w:before="115"/>
        <w:ind w:left="153" w:right="190" w:firstLine="419"/>
        <w:jc w:val="both"/>
      </w:pPr>
      <w:r>
        <w:rPr/>
        <w:t>实际利率法是指按照金融资产或金融负债（含一组金融资产或金融负债）的实际利率计算其摊余成本及各期利息收入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55"/>
        <w:ind w:left="153" w:right="190" w:firstLine="419"/>
        <w:jc w:val="both"/>
      </w:pPr>
      <w:r>
        <w:rPr/>
        <w:t>在计算实际利率时，本集团将在考虑金融资产或金融负债所有合同条款的基础上预计未来现金流量（不考虑未来的信 </w:t>
      </w:r>
      <w:r>
        <w:rPr>
          <w:spacing w:val="-2"/>
        </w:rPr>
        <w:t>用损失），同时还将考虑金融资产或金融负债合同各方之间支付或收取的、属于实际利率组成部分的各项收费、交易费用及</w:t>
      </w:r>
    </w:p>
    <w:p>
      <w:pPr>
        <w:spacing w:after="0" w:line="316" w:lineRule="auto"/>
        <w:jc w:val="both"/>
        <w:sectPr>
          <w:pgSz w:w="11910" w:h="16840"/>
          <w:pgMar w:header="0"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折价或溢价等。</w:t>
      </w:r>
    </w:p>
    <w:p>
      <w:pPr>
        <w:pStyle w:val="BodyText"/>
        <w:spacing w:line="357" w:lineRule="auto" w:before="116"/>
        <w:ind w:left="573" w:right="211"/>
        <w:jc w:val="left"/>
      </w:pPr>
      <w:r>
        <w:rPr/>
        <w:t>③</w:t>
      </w:r>
      <w:r>
        <w:rPr>
          <w:spacing w:val="-17"/>
        </w:rPr>
        <w:t> </w:t>
      </w:r>
      <w:r>
        <w:rPr/>
        <w:t>贷款和应收款项</w:t>
      </w:r>
      <w:r>
        <w:rPr/>
        <w:t> 是指在活跃市场中没有报价、回收金额固定或可确定的非衍生金融资产。本集团划分为贷款和应收款的金融资产包括</w:t>
      </w:r>
    </w:p>
    <w:p>
      <w:pPr>
        <w:pStyle w:val="BodyText"/>
        <w:spacing w:line="357" w:lineRule="auto"/>
        <w:ind w:left="573" w:right="211" w:hanging="420"/>
        <w:jc w:val="left"/>
      </w:pPr>
      <w:r>
        <w:rPr/>
        <w:t>应收票据、应收账款、应收利息、应收股利及其他应收款等。 贷款和应收款项采用实际利率法，按摊余成本进行后续计量，在终止确认、发生减值或摊销时产生的利得或损失，计</w:t>
      </w:r>
    </w:p>
    <w:p>
      <w:pPr>
        <w:pStyle w:val="BodyText"/>
        <w:spacing w:line="225" w:lineRule="exact"/>
        <w:ind w:left="153" w:right="181"/>
        <w:jc w:val="left"/>
      </w:pPr>
      <w:r>
        <w:rPr/>
        <w:t>入当期损益。</w:t>
      </w:r>
    </w:p>
    <w:p>
      <w:pPr>
        <w:pStyle w:val="BodyText"/>
        <w:spacing w:line="357" w:lineRule="auto" w:before="116"/>
        <w:ind w:left="573" w:right="83"/>
        <w:jc w:val="left"/>
      </w:pPr>
      <w:r>
        <w:rPr/>
        <w:t>④</w:t>
      </w:r>
      <w:r>
        <w:rPr>
          <w:spacing w:val="-17"/>
        </w:rPr>
        <w:t> </w:t>
      </w:r>
      <w:r>
        <w:rPr/>
        <w:t>可供出售金融资产</w:t>
      </w:r>
      <w:r>
        <w:rPr/>
        <w:t> </w:t>
      </w:r>
      <w:r>
        <w:rPr>
          <w:spacing w:val="-1"/>
        </w:rPr>
        <w:t>包括初始确认时即被指定为可供出售的非衍生金融资产，以及除了以公允价值计量且其变动计入当期损益的金融资产、</w:t>
      </w:r>
    </w:p>
    <w:p>
      <w:pPr>
        <w:pStyle w:val="BodyText"/>
        <w:spacing w:line="357" w:lineRule="auto"/>
        <w:ind w:left="573" w:right="211" w:hanging="420"/>
        <w:jc w:val="left"/>
      </w:pPr>
      <w:r>
        <w:rPr/>
        <w:t>贷款和应收款项、持有至到期投资以外的金融资产。 可供出售金融资产采用公允价值进行后续计量，公允价值变动形成的利得或损失，除减值损失和外币货币性金融资产</w:t>
      </w:r>
    </w:p>
    <w:p>
      <w:pPr>
        <w:pStyle w:val="BodyText"/>
        <w:spacing w:line="224" w:lineRule="exact"/>
        <w:ind w:left="153" w:right="0"/>
        <w:jc w:val="left"/>
      </w:pPr>
      <w:r>
        <w:rPr/>
        <w:t>与摊余成本相关的汇兑差额计入当期损益外，确认为其他综合收益并计入资本公积，在该金融资产终止确认时转出，计入当</w:t>
      </w:r>
    </w:p>
    <w:p>
      <w:pPr>
        <w:pStyle w:val="BodyText"/>
        <w:spacing w:line="240" w:lineRule="auto" w:before="77"/>
        <w:ind w:left="153" w:right="181"/>
        <w:jc w:val="left"/>
      </w:pPr>
      <w:r>
        <w:rPr/>
        <w:t>期损益。</w:t>
      </w:r>
    </w:p>
    <w:p>
      <w:pPr>
        <w:pStyle w:val="BodyText"/>
        <w:spacing w:line="357" w:lineRule="auto" w:before="116"/>
        <w:ind w:left="573" w:right="83"/>
        <w:jc w:val="left"/>
      </w:pPr>
      <w:r>
        <w:rPr/>
        <w:t>可供出售金融资产持有期间取得的利息及被投资单位宣告发放的现金股利，计入投资收益。 金融负债的确认依据和计量方法： </w:t>
      </w:r>
      <w:r>
        <w:rPr>
          <w:spacing w:val="-1"/>
        </w:rPr>
        <w:t>金融负债在初始确认时划分为以公允价值计量且其变动计入当期损益的金融负债和其他金融负债。初始确认金融负债，</w:t>
      </w:r>
    </w:p>
    <w:p>
      <w:pPr>
        <w:pStyle w:val="BodyText"/>
        <w:spacing w:line="224" w:lineRule="exact"/>
        <w:ind w:left="153" w:right="0"/>
        <w:jc w:val="left"/>
      </w:pPr>
      <w:r>
        <w:rPr/>
        <w:t>以公允价值计量。对于以公允价值计量且其变动计入当期损益的金融负债，相关的交易费用直接计入当期损益，对于其他金</w:t>
      </w:r>
    </w:p>
    <w:p>
      <w:pPr>
        <w:pStyle w:val="BodyText"/>
        <w:spacing w:line="240" w:lineRule="auto" w:before="77"/>
        <w:ind w:left="153" w:right="181"/>
        <w:jc w:val="left"/>
      </w:pPr>
      <w:r>
        <w:rPr/>
        <w:t>融负债，相关交易费用计入初始确认金额。</w:t>
      </w:r>
    </w:p>
    <w:p>
      <w:pPr>
        <w:pStyle w:val="BodyText"/>
        <w:spacing w:line="357" w:lineRule="auto" w:before="116"/>
        <w:ind w:left="573" w:right="211"/>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57" w:lineRule="auto"/>
        <w:ind w:left="573" w:right="211" w:hanging="420"/>
        <w:jc w:val="left"/>
      </w:pPr>
      <w:r>
        <w:rPr/>
        <w:t>性金融资产和在初始确认时指定为以公允价值计量且其变动计入当期损益的金融资产的条件一致。 以公允价值计量且其变动计入当期损益的金融负债采用公允价值进行后续计量，公允价值的变动形成的利得或损失以</w:t>
      </w:r>
    </w:p>
    <w:p>
      <w:pPr>
        <w:pStyle w:val="BodyText"/>
        <w:spacing w:line="225" w:lineRule="exact"/>
        <w:ind w:left="153" w:right="181"/>
        <w:jc w:val="left"/>
      </w:pPr>
      <w:r>
        <w:rPr/>
        <w:t>及与该等金融负债相关的股利和利息支出计入当期损益。</w:t>
      </w:r>
    </w:p>
    <w:p>
      <w:pPr>
        <w:pStyle w:val="BodyText"/>
        <w:spacing w:line="357" w:lineRule="auto" w:before="116"/>
        <w:ind w:left="573" w:right="211"/>
        <w:jc w:val="left"/>
      </w:pPr>
      <w:r>
        <w:rPr/>
        <w:t>②</w:t>
      </w:r>
      <w:r>
        <w:rPr>
          <w:spacing w:val="-17"/>
        </w:rPr>
        <w:t> </w:t>
      </w:r>
      <w:r>
        <w:rPr/>
        <w:t>其他金融负债</w:t>
      </w:r>
      <w:r>
        <w:rPr/>
        <w:t> 与在活跃市场中没有报价、公允价值不能可靠计量的权益工具挂钩并须通过交付该权益工具结算的衍生金融负债，按</w:t>
      </w:r>
    </w:p>
    <w:p>
      <w:pPr>
        <w:pStyle w:val="BodyText"/>
        <w:spacing w:line="224" w:lineRule="exact"/>
        <w:ind w:left="153" w:right="0"/>
        <w:jc w:val="left"/>
      </w:pPr>
      <w:r>
        <w:rPr/>
        <w:t>照成本进行后续计量。其他金融负债采用实际利率法，按摊余成本进行后续计量，终止确认或摊销产生的利得或损失计入当</w:t>
      </w:r>
    </w:p>
    <w:p>
      <w:pPr>
        <w:pStyle w:val="BodyText"/>
        <w:spacing w:line="240" w:lineRule="auto" w:before="77"/>
        <w:ind w:left="153" w:right="181"/>
        <w:jc w:val="left"/>
      </w:pPr>
      <w:r>
        <w:rPr/>
        <w:t>期损益。</w:t>
      </w:r>
    </w:p>
    <w:p>
      <w:pPr>
        <w:pStyle w:val="BodyText"/>
        <w:spacing w:line="357" w:lineRule="auto" w:before="116"/>
        <w:ind w:left="573" w:right="211"/>
        <w:jc w:val="left"/>
      </w:pPr>
      <w:r>
        <w:rPr/>
        <w:t>③</w:t>
      </w:r>
      <w:r>
        <w:rPr>
          <w:spacing w:val="-17"/>
        </w:rPr>
        <w:t> </w:t>
      </w:r>
      <w:r>
        <w:rPr/>
        <w:t>财务担保合同及贷款承诺</w:t>
      </w:r>
      <w:r>
        <w:rPr/>
        <w:t> 不属于指定为以公允价值计量且其变动计入当期损益的金融负债的财务担保合同，或没有指定为以公允价值计量且其</w:t>
      </w:r>
    </w:p>
    <w:p>
      <w:pPr>
        <w:pStyle w:val="BodyText"/>
        <w:spacing w:line="237" w:lineRule="exact"/>
        <w:ind w:left="153" w:right="0"/>
        <w:jc w:val="left"/>
        <w:rPr>
          <w:rFonts w:ascii="Times New Roman" w:hAnsi="Times New Roman" w:cs="Times New Roman" w:eastAsia="Times New Roman" w:hint="default"/>
        </w:rPr>
      </w:pPr>
      <w:r>
        <w:rPr/>
        <w:t>变动计入损益并将以低于市场利率贷款的贷款承诺，以公允价值进行初始确认，在初始确认后按照《企业会计准则第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p>
    <w:p>
      <w:pPr>
        <w:pStyle w:val="BodyText"/>
        <w:spacing w:line="302" w:lineRule="auto" w:before="62"/>
        <w:ind w:left="153" w:right="181"/>
        <w:jc w:val="left"/>
      </w:pP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5"/>
        </w:rPr>
        <w:t> </w:t>
      </w:r>
      <w:r>
        <w:rPr>
          <w:spacing w:val="-65"/>
        </w:rPr>
      </w:r>
      <w:r>
        <w:rPr/>
        <w:t>高者进行后续计量。</w:t>
      </w:r>
    </w:p>
    <w:p>
      <w:pPr>
        <w:spacing w:line="240" w:lineRule="auto" w:before="3"/>
        <w:rPr>
          <w:rFonts w:ascii="宋体" w:hAnsi="宋体" w:cs="宋体" w:eastAsia="宋体" w:hint="default"/>
          <w:sz w:val="25"/>
          <w:szCs w:val="25"/>
        </w:rPr>
      </w:pPr>
    </w:p>
    <w:p>
      <w:pPr>
        <w:pStyle w:val="Heading6"/>
        <w:spacing w:line="240" w:lineRule="auto"/>
        <w:ind w:left="153" w:right="18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7"/>
        <w:ind w:left="153" w:right="83" w:firstLine="419"/>
        <w:jc w:val="left"/>
      </w:pPr>
      <w:r>
        <w:rPr/>
        <w:t>满足下列条件之一的金融资产，予以终止确认：① 收取该金融资产现金流量的合同权利终止；②</w:t>
      </w:r>
      <w:r>
        <w:rPr>
          <w:spacing w:val="-51"/>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9" w:lineRule="auto" w:before="56"/>
        <w:ind w:left="153" w:right="191" w:firstLine="419"/>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9" w:lineRule="auto" w:before="55"/>
        <w:ind w:left="153" w:right="212" w:firstLine="419"/>
        <w:jc w:val="left"/>
      </w:pPr>
      <w:r>
        <w:rPr/>
        <w:t>金融资产整体转移满足终止确认条件的，将所转移金融资产的账面价值及因转移而收到的对价与原计入其他综合收益 的公允价值变动累计额之和的差额计入当期损益。</w:t>
      </w:r>
    </w:p>
    <w:p>
      <w:pPr>
        <w:spacing w:after="0" w:line="319" w:lineRule="auto"/>
        <w:jc w:val="left"/>
        <w:sectPr>
          <w:pgSz w:w="11910" w:h="16840"/>
          <w:pgMar w:header="0"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89" w:firstLine="419"/>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spacing w:line="614" w:lineRule="exact" w:before="35"/>
        <w:ind w:left="574" w:right="210"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金融负债的现时义务全部或部分已经解除的，才能终止确认该金融负债或其一部分。本集团（债务人）与债权人之间</w:t>
      </w:r>
    </w:p>
    <w:p>
      <w:pPr>
        <w:pStyle w:val="BodyText"/>
        <w:spacing w:line="214" w:lineRule="exact"/>
        <w:ind w:right="0"/>
        <w:jc w:val="left"/>
      </w:pPr>
      <w:r>
        <w:rPr/>
        <w:t>签订协议，以承担新金融负债方式替换现存金融负债，且新金融负债与现存金融负债的合同条款实质上不同的，终止确认现</w:t>
      </w:r>
    </w:p>
    <w:p>
      <w:pPr>
        <w:pStyle w:val="BodyText"/>
        <w:spacing w:line="357" w:lineRule="auto" w:before="77"/>
        <w:ind w:left="574" w:right="210" w:hanging="420"/>
        <w:jc w:val="left"/>
      </w:pPr>
      <w:r>
        <w:rPr/>
        <w:t>存金融负债，并同时确认新金融负债。 金融负债全部或部分终止确认的，将终止确认部分的账面价值与支付的对价（包括转出的非现金资产或承担的新金融</w:t>
      </w:r>
    </w:p>
    <w:p>
      <w:pPr>
        <w:pStyle w:val="BodyText"/>
        <w:spacing w:line="225" w:lineRule="exact"/>
        <w:ind w:right="181"/>
        <w:jc w:val="left"/>
      </w:pPr>
      <w:r>
        <w:rPr/>
        <w:t>负债）之间的差额，计入当期损益。</w:t>
      </w:r>
    </w:p>
    <w:p>
      <w:pPr>
        <w:spacing w:line="600" w:lineRule="atLeast" w:before="25"/>
        <w:ind w:left="574" w:right="21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spacing w:val="1"/>
          <w:w w:val="99"/>
          <w:sz w:val="18"/>
          <w:szCs w:val="18"/>
        </w:rPr>
        <w:t> </w:t>
      </w:r>
      <w:r>
        <w:rPr>
          <w:rFonts w:ascii="宋体" w:hAnsi="宋体" w:cs="宋体" w:eastAsia="宋体" w:hint="default"/>
          <w:sz w:val="18"/>
          <w:szCs w:val="18"/>
        </w:rPr>
        <w:t>公允价值，指在公平交易中，熟悉情况的交易双方自愿进行资产交换或债务清偿的金额。金融工具存在活跃市场的，</w:t>
      </w:r>
    </w:p>
    <w:p>
      <w:pPr>
        <w:pStyle w:val="BodyText"/>
        <w:spacing w:line="319" w:lineRule="auto" w:before="76"/>
        <w:ind w:right="189"/>
        <w:jc w:val="both"/>
      </w:pPr>
      <w:r>
        <w:rPr>
          <w:spacing w:val="-2"/>
        </w:rPr>
        <w:t>本集团采用活跃市场中的报价确定其公允价值。活跃市场中的报价是指易于定期从交易所、经纪商、行业协会、定价服务机</w:t>
      </w:r>
      <w:r>
        <w:rPr>
          <w:spacing w:val="-66"/>
        </w:rPr>
        <w:t> </w:t>
      </w:r>
      <w:r>
        <w:rPr>
          <w:spacing w:val="-66"/>
        </w:rPr>
      </w:r>
      <w:r>
        <w:rPr>
          <w:spacing w:val="-2"/>
        </w:rPr>
        <w:t>构等获得的价格，且代表了在公平交易中实际发生的市场交易的价格。金融工具不存在活跃市场的，本集团采用估值技术确</w:t>
      </w:r>
      <w:r>
        <w:rPr>
          <w:spacing w:val="-66"/>
        </w:rPr>
        <w:t> </w:t>
      </w:r>
      <w:r>
        <w:rPr>
          <w:spacing w:val="-66"/>
        </w:rPr>
      </w:r>
      <w:r>
        <w:rPr>
          <w:spacing w:val="-2"/>
        </w:rPr>
        <w:t>定其公允价值。估值技术包括参考熟悉情况并自愿交易的各方最近进行的市场交易中使用的价格、参照实质上相同的其他金</w:t>
      </w:r>
      <w:r>
        <w:rPr>
          <w:spacing w:val="-64"/>
        </w:rPr>
        <w:t> </w:t>
      </w:r>
      <w:r>
        <w:rPr>
          <w:spacing w:val="-64"/>
        </w:rPr>
      </w:r>
      <w:r>
        <w:rPr/>
        <w:t>融工具当前的公允价值、现金流量折现法和期权定价模型等。</w:t>
      </w:r>
    </w:p>
    <w:p>
      <w:pPr>
        <w:spacing w:line="240" w:lineRule="auto" w:before="5"/>
        <w:rPr>
          <w:rFonts w:ascii="宋体" w:hAnsi="宋体" w:cs="宋体" w:eastAsia="宋体" w:hint="default"/>
          <w:sz w:val="24"/>
          <w:szCs w:val="24"/>
        </w:rPr>
      </w:pPr>
    </w:p>
    <w:p>
      <w:pPr>
        <w:spacing w:line="600" w:lineRule="atLeast" w:before="0"/>
        <w:ind w:left="574" w:right="21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）金融资产（不含应收款项）减值测试方法、减值准备计提方法</w:t>
      </w:r>
      <w:r>
        <w:rPr>
          <w:rFonts w:ascii="宋体" w:hAnsi="宋体" w:cs="宋体" w:eastAsia="宋体" w:hint="default"/>
          <w:b/>
          <w:bCs/>
          <w:spacing w:val="1"/>
          <w:w w:val="99"/>
          <w:sz w:val="18"/>
          <w:szCs w:val="18"/>
        </w:rPr>
        <w:t> </w:t>
      </w:r>
      <w:r>
        <w:rPr>
          <w:rFonts w:ascii="宋体" w:hAnsi="宋体" w:cs="宋体" w:eastAsia="宋体" w:hint="default"/>
          <w:sz w:val="18"/>
          <w:szCs w:val="18"/>
        </w:rPr>
        <w:t>除了以公允价值计量且其变动计入当期损益的金融资产外，本集团在每个资产负债表日对其他金融资产的账面价值进</w:t>
      </w:r>
    </w:p>
    <w:p>
      <w:pPr>
        <w:pStyle w:val="BodyText"/>
        <w:spacing w:line="357" w:lineRule="auto" w:before="77"/>
        <w:ind w:left="574" w:right="210" w:hanging="420"/>
        <w:jc w:val="left"/>
      </w:pPr>
      <w:r>
        <w:rPr/>
        <w:t>行检查，有客观证据表明金融资产发生减值的，计提减值准备。 本集团对单项金额重大的金融资产单独进行减值测试；对单项金额不重大的金融资产，单独进行减值测试或包括在具</w:t>
      </w:r>
    </w:p>
    <w:p>
      <w:pPr>
        <w:pStyle w:val="BodyText"/>
        <w:spacing w:line="224" w:lineRule="exact"/>
        <w:ind w:right="0"/>
        <w:jc w:val="left"/>
      </w:pPr>
      <w:r>
        <w:rPr/>
        <w:t>有类似信用风险特征的金融资产组合中进行减值测试。单独测试未发生减值的金融资产（包括单项金额重大和不重大的金融</w:t>
      </w:r>
    </w:p>
    <w:p>
      <w:pPr>
        <w:pStyle w:val="BodyText"/>
        <w:spacing w:line="319" w:lineRule="auto" w:before="76"/>
        <w:ind w:right="189"/>
        <w:jc w:val="both"/>
      </w:pP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57" w:lineRule="auto" w:before="58"/>
        <w:ind w:left="574" w:right="210"/>
        <w:jc w:val="left"/>
      </w:pPr>
      <w:r>
        <w:rPr/>
        <w:t>①</w:t>
      </w:r>
      <w:r>
        <w:rPr>
          <w:spacing w:val="-17"/>
        </w:rPr>
        <w:t> </w:t>
      </w:r>
      <w:r>
        <w:rPr/>
        <w:t>持有至到期投资、贷款和应收款项减值</w:t>
      </w:r>
      <w:r>
        <w:rPr/>
        <w:t> 以成本或摊余成本计量的金融资产将其账面价值减记至预计未来现金流量现值，减记金额确认为减值损失，计入当期</w:t>
      </w:r>
    </w:p>
    <w:p>
      <w:pPr>
        <w:pStyle w:val="BodyText"/>
        <w:spacing w:line="224" w:lineRule="exact"/>
        <w:ind w:right="0"/>
        <w:jc w:val="left"/>
      </w:pPr>
      <w:r>
        <w:rPr/>
        <w:t>损益。金融资产在确认减值损失后，如有客观证据表明该金融资产价值已恢复，且客观上与确认该损失后发生的事项有关，</w:t>
      </w:r>
    </w:p>
    <w:p>
      <w:pPr>
        <w:pStyle w:val="BodyText"/>
        <w:spacing w:line="319" w:lineRule="auto" w:before="76"/>
        <w:ind w:right="189"/>
        <w:jc w:val="both"/>
      </w:pP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57" w:lineRule="auto" w:before="56"/>
        <w:ind w:left="574" w:right="210"/>
        <w:jc w:val="left"/>
      </w:pPr>
      <w:r>
        <w:rPr/>
        <w:t>②</w:t>
      </w:r>
      <w:r>
        <w:rPr>
          <w:spacing w:val="-17"/>
        </w:rPr>
        <w:t> </w:t>
      </w:r>
      <w:r>
        <w:rPr/>
        <w:t>可供出售金融资产减值</w:t>
      </w:r>
      <w:r>
        <w:rPr/>
        <w:t> 当综合相关因素判断可供出售权益工具投资公允价值下跌是严重或非暂时性下跌时，表明该可供出售权益工具投资发</w:t>
      </w:r>
    </w:p>
    <w:p>
      <w:pPr>
        <w:pStyle w:val="BodyText"/>
        <w:spacing w:line="338" w:lineRule="auto"/>
        <w:ind w:left="574" w:right="210" w:hanging="421"/>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可供出售金融资产发生减值时，将原计入资本公积的因公允价值下降形成的累计损失予以转出并计入当期损益，该转</w:t>
      </w:r>
    </w:p>
    <w:p>
      <w:pPr>
        <w:pStyle w:val="BodyText"/>
        <w:spacing w:line="357" w:lineRule="auto" w:before="4"/>
        <w:ind w:left="574" w:right="210" w:hanging="420"/>
        <w:jc w:val="left"/>
      </w:pPr>
      <w:r>
        <w:rPr/>
        <w:t>出的累计损失为该资产初始取得成本扣除已收回本金和已摊销金额、当前公允价值和原已计入损益的减值损失后的余额。 在确认减值损失后，期后如有客观证据表明该金融资产价值已恢复，且客观上与确认该损失后发生的事项有关，原确</w:t>
      </w:r>
    </w:p>
    <w:p>
      <w:pPr>
        <w:pStyle w:val="BodyText"/>
        <w:spacing w:line="224" w:lineRule="exact"/>
        <w:ind w:right="0"/>
        <w:jc w:val="left"/>
      </w:pPr>
      <w:r>
        <w:rPr/>
        <w:t>认的减值损失予以转回，可供出售权益工具投资的减值损失转回确认为其他综合收益，可供出售债务工具的减值损失转回计</w:t>
      </w:r>
    </w:p>
    <w:p>
      <w:pPr>
        <w:pStyle w:val="BodyText"/>
        <w:spacing w:line="240" w:lineRule="auto" w:before="77"/>
        <w:ind w:right="181"/>
        <w:jc w:val="left"/>
      </w:pPr>
      <w:r>
        <w:rPr/>
        <w:t>入当期损益。</w:t>
      </w:r>
    </w:p>
    <w:p>
      <w:pPr>
        <w:pStyle w:val="BodyText"/>
        <w:spacing w:line="240" w:lineRule="auto" w:before="115"/>
        <w:ind w:left="574" w:right="181"/>
        <w:jc w:val="left"/>
      </w:pPr>
      <w:r>
        <w:rPr/>
        <w:t>在活跃市场中没有报价且其公允价值不能可靠计量的权益工具投资，或与该权益工具挂钩并须通过交付该权益工具结</w:t>
      </w:r>
    </w:p>
    <w:p>
      <w:pPr>
        <w:spacing w:after="0" w:line="240" w:lineRule="auto"/>
        <w:jc w:val="left"/>
        <w:sectPr>
          <w:footerReference w:type="default" r:id="rId31"/>
          <w:pgSz w:w="11910" w:h="16840"/>
          <w:pgMar w:footer="982" w:header="0"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算的衍生金融资产的减值损失，不予转回。</w:t>
      </w:r>
    </w:p>
    <w:p>
      <w:pPr>
        <w:spacing w:line="240" w:lineRule="auto" w:before="0"/>
        <w:rPr>
          <w:rFonts w:ascii="宋体" w:hAnsi="宋体" w:cs="宋体" w:eastAsia="宋体" w:hint="default"/>
          <w:sz w:val="18"/>
          <w:szCs w:val="18"/>
        </w:rPr>
      </w:pPr>
    </w:p>
    <w:p>
      <w:pPr>
        <w:pStyle w:val="Heading6"/>
        <w:spacing w:line="240" w:lineRule="auto" w:before="139"/>
        <w:ind w:left="153" w:right="181"/>
        <w:jc w:val="left"/>
        <w:rPr>
          <w:b w:val="0"/>
          <w:bCs w:val="0"/>
        </w:rPr>
      </w:pPr>
      <w:r>
        <w:rPr/>
        <w:t>（</w:t>
      </w:r>
      <w:r>
        <w:rPr>
          <w:rFonts w:ascii="Times New Roman" w:hAnsi="Times New Roman" w:cs="Times New Roman" w:eastAsia="Times New Roman" w:hint="default"/>
        </w:rPr>
        <w:t>7</w:t>
      </w:r>
      <w:r>
        <w:rPr/>
        <w:t>）</w:t>
      </w:r>
      <w:r>
        <w:rPr>
          <w:spacing w:val="-3"/>
        </w:rPr>
        <w:t> </w:t>
      </w:r>
      <w:r>
        <w:rPr/>
        <w:t>权益工具</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8"/>
        <w:ind w:right="211" w:firstLine="419"/>
        <w:jc w:val="left"/>
      </w:pPr>
      <w:r>
        <w:rPr/>
        <w:t>权益工具是指能证明拥有本集团在扣除所有负债后的资产中的剩余权益的合同。权益工具，在发行时收到的对价扣除 交易费用后增加所有者权益。</w:t>
      </w:r>
    </w:p>
    <w:p>
      <w:pPr>
        <w:spacing w:line="614" w:lineRule="exact" w:before="35"/>
        <w:ind w:left="444" w:right="181" w:hanging="29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金融资产和金融负债的抵销</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当本集团具有抵销已确认金融资产和金融负债的法定权利，且目前可执行该种法定权利，同时本集团计划以净额结算或</w:t>
      </w:r>
    </w:p>
    <w:p>
      <w:pPr>
        <w:pStyle w:val="BodyText"/>
        <w:spacing w:line="214" w:lineRule="exact"/>
        <w:ind w:right="0"/>
        <w:jc w:val="left"/>
      </w:pPr>
      <w:r>
        <w:rPr/>
        <w:t>同时变现该金融资产和清偿该金融负债时，金融资产和金融负债以相互抵销后的金额在资产负债表内列示。除此以外，金融</w:t>
      </w:r>
    </w:p>
    <w:p>
      <w:pPr>
        <w:pStyle w:val="BodyText"/>
        <w:spacing w:line="240" w:lineRule="auto" w:before="76"/>
        <w:ind w:right="181"/>
        <w:jc w:val="left"/>
      </w:pPr>
      <w:r>
        <w:rPr/>
        <w:t>资产和金融负债在资产负债表内分别列示，不予相互抵销。</w:t>
      </w:r>
    </w:p>
    <w:p>
      <w:pPr>
        <w:spacing w:line="240" w:lineRule="auto" w:before="12"/>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99"/>
        <w:jc w:val="left"/>
      </w:pPr>
      <w:r>
        <w:rPr/>
        <w:t>坏账准备的确认标准 </w:t>
      </w:r>
      <w:r>
        <w:rPr>
          <w:spacing w:val="-2"/>
        </w:rPr>
        <w:t>本集团在资产负债表日对应收款项账面价值进行检查，对存在下列客观证据表明应收款项发生减值的，计提减值准备：</w:t>
      </w:r>
    </w:p>
    <w:p>
      <w:pPr>
        <w:pStyle w:val="BodyText"/>
        <w:spacing w:line="224" w:lineRule="exact"/>
        <w:ind w:right="99"/>
        <w:jc w:val="left"/>
      </w:pPr>
      <w:r>
        <w:rPr/>
        <w:t>①债务人发生严重的财务困难；②债务人违反合同条款（如偿付利息或本金发生违约或逾期等）； ③债务人很可能倒闭或</w:t>
      </w:r>
    </w:p>
    <w:p>
      <w:pPr>
        <w:pStyle w:val="BodyText"/>
        <w:spacing w:line="240" w:lineRule="auto" w:before="77"/>
        <w:ind w:right="181"/>
        <w:jc w:val="left"/>
      </w:pPr>
      <w:r>
        <w:rPr/>
        <w:t>进行其他财务重组；</w:t>
      </w:r>
      <w:r>
        <w:rPr>
          <w:spacing w:val="-19"/>
        </w:rPr>
        <w:t> </w:t>
      </w:r>
      <w:r>
        <w:rPr/>
        <w:t>④其他表明应收款项发生减值的客观依据。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6"/>
        <w:spacing w:line="240" w:lineRule="auto"/>
        <w:ind w:right="181"/>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4168"/>
        <w:gridCol w:w="5526"/>
      </w:tblGrid>
      <w:tr>
        <w:trPr>
          <w:trHeight w:val="714" w:hRule="exact"/>
        </w:trPr>
        <w:tc>
          <w:tcPr>
            <w:tcW w:w="4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 的应收款项。</w:t>
            </w:r>
          </w:p>
        </w:tc>
      </w:tr>
      <w:tr>
        <w:trPr>
          <w:trHeight w:val="1338" w:hRule="exact"/>
        </w:trPr>
        <w:tc>
          <w:tcPr>
            <w:tcW w:w="4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本集团对单项金额重大的应收款项单独进行减值测试，单独测试未发 生减值的金融资产，包括在具有类似信用风险特征的金融资产组合中 进行减值测试。单项测试已确认减值损失的应收款项，不再包括在具 有类似信用风险特征的应收款项组合中进行减值测试。</w:t>
            </w:r>
          </w:p>
        </w:tc>
      </w:tr>
    </w:tbl>
    <w:p>
      <w:pPr>
        <w:spacing w:line="240" w:lineRule="auto" w:before="6"/>
        <w:rPr>
          <w:rFonts w:ascii="宋体" w:hAnsi="宋体" w:cs="宋体" w:eastAsia="宋体" w:hint="default"/>
          <w:b/>
          <w:bCs/>
          <w:sz w:val="20"/>
          <w:szCs w:val="20"/>
        </w:rPr>
      </w:pPr>
    </w:p>
    <w:p>
      <w:pPr>
        <w:pStyle w:val="Heading6"/>
        <w:spacing w:line="240" w:lineRule="auto" w:before="44"/>
        <w:ind w:right="181"/>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99"/>
        <w:gridCol w:w="1541"/>
        <w:gridCol w:w="5428"/>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5" w:right="43" w:hanging="180"/>
              <w:jc w:val="left"/>
              <w:rPr>
                <w:rFonts w:ascii="宋体" w:hAnsi="宋体" w:cs="宋体" w:eastAsia="宋体" w:hint="default"/>
                <w:sz w:val="18"/>
                <w:szCs w:val="18"/>
              </w:rPr>
            </w:pPr>
            <w:r>
              <w:rPr>
                <w:rFonts w:ascii="宋体" w:hAnsi="宋体" w:cs="宋体" w:eastAsia="宋体" w:hint="default"/>
                <w:sz w:val="18"/>
                <w:szCs w:val="18"/>
              </w:rPr>
              <w:t>按组合计提坏账准 备的计提方法</w:t>
            </w:r>
          </w:p>
        </w:tc>
        <w:tc>
          <w:tcPr>
            <w:tcW w:w="5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541" w:type="dxa"/>
            <w:tcBorders>
              <w:top w:val="single" w:sz="4" w:space="0" w:color="000000"/>
              <w:left w:val="single" w:sz="4" w:space="0" w:color="000000"/>
              <w:bottom w:val="single" w:sz="4" w:space="0" w:color="000000"/>
              <w:right w:val="single" w:sz="4" w:space="0" w:color="000000"/>
            </w:tcBorders>
          </w:tcPr>
          <w:p>
            <w:pP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对单项金额重大或者具有某些特定风险特征的应收款项单独进行减 值测试以后，管理层认为于资产负债表日未发生减值的应收款项。</w:t>
            </w:r>
          </w:p>
        </w:tc>
      </w:tr>
      <w:tr>
        <w:trPr>
          <w:trHeight w:val="1339"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一般风险组合</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pacing w:val="-1"/>
                <w:sz w:val="18"/>
                <w:szCs w:val="18"/>
              </w:rPr>
              <w:t>指管理层对于不符合单独进行减值测试的标准（单项金额重大或者具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有某些特定风险特征），因而采用账龄等信用风险特征作为分类依据</w:t>
            </w:r>
            <w:r>
              <w:rPr>
                <w:rFonts w:ascii="宋体" w:hAnsi="宋体" w:cs="宋体" w:eastAsia="宋体" w:hint="default"/>
                <w:sz w:val="18"/>
                <w:szCs w:val="18"/>
              </w:rPr>
              <w:t> </w:t>
            </w:r>
            <w:r>
              <w:rPr>
                <w:rFonts w:ascii="宋体" w:hAnsi="宋体" w:cs="宋体" w:eastAsia="宋体" w:hint="default"/>
                <w:spacing w:val="-1"/>
                <w:sz w:val="18"/>
                <w:szCs w:val="18"/>
              </w:rPr>
              <w:t>划分为若干组合，针对每一组合共同的信用风险特征确定各组合的坏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账准备计提比例，以信用风险组合为单位计提坏账准备的应收款项。</w:t>
            </w:r>
          </w:p>
        </w:tc>
      </w:tr>
    </w:tbl>
    <w:p>
      <w:pPr>
        <w:pStyle w:val="BodyText"/>
        <w:spacing w:line="240" w:lineRule="auto" w:before="51"/>
        <w:ind w:right="181"/>
        <w:jc w:val="left"/>
      </w:pPr>
      <w:r>
        <w:rPr/>
        <w:t>组合中，采用账龄分析法计提坏账准备的</w:t>
      </w:r>
    </w:p>
    <w:p>
      <w:pPr>
        <w:pStyle w:val="BodyText"/>
        <w:spacing w:line="240" w:lineRule="auto" w:before="116"/>
        <w:ind w:left="153" w:right="181"/>
        <w:jc w:val="left"/>
      </w:pPr>
      <w:r>
        <w:rPr/>
        <w:t>√ 适用 □ 不适用</w:t>
      </w:r>
    </w:p>
    <w:p>
      <w:pPr>
        <w:spacing w:after="0" w:line="240" w:lineRule="auto"/>
        <w:jc w:val="left"/>
        <w:sectPr>
          <w:footerReference w:type="default" r:id="rId32"/>
          <w:pgSz w:w="11910" w:h="16840"/>
          <w:pgMar w:footer="982" w:header="0" w:top="1060" w:bottom="1180" w:left="980" w:right="940"/>
          <w:pgNumType w:start="101"/>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181"/>
        <w:jc w:val="left"/>
      </w:pPr>
      <w:r>
        <w:rPr/>
        <w:t>组合中，采用余额百分比法计提坏账准备的</w:t>
      </w:r>
    </w:p>
    <w:p>
      <w:pPr>
        <w:pStyle w:val="BodyText"/>
        <w:spacing w:line="357" w:lineRule="auto" w:before="117"/>
        <w:ind w:left="153" w:right="6751"/>
        <w:jc w:val="left"/>
      </w:pPr>
      <w:r>
        <w:rPr/>
        <w:t>□ 适用 √ 不适用 组合中，采用其他方法计提坏账准备的</w:t>
      </w:r>
    </w:p>
    <w:p>
      <w:pPr>
        <w:pStyle w:val="BodyText"/>
        <w:spacing w:line="240" w:lineRule="auto" w:before="29"/>
        <w:ind w:left="153" w:right="18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30"/>
        <w:gridCol w:w="5638"/>
      </w:tblGrid>
      <w:tr>
        <w:trPr>
          <w:trHeight w:val="402"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2"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不计提坏账</w:t>
            </w:r>
          </w:p>
        </w:tc>
      </w:tr>
    </w:tbl>
    <w:p>
      <w:pPr>
        <w:spacing w:line="240" w:lineRule="auto" w:before="6"/>
        <w:rPr>
          <w:rFonts w:ascii="宋体" w:hAnsi="宋体" w:cs="宋体" w:eastAsia="宋体" w:hint="default"/>
          <w:sz w:val="20"/>
          <w:szCs w:val="20"/>
        </w:rPr>
      </w:pPr>
    </w:p>
    <w:p>
      <w:pPr>
        <w:pStyle w:val="Heading6"/>
        <w:spacing w:line="240" w:lineRule="auto" w:before="44"/>
        <w:ind w:right="181"/>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本集团对于单项金额虽不重大但具备以下特征的应收款项包括：应收关联方款 项；与对方存在争议或涉及诉讼、仲裁的应收款项；已有明显迹象表明债务人 很可能无法履行还款义务的应收款项等。</w:t>
            </w:r>
          </w:p>
        </w:tc>
      </w:tr>
      <w:tr>
        <w:trPr>
          <w:trHeight w:val="715"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单独进行减值测试，有客观证据表明其发生了减值的，根据其未来现金流量现 值低于其账面价值的差额，确认减值损失，计提坏账准备</w:t>
            </w:r>
          </w:p>
        </w:tc>
      </w:tr>
    </w:tbl>
    <w:p>
      <w:pPr>
        <w:spacing w:line="240" w:lineRule="auto" w:before="6"/>
        <w:rPr>
          <w:rFonts w:ascii="宋体" w:hAnsi="宋体" w:cs="宋体" w:eastAsia="宋体" w:hint="default"/>
          <w:b/>
          <w:bCs/>
          <w:sz w:val="20"/>
          <w:szCs w:val="20"/>
        </w:rPr>
      </w:pPr>
    </w:p>
    <w:p>
      <w:pPr>
        <w:pStyle w:val="Heading6"/>
        <w:spacing w:line="240" w:lineRule="auto" w:before="44"/>
        <w:ind w:right="181"/>
        <w:jc w:val="left"/>
        <w:rPr>
          <w:b w:val="0"/>
          <w:bCs w:val="0"/>
        </w:rPr>
      </w:pPr>
      <w:r>
        <w:rPr/>
        <w:t>（</w:t>
      </w:r>
      <w:r>
        <w:rPr>
          <w:rFonts w:ascii="Times New Roman" w:hAnsi="Times New Roman" w:cs="Times New Roman" w:eastAsia="Times New Roman" w:hint="default"/>
        </w:rPr>
        <w:t>4</w:t>
      </w:r>
      <w:r>
        <w:rPr/>
        <w:t>）</w:t>
      </w:r>
      <w:r>
        <w:rPr>
          <w:spacing w:val="-6"/>
        </w:rPr>
        <w:t> </w:t>
      </w:r>
      <w:r>
        <w:rPr/>
        <w:t>坏账准备的转回</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27"/>
        <w:ind w:right="181" w:firstLine="435"/>
        <w:jc w:val="left"/>
      </w:pPr>
      <w:r>
        <w:rPr/>
        <w:t>如有客观证据表明该应收款项价值已恢复，且客观上与确认该损失后发生的事项有关，原确认的减值损失予以转回， 计入当期损益。但是，该转回后的账面价值不超过假定不计提减值准备情况下该应收款项在转回日的摊余成本。</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9"/>
        <w:rPr>
          <w:rFonts w:ascii="宋体" w:hAnsi="宋体" w:cs="宋体" w:eastAsia="宋体" w:hint="default"/>
          <w:b/>
          <w:bCs/>
          <w:sz w:val="26"/>
          <w:szCs w:val="26"/>
        </w:rPr>
      </w:pPr>
    </w:p>
    <w:p>
      <w:pPr>
        <w:spacing w:line="590" w:lineRule="auto" w:before="0"/>
        <w:ind w:left="514" w:right="585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存货主要包括原材料、在产品、库存商品等。</w:t>
      </w:r>
    </w:p>
    <w:p>
      <w:pPr>
        <w:pStyle w:val="Heading6"/>
        <w:spacing w:line="240" w:lineRule="auto" w:before="112"/>
        <w:ind w:left="153" w:right="181"/>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left="573" w:right="391" w:hanging="420"/>
        <w:jc w:val="left"/>
      </w:pPr>
      <w:r>
        <w:rPr/>
        <w:t>计价方法：加权平均法 存货在取得时按实际成本计价，存货成本包括采购成本、加工成本和其他成本。领用和发出时按加权平均法计价。</w:t>
      </w:r>
    </w:p>
    <w:p>
      <w:pPr>
        <w:spacing w:line="612" w:lineRule="exact" w:before="9"/>
        <w:ind w:left="574" w:right="21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spacing w:val="1"/>
          <w:w w:val="99"/>
          <w:sz w:val="18"/>
          <w:szCs w:val="18"/>
        </w:rPr>
        <w:t> </w:t>
      </w:r>
      <w:r>
        <w:rPr>
          <w:rFonts w:ascii="宋体" w:hAnsi="宋体" w:cs="宋体" w:eastAsia="宋体" w:hint="default"/>
          <w:sz w:val="18"/>
          <w:szCs w:val="18"/>
        </w:rPr>
        <w:t>可变现净值是指在日常活动中，存货的估计售价减去至完工时估计将要发生的成本、估计的销售费用以及相关税费后</w:t>
      </w:r>
    </w:p>
    <w:p>
      <w:pPr>
        <w:pStyle w:val="BodyText"/>
        <w:spacing w:line="216" w:lineRule="exact"/>
        <w:ind w:right="99"/>
        <w:jc w:val="left"/>
      </w:pPr>
      <w:r>
        <w:rPr>
          <w:spacing w:val="-4"/>
        </w:rPr>
        <w:t>的金额。在确定存货的可变现净值时，以取得的确凿证据为基础，同时考虑持有存货的目的以及资产负债表日后事项的影响。</w:t>
      </w:r>
    </w:p>
    <w:p>
      <w:pPr>
        <w:pStyle w:val="BodyText"/>
        <w:spacing w:line="240" w:lineRule="auto" w:before="116"/>
        <w:ind w:left="574" w:right="181"/>
        <w:jc w:val="left"/>
      </w:pPr>
      <w:r>
        <w:rPr/>
        <w:t>在资产负债表日，存货按照成本与可变现净值孰低计量。当其可变现净值低于成本时，提取存货跌价准备。存货跌价</w:t>
      </w:r>
    </w:p>
    <w:p>
      <w:pPr>
        <w:spacing w:after="0" w:line="240" w:lineRule="auto"/>
        <w:jc w:val="left"/>
        <w:sectPr>
          <w:pgSz w:w="11910" w:h="16840"/>
          <w:pgMar w:header="0"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73" w:right="171" w:hanging="420"/>
        <w:jc w:val="left"/>
      </w:pPr>
      <w:r>
        <w:rPr/>
        <w:t>准备按单个存货项目的成本高于其可变现净值的差额提取。 计提存货跌价准备后，如果以前减记存货价值的影响因素已经消失，导致存货的可变现净值高于其账面价值的，在原</w:t>
      </w:r>
    </w:p>
    <w:p>
      <w:pPr>
        <w:pStyle w:val="BodyText"/>
        <w:spacing w:line="225" w:lineRule="exact"/>
        <w:ind w:left="153" w:right="0"/>
        <w:jc w:val="left"/>
      </w:pPr>
      <w:r>
        <w:rPr/>
        <w:t>已计提的存货跌价准备金额内予以转回，转回的金额计入当期损益。</w:t>
      </w:r>
    </w:p>
    <w:p>
      <w:pPr>
        <w:spacing w:line="240" w:lineRule="auto" w:before="0"/>
        <w:rPr>
          <w:rFonts w:ascii="宋体" w:hAnsi="宋体" w:cs="宋体" w:eastAsia="宋体" w:hint="default"/>
          <w:sz w:val="18"/>
          <w:szCs w:val="18"/>
        </w:rPr>
      </w:pPr>
    </w:p>
    <w:p>
      <w:pPr>
        <w:spacing w:line="590" w:lineRule="auto" w:before="141"/>
        <w:ind w:left="153" w:right="7971"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spacing w:val="1"/>
          <w:w w:val="99"/>
          <w:sz w:val="18"/>
          <w:szCs w:val="18"/>
        </w:rPr>
        <w:t> </w:t>
      </w:r>
      <w:r>
        <w:rPr>
          <w:rFonts w:ascii="宋体" w:hAnsi="宋体" w:cs="宋体" w:eastAsia="宋体" w:hint="default"/>
          <w:sz w:val="18"/>
          <w:szCs w:val="18"/>
        </w:rPr>
        <w:t>盘存制度：永续盘存制</w:t>
      </w:r>
    </w:p>
    <w:p>
      <w:pPr>
        <w:pStyle w:val="Heading6"/>
        <w:spacing w:line="240" w:lineRule="auto" w:before="113"/>
        <w:ind w:left="153"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8"/>
        <w:ind w:left="153" w:right="7971"/>
        <w:jc w:val="left"/>
      </w:pPr>
      <w:r>
        <w:rPr/>
        <w:t>低值易耗品 摊销方法：一次摊销法 包装物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612" w:lineRule="exact" w:before="68"/>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）投资成本的确定</w:t>
      </w:r>
      <w:r>
        <w:rPr>
          <w:rFonts w:ascii="宋体" w:hAnsi="宋体" w:cs="宋体" w:eastAsia="宋体" w:hint="default"/>
          <w:b/>
          <w:bCs/>
          <w:spacing w:val="1"/>
          <w:w w:val="99"/>
        </w:rPr>
        <w:t> </w:t>
      </w:r>
      <w:r>
        <w:rPr>
          <w:spacing w:val="-2"/>
        </w:rPr>
        <w:t>对于企业合并形成的长期股权投资，如为同一控制下的企业合并取得的长期股权投资，在合并日按照取得被合并方所有</w:t>
      </w:r>
    </w:p>
    <w:p>
      <w:pPr>
        <w:pStyle w:val="BodyText"/>
        <w:spacing w:line="215" w:lineRule="exact"/>
        <w:ind w:right="0"/>
        <w:jc w:val="left"/>
      </w:pPr>
      <w:r>
        <w:rPr/>
        <w:t>者权益账面价值的份额作为初始投资成本。通过非同一控制下的企业合并取得的长期股权投资，企业合并成本包括购买方付</w:t>
      </w:r>
    </w:p>
    <w:p>
      <w:pPr>
        <w:pStyle w:val="BodyText"/>
        <w:spacing w:line="319" w:lineRule="auto" w:before="76"/>
        <w:ind w:right="150"/>
        <w:jc w:val="both"/>
      </w:pPr>
      <w:r>
        <w:rPr>
          <w:spacing w:val="-2"/>
        </w:rPr>
        <w:t>出的资产、发生或承担的负债、发行的权益性证券的公允价值之和；购买方为企业合并发生的审计、法律服务、评估咨询等</w:t>
      </w:r>
      <w:r>
        <w:rPr>
          <w:spacing w:val="-66"/>
        </w:rPr>
        <w:t> </w:t>
      </w:r>
      <w:r>
        <w:rPr>
          <w:spacing w:val="-66"/>
        </w:rPr>
      </w:r>
      <w:r>
        <w:rPr>
          <w:spacing w:val="-2"/>
        </w:rPr>
        <w:t>中介费用以及其他相关管理费用，应当于发生时计入当期损益；购买方作为合并对价发行的权益性证券或债务性证券的交易</w:t>
      </w:r>
      <w:r>
        <w:rPr>
          <w:spacing w:val="-64"/>
        </w:rPr>
        <w:t> </w:t>
      </w:r>
      <w:r>
        <w:rPr>
          <w:spacing w:val="-64"/>
        </w:rPr>
      </w:r>
      <w:r>
        <w:rPr/>
        <w:t>费用，应当计入权益性证券或债务性证券的初始确认金额。</w:t>
      </w:r>
    </w:p>
    <w:p>
      <w:pPr>
        <w:pStyle w:val="BodyText"/>
        <w:spacing w:line="319" w:lineRule="auto" w:before="55"/>
        <w:ind w:right="150" w:firstLine="180"/>
        <w:jc w:val="both"/>
      </w:pPr>
      <w:r>
        <w:rPr>
          <w:spacing w:val="-2"/>
        </w:rPr>
        <w:t>除企业合并形成的长期股权投资外的其他股权投资，按成本进行初始计量，该成本视长期股权投资取得方式的不同，分别</w:t>
      </w:r>
      <w:r>
        <w:rPr/>
        <w:t> </w:t>
      </w:r>
      <w:r>
        <w:rPr>
          <w:spacing w:val="-2"/>
        </w:rPr>
        <w:t>按照本集团实际支付的现金购买价款、本集团发行的权益性证券的公允价值、投资合同或协议约定的价值、非货币性资产交</w:t>
      </w:r>
      <w:r>
        <w:rPr>
          <w:spacing w:val="-66"/>
        </w:rPr>
        <w:t> </w:t>
      </w:r>
      <w:r>
        <w:rPr>
          <w:spacing w:val="-66"/>
        </w:rPr>
      </w:r>
      <w:r>
        <w:rPr>
          <w:spacing w:val="-2"/>
        </w:rPr>
        <w:t>换交易中换出资产的公允价值或原账面价值、该项长期股权投资自身的公允价值等方式确定。与取得长期股权投资直接相关</w:t>
      </w:r>
      <w:r>
        <w:rPr>
          <w:spacing w:val="-64"/>
        </w:rPr>
        <w:t> </w:t>
      </w:r>
      <w:r>
        <w:rPr>
          <w:spacing w:val="-64"/>
        </w:rPr>
      </w:r>
      <w:r>
        <w:rPr/>
        <w:t>的费用、税金及其他必要支出也计入投资成本。</w:t>
      </w:r>
    </w:p>
    <w:p>
      <w:pPr>
        <w:pStyle w:val="BodyText"/>
        <w:spacing w:line="612" w:lineRule="exact" w:before="37"/>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）后续计量及损益确认</w:t>
      </w:r>
      <w:r>
        <w:rPr>
          <w:rFonts w:ascii="宋体" w:hAnsi="宋体" w:cs="宋体" w:eastAsia="宋体" w:hint="default"/>
          <w:b/>
          <w:bCs/>
          <w:spacing w:val="1"/>
          <w:w w:val="99"/>
        </w:rPr>
        <w:t> </w:t>
      </w:r>
      <w:r>
        <w:rPr>
          <w:spacing w:val="-2"/>
        </w:rPr>
        <w:t>对被投资单位不具有共同控制或重大影响并且在活跃市场中没有报价、公允价值不能可靠计量的长期股权投资，采用成</w:t>
      </w:r>
    </w:p>
    <w:p>
      <w:pPr>
        <w:pStyle w:val="BodyText"/>
        <w:spacing w:line="215" w:lineRule="exact"/>
        <w:ind w:right="0"/>
        <w:jc w:val="left"/>
      </w:pPr>
      <w:r>
        <w:rPr/>
        <w:t>本法核算；对被投资单位具有共同控制或重大影响的长期股权投资，采用权益法核算；对被投资单位不具有控制、共同控制</w:t>
      </w:r>
    </w:p>
    <w:p>
      <w:pPr>
        <w:pStyle w:val="BodyText"/>
        <w:spacing w:line="319" w:lineRule="auto" w:before="76"/>
        <w:ind w:right="0"/>
        <w:jc w:val="left"/>
      </w:pPr>
      <w:r>
        <w:rPr>
          <w:spacing w:val="-2"/>
        </w:rPr>
        <w:t>或重大影响并且公允价值能够可靠计量的长期股权投资，作为可供出售金融资产或以公允价值计量且其变动计入当期损益的</w:t>
      </w:r>
      <w:r>
        <w:rPr>
          <w:spacing w:val="-64"/>
        </w:rPr>
        <w:t> </w:t>
      </w:r>
      <w:r>
        <w:rPr>
          <w:spacing w:val="-64"/>
        </w:rPr>
      </w:r>
      <w:r>
        <w:rPr/>
        <w:t>金融资产核算。</w:t>
      </w:r>
    </w:p>
    <w:p>
      <w:pPr>
        <w:pStyle w:val="BodyText"/>
        <w:spacing w:line="240" w:lineRule="auto" w:before="58"/>
        <w:ind w:left="514" w:right="0"/>
        <w:jc w:val="left"/>
      </w:pPr>
      <w:r>
        <w:rPr/>
        <w:t>此外，公司财务报表采用成本法核算能够对被投资单位实施控制的长期股权投资。</w:t>
      </w:r>
    </w:p>
    <w:p>
      <w:pPr>
        <w:pStyle w:val="BodyText"/>
        <w:spacing w:line="357" w:lineRule="auto" w:before="116"/>
        <w:ind w:left="514" w:right="0"/>
        <w:jc w:val="left"/>
      </w:pPr>
      <w:r>
        <w:rPr/>
        <w:t>① 成本法核算的长期股权投资 </w:t>
      </w:r>
      <w:r>
        <w:rPr>
          <w:spacing w:val="-2"/>
        </w:rPr>
        <w:t>采用成本法核算时，长期股权投资按初始投资成本计价，除取得投资时实际支付的价款或者对价中包含的已宣告但尚未</w:t>
      </w:r>
    </w:p>
    <w:p>
      <w:pPr>
        <w:pStyle w:val="BodyText"/>
        <w:spacing w:line="225" w:lineRule="exact"/>
        <w:ind w:right="0"/>
        <w:jc w:val="left"/>
      </w:pPr>
      <w:r>
        <w:rPr/>
        <w:t>发放的现金股利或者利润外，当期投资收益按照享有被投资单位宣告发放的现金股利或利润确认。</w:t>
      </w:r>
    </w:p>
    <w:p>
      <w:pPr>
        <w:pStyle w:val="BodyText"/>
        <w:spacing w:line="357" w:lineRule="auto" w:before="117"/>
        <w:ind w:left="514" w:right="0"/>
        <w:jc w:val="left"/>
      </w:pPr>
      <w:r>
        <w:rPr/>
        <w:t>② 权益法核算的长期股权投资 </w:t>
      </w:r>
      <w:r>
        <w:rPr>
          <w:spacing w:val="-2"/>
        </w:rPr>
        <w:t>采用权益法核算时，长期股权投资的初始投资成本大于投资时应享有被投资单位可辨认净资产公允价值份额的，不调整</w:t>
      </w:r>
    </w:p>
    <w:p>
      <w:pPr>
        <w:pStyle w:val="BodyText"/>
        <w:spacing w:line="224" w:lineRule="exact"/>
        <w:ind w:right="0"/>
        <w:jc w:val="left"/>
      </w:pPr>
      <w:r>
        <w:rPr/>
        <w:t>长期股权投资的初始投资成本；初始投资成本小于投资时应享有被投资单位可辨认净资产公允价值份额的，其差额计入当期</w:t>
      </w:r>
    </w:p>
    <w:p>
      <w:pPr>
        <w:spacing w:after="0" w:line="224" w:lineRule="exact"/>
        <w:jc w:val="left"/>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3" w:right="181" w:hanging="360"/>
        <w:jc w:val="left"/>
      </w:pPr>
      <w:r>
        <w:rPr/>
        <w:t>损益，同时调整长期股权投资的成本。 </w:t>
      </w:r>
      <w:r>
        <w:rPr>
          <w:spacing w:val="-2"/>
        </w:rPr>
        <w:t>采用权益法核算时，当期投资损益为应享有或应分担的被投资单位当年实现的净损益的份额。在确认应享有被投资单位</w:t>
      </w:r>
    </w:p>
    <w:p>
      <w:pPr>
        <w:pStyle w:val="BodyText"/>
        <w:spacing w:line="224" w:lineRule="exact"/>
        <w:ind w:left="153" w:right="0"/>
        <w:jc w:val="left"/>
      </w:pPr>
      <w:r>
        <w:rPr/>
        <w:t>净损益的份额时，以取得投资时被投资单位各项可辨认资产等的公允价值为基础，并按照本集团的会计政策及会计期间，对</w:t>
      </w:r>
    </w:p>
    <w:p>
      <w:pPr>
        <w:pStyle w:val="BodyText"/>
        <w:spacing w:line="312" w:lineRule="auto" w:before="76"/>
        <w:ind w:left="153" w:right="189"/>
        <w:jc w:val="both"/>
      </w:pPr>
      <w:r>
        <w:rPr>
          <w:spacing w:val="-2"/>
        </w:rPr>
        <w:t>被投资单位的净利润进行调整后确认。对于本集团与联营企业及合营之间发生的未实现内部交易损益，按照持股比例计算属</w:t>
      </w:r>
      <w:r>
        <w:rPr>
          <w:spacing w:val="-64"/>
        </w:rPr>
        <w:t> </w:t>
      </w:r>
      <w:r>
        <w:rPr>
          <w:spacing w:val="-64"/>
        </w:rPr>
      </w:r>
      <w:r>
        <w:rPr>
          <w:spacing w:val="-2"/>
        </w:rPr>
        <w:t>于本集团的部分予以抵销，在此基础上确认投资损益。但本集团与被投资单位发生的未实现内部交易损失，按照《企业会计</w:t>
      </w:r>
      <w:r>
        <w:rPr>
          <w:spacing w:val="-66"/>
        </w:rPr>
        <w:t> </w:t>
      </w:r>
      <w:r>
        <w:rPr>
          <w:spacing w:val="-66"/>
        </w:rPr>
      </w:r>
      <w:r>
        <w:rPr/>
        <w:t>准则第</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资产减值》等规定属于所转让资产减值损失的，不予以抵销。对被投资单位的其他综合收益，相应调整长期</w:t>
      </w:r>
      <w:r>
        <w:rPr>
          <w:spacing w:val="-88"/>
        </w:rPr>
        <w:t> </w:t>
      </w:r>
      <w:r>
        <w:rPr>
          <w:spacing w:val="-88"/>
        </w:rPr>
      </w:r>
      <w:r>
        <w:rPr/>
        <w:t>股权投资的账面价值确认为其他综合收益并计入资本公积。</w:t>
      </w:r>
    </w:p>
    <w:p>
      <w:pPr>
        <w:pStyle w:val="BodyText"/>
        <w:spacing w:line="319" w:lineRule="auto" w:before="62"/>
        <w:ind w:right="189"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6"/>
        </w:rPr>
        <w:t> </w:t>
      </w:r>
      <w:r>
        <w:rPr>
          <w:spacing w:val="-66"/>
        </w:rPr>
      </w:r>
      <w:r>
        <w:rPr/>
        <w:t>资损失。被投资单位以后期间实现净利润的，本集团在收益分享额弥补未确认的亏损分担额后，恢复确认收益分享额。</w:t>
      </w:r>
    </w:p>
    <w:p>
      <w:pPr>
        <w:pStyle w:val="BodyText"/>
        <w:spacing w:line="302" w:lineRule="auto" w:before="55"/>
        <w:ind w:right="199" w:firstLine="359"/>
        <w:jc w:val="both"/>
      </w:pPr>
      <w:r>
        <w:rPr/>
        <w:t>对于本集团</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日首次执行新会计准则之前已经持有的对联营企业和合营企业的长期股权投资，如存在与该 投资相关的股权投资借方差额，按原剩余期限直线摊销的金额计入当期损益。</w:t>
      </w:r>
    </w:p>
    <w:p>
      <w:pPr>
        <w:pStyle w:val="BodyText"/>
        <w:spacing w:line="357" w:lineRule="auto" w:before="69"/>
        <w:ind w:left="514" w:right="181"/>
        <w:jc w:val="left"/>
      </w:pPr>
      <w:r>
        <w:rPr/>
        <w:t>③ 收购少数股权 </w:t>
      </w:r>
      <w:r>
        <w:rPr>
          <w:spacing w:val="-2"/>
        </w:rPr>
        <w:t>在编制合并财务报表时，因购买少数股权新增的长期股权投资与按照新增持股比例计算应享有子公司自购买日（或合并</w:t>
      </w:r>
    </w:p>
    <w:p>
      <w:pPr>
        <w:pStyle w:val="BodyText"/>
        <w:spacing w:line="225" w:lineRule="exact"/>
        <w:ind w:right="181"/>
        <w:jc w:val="left"/>
      </w:pPr>
      <w:r>
        <w:rPr/>
        <w:t>日）开始持续计算的净资产份额之间的差额，调整资本公积，资本公积不足冲减的，调整留存收益。</w:t>
      </w:r>
    </w:p>
    <w:p>
      <w:pPr>
        <w:pStyle w:val="BodyText"/>
        <w:spacing w:line="357" w:lineRule="auto" w:before="116"/>
        <w:ind w:left="514" w:right="181"/>
        <w:jc w:val="left"/>
      </w:pPr>
      <w:r>
        <w:rPr/>
        <w:t>④ 处置长期股权投资 </w:t>
      </w:r>
      <w:r>
        <w:rPr>
          <w:spacing w:val="-2"/>
        </w:rPr>
        <w:t>在合并财务报表中，母公司在不丧失控制权的情况下部分处置对子公司的长期股权投资，处置价款与处置长期股权投资</w:t>
      </w:r>
    </w:p>
    <w:p>
      <w:pPr>
        <w:pStyle w:val="BodyText"/>
        <w:spacing w:line="357" w:lineRule="auto"/>
        <w:ind w:left="514" w:right="181" w:hanging="360"/>
        <w:jc w:val="left"/>
      </w:pPr>
      <w:r>
        <w:rPr/>
        <w:t>相对应享有子公司净资产的差额计入所有者权益。 </w:t>
      </w:r>
      <w:r>
        <w:rPr>
          <w:spacing w:val="-2"/>
        </w:rPr>
        <w:t>其他情形下的长期股权投资处置，对于处置的股权，其账面价值与实际取得价款的差额，计入当期损益；采用权益法核</w:t>
      </w:r>
    </w:p>
    <w:p>
      <w:pPr>
        <w:pStyle w:val="BodyText"/>
        <w:spacing w:line="224" w:lineRule="exact"/>
        <w:ind w:right="0"/>
        <w:jc w:val="left"/>
      </w:pPr>
      <w:r>
        <w:rPr/>
        <w:t>算的长期股权投资，在处置时将原计入所有者权益的其他综合收益部分按相应的比例转入当期损益。对于剩余股权，按其账</w:t>
      </w:r>
    </w:p>
    <w:p>
      <w:pPr>
        <w:pStyle w:val="BodyText"/>
        <w:spacing w:line="319" w:lineRule="auto" w:before="76"/>
        <w:ind w:right="181"/>
        <w:jc w:val="left"/>
      </w:pPr>
      <w:r>
        <w:rPr>
          <w:spacing w:val="-2"/>
        </w:rPr>
        <w:t>面价值确认为长期股权投资或其他相关金融资产，并按前述长期股权投资或金融资产的会计政策进行后续计量。涉及对剩余</w:t>
      </w:r>
      <w:r>
        <w:rPr>
          <w:spacing w:val="-64"/>
        </w:rPr>
        <w:t> </w:t>
      </w:r>
      <w:r>
        <w:rPr>
          <w:spacing w:val="-64"/>
        </w:rPr>
      </w:r>
      <w:r>
        <w:rPr/>
        <w:t>股权由成本法转为权益法核算的，按相关规定进行追溯调整。</w:t>
      </w:r>
    </w:p>
    <w:p>
      <w:pPr>
        <w:spacing w:line="614" w:lineRule="exact" w:before="35"/>
        <w:ind w:left="514" w:right="181"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控制是指有权决定一个企业的财务和经营政策，并能据以从该企业的经营活动中获取利益。共同控制是指按照合同约定</w:t>
      </w:r>
    </w:p>
    <w:p>
      <w:pPr>
        <w:pStyle w:val="BodyText"/>
        <w:spacing w:line="214" w:lineRule="exact"/>
        <w:ind w:right="0"/>
        <w:jc w:val="left"/>
      </w:pPr>
      <w:r>
        <w:rPr/>
        <w:t>对某项经济活动所共有的控制，仅在与该项经济活动相关的重要财务和经营决策需要分享控制权的投资方一致同意时存在。</w:t>
      </w:r>
    </w:p>
    <w:p>
      <w:pPr>
        <w:pStyle w:val="BodyText"/>
        <w:spacing w:line="319" w:lineRule="auto" w:before="76"/>
        <w:ind w:right="90"/>
        <w:jc w:val="left"/>
      </w:pPr>
      <w:r>
        <w:rPr/>
        <w:t>重大影响是指对一个企业的财务和经营政策有参与决策的权力，但并不能够控制或者与其他方一起共同控制这些政策的制 定。在确定能否对被投资单位实施控制或施加重大影响时，已考虑投资企业和其他持有的被投资单位当期可转换公司债券、 当期可执行认股权证等潜在表决权因素。</w:t>
      </w:r>
    </w:p>
    <w:p>
      <w:pPr>
        <w:spacing w:line="614" w:lineRule="exact" w:before="35"/>
        <w:ind w:left="574" w:right="21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）减值测试方法及减值准备计提方法</w:t>
      </w:r>
      <w:r>
        <w:rPr>
          <w:rFonts w:ascii="宋体" w:hAnsi="宋体" w:cs="宋体" w:eastAsia="宋体" w:hint="default"/>
          <w:b/>
          <w:bCs/>
          <w:spacing w:val="1"/>
          <w:w w:val="99"/>
          <w:sz w:val="18"/>
          <w:szCs w:val="18"/>
        </w:rPr>
        <w:t> </w:t>
      </w:r>
      <w:r>
        <w:rPr>
          <w:rFonts w:ascii="宋体" w:hAnsi="宋体" w:cs="宋体" w:eastAsia="宋体" w:hint="default"/>
          <w:sz w:val="18"/>
          <w:szCs w:val="18"/>
        </w:rPr>
        <w:t>本集团在每一个资产负债表日检查长期股权投资是否存在可能发生减值的迹象。如果该资产存在减值迹象，则估计其</w:t>
      </w:r>
    </w:p>
    <w:p>
      <w:pPr>
        <w:pStyle w:val="BodyText"/>
        <w:spacing w:line="216" w:lineRule="exact"/>
        <w:ind w:right="181"/>
        <w:jc w:val="left"/>
      </w:pPr>
      <w:r>
        <w:rPr/>
        <w:t>可收回金额。如果资产的可收回金额低于其账面价值，按其差额计提资产减值准备，并计入当期损益。</w:t>
      </w:r>
    </w:p>
    <w:p>
      <w:pPr>
        <w:pStyle w:val="BodyText"/>
        <w:spacing w:line="240" w:lineRule="auto" w:before="116"/>
        <w:ind w:left="574" w:right="181"/>
        <w:jc w:val="left"/>
      </w:pPr>
      <w:r>
        <w:rPr/>
        <w:t>长期股权投资的减值损失一经确认，在以后会计期间不予转回。</w:t>
      </w:r>
    </w:p>
    <w:p>
      <w:pPr>
        <w:spacing w:line="240" w:lineRule="auto" w:before="10"/>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228" w:firstLine="419"/>
        <w:jc w:val="both"/>
      </w:pPr>
      <w:r>
        <w:rPr/>
        <w:t>投资性房地产是指为赚取租金或资本增值，或两者兼有而持有的房地产。包括已出租的土地使用权、持有并准备增值 后转让的土地使用权、已出租的建筑物等。</w:t>
      </w:r>
    </w:p>
    <w:p>
      <w:pPr>
        <w:pStyle w:val="BodyText"/>
        <w:spacing w:line="319" w:lineRule="auto" w:before="55"/>
        <w:ind w:right="228" w:firstLine="419"/>
        <w:jc w:val="both"/>
      </w:pPr>
      <w:r>
        <w:rPr/>
        <w:t>投资性房地产按成本进行初始计量。与投资性房地产有关的后续支出，如果与该资产有关的经济利益很可能流入且其 成本能可靠地计量，则计入投资性房地产成本。其他后续支出，在发生时计入当期损益。</w:t>
      </w:r>
    </w:p>
    <w:p>
      <w:pPr>
        <w:spacing w:after="0" w:line="319" w:lineRule="auto"/>
        <w:jc w:val="both"/>
        <w:sectPr>
          <w:pgSz w:w="11910" w:h="16840"/>
          <w:pgMar w:header="0" w:footer="982" w:top="1060" w:bottom="1180" w:left="980" w:right="940"/>
        </w:sectPr>
      </w:pPr>
    </w:p>
    <w:p>
      <w:pPr>
        <w:spacing w:line="240" w:lineRule="auto" w:before="13"/>
        <w:rPr>
          <w:rFonts w:ascii="宋体" w:hAnsi="宋体" w:cs="宋体" w:eastAsia="宋体" w:hint="default"/>
          <w:sz w:val="25"/>
          <w:szCs w:val="25"/>
        </w:rPr>
      </w:pPr>
    </w:p>
    <w:p>
      <w:pPr>
        <w:pStyle w:val="BodyText"/>
        <w:spacing w:line="348" w:lineRule="auto" w:before="44"/>
        <w:ind w:left="574" w:right="370"/>
        <w:jc w:val="left"/>
      </w:pPr>
      <w:r>
        <w:rPr/>
        <w:t>本集团采用成本模式对投资性房地产进行后续计量，并按照与房屋建筑物或土地使用权一致的政策进行折旧或摊销。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非流动非金融资产减值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w:t>
      </w:r>
    </w:p>
    <w:p>
      <w:pPr>
        <w:pStyle w:val="BodyText"/>
        <w:spacing w:line="232" w:lineRule="exact"/>
        <w:ind w:right="370"/>
        <w:jc w:val="left"/>
      </w:pPr>
      <w:r>
        <w:rPr/>
        <w:t>价值。</w:t>
      </w:r>
    </w:p>
    <w:p>
      <w:pPr>
        <w:pStyle w:val="BodyText"/>
        <w:spacing w:line="319" w:lineRule="auto" w:before="115"/>
        <w:ind w:right="349" w:firstLine="419"/>
        <w:jc w:val="both"/>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t>本模式计量的投资性房地产的，以转换前的账面价值作为转换后的入账价值。</w:t>
      </w:r>
    </w:p>
    <w:p>
      <w:pPr>
        <w:pStyle w:val="BodyText"/>
        <w:spacing w:line="319" w:lineRule="auto" w:before="55"/>
        <w:ind w:right="346" w:firstLine="419"/>
        <w:jc w:val="both"/>
      </w:pPr>
      <w:r>
        <w:rPr/>
        <w:t>当投资性房地产被处置、或者永久退出使用且预计不能从其处置中取得经济利益时，终止确认该项投资性房地产。投</w:t>
      </w:r>
      <w:r>
        <w:rPr>
          <w:spacing w:val="1"/>
        </w:rPr>
        <w:t> </w:t>
      </w:r>
      <w:r>
        <w:rPr/>
        <w:t>资性房地产出售、转让、报废或毁损的处置收入扣除其账面价值和相关税费后计入当期损益。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37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7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370"/>
        <w:jc w:val="left"/>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3"/>
        <w:spacing w:line="240" w:lineRule="auto"/>
        <w:ind w:right="370"/>
        <w:jc w:val="left"/>
        <w:rPr>
          <w:b w:val="0"/>
          <w:bCs w:val="0"/>
        </w:rPr>
      </w:pPr>
      <w:r>
        <w:rPr/>
        <w:t>（</w:t>
      </w:r>
      <w:r>
        <w:rPr>
          <w:rFonts w:ascii="Times New Roman" w:hAnsi="Times New Roman" w:cs="Times New Roman" w:eastAsia="Times New Roman" w:hint="default"/>
        </w:rPr>
        <w:t>2</w:t>
      </w:r>
      <w:r>
        <w:rPr/>
        <w:t>）</w:t>
      </w:r>
      <w:r>
        <w:rPr>
          <w:spacing w:val="-6"/>
        </w:rPr>
        <w:t> </w:t>
      </w:r>
      <w:r>
        <w:rPr/>
        <w:t>各类固定资产的折旧方法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388" w:firstLine="419"/>
        <w:jc w:val="both"/>
      </w:pPr>
      <w:r>
        <w:rPr/>
        <w:t>固定资产按成本并考虑预计弃置费用因素的影响进行初始计量。固定资产从达到预定可使用状态的次月起，采用年限 平均法在使用寿命内计提折旧。各类固定资产的使用寿命、预计净残值和年折旧率如下：</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582"/>
        <w:gridCol w:w="2274"/>
        <w:gridCol w:w="2132"/>
        <w:gridCol w:w="1859"/>
      </w:tblGrid>
      <w:tr>
        <w:trPr>
          <w:trHeight w:val="435" w:hRule="exact"/>
        </w:trPr>
        <w:tc>
          <w:tcPr>
            <w:tcW w:w="3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09"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3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20-40</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2.25-4.75</w:t>
            </w:r>
          </w:p>
        </w:tc>
      </w:tr>
      <w:tr>
        <w:trPr>
          <w:trHeight w:val="432" w:hRule="exact"/>
        </w:trPr>
        <w:tc>
          <w:tcPr>
            <w:tcW w:w="3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8-20</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4.5-11.88</w:t>
            </w:r>
          </w:p>
        </w:tc>
      </w:tr>
      <w:tr>
        <w:trPr>
          <w:trHeight w:val="432" w:hRule="exact"/>
        </w:trPr>
        <w:tc>
          <w:tcPr>
            <w:tcW w:w="3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11.25-19.00</w:t>
            </w:r>
          </w:p>
        </w:tc>
      </w:tr>
      <w:tr>
        <w:trPr>
          <w:trHeight w:val="432" w:hRule="exact"/>
        </w:trPr>
        <w:tc>
          <w:tcPr>
            <w:tcW w:w="3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21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18.00-19.00</w:t>
            </w:r>
          </w:p>
        </w:tc>
      </w:tr>
    </w:tbl>
    <w:p>
      <w:pPr>
        <w:pStyle w:val="BodyText"/>
        <w:spacing w:line="316" w:lineRule="auto" w:before="51"/>
        <w:ind w:right="371" w:firstLine="419"/>
        <w:jc w:val="left"/>
      </w:pPr>
      <w:r>
        <w:rPr/>
        <w:t>预计净残值是指假定固定资产预计使用寿命已满并处于使用寿命终了时的预期状态，本集团目前从该项资产处置中获 得的扣除预计处置费用后的金额。</w:t>
      </w:r>
    </w:p>
    <w:p>
      <w:pPr>
        <w:spacing w:line="240" w:lineRule="auto" w:before="6"/>
        <w:rPr>
          <w:rFonts w:ascii="宋体" w:hAnsi="宋体" w:cs="宋体" w:eastAsia="宋体" w:hint="default"/>
          <w:sz w:val="22"/>
          <w:szCs w:val="22"/>
        </w:rPr>
      </w:pPr>
    </w:p>
    <w:p>
      <w:pPr>
        <w:pStyle w:val="Heading3"/>
        <w:spacing w:line="240" w:lineRule="auto"/>
        <w:ind w:right="370"/>
        <w:jc w:val="left"/>
        <w:rPr>
          <w:b w:val="0"/>
          <w:bCs w:val="0"/>
        </w:rPr>
      </w:pPr>
      <w:r>
        <w:rPr/>
        <w:t>（</w:t>
      </w: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370"/>
        <w:jc w:val="left"/>
      </w:pPr>
      <w:r>
        <w:rPr/>
        <w:t>固定资产的减值测试方法和减值准备计提方法详见附注四、</w:t>
      </w:r>
      <w:r>
        <w:rPr>
          <w:rFonts w:ascii="Times New Roman" w:hAnsi="Times New Roman" w:cs="Times New Roman" w:eastAsia="Times New Roman" w:hint="default"/>
        </w:rPr>
        <w:t>20“</w:t>
      </w:r>
      <w:r>
        <w:rPr/>
        <w:t>非流动非金融资产减值</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5"/>
          <w:szCs w:val="25"/>
        </w:rPr>
      </w:pPr>
    </w:p>
    <w:p>
      <w:pPr>
        <w:pStyle w:val="Heading3"/>
        <w:spacing w:line="240" w:lineRule="auto"/>
        <w:ind w:right="37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371" w:firstLine="419"/>
        <w:jc w:val="left"/>
      </w:pPr>
      <w:r>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BodyText"/>
        <w:spacing w:line="357" w:lineRule="auto" w:before="56"/>
        <w:ind w:left="573" w:right="371"/>
        <w:jc w:val="left"/>
      </w:pPr>
      <w:r>
        <w:rPr/>
        <w:t>固定资产出售、转让、报废或毁损的处置收入扣除其账面价值和相关税费后的差额计入当期损益。 本集团至少于年度终了对固定资产的使用寿命、预计净残值和折旧方法进行复核，如发生改变则作为会计估计变更处</w:t>
      </w:r>
    </w:p>
    <w:p>
      <w:pPr>
        <w:pStyle w:val="BodyText"/>
        <w:spacing w:line="225" w:lineRule="exact"/>
        <w:ind w:right="370"/>
        <w:jc w:val="left"/>
      </w:pPr>
      <w:r>
        <w:rPr/>
        <w:t>理。</w:t>
      </w:r>
    </w:p>
    <w:p>
      <w:pPr>
        <w:spacing w:after="0" w:line="225" w:lineRule="exact"/>
        <w:jc w:val="left"/>
        <w:sectPr>
          <w:pgSz w:w="11910" w:h="16840"/>
          <w:pgMar w:header="0" w:footer="982" w:top="1060" w:bottom="1180" w:left="980" w:right="7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、在建工程</w:t>
      </w:r>
      <w:r>
        <w:rPr>
          <w:b w:val="0"/>
          <w:bCs w:val="0"/>
        </w:rPr>
      </w:r>
    </w:p>
    <w:p>
      <w:pPr>
        <w:pStyle w:val="BodyText"/>
        <w:spacing w:line="600" w:lineRule="atLeast"/>
        <w:ind w:left="514" w:right="0"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spacing w:val="1"/>
          <w:w w:val="99"/>
        </w:rPr>
        <w:t> </w:t>
      </w:r>
      <w:r>
        <w:rPr>
          <w:spacing w:val="-2"/>
        </w:rPr>
        <w:t>在建工程成本按实际工程支出确定，包括在建期间发生的各项工程支出、工程达到预定可使用状态前的资本化的借款费</w:t>
      </w:r>
    </w:p>
    <w:p>
      <w:pPr>
        <w:pStyle w:val="BodyText"/>
        <w:spacing w:line="240" w:lineRule="auto" w:before="77"/>
        <w:ind w:right="0"/>
        <w:jc w:val="left"/>
      </w:pPr>
      <w:r>
        <w:rPr/>
        <w:t>用以及其他相关费用等。</w:t>
      </w:r>
    </w:p>
    <w:p>
      <w:pPr>
        <w:spacing w:line="240" w:lineRule="auto" w:before="0"/>
        <w:rPr>
          <w:rFonts w:ascii="宋体" w:hAnsi="宋体" w:cs="宋体" w:eastAsia="宋体" w:hint="default"/>
          <w:sz w:val="18"/>
          <w:szCs w:val="18"/>
        </w:rPr>
      </w:pPr>
    </w:p>
    <w:p>
      <w:pPr>
        <w:spacing w:line="592" w:lineRule="auto" w:before="139"/>
        <w:ind w:left="693" w:right="5091" w:hanging="54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z w:val="18"/>
          <w:szCs w:val="18"/>
        </w:rPr>
        <w:t>在建工程在达到预定可使用状态后结转为固定资产。</w:t>
      </w:r>
    </w:p>
    <w:p>
      <w:pPr>
        <w:spacing w:line="590" w:lineRule="auto" w:before="112"/>
        <w:ind w:left="454" w:right="2470" w:hanging="30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）在建工程的减值测试方法、减值准备计提方法</w:t>
      </w:r>
      <w:r>
        <w:rPr>
          <w:rFonts w:ascii="宋体" w:hAnsi="宋体" w:cs="宋体" w:eastAsia="宋体" w:hint="default"/>
          <w:b/>
          <w:bCs/>
          <w:w w:val="99"/>
          <w:sz w:val="18"/>
          <w:szCs w:val="18"/>
        </w:rPr>
        <w:t> </w:t>
      </w:r>
      <w:r>
        <w:rPr>
          <w:rFonts w:ascii="宋体" w:hAnsi="宋体" w:cs="宋体" w:eastAsia="宋体" w:hint="default"/>
          <w:sz w:val="18"/>
          <w:szCs w:val="18"/>
        </w:rPr>
        <w:t>在建工程的减值测试方法和减值准备计提方法详见附注四、</w:t>
      </w:r>
      <w:r>
        <w:rPr>
          <w:rFonts w:ascii="Times New Roman" w:hAnsi="Times New Roman" w:cs="Times New Roman" w:eastAsia="Times New Roman" w:hint="default"/>
          <w:sz w:val="18"/>
          <w:szCs w:val="18"/>
        </w:rPr>
        <w:t>20“</w:t>
      </w:r>
      <w:r>
        <w:rPr>
          <w:rFonts w:ascii="宋体" w:hAnsi="宋体" w:cs="宋体" w:eastAsia="宋体" w:hint="default"/>
          <w:sz w:val="18"/>
          <w:szCs w:val="18"/>
        </w:rPr>
        <w:t>非流动非金融资产减值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Heading3"/>
        <w:spacing w:line="240" w:lineRule="auto" w:before="46"/>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612" w:lineRule="exact" w:before="68"/>
        <w:ind w:left="574" w:right="17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spacing w:val="1"/>
          <w:w w:val="99"/>
          <w:sz w:val="18"/>
          <w:szCs w:val="18"/>
        </w:rPr>
        <w:t> </w:t>
      </w:r>
      <w:r>
        <w:rPr>
          <w:rFonts w:ascii="宋体" w:hAnsi="宋体" w:cs="宋体" w:eastAsia="宋体" w:hint="default"/>
          <w:sz w:val="18"/>
          <w:szCs w:val="18"/>
        </w:rPr>
        <w:t>借款费用包括借款利息、折价或溢价的摊销、辅助费用以及因外币借款而发生的汇兑差额等。可直接归属于符合资本</w:t>
      </w:r>
    </w:p>
    <w:p>
      <w:pPr>
        <w:pStyle w:val="BodyText"/>
        <w:spacing w:line="215" w:lineRule="exact"/>
        <w:ind w:right="0"/>
        <w:jc w:val="left"/>
      </w:pPr>
      <w:r>
        <w:rPr/>
        <w:t>化条件的资产的购建或者生产的借款费用，在资产支出已经发生、借款费用已经发生、为使资产达到预定可使用或可销售状</w:t>
      </w:r>
    </w:p>
    <w:p>
      <w:pPr>
        <w:pStyle w:val="BodyText"/>
        <w:spacing w:line="319" w:lineRule="auto" w:before="76"/>
        <w:ind w:right="0"/>
        <w:jc w:val="left"/>
      </w:pP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9" w:lineRule="auto" w:before="56"/>
        <w:ind w:right="171" w:firstLine="419"/>
        <w:jc w:val="left"/>
      </w:pPr>
      <w:r>
        <w:rPr/>
        <w:t>符合资本化条件的资产指需要经过相当长时间的购建或者生产活动才能达到预定可使用或可销售状态的固定资产、投 资性房地产和存货等资产。</w:t>
      </w:r>
    </w:p>
    <w:p>
      <w:pPr>
        <w:pStyle w:val="BodyText"/>
        <w:spacing w:line="614" w:lineRule="exact" w:before="35"/>
        <w:ind w:left="444" w:right="0" w:hanging="29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spacing w:val="1"/>
          <w:w w:val="99"/>
        </w:rPr>
        <w:t> </w:t>
      </w:r>
      <w:r>
        <w:rPr>
          <w:spacing w:val="-1"/>
        </w:rPr>
        <w:t>可直接归属于符合资本化条件的资产的购建或者生产的借款费用，在资产支出已经发生、借款费用已经发生、为使资产</w:t>
      </w:r>
    </w:p>
    <w:p>
      <w:pPr>
        <w:pStyle w:val="BodyText"/>
        <w:spacing w:line="214" w:lineRule="exact"/>
        <w:ind w:right="0"/>
        <w:jc w:val="left"/>
      </w:pPr>
      <w:r>
        <w:rPr/>
        <w:t>达到预定可使用或可销售状态所必要的购建或生产活动已经开始时，开始资本化；构建或者生产的符合资本化条件的资产达</w:t>
      </w:r>
    </w:p>
    <w:p>
      <w:pPr>
        <w:pStyle w:val="BodyText"/>
        <w:spacing w:line="240" w:lineRule="auto" w:before="76"/>
        <w:ind w:right="0"/>
        <w:jc w:val="left"/>
      </w:pPr>
      <w:r>
        <w:rPr/>
        <w:t>到预定可使用状态或者可销售状态时，停止资本化。</w:t>
      </w:r>
    </w:p>
    <w:p>
      <w:pPr>
        <w:pStyle w:val="BodyText"/>
        <w:spacing w:line="610" w:lineRule="atLeast" w:before="17"/>
        <w:ind w:left="574" w:right="0" w:hanging="42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w:t>
      </w:r>
    </w:p>
    <w:p>
      <w:pPr>
        <w:pStyle w:val="BodyText"/>
        <w:spacing w:line="240" w:lineRule="auto" w:before="64"/>
        <w:ind w:right="0"/>
        <w:jc w:val="left"/>
      </w:pPr>
      <w:r>
        <w:rPr/>
        <w:t>本化，直至资产的购建或生产活动重新开始。</w:t>
      </w:r>
    </w:p>
    <w:p>
      <w:pPr>
        <w:spacing w:line="600" w:lineRule="atLeast" w:before="24"/>
        <w:ind w:left="573" w:right="171"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专门借款当期实际发生的利息费用，减去尚未动用的借款资金存入银行取得的利息收入或进行暂时性投资取得的投资</w:t>
      </w:r>
    </w:p>
    <w:p>
      <w:pPr>
        <w:pStyle w:val="BodyText"/>
        <w:spacing w:line="319" w:lineRule="auto" w:before="76"/>
        <w:ind w:right="0"/>
        <w:jc w:val="left"/>
      </w:pP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240" w:lineRule="auto" w:before="56"/>
        <w:ind w:left="573" w:right="0"/>
        <w:jc w:val="left"/>
      </w:pPr>
      <w:r>
        <w:rPr/>
        <w:t>资本化期间内，外币专门借款的汇兑差额全部予以资本化；外币一般借款的汇兑差额计入当期损益。</w:t>
      </w:r>
    </w:p>
    <w:p>
      <w:pPr>
        <w:spacing w:after="0" w:line="240" w:lineRule="auto"/>
        <w:jc w:val="left"/>
        <w:sectPr>
          <w:pgSz w:w="11910" w:h="16840"/>
          <w:pgMar w:header="0"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49" w:firstLine="480"/>
        <w:jc w:val="both"/>
      </w:pPr>
      <w:r>
        <w:rPr>
          <w:spacing w:val="-1"/>
        </w:rPr>
        <w:t>消耗性生物资产是指为出售而持有的、或在将来收获为农产品的生物资产，包括生长中的用材林等。消耗性生物资产</w:t>
      </w:r>
      <w:r>
        <w:rPr/>
        <w:t> </w:t>
      </w:r>
      <w:r>
        <w:rPr>
          <w:spacing w:val="-2"/>
        </w:rPr>
        <w:t>在形成蓄积量以前按照成本进行初始计量，形成蓄积量以后按公允价值计量，公允价值变动进入当期损益。自行栽培、营造</w:t>
      </w:r>
      <w:r>
        <w:rPr>
          <w:spacing w:val="-66"/>
        </w:rPr>
        <w:t> </w:t>
      </w:r>
      <w:r>
        <w:rPr>
          <w:spacing w:val="-66"/>
        </w:rPr>
      </w:r>
      <w:r>
        <w:rPr>
          <w:spacing w:val="-2"/>
        </w:rPr>
        <w:t>的消耗性生物资产的成本，为该资产在郁闭前发生的可直接归属于该资产的必要支出，包括符合资本化条件的借款费用。消</w:t>
      </w:r>
      <w:r>
        <w:rPr>
          <w:spacing w:val="-66"/>
        </w:rPr>
        <w:t> </w:t>
      </w:r>
      <w:r>
        <w:rPr>
          <w:spacing w:val="-66"/>
        </w:rPr>
      </w:r>
      <w:r>
        <w:rPr/>
        <w:t>耗性生物资产在郁闭后发生的管护等后续支出，计入当期损益。</w:t>
      </w:r>
    </w:p>
    <w:p>
      <w:pPr>
        <w:pStyle w:val="BodyText"/>
        <w:spacing w:line="240" w:lineRule="auto" w:before="56"/>
        <w:ind w:left="634" w:right="0"/>
        <w:jc w:val="left"/>
      </w:pPr>
      <w:r>
        <w:rPr/>
        <w:t>消耗性生物资产在收获或出售时，采用轮伐期年限法按账面价值结转成本。</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73" w:right="171"/>
        <w:jc w:val="left"/>
      </w:pPr>
      <w:r>
        <w:rPr/>
        <w:t>无形资产是指本集团拥有或者控制的没有实物形态的可辨认非货币性资产。 无形资产按成本进行初始计量。与无形资产有关的支出，如果相关的经济利益很可能流入本集团且其成本能可靠地计</w:t>
      </w:r>
    </w:p>
    <w:p>
      <w:pPr>
        <w:pStyle w:val="BodyText"/>
        <w:spacing w:line="357" w:lineRule="auto"/>
        <w:ind w:left="573" w:right="171" w:hanging="420"/>
        <w:jc w:val="left"/>
      </w:pPr>
      <w:r>
        <w:rPr/>
        <w:t>量，则计入无形资产成本。除此以外的其他项目的支出，在发生时计入当期损益。 取得的土地使用权通常作为无形资产核算。自行开发建造厂房等建筑物，相关的土地使用权支出和建筑物建造成本则</w:t>
      </w:r>
    </w:p>
    <w:p>
      <w:pPr>
        <w:pStyle w:val="BodyText"/>
        <w:spacing w:line="224" w:lineRule="exact"/>
        <w:ind w:right="0"/>
        <w:jc w:val="left"/>
      </w:pPr>
      <w:r>
        <w:rPr/>
        <w:t>分别作为无形资产和固定资产核算。如为外购的房屋及建筑物，则将有关价款在土地使用权和建筑物之间进行分配，难以合</w:t>
      </w:r>
    </w:p>
    <w:p>
      <w:pPr>
        <w:pStyle w:val="BodyText"/>
        <w:spacing w:line="240" w:lineRule="auto" w:before="77"/>
        <w:ind w:right="0"/>
        <w:jc w:val="left"/>
      </w:pPr>
      <w:r>
        <w:rPr/>
        <w:t>理分配的，全部作为固定资产处理。</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8" w:firstLine="419"/>
        <w:jc w:val="both"/>
      </w:pPr>
      <w:r>
        <w:rPr/>
        <w:t>使用寿命有限的无形资产自可供使用时起，对其原值减去预计净残值和已计提的减值准备累计金额在其预计使用寿命 内采用直线法分期平均摊销。使用寿命不确定的无形资产不予摊销。</w:t>
      </w:r>
    </w:p>
    <w:p>
      <w:pPr>
        <w:pStyle w:val="BodyText"/>
        <w:spacing w:line="319" w:lineRule="auto" w:before="56"/>
        <w:ind w:right="150" w:firstLine="419"/>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spacing w:line="240" w:lineRule="auto" w:before="3"/>
        <w:rPr>
          <w:rFonts w:ascii="宋体" w:hAnsi="宋体" w:cs="宋体" w:eastAsia="宋体" w:hint="default"/>
          <w:sz w:val="22"/>
          <w:szCs w:val="22"/>
        </w:rPr>
      </w:pPr>
    </w:p>
    <w:p>
      <w:pPr>
        <w:spacing w:line="506" w:lineRule="auto" w:before="0"/>
        <w:ind w:left="574" w:right="118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）无形资产减值准备的计提</w:t>
      </w:r>
      <w:r>
        <w:rPr>
          <w:rFonts w:ascii="宋体" w:hAnsi="宋体" w:cs="宋体" w:eastAsia="宋体" w:hint="default"/>
          <w:b/>
          <w:bCs/>
          <w:spacing w:val="1"/>
          <w:w w:val="99"/>
          <w:sz w:val="21"/>
          <w:szCs w:val="21"/>
        </w:rPr>
        <w:t> </w:t>
      </w:r>
      <w:r>
        <w:rPr>
          <w:rFonts w:ascii="宋体" w:hAnsi="宋体" w:cs="宋体" w:eastAsia="宋体" w:hint="default"/>
          <w:sz w:val="21"/>
          <w:szCs w:val="21"/>
        </w:rPr>
        <w:t>无形资产的减值测试方法和减值准备计提方法详见附注四、</w:t>
      </w:r>
      <w:r>
        <w:rPr>
          <w:rFonts w:ascii="Times New Roman" w:hAnsi="Times New Roman" w:cs="Times New Roman" w:eastAsia="Times New Roman" w:hint="default"/>
          <w:sz w:val="21"/>
          <w:szCs w:val="21"/>
        </w:rPr>
        <w:t>20“</w:t>
      </w:r>
      <w:r>
        <w:rPr>
          <w:rFonts w:ascii="宋体" w:hAnsi="宋体" w:cs="宋体" w:eastAsia="宋体" w:hint="default"/>
          <w:sz w:val="21"/>
          <w:szCs w:val="21"/>
        </w:rPr>
        <w:t>非流动非金融资产减值</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Heading3"/>
        <w:spacing w:line="240" w:lineRule="auto" w:before="62"/>
        <w:ind w:right="0"/>
        <w:jc w:val="left"/>
        <w:rPr>
          <w:b w:val="0"/>
          <w:bCs w:val="0"/>
        </w:rPr>
      </w:pPr>
      <w:r>
        <w:rPr/>
        <w:t>（</w:t>
      </w:r>
      <w:r>
        <w:rPr>
          <w:rFonts w:ascii="Times New Roman" w:hAnsi="Times New Roman" w:cs="Times New Roman" w:eastAsia="Times New Roman" w:hint="default"/>
        </w:rPr>
        <w:t>4</w:t>
      </w:r>
      <w:r>
        <w:rPr/>
        <w:t>）划分公司内部研究开发项目的研究阶段和开发阶段具体标准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0"/>
        <w:jc w:val="left"/>
      </w:pPr>
      <w:r>
        <w:rPr/>
        <w:t>开发阶段的支出同时满足下列条件的，确认为无形资产，不能满足下述条件的开发阶段的支出计入当期损益：</w:t>
      </w:r>
    </w:p>
    <w:p>
      <w:pPr>
        <w:pStyle w:val="BodyText"/>
        <w:spacing w:line="240" w:lineRule="auto" w:before="116"/>
        <w:ind w:left="573" w:right="0"/>
        <w:jc w:val="left"/>
      </w:pPr>
      <w:r>
        <w:rPr/>
        <w:t>①</w:t>
      </w:r>
      <w:r>
        <w:rPr>
          <w:spacing w:val="-19"/>
        </w:rPr>
        <w:t> </w:t>
      </w:r>
      <w:r>
        <w:rPr/>
        <w:t>完成该无形资产以使其能够使用或出售在技术上具有可行性；</w:t>
      </w:r>
    </w:p>
    <w:p>
      <w:pPr>
        <w:pStyle w:val="BodyText"/>
        <w:spacing w:line="240" w:lineRule="auto" w:before="116"/>
        <w:ind w:left="573" w:right="0"/>
        <w:jc w:val="left"/>
      </w:pPr>
      <w:r>
        <w:rPr/>
        <w:t>②</w:t>
      </w:r>
      <w:r>
        <w:rPr>
          <w:spacing w:val="-19"/>
        </w:rPr>
        <w:t> </w:t>
      </w:r>
      <w:r>
        <w:rPr/>
        <w:t>具有完成该无形资产并使用或出售的意图；</w:t>
      </w:r>
    </w:p>
    <w:p>
      <w:pPr>
        <w:pStyle w:val="BodyText"/>
        <w:spacing w:line="319" w:lineRule="auto" w:before="116"/>
        <w:ind w:right="149" w:firstLine="419"/>
        <w:jc w:val="both"/>
      </w:pPr>
      <w:r>
        <w:rPr/>
        <w:t>③</w:t>
      </w:r>
      <w:r>
        <w:rPr>
          <w:spacing w:val="-4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56"/>
        <w:ind w:left="573" w:right="0"/>
        <w:jc w:val="left"/>
      </w:pPr>
      <w:r>
        <w:rPr/>
        <w:t>④</w:t>
      </w:r>
      <w:r>
        <w:rPr>
          <w:spacing w:val="-19"/>
        </w:rPr>
        <w:t> </w:t>
      </w:r>
      <w:r>
        <w:rPr/>
        <w:t>有足够的技术、财务资源和其他资源支持，以完成该无形资产的开发，并有能力使用或出售该无形资产；</w:t>
      </w:r>
    </w:p>
    <w:p>
      <w:pPr>
        <w:pStyle w:val="BodyText"/>
        <w:spacing w:line="240" w:lineRule="auto" w:before="116"/>
        <w:ind w:left="573" w:right="0"/>
        <w:jc w:val="left"/>
      </w:pPr>
      <w:r>
        <w:rPr/>
        <w:t>⑤</w:t>
      </w:r>
      <w:r>
        <w:rPr>
          <w:spacing w:val="-19"/>
        </w:rPr>
        <w:t> </w:t>
      </w:r>
      <w:r>
        <w:rPr/>
        <w:t>归属于该无形资产开发阶段的支出能够可靠地计量。</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）内部研究开发项目支出的核算</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0"/>
        <w:jc w:val="left"/>
      </w:pPr>
      <w:r>
        <w:rPr/>
        <w:t>研究阶段的支出，于发生时计入当期损益。</w:t>
      </w:r>
    </w:p>
    <w:p>
      <w:pPr>
        <w:spacing w:after="0" w:line="240" w:lineRule="auto"/>
        <w:jc w:val="left"/>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574" w:right="660"/>
        <w:jc w:val="left"/>
      </w:pPr>
      <w:r>
        <w:rPr/>
        <w:t>开发阶段的支出同时满足（</w:t>
      </w:r>
      <w:r>
        <w:rPr>
          <w:rFonts w:ascii="Times New Roman" w:hAnsi="Times New Roman" w:cs="Times New Roman" w:eastAsia="Times New Roman" w:hint="default"/>
        </w:rPr>
        <w:t>4</w:t>
      </w:r>
      <w:r>
        <w:rPr/>
        <w:t>）条件的，确认为无形资产，不能满足上述条件的开发阶段的支出计入当期损益。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right="181"/>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28" w:firstLine="419"/>
        <w:jc w:val="both"/>
      </w:pPr>
      <w:r>
        <w:rPr/>
        <w:t>长期待摊费用为已经发生但应由报告期和以后各期负担的分摊期限在一年以上的各项费用。长期待摊费用在预计受益 期间按直线法摊销。</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20</w:t>
      </w:r>
      <w:r>
        <w:rPr/>
        <w:t>、</w:t>
      </w:r>
      <w:r>
        <w:rPr>
          <w:spacing w:val="-7"/>
        </w:rPr>
        <w:t> </w:t>
      </w:r>
      <w:r>
        <w:rPr/>
        <w:t>非流动非金融资产减值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firstLine="419"/>
        <w:jc w:val="left"/>
      </w:pPr>
      <w:r>
        <w:rPr/>
        <w:t>对于固定资产、在建工程、使用寿命有限的无形资产、以成本模式计量的投资性房地产及对子公司、合营企业、联营</w:t>
      </w:r>
      <w:r>
        <w:rPr>
          <w:spacing w:val="1"/>
        </w:rPr>
        <w:t> </w:t>
      </w:r>
      <w:r>
        <w:rPr>
          <w:spacing w:val="-2"/>
        </w:rPr>
        <w:t>企业的长期股权投资等非流动非金融资产，本集团于资产负债表日判断是否存在减值迹象。如存在减值迹象的，则估计其可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9" w:lineRule="auto" w:before="55"/>
        <w:ind w:right="187" w:firstLine="419"/>
        <w:jc w:val="both"/>
      </w:pPr>
      <w:r>
        <w:rPr/>
        <w:t>减值测试结果表明资产的可收回金额低于其账面价值的，按其差额计提减值准备并计入减值损失。可收回金额为资产</w:t>
      </w:r>
      <w:r>
        <w:rPr>
          <w:spacing w:val="1"/>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9" w:lineRule="auto" w:before="55"/>
        <w:ind w:right="187" w:firstLine="419"/>
        <w:jc w:val="both"/>
      </w:pPr>
      <w:r>
        <w:rPr/>
        <w:t>在财务报表中单独列示的商誉，在进行减值测试时，将商誉的账面价值分摊至预期从企业合并的协同效应中受益的资</w:t>
      </w:r>
      <w:r>
        <w:rPr>
          <w:spacing w:val="1"/>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58"/>
        <w:ind w:left="573" w:right="181"/>
        <w:jc w:val="left"/>
      </w:pPr>
      <w:r>
        <w:rPr/>
        <w:t>上述资产减值损失一经确认，以后期间不予转回价值得以恢复的部分。</w:t>
      </w:r>
    </w:p>
    <w:p>
      <w:pPr>
        <w:spacing w:line="240" w:lineRule="auto" w:before="10"/>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228" w:firstLine="419"/>
        <w:jc w:val="both"/>
      </w:pPr>
      <w:r>
        <w:rPr/>
        <w:t>当与或有事项相关的义务同时符合以下条件，确认为预计负债：（</w:t>
      </w:r>
      <w:r>
        <w:rPr>
          <w:rFonts w:ascii="Times New Roman" w:hAnsi="Times New Roman" w:cs="Times New Roman" w:eastAsia="Times New Roman" w:hint="default"/>
        </w:rPr>
        <w:t>1</w:t>
      </w:r>
      <w:r>
        <w:rPr/>
        <w:t>）该义务是本集团承担的现时义务；（</w:t>
      </w:r>
      <w:r>
        <w:rPr>
          <w:rFonts w:ascii="Times New Roman" w:hAnsi="Times New Roman" w:cs="Times New Roman" w:eastAsia="Times New Roman" w:hint="default"/>
        </w:rPr>
        <w:t>2</w:t>
      </w:r>
      <w:r>
        <w:rPr/>
        <w:t>）履行该 义务很可能导致经济利益流出；（</w:t>
      </w:r>
      <w:r>
        <w:rPr>
          <w:rFonts w:ascii="Times New Roman" w:hAnsi="Times New Roman" w:cs="Times New Roman" w:eastAsia="Times New Roman" w:hint="default"/>
        </w:rPr>
        <w:t>3</w:t>
      </w:r>
      <w:r>
        <w:rPr/>
        <w:t>）该义务的金额能够可靠地计量。</w:t>
      </w:r>
    </w:p>
    <w:p>
      <w:pPr>
        <w:spacing w:line="240" w:lineRule="auto" w:before="10"/>
        <w:rPr>
          <w:rFonts w:ascii="宋体" w:hAnsi="宋体" w:cs="宋体" w:eastAsia="宋体" w:hint="default"/>
          <w:sz w:val="21"/>
          <w:szCs w:val="21"/>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228" w:firstLine="419"/>
        <w:jc w:val="both"/>
      </w:pPr>
      <w:r>
        <w:rPr/>
        <w:t>在资产负债表日，考虑与或有事项有关的风险、不确定性和货币时间价值等因素，按照履行相关现时义务所需支出的 最佳估计数对预计负债进行计量。</w:t>
      </w:r>
    </w:p>
    <w:p>
      <w:pPr>
        <w:pStyle w:val="BodyText"/>
        <w:spacing w:line="319" w:lineRule="auto" w:before="55"/>
        <w:ind w:right="228" w:firstLine="419"/>
        <w:jc w:val="both"/>
      </w:pPr>
      <w:r>
        <w:rPr/>
        <w:t>如果清偿预计负债所需支出全部或部分预期由第三方补偿的，补偿金额在基本确定能够收到时，作为资产单独确认， 且确认的补偿金额不超过预计负债的账面价值。</w:t>
      </w:r>
    </w:p>
    <w:p>
      <w:pPr>
        <w:spacing w:after="0" w:line="319" w:lineRule="auto"/>
        <w:jc w:val="both"/>
        <w:sectPr>
          <w:pgSz w:w="11910" w:h="16840"/>
          <w:pgMar w:header="0"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81"/>
        <w:jc w:val="left"/>
        <w:rPr>
          <w:b w:val="0"/>
          <w:bCs w:val="0"/>
        </w:rPr>
      </w:pPr>
      <w:r>
        <w:rPr>
          <w:rFonts w:ascii="Times New Roman" w:hAnsi="Times New Roman" w:cs="Times New Roman" w:eastAsia="Times New Roman" w:hint="default"/>
        </w:rPr>
        <w:t>22</w:t>
      </w:r>
      <w:r>
        <w:rPr/>
        <w:t>、回购本公司股份</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73" w:right="211"/>
        <w:jc w:val="left"/>
      </w:pPr>
      <w:r>
        <w:rPr/>
        <w:t>股份回购中支付的对价和交易费用减少所有者权益，回购、转上或注销本公司股份时，不确认利得或损失。 转让库存股，按实际收到的金额与库存股账面金额的差额，计入资本公积，资本公积不足冲减的，冲减盈余公积和未</w:t>
      </w:r>
    </w:p>
    <w:p>
      <w:pPr>
        <w:pStyle w:val="BodyText"/>
        <w:spacing w:line="224" w:lineRule="exact"/>
        <w:ind w:right="0"/>
        <w:jc w:val="left"/>
      </w:pPr>
      <w:r>
        <w:rPr/>
        <w:t>分配利润。注销库存股，按股票面值和注销股数减少股本，按注销库存股的账面余额与面值的差额，冲减资本公积，资本公</w:t>
      </w:r>
    </w:p>
    <w:p>
      <w:pPr>
        <w:pStyle w:val="BodyText"/>
        <w:spacing w:line="240" w:lineRule="auto" w:before="77"/>
        <w:ind w:right="181"/>
        <w:jc w:val="left"/>
      </w:pPr>
      <w:r>
        <w:rPr/>
        <w:t>积不足冲减的，冲减盈余公积和未分配利润。</w:t>
      </w:r>
    </w:p>
    <w:p>
      <w:pPr>
        <w:spacing w:line="240" w:lineRule="auto" w:before="11"/>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81"/>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99" w:firstLine="360"/>
        <w:jc w:val="left"/>
      </w:pPr>
      <w:r>
        <w:rPr>
          <w:spacing w:val="-2"/>
        </w:rPr>
        <w:t>在已将所有权上的主要风险和报酬转移给买方，既没有保留通常与所有权相联系的继续管理权，也没有对已售商品实施</w:t>
      </w:r>
      <w:r>
        <w:rPr/>
        <w:t> </w:t>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181"/>
        <w:jc w:val="left"/>
      </w:pPr>
      <w:r>
        <w:rPr/>
        <w:t>销售收入确认的时点：国内销售业务为货物交付客户的当天，国外销售业务为将货物装船并报关的当天。</w:t>
      </w:r>
    </w:p>
    <w:p>
      <w:pPr>
        <w:spacing w:line="240" w:lineRule="auto" w:before="12"/>
        <w:rPr>
          <w:rFonts w:ascii="宋体" w:hAnsi="宋体" w:cs="宋体" w:eastAsia="宋体" w:hint="default"/>
          <w:sz w:val="26"/>
          <w:szCs w:val="26"/>
        </w:rPr>
      </w:pPr>
    </w:p>
    <w:p>
      <w:pPr>
        <w:pStyle w:val="Heading3"/>
        <w:spacing w:line="240" w:lineRule="auto"/>
        <w:ind w:right="18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提供劳务交易的结果能够可靠估计是指同时满足：①收入的金额能够可靠地计量；②相关的经济利益很可能流入企业；</w:t>
      </w:r>
    </w:p>
    <w:p>
      <w:pPr>
        <w:pStyle w:val="BodyText"/>
        <w:spacing w:line="357" w:lineRule="auto" w:before="77"/>
        <w:ind w:left="573" w:right="211" w:hanging="42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57" w:lineRule="auto"/>
        <w:ind w:left="573" w:right="211" w:hanging="420"/>
        <w:jc w:val="left"/>
      </w:pPr>
      <w:r>
        <w:rPr/>
        <w:t>并将已发生的劳务成本作为当期费用。已经发生的劳务成本如预计不能得到补偿的，则不确认收入。 本集团与其他企业签订的合同或协议包括销售商品和提供劳务时，如销售商品部分和提供劳务部分能够区分并单独计</w:t>
      </w:r>
    </w:p>
    <w:p>
      <w:pPr>
        <w:pStyle w:val="BodyText"/>
        <w:spacing w:line="224" w:lineRule="exact"/>
        <w:ind w:right="0"/>
        <w:jc w:val="left"/>
      </w:pPr>
      <w:r>
        <w:rPr/>
        <w:t>量的，将销售商品部分和提供劳务部分分别处理；如销售商品部分和提供劳务部分不能够区分，或虽能区分但不能够单独计</w:t>
      </w:r>
    </w:p>
    <w:p>
      <w:pPr>
        <w:pStyle w:val="BodyText"/>
        <w:spacing w:line="240" w:lineRule="auto" w:before="77"/>
        <w:ind w:right="181"/>
        <w:jc w:val="left"/>
      </w:pPr>
      <w:r>
        <w:rPr/>
        <w:t>量的，将该合同全部作为销售商品处理。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18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11" w:firstLine="419"/>
        <w:jc w:val="left"/>
      </w:pPr>
      <w:r>
        <w:rPr/>
        <w:t>在提供劳务交易的结果能够可靠估计的情况下，于资产负债表日按照完工百分比法确认提供的劳务收入。劳务交易的 完工进度按已完工作的测量</w:t>
      </w:r>
      <w:r>
        <w:rPr>
          <w:rFonts w:ascii="Times New Roman" w:hAnsi="Times New Roman" w:cs="Times New Roman" w:eastAsia="Times New Roman" w:hint="default"/>
        </w:rPr>
        <w:t>/</w:t>
      </w:r>
      <w:r>
        <w:rPr/>
        <w:t>已经提供的劳务占应提供劳务总量的比例确定。</w:t>
      </w:r>
    </w:p>
    <w:p>
      <w:pPr>
        <w:pStyle w:val="BodyText"/>
        <w:spacing w:line="309" w:lineRule="auto" w:before="35"/>
        <w:ind w:right="211" w:firstLine="419"/>
        <w:jc w:val="left"/>
      </w:pPr>
      <w:r>
        <w:rPr/>
        <w:t>在建造合同的结果能够可靠估计的情况下，于资产负债表日按照完工百分比法确认合同收入和合同费用。合同完工进 度按累计实际发生的合同成本占合同预计总成本的比例</w:t>
      </w:r>
      <w:r>
        <w:rPr>
          <w:rFonts w:ascii="Times New Roman" w:hAnsi="Times New Roman" w:cs="Times New Roman" w:eastAsia="Times New Roman" w:hint="default"/>
        </w:rPr>
        <w:t>/</w:t>
      </w:r>
      <w:r>
        <w:rPr/>
        <w:t>已经完成的合同工作量占合同预计总工作量的比例</w:t>
      </w:r>
      <w:r>
        <w:rPr>
          <w:rFonts w:ascii="Times New Roman" w:hAnsi="Times New Roman" w:cs="Times New Roman" w:eastAsia="Times New Roman" w:hint="default"/>
        </w:rPr>
        <w:t>/</w:t>
      </w:r>
      <w:r>
        <w:rPr/>
        <w:t>实际测定的完 工进度确定。</w:t>
      </w:r>
    </w:p>
    <w:p>
      <w:pPr>
        <w:spacing w:line="240" w:lineRule="auto" w:before="10"/>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1" w:firstLine="360"/>
        <w:jc w:val="left"/>
      </w:pPr>
      <w:r>
        <w:rPr>
          <w:spacing w:val="-2"/>
        </w:rPr>
        <w:t>政府补助是指本集团从政府无偿取得货币性资产和非货币性资产，不包括政府作为所有者投入的资本。政府补助分为与</w:t>
      </w:r>
      <w:r>
        <w:rPr/>
        <w:t> 资产相关的政府补助和与收益相关的政府补助。</w:t>
      </w:r>
    </w:p>
    <w:p>
      <w:pPr>
        <w:spacing w:after="0" w:line="319" w:lineRule="auto"/>
        <w:jc w:val="left"/>
        <w:sectPr>
          <w:pgSz w:w="11910" w:h="16840"/>
          <w:pgMar w:header="0"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228" w:firstLine="419"/>
        <w:jc w:val="both"/>
      </w:pPr>
      <w:r>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BodyText"/>
        <w:spacing w:line="319" w:lineRule="auto" w:before="55"/>
        <w:ind w:right="189" w:firstLine="419"/>
        <w:jc w:val="both"/>
      </w:pPr>
      <w:r>
        <w:rPr/>
        <w:t>与资产相关的政府补助，确认为递延收益，并在相关资产的使用寿命内平均分配计入当期损益。与收益相关的政府补 </w:t>
      </w:r>
      <w:r>
        <w:rPr>
          <w:spacing w:val="-2"/>
        </w:rPr>
        <w:t>助，用于补偿以后期间的相关费用和损失的，确认为递延收益，并在确认相关费用的期间计入当期损益；用于补偿已经发生</w:t>
      </w:r>
      <w:r>
        <w:rPr>
          <w:spacing w:val="-66"/>
        </w:rPr>
        <w:t> </w:t>
      </w:r>
      <w:r>
        <w:rPr>
          <w:spacing w:val="-66"/>
        </w:rPr>
      </w:r>
      <w:r>
        <w:rPr/>
        <w:t>的相关费用和损失的，直接计入当期损益。</w:t>
      </w:r>
    </w:p>
    <w:p>
      <w:pPr>
        <w:pStyle w:val="BodyText"/>
        <w:spacing w:line="319" w:lineRule="auto" w:before="56"/>
        <w:ind w:right="228" w:firstLine="419"/>
        <w:jc w:val="both"/>
      </w:pPr>
      <w:r>
        <w:rPr/>
        <w:t>已确认的政府补助需要返还时，存在相关递延收益余额的，冲减相关递延收益账面余额，超出部分计入当期损益；不 存在相关递延收益的，直接计入当期损益。</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25</w:t>
      </w:r>
      <w:r>
        <w:rPr/>
        <w:t>、</w:t>
      </w:r>
      <w:r>
        <w:rPr>
          <w:spacing w:val="-7"/>
        </w:rPr>
        <w:t> </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73" w:right="99"/>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9" w:lineRule="auto" w:before="2"/>
        <w:ind w:right="181"/>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38" w:lineRule="auto" w:before="56"/>
        <w:ind w:left="573" w:right="211"/>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某些资产、负债项目的账面价值与其计税基础之间的差额，以及未作为资产和负债确认但按照税法规定可以确定其计</w:t>
      </w:r>
    </w:p>
    <w:p>
      <w:pPr>
        <w:pStyle w:val="BodyText"/>
        <w:spacing w:line="319" w:lineRule="auto" w:before="2"/>
        <w:ind w:right="181"/>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9" w:lineRule="auto" w:before="55"/>
        <w:ind w:right="189" w:firstLine="419"/>
        <w:jc w:val="both"/>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及合营企业投资相关的应纳税暂时性差异，如果本集团能够控制暂时性差异转回的时间，而且该暂时性差异在可预见的未来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很可能不会转回，也不予确认有关的递延所得税负债。除上述例外情况，本集团确认其他所有应纳税暂时性差异产生的递延</w:t>
      </w:r>
      <w:r>
        <w:rPr>
          <w:spacing w:val="-66"/>
        </w:rPr>
        <w:t> </w:t>
      </w:r>
      <w:r>
        <w:rPr>
          <w:spacing w:val="-66"/>
        </w:rPr>
      </w:r>
      <w:r>
        <w:rPr/>
        <w:t>所得税负债。</w:t>
      </w:r>
    </w:p>
    <w:p>
      <w:pPr>
        <w:pStyle w:val="BodyText"/>
        <w:spacing w:line="319" w:lineRule="auto" w:before="55"/>
        <w:ind w:right="189" w:firstLine="419"/>
        <w:jc w:val="both"/>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税所得额，不予确认有关的递延所得税资产。除上述例外情况，本集团以很可能取得用来抵扣可抵扣暂时性差异的应纳税所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9" w:lineRule="auto" w:before="56"/>
        <w:ind w:right="228" w:firstLine="419"/>
        <w:jc w:val="both"/>
      </w:pPr>
      <w:r>
        <w:rPr/>
        <w:t>对于能够结转以后年度的可抵扣亏损和税款抵减，以很可能获得用来抵扣可抵扣亏损和税款抵减的未来应纳税所得额 为限，确认相应的递延所得税资产。</w:t>
      </w:r>
    </w:p>
    <w:p>
      <w:pPr>
        <w:pStyle w:val="BodyText"/>
        <w:spacing w:line="319" w:lineRule="auto" w:before="55"/>
        <w:ind w:right="228" w:firstLine="419"/>
        <w:jc w:val="both"/>
      </w:pPr>
      <w:r>
        <w:rPr/>
        <w:t>资产负债表日，对于递延所得税资产和递延所得税负债，根据税法规定，按照预期收回相关资产或清偿相关负债期间 的适用税率计量。</w:t>
      </w:r>
    </w:p>
    <w:p>
      <w:pPr>
        <w:pStyle w:val="BodyText"/>
        <w:spacing w:line="319" w:lineRule="auto" w:before="55"/>
        <w:ind w:right="228" w:firstLine="419"/>
        <w:jc w:val="both"/>
      </w:pPr>
      <w:r>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BodyText"/>
        <w:spacing w:line="338" w:lineRule="auto" w:before="58"/>
        <w:ind w:left="573" w:right="597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41"/>
        <w:ind w:right="108" w:firstLine="419"/>
        <w:jc w:val="both"/>
      </w:pPr>
      <w:r>
        <w:rPr/>
        <w:t>除确认为其他综合收益或直接计入所有者权益的交易和事项相关的当期所得税和递延所得税计入其他综合收益或所有 者权益，以及企业合并产生的递延所得税调整商誉的账面价值外，其余当期所得税和递延所得税费用或收益计入当期损益。</w:t>
      </w:r>
    </w:p>
    <w:p>
      <w:pPr>
        <w:pStyle w:val="BodyText"/>
        <w:spacing w:line="338" w:lineRule="auto" w:before="58"/>
        <w:ind w:left="574" w:right="210"/>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当拥有以净额结算的法定权利，且意图以净额结算或取得资产、清偿负债同时进行时，本集团当期所得税资产及当期</w:t>
      </w:r>
    </w:p>
    <w:p>
      <w:pPr>
        <w:pStyle w:val="BodyText"/>
        <w:spacing w:line="240" w:lineRule="auto" w:before="4"/>
        <w:ind w:right="181"/>
        <w:jc w:val="left"/>
      </w:pPr>
      <w:r>
        <w:rPr/>
        <w:t>所得税负债以抵销后的净额列报。</w:t>
      </w:r>
    </w:p>
    <w:p>
      <w:pPr>
        <w:spacing w:after="0" w:line="240" w:lineRule="auto"/>
        <w:jc w:val="left"/>
        <w:sectPr>
          <w:pgSz w:w="11910" w:h="16840"/>
          <w:pgMar w:header="0"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89" w:firstLine="419"/>
        <w:jc w:val="both"/>
      </w:pPr>
      <w:r>
        <w:rPr/>
        <w:t>当拥有以净额结算当期所得税资产及当期所得税负债的法定权利，且递延所得税资产及递延所得税负债是与同一税收 </w:t>
      </w: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债转回的期间内，涉及的纳税主体意图以净额结算当期所得税资产和负债或是同时取得资产、清偿负债时，本集团递延所得</w:t>
      </w:r>
      <w:r>
        <w:rPr>
          <w:spacing w:val="-66"/>
        </w:rPr>
        <w:t> </w:t>
      </w:r>
      <w:r>
        <w:rPr>
          <w:spacing w:val="-66"/>
        </w:rPr>
      </w:r>
      <w:r>
        <w:rPr/>
        <w:t>税资产及递延所得税负债以抵销后的净额列报。</w:t>
      </w:r>
    </w:p>
    <w:p>
      <w:pPr>
        <w:spacing w:line="240" w:lineRule="auto" w:before="3"/>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26</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211"/>
        <w:jc w:val="left"/>
      </w:pPr>
      <w:r>
        <w:rPr/>
        <w:t>本集团作为承租人记录经营租赁业务 经营租赁的租金支出在租赁期内的各个期间按直线法计入相关资产成本或当期损益。初始直接费用计入当期损益。或</w:t>
      </w:r>
    </w:p>
    <w:p>
      <w:pPr>
        <w:pStyle w:val="BodyText"/>
        <w:spacing w:line="360" w:lineRule="auto"/>
        <w:ind w:left="573" w:right="6511" w:hanging="420"/>
        <w:jc w:val="left"/>
      </w:pPr>
      <w:r>
        <w:rPr/>
        <w:t>有租金于实际发生时计入当期损益。 本集团作为出租人记录经营租赁业务</w:t>
      </w:r>
    </w:p>
    <w:p>
      <w:pPr>
        <w:pStyle w:val="BodyText"/>
        <w:spacing w:line="319" w:lineRule="auto" w:before="25"/>
        <w:ind w:right="190" w:firstLine="419"/>
        <w:jc w:val="both"/>
      </w:pPr>
      <w:r>
        <w:rPr/>
        <w:t>经营租赁的租金收入在租赁期内的各个期间按直线法确认为当期损益。对金额较大的初始直接费用于发生时予以资本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2"/>
        <w:rPr>
          <w:rFonts w:ascii="宋体" w:hAnsi="宋体" w:cs="宋体" w:eastAsia="宋体" w:hint="default"/>
          <w:sz w:val="22"/>
          <w:szCs w:val="22"/>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0" w:firstLine="290"/>
        <w:jc w:val="left"/>
      </w:pPr>
      <w:r>
        <w:rPr/>
        <w:t>公司为承租人时，在租赁期开始日，公司以租赁开始日租赁资产公允价值与最低租赁付款额现值中两者较低者作为租入 </w:t>
      </w:r>
      <w:r>
        <w:rPr>
          <w:spacing w:val="-2"/>
        </w:rPr>
        <w:t>资产的入账价值，将最低租赁付款额作为长期应付款的入账价值，其差额为未确认融资费用，发生的初始直接费用，计入租</w:t>
      </w:r>
      <w:r>
        <w:rPr>
          <w:spacing w:val="-66"/>
        </w:rPr>
        <w:t> </w:t>
      </w:r>
      <w:r>
        <w:rPr>
          <w:spacing w:val="-66"/>
        </w:rPr>
      </w:r>
      <w:r>
        <w:rPr>
          <w:spacing w:val="-2"/>
        </w:rPr>
        <w:t>赁资产价值。在租赁期各个期间，采用实际利率法计算确认当期的融资费用。公司为出租人时，在租赁期开始日，公司以租</w:t>
      </w:r>
      <w:r>
        <w:rPr>
          <w:spacing w:val="-66"/>
        </w:rPr>
        <w:t> </w:t>
      </w:r>
      <w:r>
        <w:rPr>
          <w:spacing w:val="-66"/>
        </w:rPr>
      </w:r>
      <w:r>
        <w:rPr/>
        <w:t>赁开始日最低租赁收款额与初始直接费用之和作为应收融资租赁款的入账价值，同时记录未担保余值；将最低租赁收款额、 </w:t>
      </w:r>
      <w:r>
        <w:rPr>
          <w:spacing w:val="-2"/>
        </w:rPr>
        <w:t>初始直接费用及未担保余值之和与其现值之和的差额确认为未实现融资收益。在租赁期各个期间，采用实际利率法计算确认</w:t>
      </w:r>
      <w:r>
        <w:rPr>
          <w:spacing w:val="-64"/>
        </w:rPr>
        <w:t> </w:t>
      </w:r>
      <w:r>
        <w:rPr>
          <w:spacing w:val="-64"/>
        </w:rPr>
      </w:r>
      <w:r>
        <w:rPr/>
        <w:t>当期的融资收入。</w:t>
      </w:r>
    </w:p>
    <w:p>
      <w:pPr>
        <w:spacing w:line="240" w:lineRule="auto" w:before="7"/>
        <w:rPr>
          <w:rFonts w:ascii="宋体" w:hAnsi="宋体" w:cs="宋体" w:eastAsia="宋体" w:hint="default"/>
          <w:sz w:val="22"/>
          <w:szCs w:val="22"/>
        </w:rPr>
      </w:pPr>
    </w:p>
    <w:p>
      <w:pPr>
        <w:pStyle w:val="Heading3"/>
        <w:spacing w:line="240" w:lineRule="auto"/>
        <w:ind w:right="181"/>
        <w:jc w:val="left"/>
        <w:rPr>
          <w:b w:val="0"/>
          <w:bCs w:val="0"/>
        </w:rPr>
      </w:pPr>
      <w:r>
        <w:rPr>
          <w:rFonts w:ascii="Times New Roman" w:hAnsi="Times New Roman" w:cs="Times New Roman" w:eastAsia="Times New Roman" w:hint="default"/>
        </w:rPr>
        <w:t>27</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90" w:firstLine="409"/>
        <w:jc w:val="both"/>
      </w:pPr>
      <w:r>
        <w:rPr/>
        <w:t>若本集团已就处置某项非流动资产作出决议，已经与受让方签订了不可撤销的转让协议，且该项转让很可能在一年内 </w:t>
      </w:r>
      <w:r>
        <w:rPr>
          <w:spacing w:val="-2"/>
        </w:rPr>
        <w:t>完成，则该非流动资产作为持有待售非流动资产核算，持有待售的非流动资产包括单项资产和处置组。如果处置组是一组资</w:t>
      </w:r>
      <w:r>
        <w:rPr>
          <w:spacing w:val="-66"/>
        </w:rPr>
        <w:t> </w:t>
      </w:r>
      <w:r>
        <w:rPr>
          <w:spacing w:val="-66"/>
        </w:rPr>
      </w:r>
      <w:r>
        <w:rPr/>
        <w:t>产组，并且按照《企业会计准则第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资产减值》的规定将企业合并中取得的商誉分摊至该资产组，或者该处置组是这 </w:t>
      </w:r>
      <w:r>
        <w:rPr>
          <w:spacing w:val="-2"/>
        </w:rPr>
        <w:t>种资产组中一项经营，则该处置组包括企业合并中的商誉。某项资产或处置组被划归为持有待售，但后来不再满足持有待售</w:t>
      </w:r>
      <w:r>
        <w:rPr>
          <w:spacing w:val="-66"/>
        </w:rPr>
        <w:t> </w:t>
      </w:r>
      <w:r>
        <w:rPr>
          <w:spacing w:val="-66"/>
        </w:rPr>
      </w:r>
      <w:r>
        <w:rPr/>
        <w:t>的非流动资产的确认条件，本集团停止将其划归为持有待售</w:t>
      </w:r>
    </w:p>
    <w:p>
      <w:pPr>
        <w:spacing w:line="240" w:lineRule="auto" w:before="9"/>
        <w:rPr>
          <w:rFonts w:ascii="宋体" w:hAnsi="宋体" w:cs="宋体" w:eastAsia="宋体" w:hint="default"/>
          <w:sz w:val="22"/>
          <w:szCs w:val="22"/>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88" w:firstLine="336"/>
        <w:jc w:val="both"/>
      </w:pPr>
      <w:r>
        <w:rPr>
          <w:spacing w:val="-2"/>
        </w:rPr>
        <w:t>持有待售非流动资产核算，不计提折旧或进行摊销，按照账面价值与公允价值减去处置费用后的净额孰低计量。某项资</w:t>
      </w:r>
      <w:r>
        <w:rPr/>
        <w:t> </w:t>
      </w:r>
      <w:r>
        <w:rPr>
          <w:spacing w:val="-2"/>
        </w:rPr>
        <w:t>产或处置组被划归为持有待售，但后来不再满足持有待售的非流动资产的确认条件，本集团停止将其划归为持有待售，并按</w:t>
      </w:r>
      <w:r>
        <w:rPr>
          <w:spacing w:val="-66"/>
        </w:rPr>
        <w:t> </w:t>
      </w:r>
      <w:r>
        <w:rPr>
          <w:spacing w:val="-66"/>
        </w:rPr>
      </w:r>
      <w:r>
        <w:rPr/>
        <w:t>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）该资产或处置组被划归为持有待售之前的账面价值，按照其假定在没有被划归为 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after="0" w:line="312" w:lineRule="auto"/>
        <w:jc w:val="both"/>
        <w:sectPr>
          <w:pgSz w:w="11910" w:h="16840"/>
          <w:pgMar w:header="0"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181"/>
        <w:jc w:val="left"/>
        <w:rPr>
          <w:b w:val="0"/>
          <w:bCs w:val="0"/>
        </w:rPr>
      </w:pPr>
      <w:r>
        <w:rPr>
          <w:rFonts w:ascii="Times New Roman" w:hAnsi="Times New Roman" w:cs="Times New Roman" w:eastAsia="Times New Roman" w:hint="default"/>
        </w:rPr>
        <w:t>28</w:t>
      </w:r>
      <w:r>
        <w:rPr/>
        <w:t>、主要会计政策、会计估计的变更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本报告期主要会计政策、会计估计是否变更</w:t>
      </w:r>
    </w:p>
    <w:p>
      <w:pPr>
        <w:pStyle w:val="BodyText"/>
        <w:spacing w:line="240" w:lineRule="auto" w:before="116"/>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本报告期主要会计政策是否变更</w:t>
      </w:r>
    </w:p>
    <w:p>
      <w:pPr>
        <w:pStyle w:val="BodyText"/>
        <w:spacing w:line="240" w:lineRule="auto" w:before="117"/>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本报告期主要会计估计是否变更</w:t>
      </w:r>
    </w:p>
    <w:p>
      <w:pPr>
        <w:pStyle w:val="BodyText"/>
        <w:spacing w:line="240" w:lineRule="auto" w:before="116"/>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181"/>
        <w:jc w:val="left"/>
        <w:rPr>
          <w:b w:val="0"/>
          <w:bCs w:val="0"/>
        </w:rPr>
      </w:pPr>
      <w:r>
        <w:rPr>
          <w:rFonts w:ascii="Times New Roman" w:hAnsi="Times New Roman" w:cs="Times New Roman" w:eastAsia="Times New Roman" w:hint="default"/>
        </w:rPr>
        <w:t>29</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本报告期是否发现前期会计差错</w:t>
      </w:r>
    </w:p>
    <w:p>
      <w:pPr>
        <w:pStyle w:val="BodyText"/>
        <w:spacing w:line="240" w:lineRule="auto" w:before="117"/>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本报告期是否发现采用追溯重述法的前期会计差错</w:t>
      </w:r>
    </w:p>
    <w:p>
      <w:pPr>
        <w:pStyle w:val="BodyText"/>
        <w:spacing w:line="240" w:lineRule="auto" w:before="116"/>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本报告期是否发现采用未来适用法的前期会计差错</w:t>
      </w:r>
    </w:p>
    <w:p>
      <w:pPr>
        <w:pStyle w:val="BodyText"/>
        <w:spacing w:line="240" w:lineRule="auto" w:before="116"/>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Heading3"/>
        <w:spacing w:line="600" w:lineRule="atLeast" w:before="28"/>
        <w:ind w:left="576" w:right="4752" w:hanging="423"/>
        <w:jc w:val="left"/>
        <w:rPr>
          <w:b w:val="0"/>
          <w:bCs w:val="0"/>
        </w:rPr>
      </w:pPr>
      <w:r>
        <w:rPr>
          <w:rFonts w:ascii="Times New Roman" w:hAnsi="Times New Roman" w:cs="Times New Roman" w:eastAsia="Times New Roman" w:hint="default"/>
        </w:rPr>
        <w:t>30</w:t>
      </w:r>
      <w:r>
        <w:rPr/>
        <w:t>、其他主要会计政策、会计估计和财务报表编制方法</w:t>
      </w:r>
      <w:r>
        <w:rPr>
          <w:spacing w:val="1"/>
          <w:w w:val="99"/>
        </w:rPr>
        <w:t> </w:t>
      </w:r>
      <w:r>
        <w:rPr/>
        <w:t>重大会计判断和估计</w:t>
      </w:r>
      <w:r>
        <w:rPr>
          <w:b w:val="0"/>
          <w:bCs w:val="0"/>
        </w:rPr>
      </w:r>
    </w:p>
    <w:p>
      <w:pPr>
        <w:pStyle w:val="BodyText"/>
        <w:spacing w:line="319" w:lineRule="auto" w:before="101"/>
        <w:ind w:right="99" w:firstLine="419"/>
        <w:jc w:val="left"/>
      </w:pPr>
      <w:r>
        <w:rPr/>
        <w:t>本集团在运用会计政策过程中，由于经营活动内在的不确定性，本集团需要对无法准确计量的报表项目的账面价值进</w:t>
      </w:r>
      <w:r>
        <w:rPr>
          <w:spacing w:val="1"/>
        </w:rPr>
        <w:t> </w:t>
      </w:r>
      <w:r>
        <w:rPr>
          <w:spacing w:val="-4"/>
        </w:rPr>
        <w:t>行判断、估计和假设。这些判断、估计和假设是基于本集团管理层过去的历史经验，并在考虑其他相关因素的基础上做出的。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t>确定性所导致的结果可能造成对未来受影响的资产或负债的账面金额进行重大调整。</w:t>
      </w:r>
    </w:p>
    <w:p>
      <w:pPr>
        <w:pStyle w:val="BodyText"/>
        <w:spacing w:line="319" w:lineRule="auto" w:before="55"/>
        <w:ind w:right="181" w:firstLine="419"/>
        <w:jc w:val="left"/>
      </w:pPr>
      <w:r>
        <w:rPr/>
        <w:t>本集团对前述判断、估计和假设在持续经营的基础上进行定期复核，会计估计的变更仅影响变更当期的，其影响数在</w:t>
      </w:r>
      <w:r>
        <w:rPr>
          <w:spacing w:val="1"/>
        </w:rPr>
        <w:t> </w:t>
      </w:r>
      <w:r>
        <w:rPr/>
        <w:t>变更当期予以确认；既影响变更当期又影响未来期间的，其影响数在变更当期和未来期间予以确认。</w:t>
      </w:r>
    </w:p>
    <w:p>
      <w:pPr>
        <w:pStyle w:val="BodyText"/>
        <w:spacing w:line="240" w:lineRule="auto" w:before="58"/>
        <w:ind w:left="573" w:right="181"/>
        <w:jc w:val="left"/>
      </w:pPr>
      <w:r>
        <w:rPr/>
        <w:t>于资产负债表日，本集团需对财务报表项目金额进行判断、估计和假设的重要领域如下：</w:t>
      </w:r>
    </w:p>
    <w:p>
      <w:pPr>
        <w:pStyle w:val="BodyText"/>
        <w:spacing w:line="338" w:lineRule="auto" w:before="116"/>
        <w:ind w:left="573" w:right="181"/>
        <w:jc w:val="left"/>
      </w:pPr>
      <w:r>
        <w:rPr/>
        <w:t>（</w:t>
      </w:r>
      <w:r>
        <w:rPr>
          <w:rFonts w:ascii="Times New Roman" w:hAnsi="Times New Roman" w:cs="Times New Roman" w:eastAsia="Times New Roman" w:hint="default"/>
        </w:rPr>
        <w:t>1</w:t>
      </w:r>
      <w:r>
        <w:rPr/>
        <w:t>）坏账准备计提 本集团根据应收款项的会计政策，采用备抵法核算坏账损失。应收账款减值是基于评估应收账款的可收回性。鉴定应</w:t>
      </w:r>
    </w:p>
    <w:p>
      <w:pPr>
        <w:pStyle w:val="BodyText"/>
        <w:spacing w:line="240" w:lineRule="auto" w:before="2"/>
        <w:ind w:right="99"/>
        <w:jc w:val="left"/>
      </w:pPr>
      <w:r>
        <w:rPr/>
        <w:t>收账款减值要求管理层的判断和估计</w:t>
      </w:r>
      <w:r>
        <w:rPr>
          <w:spacing w:val="-82"/>
        </w:rPr>
        <w:t>。</w:t>
      </w:r>
      <w:r>
        <w:rPr/>
        <w:t>实际的结果与原先估计的差异将在估计被改变的期间影响应收账款的账面价值及应收</w:t>
      </w:r>
    </w:p>
    <w:p>
      <w:pPr>
        <w:spacing w:after="0" w:line="240" w:lineRule="auto"/>
        <w:jc w:val="left"/>
        <w:sectPr>
          <w:pgSz w:w="11910" w:h="16840"/>
          <w:pgMar w:header="0"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账款坏账准备的计提或转回。</w:t>
      </w:r>
    </w:p>
    <w:p>
      <w:pPr>
        <w:pStyle w:val="BodyText"/>
        <w:spacing w:line="338" w:lineRule="auto" w:before="116"/>
        <w:ind w:left="573" w:right="0"/>
        <w:jc w:val="left"/>
      </w:pPr>
      <w:r>
        <w:rPr/>
        <w:t>（</w:t>
      </w:r>
      <w:r>
        <w:rPr>
          <w:rFonts w:ascii="Times New Roman" w:hAnsi="Times New Roman" w:cs="Times New Roman" w:eastAsia="Times New Roman" w:hint="default"/>
        </w:rPr>
        <w:t>2</w:t>
      </w:r>
      <w:r>
        <w:rPr/>
        <w:t>）存货跌价准备 本集团根据存货会计政策，按照成本与可变现净值孰低计量，对成本高于可变现净值及陈旧和滞销的存货，计提存货</w:t>
      </w:r>
    </w:p>
    <w:p>
      <w:pPr>
        <w:pStyle w:val="BodyText"/>
        <w:spacing w:line="319" w:lineRule="auto" w:before="2"/>
        <w:ind w:left="153" w:right="150"/>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338" w:lineRule="auto" w:before="56"/>
        <w:ind w:left="573" w:right="0"/>
        <w:jc w:val="left"/>
      </w:pPr>
      <w:r>
        <w:rPr/>
        <w:t>（</w:t>
      </w:r>
      <w:r>
        <w:rPr>
          <w:rFonts w:ascii="Times New Roman" w:hAnsi="Times New Roman" w:cs="Times New Roman" w:eastAsia="Times New Roman" w:hint="default"/>
        </w:rPr>
        <w:t>3</w:t>
      </w:r>
      <w:r>
        <w:rPr/>
        <w:t>）生物资产的后续计量 本集团已委任独立专业估值师评估该生物资产的公允价值。在确定公允价值时，估值师使用的估价方法中包含若干假</w:t>
      </w:r>
    </w:p>
    <w:p>
      <w:pPr>
        <w:pStyle w:val="BodyText"/>
        <w:spacing w:line="240" w:lineRule="auto" w:before="4"/>
        <w:ind w:left="153" w:right="0"/>
        <w:jc w:val="both"/>
      </w:pPr>
      <w:r>
        <w:rPr/>
        <w:t>设。董事已对此作出判断，并认为该估值方法反映市场现况。</w:t>
      </w:r>
    </w:p>
    <w:p>
      <w:pPr>
        <w:pStyle w:val="BodyText"/>
        <w:spacing w:line="338" w:lineRule="auto" w:before="117"/>
        <w:ind w:left="573" w:right="0"/>
        <w:jc w:val="left"/>
      </w:pPr>
      <w:r>
        <w:rPr/>
        <w:t>（</w:t>
      </w:r>
      <w:r>
        <w:rPr>
          <w:rFonts w:ascii="Times New Roman" w:hAnsi="Times New Roman" w:cs="Times New Roman" w:eastAsia="Times New Roman" w:hint="default"/>
        </w:rPr>
        <w:t>4</w:t>
      </w:r>
      <w:r>
        <w:rPr/>
        <w:t>）非金融非流动资产减值准备 本集团于资产负债表日对除金融资产之外的非流动资产判断是否存在可能发生减值的迹象。对使用寿命不确定的无形</w:t>
      </w:r>
    </w:p>
    <w:p>
      <w:pPr>
        <w:pStyle w:val="BodyText"/>
        <w:spacing w:line="319" w:lineRule="auto" w:before="2"/>
        <w:ind w:left="153" w:right="0"/>
        <w:jc w:val="left"/>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9" w:lineRule="auto" w:before="55"/>
        <w:ind w:left="153" w:right="147" w:firstLine="419"/>
        <w:jc w:val="both"/>
      </w:pPr>
      <w:r>
        <w:rPr/>
        <w:t>当资产或资产组的账面价值高于可收回金额，即公允价值减去处置费用后的净额和预计未来现金流量的现值中的较高</w:t>
      </w:r>
      <w:r>
        <w:rPr>
          <w:spacing w:val="1"/>
        </w:rPr>
        <w:t> </w:t>
      </w:r>
      <w:r>
        <w:rPr/>
        <w:t>者，表明发生了减值。</w:t>
      </w:r>
    </w:p>
    <w:p>
      <w:pPr>
        <w:pStyle w:val="BodyText"/>
        <w:spacing w:line="319" w:lineRule="auto" w:before="56"/>
        <w:ind w:left="153" w:right="147" w:firstLine="419"/>
        <w:jc w:val="both"/>
      </w:pPr>
      <w:r>
        <w:rPr/>
        <w:t>公允价值减去处置费用后的净额，参考公平交易中类似资产的销售协议价格或可观察到的市场价格，减去可直接归属</w:t>
      </w:r>
      <w:r>
        <w:rPr>
          <w:spacing w:val="1"/>
        </w:rPr>
        <w:t> </w:t>
      </w:r>
      <w:r>
        <w:rPr/>
        <w:t>于该资产处置的增量成本确定。</w:t>
      </w:r>
    </w:p>
    <w:p>
      <w:pPr>
        <w:pStyle w:val="BodyText"/>
        <w:spacing w:line="319" w:lineRule="auto" w:before="55"/>
        <w:ind w:left="153" w:right="147" w:firstLine="419"/>
        <w:jc w:val="both"/>
      </w:pPr>
      <w:r>
        <w:rPr/>
        <w:t>在预计未来现金流量现值时，需要对该资产（或资产组）的产量、售价、相关经营成本以及计算现值时使用的折现率</w:t>
      </w:r>
      <w:r>
        <w:rPr>
          <w:spacing w:val="1"/>
        </w:rPr>
        <w:t> </w:t>
      </w:r>
      <w:r>
        <w:rPr>
          <w:spacing w:val="-2"/>
        </w:rPr>
        <w:t>等作出重大判断。本集团在估计可收回金额时会采用所有能够获得的相关资料，包括根据合理和可支持的假设所作出有关产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9" w:lineRule="auto" w:before="55"/>
        <w:ind w:left="153" w:right="147" w:firstLine="419"/>
        <w:jc w:val="both"/>
      </w:pPr>
      <w:r>
        <w:rPr/>
        <w:t>本集团至少每年测试商誉是否发生减值。这要求对分配了商誉的资产组或者资产组组合的未来现金流量的现值进行预</w:t>
      </w:r>
      <w:r>
        <w:rPr>
          <w:spacing w:val="1"/>
        </w:rPr>
        <w:t> </w:t>
      </w:r>
      <w:r>
        <w:rPr>
          <w:spacing w:val="-2"/>
        </w:rPr>
        <w:t>计。对未来现金流量的现值进行预计时，本集团需要预计未来资产组或者资产组组合产生的现金流量，同时选择恰当的折现</w:t>
      </w:r>
      <w:r>
        <w:rPr>
          <w:spacing w:val="-66"/>
        </w:rPr>
        <w:t> </w:t>
      </w:r>
      <w:r>
        <w:rPr>
          <w:spacing w:val="-66"/>
        </w:rPr>
      </w:r>
      <w:r>
        <w:rPr/>
        <w:t>率确定未来现金流量的现值。</w:t>
      </w:r>
    </w:p>
    <w:p>
      <w:pPr>
        <w:pStyle w:val="BodyText"/>
        <w:spacing w:line="338" w:lineRule="auto" w:before="58"/>
        <w:ind w:left="573" w:right="0"/>
        <w:jc w:val="left"/>
      </w:pPr>
      <w:r>
        <w:rPr/>
        <w:t>（</w:t>
      </w:r>
      <w:r>
        <w:rPr>
          <w:rFonts w:ascii="Times New Roman" w:hAnsi="Times New Roman" w:cs="Times New Roman" w:eastAsia="Times New Roman" w:hint="default"/>
        </w:rPr>
        <w:t>5</w:t>
      </w:r>
      <w:r>
        <w:rPr/>
        <w:t>）折旧和摊销 本集团对投资性房地产、固定资产和无形资产在考虑其残值后，在使用寿命内按直线法计提折旧和摊销。本集团定期</w:t>
      </w:r>
    </w:p>
    <w:p>
      <w:pPr>
        <w:pStyle w:val="BodyText"/>
        <w:spacing w:line="319" w:lineRule="auto" w:before="2"/>
        <w:ind w:left="153" w:right="0"/>
        <w:jc w:val="left"/>
      </w:pPr>
      <w:r>
        <w:rPr>
          <w:spacing w:val="-2"/>
        </w:rPr>
        <w:t>复核使用寿命，以决定将计入每个报告期的折旧和摊销费用数额。使用寿命是本集团根据对同类资产的已往经验并结合预期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38" w:lineRule="auto" w:before="56"/>
        <w:ind w:left="573" w:right="0"/>
        <w:jc w:val="left"/>
      </w:pPr>
      <w:r>
        <w:rPr/>
        <w:t>（</w:t>
      </w:r>
      <w:r>
        <w:rPr>
          <w:rFonts w:ascii="Times New Roman" w:hAnsi="Times New Roman" w:cs="Times New Roman" w:eastAsia="Times New Roman" w:hint="default"/>
        </w:rPr>
        <w:t>6</w:t>
      </w:r>
      <w:r>
        <w:rPr/>
        <w:t>）递延所得税资产 在很有可能有足够的应纳税利润来抵扣亏损的限度内，本集团就所有未利用的税务亏损确认递延所得税资产。这需要</w:t>
      </w:r>
    </w:p>
    <w:p>
      <w:pPr>
        <w:pStyle w:val="BodyText"/>
        <w:spacing w:line="319" w:lineRule="auto" w:before="2"/>
        <w:ind w:left="153" w:right="0"/>
        <w:jc w:val="left"/>
      </w:pPr>
      <w:r>
        <w:rPr>
          <w:spacing w:val="-2"/>
        </w:rPr>
        <w:t>本集团管理层运用大量的判断来估计未来应纳税利润发生的时间和金额，结合纳税筹划策略，以决定应确认的递延所得税资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38" w:lineRule="auto" w:before="56"/>
        <w:ind w:left="573" w:right="0"/>
        <w:jc w:val="left"/>
      </w:pPr>
      <w:r>
        <w:rPr/>
        <w:t>（</w:t>
      </w:r>
      <w:r>
        <w:rPr>
          <w:rFonts w:ascii="Times New Roman" w:hAnsi="Times New Roman" w:cs="Times New Roman" w:eastAsia="Times New Roman" w:hint="default"/>
        </w:rPr>
        <w:t>7</w:t>
      </w:r>
      <w:r>
        <w:rPr/>
        <w:t>）所得税 本集团在正常的经营活动中，有部分交易其最终的税务处理和计算存在一定的不确定性。部分项目是否能够在税前列</w:t>
      </w:r>
    </w:p>
    <w:p>
      <w:pPr>
        <w:pStyle w:val="BodyText"/>
        <w:spacing w:line="319" w:lineRule="auto" w:before="2"/>
        <w:ind w:left="153" w:right="0"/>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891"/>
        <w:gridCol w:w="2176"/>
        <w:gridCol w:w="4627"/>
      </w:tblGrid>
      <w:tr>
        <w:trPr>
          <w:trHeight w:val="402" w:hRule="exact"/>
        </w:trPr>
        <w:tc>
          <w:tcPr>
            <w:tcW w:w="2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4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2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7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9"/>
              <w:jc w:val="center"/>
              <w:rPr>
                <w:rFonts w:ascii="宋体" w:hAnsi="宋体" w:cs="宋体" w:eastAsia="宋体" w:hint="default"/>
                <w:sz w:val="18"/>
                <w:szCs w:val="18"/>
              </w:rPr>
            </w:pPr>
            <w:r>
              <w:rPr>
                <w:rFonts w:ascii="宋体" w:hAnsi="宋体" w:cs="宋体" w:eastAsia="宋体" w:hint="default"/>
                <w:sz w:val="18"/>
                <w:szCs w:val="18"/>
              </w:rPr>
              <w:t>一般应税收入按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、销售汽和水按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的税率计算销项</w:t>
            </w:r>
          </w:p>
        </w:tc>
      </w:tr>
    </w:tbl>
    <w:p>
      <w:pPr>
        <w:spacing w:after="0" w:line="240" w:lineRule="auto"/>
        <w:jc w:val="center"/>
        <w:rPr>
          <w:rFonts w:ascii="宋体" w:hAnsi="宋体" w:cs="宋体" w:eastAsia="宋体"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2908"/>
        <w:gridCol w:w="2160"/>
        <w:gridCol w:w="4626"/>
      </w:tblGrid>
      <w:tr>
        <w:trPr>
          <w:trHeight w:val="674"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1"/>
              <w:jc w:val="left"/>
              <w:rPr>
                <w:rFonts w:ascii="宋体" w:hAnsi="宋体" w:cs="宋体" w:eastAsia="宋体" w:hint="default"/>
                <w:sz w:val="18"/>
                <w:szCs w:val="18"/>
              </w:rPr>
            </w:pPr>
            <w:r>
              <w:rPr>
                <w:rFonts w:ascii="宋体" w:hAnsi="宋体" w:cs="宋体" w:eastAsia="宋体" w:hint="default"/>
                <w:sz w:val="18"/>
                <w:szCs w:val="18"/>
              </w:rPr>
              <w:t>税，并按扣除当期允许抵扣的进项税额后的差额计缴增值 税。</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160" w:type="dxa"/>
            <w:tcBorders>
              <w:top w:val="single" w:sz="4" w:space="0" w:color="000000"/>
              <w:left w:val="single" w:sz="4" w:space="0" w:color="000000"/>
              <w:bottom w:val="single" w:sz="4" w:space="0" w:color="000000"/>
              <w:right w:val="single" w:sz="4" w:space="0" w:color="000000"/>
            </w:tcBorders>
          </w:tcPr>
          <w:p>
            <w:pPr/>
          </w:p>
        </w:tc>
        <w:tc>
          <w:tcPr>
            <w:tcW w:w="46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，高新技术企业按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计缴，小规模企业按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81"/>
        <w:jc w:val="left"/>
      </w:pPr>
      <w:r>
        <w:rPr/>
        <w:t>各分公司、分厂执行的所得税税率</w:t>
      </w:r>
    </w:p>
    <w:p>
      <w:pPr>
        <w:spacing w:line="240" w:lineRule="auto" w:before="2"/>
        <w:rPr>
          <w:rFonts w:ascii="宋体" w:hAnsi="宋体" w:cs="宋体" w:eastAsia="宋体" w:hint="default"/>
          <w:sz w:val="18"/>
          <w:szCs w:val="18"/>
        </w:rPr>
      </w:pPr>
    </w:p>
    <w:p>
      <w:pPr>
        <w:spacing w:line="4401" w:lineRule="exact"/>
        <w:ind w:left="1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6150475" cy="279463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3" cstate="print"/>
                    <a:stretch>
                      <a:fillRect/>
                    </a:stretch>
                  </pic:blipFill>
                  <pic:spPr>
                    <a:xfrm>
                      <a:off x="0" y="0"/>
                      <a:ext cx="6150475" cy="279463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81"/>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4" w:right="175"/>
        <w:jc w:val="left"/>
      </w:pPr>
      <w:r>
        <w:rPr/>
        <w:t>企业所得税 </w:t>
      </w:r>
      <w:r>
        <w:rPr>
          <w:spacing w:val="-1"/>
        </w:rPr>
        <w:t>根据</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日发布的《中华人民共和国企业所得税法》规定，本公司为符合条件的国家需要重点扶持的高新技术</w:t>
      </w:r>
    </w:p>
    <w:p>
      <w:pPr>
        <w:pStyle w:val="BodyText"/>
        <w:spacing w:line="216" w:lineRule="exact"/>
        <w:ind w:right="181"/>
        <w:jc w:val="left"/>
      </w:pPr>
      <w:r>
        <w:rPr/>
        <w:t>企业，经山东省寿光市国家税务局批准，本公司自</w:t>
      </w:r>
      <w:r>
        <w:rPr>
          <w:rFonts w:ascii="Times New Roman" w:hAnsi="Times New Roman" w:cs="Times New Roman" w:eastAsia="Times New Roman" w:hint="default"/>
        </w:rPr>
        <w:t>2012</w:t>
      </w:r>
      <w:r>
        <w:rPr/>
        <w:t>年度执行</w:t>
      </w:r>
      <w:r>
        <w:rPr>
          <w:rFonts w:ascii="Times New Roman" w:hAnsi="Times New Roman" w:cs="Times New Roman" w:eastAsia="Times New Roman" w:hint="default"/>
        </w:rPr>
        <w:t>15%</w:t>
      </w:r>
      <w:r>
        <w:rPr/>
        <w:t>的企业所得税率。</w:t>
      </w:r>
    </w:p>
    <w:p>
      <w:pPr>
        <w:pStyle w:val="BodyText"/>
        <w:spacing w:line="309" w:lineRule="auto" w:before="101"/>
        <w:ind w:right="187" w:firstLine="419"/>
        <w:jc w:val="both"/>
      </w:pPr>
      <w:r>
        <w:rPr/>
        <w:t>根据《中华人民共和国企业所得税法》第</w:t>
      </w:r>
      <w:r>
        <w:rPr>
          <w:rFonts w:ascii="Times New Roman" w:hAnsi="Times New Roman" w:cs="Times New Roman" w:eastAsia="Times New Roman" w:hint="default"/>
        </w:rPr>
        <w:t>27</w:t>
      </w:r>
      <w:r>
        <w:rPr/>
        <w:t>条、《中华人民共和国企业所得税法实施条例》第</w:t>
      </w:r>
      <w:r>
        <w:rPr>
          <w:rFonts w:ascii="Times New Roman" w:hAnsi="Times New Roman" w:cs="Times New Roman" w:eastAsia="Times New Roman" w:hint="default"/>
        </w:rPr>
        <w:t>86</w:t>
      </w:r>
      <w:r>
        <w:rPr/>
        <w:t>条的规定，本公司子</w:t>
      </w:r>
      <w:r>
        <w:rPr>
          <w:spacing w:val="1"/>
        </w:rPr>
        <w:t> </w:t>
      </w:r>
      <w:r>
        <w:rPr>
          <w:spacing w:val="-2"/>
        </w:rPr>
        <w:t>公司湛江晨鸣林业发展有限公司、阳江晨鸣林业发展有限公司、南昌晨鸣林业发展有限公司、黄冈晨鸣林业发展有限公司从</w:t>
      </w:r>
      <w:r>
        <w:rPr>
          <w:spacing w:val="-66"/>
        </w:rPr>
        <w:t> </w:t>
      </w:r>
      <w:r>
        <w:rPr>
          <w:spacing w:val="-66"/>
        </w:rPr>
      </w:r>
      <w:r>
        <w:rPr/>
        <w:t>事林木的培育和种植免征企业所得税。</w:t>
      </w:r>
    </w:p>
    <w:p>
      <w:pPr>
        <w:pStyle w:val="BodyText"/>
        <w:spacing w:line="302" w:lineRule="auto" w:before="63"/>
        <w:ind w:right="188" w:firstLine="419"/>
        <w:jc w:val="both"/>
      </w:pPr>
      <w:r>
        <w:rPr/>
        <w:t>根据香港特别行政区立法会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日通过的《</w:t>
      </w:r>
      <w:r>
        <w:rPr>
          <w:rFonts w:ascii="Times New Roman" w:hAnsi="Times New Roman" w:cs="Times New Roman" w:eastAsia="Times New Roman" w:hint="default"/>
        </w:rPr>
        <w:t>2008</w:t>
      </w:r>
      <w:r>
        <w:rPr/>
        <w:t>收入条例草案》，本公司子公司晨鸣</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有限公司从</w:t>
      </w:r>
      <w:r>
        <w:rPr>
          <w:rFonts w:ascii="Times New Roman" w:hAnsi="Times New Roman" w:cs="Times New Roman" w:eastAsia="Times New Roman" w:hint="default"/>
        </w:rPr>
        <w:t>2008</w:t>
      </w:r>
      <w:r>
        <w:rPr/>
        <w:t>年 开始执行</w:t>
      </w:r>
      <w:r>
        <w:rPr>
          <w:rFonts w:ascii="Times New Roman" w:hAnsi="Times New Roman" w:cs="Times New Roman" w:eastAsia="Times New Roman" w:hint="default"/>
        </w:rPr>
        <w:t>16.5%</w:t>
      </w:r>
      <w:r>
        <w:rPr/>
        <w:t>的企业所得税率，</w:t>
      </w:r>
      <w:r>
        <w:rPr>
          <w:rFonts w:ascii="Times New Roman" w:hAnsi="Times New Roman" w:cs="Times New Roman" w:eastAsia="Times New Roman" w:hint="default"/>
        </w:rPr>
        <w:t>2012</w:t>
      </w:r>
      <w:r>
        <w:rPr/>
        <w:t>年适用税率为</w:t>
      </w:r>
      <w:r>
        <w:rPr>
          <w:rFonts w:ascii="Times New Roman" w:hAnsi="Times New Roman" w:cs="Times New Roman" w:eastAsia="Times New Roman" w:hint="default"/>
        </w:rPr>
        <w:t>16.5%</w:t>
      </w:r>
      <w:r>
        <w:rPr/>
        <w:t>。</w:t>
      </w:r>
    </w:p>
    <w:p>
      <w:pPr>
        <w:pStyle w:val="BodyText"/>
        <w:spacing w:line="338" w:lineRule="auto" w:before="50"/>
        <w:ind w:left="994" w:right="4740" w:hanging="420"/>
        <w:jc w:val="left"/>
      </w:pPr>
      <w:r>
        <w:rPr/>
        <w:t>除上述优惠政策外，公司其他子公司的所得税税率为</w:t>
      </w:r>
      <w:r>
        <w:rPr>
          <w:rFonts w:ascii="Times New Roman" w:hAnsi="Times New Roman" w:cs="Times New Roman" w:eastAsia="Times New Roman" w:hint="default"/>
        </w:rPr>
        <w:t>25%</w:t>
      </w:r>
      <w:r>
        <w:rPr/>
        <w:t>。 增值税优惠：</w:t>
      </w:r>
    </w:p>
    <w:p>
      <w:pPr>
        <w:pStyle w:val="BodyText"/>
        <w:spacing w:line="300" w:lineRule="auto" w:before="42"/>
        <w:ind w:left="153" w:right="138" w:firstLine="420"/>
        <w:jc w:val="right"/>
      </w:pPr>
      <w:r>
        <w:rPr>
          <w:spacing w:val="-1"/>
        </w:rPr>
        <w:t>根据《国家税务总局对部分资源综合利用产品免征增值税的通知》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[1995]44</w:t>
      </w:r>
      <w:r>
        <w:rPr>
          <w:spacing w:val="-1"/>
        </w:rPr>
        <w:t>号</w:t>
      </w:r>
      <w:r>
        <w:rPr>
          <w:rFonts w:ascii="Times New Roman" w:hAnsi="Times New Roman" w:cs="Times New Roman" w:eastAsia="Times New Roman" w:hint="default"/>
          <w:spacing w:val="-1"/>
        </w:rPr>
        <w:t>)</w:t>
      </w:r>
      <w:r>
        <w:rPr>
          <w:spacing w:val="-1"/>
        </w:rPr>
        <w:t>，对企业生产的原料中掺有不少于</w:t>
      </w:r>
      <w:r>
        <w:rPr/>
        <w:t> </w:t>
      </w:r>
      <w:r>
        <w:rPr>
          <w:rFonts w:ascii="Times New Roman" w:hAnsi="Times New Roman" w:cs="Times New Roman" w:eastAsia="Times New Roman" w:hint="default"/>
        </w:rPr>
        <w:t>30%</w:t>
      </w:r>
      <w:r>
        <w:rPr/>
        <w:t>的煤矸石、石煤、粉煤灰、烧煤锅炉的炉底渣</w:t>
      </w:r>
      <w:r>
        <w:rPr>
          <w:rFonts w:ascii="Times New Roman" w:hAnsi="Times New Roman" w:cs="Times New Roman" w:eastAsia="Times New Roman" w:hint="default"/>
        </w:rPr>
        <w:t>(</w:t>
      </w:r>
      <w:r>
        <w:rPr/>
        <w:t>不包括高炉水渣</w:t>
      </w:r>
      <w:r>
        <w:rPr>
          <w:rFonts w:ascii="Times New Roman" w:hAnsi="Times New Roman" w:cs="Times New Roman" w:eastAsia="Times New Roman" w:hint="default"/>
        </w:rPr>
        <w:t>)</w:t>
      </w:r>
      <w:r>
        <w:rPr/>
        <w:t>的建材产品免征增值税，本公司所属武汉晨建新型墙体 材料有限公司用于生产的原材料中包含</w:t>
      </w:r>
      <w:r>
        <w:rPr>
          <w:rFonts w:ascii="Times New Roman" w:hAnsi="Times New Roman" w:cs="Times New Roman" w:eastAsia="Times New Roman" w:hint="default"/>
        </w:rPr>
        <w:t>30%</w:t>
      </w:r>
      <w:r>
        <w:rPr/>
        <w:t>以上的粉煤灰，属于利用污染物进行生产的企业，</w:t>
      </w:r>
      <w:r>
        <w:rPr>
          <w:rFonts w:ascii="Times New Roman" w:hAnsi="Times New Roman" w:cs="Times New Roman" w:eastAsia="Times New Roman" w:hint="default"/>
        </w:rPr>
        <w:t>2012</w:t>
      </w:r>
      <w:r>
        <w:rPr/>
        <w:t>年按照规定免征增值税。</w:t>
      </w:r>
    </w:p>
    <w:p>
      <w:pPr>
        <w:pStyle w:val="BodyText"/>
        <w:spacing w:line="240" w:lineRule="auto" w:before="51"/>
        <w:ind w:left="573" w:right="0"/>
        <w:jc w:val="left"/>
      </w:pPr>
      <w:r>
        <w:rPr/>
        <w:t>根据国家税务总局财税字</w:t>
      </w:r>
      <w:r>
        <w:rPr>
          <w:rFonts w:ascii="Times New Roman" w:hAnsi="Times New Roman" w:cs="Times New Roman" w:eastAsia="Times New Roman" w:hint="default"/>
        </w:rPr>
        <w:t>[1995]44</w:t>
      </w:r>
      <w:r>
        <w:rPr/>
        <w:t>号《财政部、国家税务总局关于对部分资源综合利用产品免征增值税问题的通知》及</w:t>
      </w:r>
    </w:p>
    <w:p>
      <w:pPr>
        <w:spacing w:after="0" w:line="240" w:lineRule="auto"/>
        <w:jc w:val="left"/>
        <w:sectPr>
          <w:pgSz w:w="11910" w:h="16840"/>
          <w:pgMar w:header="0"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0"/>
        <w:jc w:val="left"/>
      </w:pPr>
      <w:r>
        <w:rPr>
          <w:spacing w:val="-1"/>
        </w:rPr>
        <w:t>财税</w:t>
      </w:r>
      <w:r>
        <w:rPr>
          <w:rFonts w:ascii="Times New Roman" w:hAnsi="Times New Roman" w:cs="Times New Roman" w:eastAsia="Times New Roman" w:hint="default"/>
          <w:spacing w:val="-1"/>
        </w:rPr>
        <w:t>[2001]72</w:t>
      </w:r>
      <w:r>
        <w:rPr>
          <w:spacing w:val="-1"/>
        </w:rPr>
        <w:t>号文件有关规定，本公司之子公司山东晨鸣板材有限责任公司、齐河晨鸣板材有限公司、鄄城晨鸣板材有限公</w:t>
      </w:r>
      <w:r>
        <w:rPr>
          <w:spacing w:val="-57"/>
        </w:rPr>
        <w:t> </w:t>
      </w:r>
      <w:r>
        <w:rPr>
          <w:spacing w:val="-57"/>
        </w:rPr>
      </w:r>
      <w:r>
        <w:rPr/>
        <w:t>司生产的资源综合利用产品享受增值税即征即退的优惠政策。</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纸品及</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鸣汉阳 纸业股 份有限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 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21136</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造纸原 料、机 械生产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202,820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50.93%</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50.93%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229,222</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,700.00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鸣矿业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 城</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矿业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石、滑 石加工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山东晨 鸣热电</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电力、 热力生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157,810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21,757,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股份有 限公司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产和供 应</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延边晨 鸣纸业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延 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粘胶纤 维浆、 木浆、 机制纸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96,730,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纸、纸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江西晨 鸣纸业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 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板、纸 浆板、 纸制品 和造纸 原料的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697,550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加工等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速生杨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晨鸣天 园林业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及林果 蔬菜开 发、培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68%</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68%</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-974,10</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育</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销售加</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晨鸣纸 业有限 责任公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 拉尔</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工及销 售机制 纸、浆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20,816,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板</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晨鸣纸 业日本 株式会 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日本东 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纸品、 原材料 贸易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9,310,0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吉林晨 鸣纸业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 林市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纸、纸 板、纸 制品、 纸浆、 加工和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景大酒 店有限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餐饮服 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80,500,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7" w:right="0"/>
              <w:jc w:val="left"/>
              <w:rPr>
                <w:rFonts w:ascii="Times New Roman" w:hAnsi="Times New Roman" w:cs="Times New Roman" w:eastAsia="Times New Roman" w:hint="default"/>
                <w:sz w:val="18"/>
                <w:szCs w:val="18"/>
              </w:rPr>
            </w:pPr>
            <w:r>
              <w:rPr>
                <w:rFonts w:ascii="Times New Roman"/>
                <w:sz w:val="18"/>
              </w:rPr>
              <w:t>-11,399,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40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湛江晨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全资子</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造纸制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300000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3,000,0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鸣浆纸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销售纸 浆等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有关纸</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24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50"/>
              <w:jc w:val="both"/>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07"/>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6"/>
              <w:ind w:left="23"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业产品 的进出 口贸易 及市场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5" w:right="0"/>
              <w:jc w:val="left"/>
              <w:rPr>
                <w:rFonts w:ascii="Times New Roman" w:hAnsi="Times New Roman" w:cs="Times New Roman" w:eastAsia="Times New Roman" w:hint="default"/>
                <w:sz w:val="18"/>
                <w:szCs w:val="18"/>
              </w:rPr>
            </w:pPr>
            <w:r>
              <w:rPr>
                <w:rFonts w:ascii="Times New Roman"/>
                <w:sz w:val="18"/>
              </w:rPr>
              <w:t>780,000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调研等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鸣现代 物流有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货物运 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鸣美术 纸有限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等的生 产、销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113,620,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39,628,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富裕晨 鸣纸业 有限责 任公司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 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20800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机制 纸、纸 版等的 生产、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 w:right="0"/>
              <w:jc w:val="left"/>
              <w:rPr>
                <w:rFonts w:ascii="Times New Roman" w:hAnsi="Times New Roman" w:cs="Times New Roman" w:eastAsia="Times New Roman" w:hint="default"/>
                <w:sz w:val="18"/>
                <w:szCs w:val="18"/>
              </w:rPr>
            </w:pPr>
            <w:r>
              <w:rPr>
                <w:rFonts w:ascii="Times New Roman"/>
                <w:sz w:val="18"/>
              </w:rPr>
              <w:t>208,000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黄冈晨 鸣林业 发展有 限责任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 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林木种 植、加 工、销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中国黄 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7"/>
              <w:jc w:val="both"/>
              <w:rPr>
                <w:rFonts w:ascii="宋体" w:hAnsi="宋体" w:cs="宋体" w:eastAsia="宋体" w:hint="default"/>
                <w:sz w:val="18"/>
                <w:szCs w:val="18"/>
              </w:rPr>
            </w:pPr>
            <w:r>
              <w:rPr>
                <w:rFonts w:ascii="宋体" w:hAnsi="宋体" w:cs="宋体" w:eastAsia="宋体" w:hint="default"/>
                <w:sz w:val="18"/>
                <w:szCs w:val="18"/>
              </w:rPr>
              <w:t>林业、 浆纸项 目筹建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林木经 营、收 购；纸 浆项目 筹建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寿光美 伦纸业 有限责 任公司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机制 纸、纸 版等的 生产、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专业报</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达报关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报关报 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关、报 检业务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山东晨 鸣纸业 销售有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纸品销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销售机 制纸、 纸板、 造纸原 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晨股权 投资基 金有限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30500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资。投 资管 理。投</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98.36%</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98.36%</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5,324,6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资咨询</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鸣工业 物流有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陆路运 输。仓 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鸣造纸 机械有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机械制 造</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械加 工。维</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鸣进出 口贸易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进出口 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货物及 技术进 出口贸 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鸣佳泰 物业管 理有限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鸣宏欣 包装有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销售纸 张类包 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寿光恒 丰仓储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山 东</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仓储、 租赁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仓储租 赁。仓 储服务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晨鸣国 际有限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 杉矶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进出 口、技 术研发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进出 口、技 术研发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19,860,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武汉晨 鸣乾能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 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电力、 热力的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38,560,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热电有 限责任 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生产及 销售</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粉煤灰</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加气混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建新型 墙体材 料有限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 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凝土砌 块的生 产、经</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14,943,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鸣万兴 置业有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 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开发、 商品房</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武汉星 之恋纸 业有限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中国武 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生产加 工销售 机制纸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鸣新力 热电有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热力生 产和供</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49,820,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71,971,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利用炉</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晨鸣水 泥有限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水泥产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灰生 产、销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售水泥</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人造板</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山东晨 鸣板材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山 东</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板材产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表面装 饰板木 制品人 造板、 强化木</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强化木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鸣地板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地板产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浸渍纸 生产、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阳江晨 鸣林业 发展有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林木种 植、开 发、林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业科技 咨询</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林木种</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植、苗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湛江晨 鸣林业 发展有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木培 育、木 材加工 销售、 林副产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鸣废旧 物资回 收有限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 林</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废旧购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废旧物 资收购 与销售</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吉林市 晨鸣机 械制造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 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机械加 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机械加 工，机 械设备 制造， 安装及 维修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木材成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南昌晨 鸣林业 发展有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 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品、半 成品、 林副产 品的加 工、销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53" w:right="5991"/>
        <w:jc w:val="left"/>
      </w:pPr>
      <w:r>
        <w:rPr/>
        <w:t>通过设立或投资等方式取得的子公司的其他说明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者权益 冲减子 公司少</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bl>
    <w:p>
      <w:pPr>
        <w:spacing w:after="0" w:line="240" w:lineRule="auto"/>
        <w:jc w:val="center"/>
        <w:rPr>
          <w:rFonts w:ascii="宋体" w:hAnsi="宋体" w:cs="宋体" w:eastAsia="宋体" w:hint="default"/>
          <w:sz w:val="18"/>
          <w:szCs w:val="18"/>
        </w:rPr>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无锡松 岭纸业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 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纸张销 售、裁 切加工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润生废 纸回收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废旧购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废旧物 资收购 与销售</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宜包装 装饰有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装制 品、室</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内外装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远物流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物仓 储、装</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卸、国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际货运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零售煤</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寿光新 源煤炭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炭、汽 油、建 筑材 料、水 暖配件</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湛江慧 锐投资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海洋工 程项目 投资等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131,560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0"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81"/>
        <w:jc w:val="left"/>
      </w:pPr>
      <w:r>
        <w:rPr/>
        <w:t>通过非同一控制下企业合并取得的子公司的其他说明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181"/>
        <w:jc w:val="left"/>
      </w:pPr>
      <w:r>
        <w:rPr/>
        <w:t>报告期公司无特殊目的主体或通过受托经营或承租等方式形成控制权的经营实体。</w:t>
      </w:r>
    </w:p>
    <w:p>
      <w:pPr>
        <w:spacing w:line="240" w:lineRule="auto" w:before="10"/>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合并报表范围发生变更说明</w:t>
      </w:r>
    </w:p>
    <w:p>
      <w:pPr>
        <w:pStyle w:val="BodyText"/>
        <w:spacing w:line="300" w:lineRule="auto" w:before="115"/>
        <w:ind w:right="187" w:firstLine="419"/>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日，公司六届董事会第一次临时会议通过了</w:t>
      </w:r>
      <w:r>
        <w:rPr>
          <w:rFonts w:ascii="Times New Roman" w:hAnsi="Times New Roman" w:cs="Times New Roman" w:eastAsia="Times New Roman" w:hint="default"/>
          <w:spacing w:val="-1"/>
        </w:rPr>
        <w:t>“</w:t>
      </w:r>
      <w:r>
        <w:rPr>
          <w:spacing w:val="-1"/>
        </w:rPr>
        <w:t>关于出售齐河晨鸣股权的议案</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日，公司与河南</w:t>
      </w:r>
      <w:r>
        <w:rPr/>
        <w:t> 江河纸业股份有限公司签署了股权转让合同，向其转让公司持有山东晨鸣纸业集团齐河板纸有限责任公司</w:t>
      </w:r>
      <w:r>
        <w:rPr>
          <w:rFonts w:ascii="Times New Roman" w:hAnsi="Times New Roman" w:cs="Times New Roman" w:eastAsia="Times New Roman" w:hint="default"/>
        </w:rPr>
        <w:t>(</w:t>
      </w:r>
      <w:r>
        <w:rPr/>
        <w:t>以下简称：齐河</w:t>
      </w:r>
      <w:r>
        <w:rPr>
          <w:spacing w:val="-72"/>
        </w:rPr>
        <w:t> </w:t>
      </w:r>
      <w:r>
        <w:rPr>
          <w:spacing w:val="-72"/>
        </w:rPr>
      </w:r>
      <w:r>
        <w:rPr/>
        <w:t>晨鸣</w:t>
      </w:r>
      <w:r>
        <w:rPr>
          <w:rFonts w:ascii="Times New Roman" w:hAnsi="Times New Roman" w:cs="Times New Roman" w:eastAsia="Times New Roman" w:hint="default"/>
        </w:rPr>
        <w:t>)100%</w:t>
      </w:r>
      <w:r>
        <w:rPr/>
        <w:t>股权，转让价款为</w:t>
      </w:r>
      <w:r>
        <w:rPr>
          <w:rFonts w:ascii="Times New Roman" w:hAnsi="Times New Roman" w:cs="Times New Roman" w:eastAsia="Times New Roman" w:hint="default"/>
        </w:rPr>
        <w:t>37,185.00</w:t>
      </w:r>
      <w:r>
        <w:rPr/>
        <w:t>万元，自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日起，公司对齐河晨鸣不再控制，不再纳入合并报表范围，因</w:t>
      </w:r>
      <w:r>
        <w:rPr>
          <w:spacing w:val="-36"/>
        </w:rPr>
        <w:t> </w:t>
      </w:r>
      <w:r>
        <w:rPr>
          <w:spacing w:val="-36"/>
        </w:rPr>
      </w:r>
      <w:r>
        <w:rPr/>
        <w:t>齐河晨鸣持有齐河废旧物资回收有限公司</w:t>
      </w:r>
      <w:r>
        <w:rPr>
          <w:rFonts w:ascii="Times New Roman" w:hAnsi="Times New Roman" w:cs="Times New Roman" w:eastAsia="Times New Roman" w:hint="default"/>
        </w:rPr>
        <w:t>(</w:t>
      </w:r>
      <w:r>
        <w:rPr/>
        <w:t>以下简称：齐河废旧</w:t>
      </w:r>
      <w:r>
        <w:rPr>
          <w:rFonts w:ascii="Times New Roman" w:hAnsi="Times New Roman" w:cs="Times New Roman" w:eastAsia="Times New Roman" w:hint="default"/>
        </w:rPr>
        <w:t>)100%</w:t>
      </w:r>
      <w:r>
        <w:rPr/>
        <w:t>股权，同时也不再纳入合并报表范围。</w:t>
      </w:r>
    </w:p>
    <w:p>
      <w:pPr>
        <w:pStyle w:val="BodyText"/>
        <w:spacing w:line="300" w:lineRule="auto" w:before="51"/>
        <w:ind w:right="187" w:firstLine="41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日，公司与寿光市东宇鸿翔木业有限公司签订股权转让合同，向其转让公司持有鄄城晨鸣板材有限公司</w:t>
      </w:r>
      <w:r>
        <w:rPr>
          <w:spacing w:val="1"/>
        </w:rPr>
        <w:t> </w:t>
      </w:r>
      <w:r>
        <w:rPr>
          <w:rFonts w:ascii="Times New Roman" w:hAnsi="Times New Roman" w:cs="Times New Roman" w:eastAsia="Times New Roman" w:hint="default"/>
        </w:rPr>
        <w:t>(</w:t>
      </w:r>
      <w:r>
        <w:rPr/>
        <w:t>以下简称：鄄城晨鸣</w:t>
      </w:r>
      <w:r>
        <w:rPr>
          <w:rFonts w:ascii="Times New Roman" w:hAnsi="Times New Roman" w:cs="Times New Roman" w:eastAsia="Times New Roman" w:hint="default"/>
        </w:rPr>
        <w:t>)100%</w:t>
      </w:r>
      <w:r>
        <w:rPr/>
        <w:t>股权，转让价款为</w:t>
      </w:r>
      <w:r>
        <w:rPr>
          <w:rFonts w:ascii="Times New Roman" w:hAnsi="Times New Roman" w:cs="Times New Roman" w:eastAsia="Times New Roman" w:hint="default"/>
        </w:rPr>
        <w:t>1,500.00</w:t>
      </w:r>
      <w:r>
        <w:rPr/>
        <w:t>万元，自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日公司对鄄城晨鸣不再控制，不再将其纳入合</w:t>
      </w:r>
      <w:r>
        <w:rPr>
          <w:spacing w:val="-85"/>
        </w:rPr>
        <w:t> </w:t>
      </w:r>
      <w:r>
        <w:rPr>
          <w:spacing w:val="-85"/>
        </w:rPr>
      </w:r>
      <w:r>
        <w:rPr/>
        <w:t>并报表范围。</w:t>
      </w:r>
    </w:p>
    <w:p>
      <w:pPr>
        <w:pStyle w:val="BodyText"/>
        <w:spacing w:line="300" w:lineRule="auto" w:before="71"/>
        <w:ind w:right="187" w:firstLine="41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日，公司之子公司山东晨鸣板材有限责任公司与山东全福元商业集团有限责任公司签订股权转让合同，</w:t>
      </w:r>
      <w:r>
        <w:rPr>
          <w:spacing w:val="1"/>
        </w:rPr>
        <w:t> </w:t>
      </w:r>
      <w:r>
        <w:rPr>
          <w:spacing w:val="-2"/>
        </w:rPr>
        <w:t>向其转让山东晨鸣板材有限责任公司持有的齐河晨鸣板材有限公司</w:t>
      </w:r>
      <w:r>
        <w:rPr>
          <w:rFonts w:ascii="Times New Roman" w:hAnsi="Times New Roman" w:cs="Times New Roman" w:eastAsia="Times New Roman" w:hint="default"/>
          <w:spacing w:val="-2"/>
        </w:rPr>
        <w:t>(</w:t>
      </w:r>
      <w:r>
        <w:rPr>
          <w:spacing w:val="-2"/>
        </w:rPr>
        <w:t>以下简称：齐河板材</w:t>
      </w:r>
      <w:r>
        <w:rPr>
          <w:rFonts w:ascii="Times New Roman" w:hAnsi="Times New Roman" w:cs="Times New Roman" w:eastAsia="Times New Roman" w:hint="default"/>
          <w:spacing w:val="-2"/>
        </w:rPr>
        <w:t>)100%</w:t>
      </w:r>
      <w:r>
        <w:rPr>
          <w:spacing w:val="-2"/>
        </w:rPr>
        <w:t>股权，转让价款</w:t>
      </w:r>
      <w:r>
        <w:rPr>
          <w:rFonts w:ascii="Times New Roman" w:hAnsi="Times New Roman" w:cs="Times New Roman" w:eastAsia="Times New Roman" w:hint="default"/>
          <w:spacing w:val="-2"/>
        </w:rPr>
        <w:t>1000</w:t>
      </w:r>
      <w:r>
        <w:rPr>
          <w:spacing w:val="-2"/>
        </w:rPr>
        <w:t>万元，自</w:t>
      </w:r>
      <w:r>
        <w:rPr>
          <w:spacing w:val="-56"/>
        </w:rPr>
        <w:t> </w:t>
      </w:r>
      <w:r>
        <w:rPr>
          <w:spacing w:val="-56"/>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日公司对齐河板材不再控制，不再将其纳入合并报表范围。</w:t>
      </w:r>
    </w:p>
    <w:p>
      <w:pPr>
        <w:pStyle w:val="BodyText"/>
        <w:spacing w:line="302" w:lineRule="auto" w:before="49"/>
        <w:ind w:right="197"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月，公司投资设立晨鸣纸业日本株式会社，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月，公司投资设立海城海鸣矿业有限公司，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 公司收购广东慧锐投资有限公司</w:t>
      </w:r>
      <w:r>
        <w:rPr>
          <w:rFonts w:ascii="Times New Roman" w:hAnsi="Times New Roman" w:cs="Times New Roman" w:eastAsia="Times New Roman" w:hint="default"/>
        </w:rPr>
        <w:t>51%</w:t>
      </w:r>
      <w:r>
        <w:rPr/>
        <w:t>的股权，上述公司自成立或收购后纳入合并报表范围。</w:t>
      </w:r>
    </w:p>
    <w:p>
      <w:pPr>
        <w:pStyle w:val="BodyText"/>
        <w:spacing w:line="343" w:lineRule="auto" w:before="50"/>
        <w:ind w:right="1561" w:firstLine="41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日，公司吸收合并寿光丽奔制纸有限公司，自吸收合并后不再纳入合并合并报表范围。 合并范围发生变更的情况详见附注（六）、</w:t>
      </w:r>
      <w:r>
        <w:rPr>
          <w:rFonts w:ascii="Times New Roman" w:hAnsi="Times New Roman" w:cs="Times New Roman" w:eastAsia="Times New Roman" w:hint="default"/>
        </w:rPr>
        <w:t>4</w:t>
      </w:r>
      <w:r>
        <w:rPr/>
        <w:t>。</w:t>
      </w:r>
    </w:p>
    <w:p>
      <w:pPr>
        <w:pStyle w:val="BodyText"/>
        <w:spacing w:line="357" w:lineRule="auto" w:before="16"/>
        <w:ind w:right="5852"/>
        <w:jc w:val="left"/>
      </w:pPr>
      <w:r>
        <w:rPr/>
        <w:t>√ 适用 □ 不适用 与上年相比本年（期）新增合并单位</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w:t>
      </w:r>
    </w:p>
    <w:p>
      <w:pPr>
        <w:pStyle w:val="BodyText"/>
        <w:spacing w:line="316" w:lineRule="auto" w:before="5"/>
        <w:ind w:left="153" w:right="189" w:firstLine="360"/>
        <w:jc w:val="both"/>
      </w:pPr>
      <w:r>
        <w:rPr>
          <w:spacing w:val="-2"/>
        </w:rPr>
        <w:t>报告期内，公司通过投资设立新增两家公司，分别是晨鸣纸业日本株式会社、海城海鸣矿业有限责任公司；广东慧锐投</w:t>
      </w:r>
      <w:r>
        <w:rPr/>
        <w:t> 资有限公司为本年非同一控制下企业合并取得的子公司。</w:t>
      </w:r>
    </w:p>
    <w:p>
      <w:pPr>
        <w:pStyle w:val="BodyText"/>
        <w:spacing w:line="338" w:lineRule="auto" w:before="59"/>
        <w:ind w:left="514" w:right="99" w:hanging="361"/>
        <w:jc w:val="left"/>
      </w:pPr>
      <w:r>
        <w:rPr/>
        <w:t>与上年相比本年（期）减少合并单位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家，原因为 </w:t>
      </w:r>
      <w:r>
        <w:rPr>
          <w:spacing w:val="-4"/>
        </w:rPr>
        <w:t>鄄城晨鸣板材有限公司、山东晨鸣纸业集团齐河板纸有限责任公司（包括全资子公司齐河晨鸣废旧物资收购有限公司）、</w:t>
      </w:r>
    </w:p>
    <w:p>
      <w:pPr>
        <w:pStyle w:val="BodyText"/>
        <w:spacing w:line="300" w:lineRule="auto" w:before="2"/>
        <w:ind w:right="180"/>
        <w:jc w:val="left"/>
      </w:pPr>
      <w:r>
        <w:rPr/>
        <w:t>齐河晨鸣板材有限公司为本年因出售股权而丧失控制权，从而不再纳入合并范围。公司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日吸收合并全资子公司 寿光丽奔制纸有限公司。</w:t>
      </w:r>
    </w:p>
    <w:p>
      <w:pPr>
        <w:spacing w:line="240" w:lineRule="auto" w:before="6"/>
        <w:rPr>
          <w:rFonts w:ascii="宋体" w:hAnsi="宋体" w:cs="宋体" w:eastAsia="宋体" w:hint="default"/>
          <w:sz w:val="23"/>
          <w:szCs w:val="23"/>
        </w:rPr>
      </w:pPr>
    </w:p>
    <w:p>
      <w:pPr>
        <w:pStyle w:val="Heading3"/>
        <w:spacing w:line="240" w:lineRule="auto"/>
        <w:ind w:right="181"/>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81"/>
        <w:jc w:val="left"/>
      </w:pPr>
      <w:r>
        <w:rPr/>
        <w:t>本期新纳入合并范围的子公司、特殊目的主体、通过受托经营或承租等方式形成控制权的经营实体</w:t>
      </w:r>
    </w:p>
    <w:p>
      <w:pPr>
        <w:pStyle w:val="BodyText"/>
        <w:spacing w:line="240" w:lineRule="auto" w:before="116"/>
        <w:ind w:left="7767"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-9,331,956.38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9" w:right="0"/>
              <w:jc w:val="left"/>
              <w:rPr>
                <w:rFonts w:ascii="Times New Roman" w:hAnsi="Times New Roman" w:cs="Times New Roman" w:eastAsia="Times New Roman" w:hint="default"/>
                <w:sz w:val="18"/>
                <w:szCs w:val="18"/>
              </w:rPr>
            </w:pPr>
            <w:r>
              <w:rPr>
                <w:rFonts w:ascii="Times New Roman"/>
                <w:sz w:val="18"/>
              </w:rPr>
              <w:t>-18,536,363.03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257,284,323.86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2" w:right="0"/>
              <w:jc w:val="left"/>
              <w:rPr>
                <w:rFonts w:ascii="Times New Roman" w:hAnsi="Times New Roman" w:cs="Times New Roman" w:eastAsia="Times New Roman" w:hint="default"/>
                <w:sz w:val="18"/>
                <w:szCs w:val="18"/>
              </w:rPr>
            </w:pPr>
            <w:r>
              <w:rPr>
                <w:rFonts w:ascii="Times New Roman"/>
                <w:sz w:val="18"/>
              </w:rPr>
              <w:t>-715,676.14</w:t>
            </w:r>
          </w:p>
        </w:tc>
      </w:tr>
    </w:tbl>
    <w:p>
      <w:pPr>
        <w:pStyle w:val="BodyText"/>
        <w:spacing w:line="240" w:lineRule="auto" w:before="51"/>
        <w:ind w:right="370"/>
        <w:jc w:val="left"/>
      </w:pPr>
      <w:r>
        <w:rPr/>
        <w:t>本期不再纳入合并范围的子公司、特殊目的主体、通过受托经营或承租等方式形成控制权的经营实体</w:t>
      </w:r>
    </w:p>
    <w:p>
      <w:pPr>
        <w:pStyle w:val="BodyText"/>
        <w:spacing w:line="240" w:lineRule="auto" w:before="117"/>
        <w:ind w:left="0" w:right="3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鄄城晨鸣</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14,528,766.51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-6,449,616.97</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齐河晨鸣</w:t>
            </w:r>
            <w:r>
              <w:rPr>
                <w:rFonts w:ascii="Times New Roman" w:hAnsi="Times New Roman" w:cs="Times New Roman" w:eastAsia="Times New Roman" w:hint="default"/>
                <w:sz w:val="18"/>
                <w:szCs w:val="18"/>
              </w:rPr>
              <w:t>(</w:t>
            </w:r>
            <w:r>
              <w:rPr>
                <w:rFonts w:ascii="宋体" w:hAnsi="宋体" w:cs="宋体" w:eastAsia="宋体" w:hint="default"/>
                <w:sz w:val="18"/>
                <w:szCs w:val="18"/>
              </w:rPr>
              <w:t>合并全资子公司齐河废旧</w:t>
            </w:r>
            <w:r>
              <w:rPr>
                <w:rFonts w:ascii="Times New Roman" w:hAnsi="Times New Roman" w:cs="Times New Roman" w:eastAsia="Times New Roman" w:hint="default"/>
                <w:sz w:val="18"/>
                <w:szCs w:val="18"/>
              </w:rPr>
              <w:t>)</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426,187,089.99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-26,108,403.88</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齐河板材</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-8,629,485.25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-2,063,831.86</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寿光丽奔制纸有限公司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61,845,696.29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4,277,669.87</w:t>
            </w:r>
          </w:p>
        </w:tc>
      </w:tr>
    </w:tbl>
    <w:p>
      <w:pPr>
        <w:pStyle w:val="BodyText"/>
        <w:spacing w:line="240" w:lineRule="auto" w:before="51"/>
        <w:ind w:right="370"/>
        <w:jc w:val="left"/>
      </w:pPr>
      <w:r>
        <w:rPr/>
        <w:t>新纳入合并范围的主体和不再纳入合并范围的主体的其他说明</w:t>
      </w:r>
    </w:p>
    <w:p>
      <w:pPr>
        <w:pStyle w:val="BodyText"/>
        <w:spacing w:line="240" w:lineRule="auto" w:before="116"/>
        <w:ind w:left="573" w:right="370"/>
        <w:jc w:val="left"/>
      </w:pPr>
      <w:r>
        <w:rPr/>
        <w:t>（Ａ）晨鸣纸业日本株式会社、海城海鸣矿业有限责任公司为本年投资设立增加的子公司附注（六）、</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w:t>
      </w:r>
    </w:p>
    <w:p>
      <w:pPr>
        <w:pStyle w:val="BodyText"/>
        <w:spacing w:line="319" w:lineRule="auto" w:before="102"/>
        <w:ind w:right="0" w:firstLine="419"/>
        <w:jc w:val="left"/>
      </w:pPr>
      <w:r>
        <w:rPr/>
        <w:t>（Ｂ）广东慧锐投资有限公司为本年非同一控制下企业合并取得的子公司，其本年净利润为该公司自购买日至本年年</w:t>
      </w:r>
      <w:r>
        <w:rPr>
          <w:spacing w:val="1"/>
        </w:rPr>
        <w:t> </w:t>
      </w:r>
      <w:r>
        <w:rPr/>
        <w:t>末止期间的净利润附注（六）、</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w:t>
      </w:r>
    </w:p>
    <w:p>
      <w:pPr>
        <w:pStyle w:val="BodyText"/>
        <w:spacing w:line="240" w:lineRule="auto" w:before="35"/>
        <w:ind w:left="573" w:right="0"/>
        <w:jc w:val="left"/>
      </w:pPr>
      <w:r>
        <w:rPr>
          <w:spacing w:val="-3"/>
        </w:rPr>
        <w:t>（C）鄄城晨鸣、齐河晨鸣、齐河废旧、齐河板材为本年因出售股权而丧失控制权，从而不再纳入合并范围附注（六）、</w:t>
      </w:r>
    </w:p>
    <w:p>
      <w:pPr>
        <w:pStyle w:val="BodyText"/>
        <w:spacing w:line="240" w:lineRule="auto" w:before="77"/>
        <w:ind w:right="370"/>
        <w:jc w:val="left"/>
      </w:pPr>
      <w:r>
        <w:rPr>
          <w:rFonts w:ascii="Times New Roman" w:hAnsi="Times New Roman" w:cs="Times New Roman" w:eastAsia="Times New Roman" w:hint="default"/>
        </w:rPr>
        <w:t>3</w:t>
      </w:r>
      <w:r>
        <w:rPr/>
        <w:t>。</w:t>
      </w:r>
    </w:p>
    <w:p>
      <w:pPr>
        <w:pStyle w:val="BodyText"/>
        <w:spacing w:line="240" w:lineRule="auto" w:before="102"/>
        <w:ind w:left="573" w:right="370"/>
        <w:jc w:val="left"/>
      </w:pPr>
      <w:r>
        <w:rPr/>
        <w:t>（D）公司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日吸收合并全资子公司寿光丽奔制纸有限公司，对合并报表不产生影响。</w:t>
      </w:r>
    </w:p>
    <w:p>
      <w:pPr>
        <w:spacing w:line="240" w:lineRule="auto" w:before="1"/>
        <w:rPr>
          <w:rFonts w:ascii="宋体" w:hAnsi="宋体" w:cs="宋体" w:eastAsia="宋体" w:hint="default"/>
          <w:sz w:val="23"/>
          <w:szCs w:val="23"/>
        </w:rPr>
      </w:pPr>
    </w:p>
    <w:p>
      <w:pPr>
        <w:pStyle w:val="Heading3"/>
        <w:spacing w:line="240" w:lineRule="auto" w:before="35"/>
        <w:ind w:left="153" w:right="370"/>
        <w:jc w:val="left"/>
        <w:rPr>
          <w:b w:val="0"/>
          <w:bCs w:val="0"/>
        </w:rPr>
      </w:pPr>
      <w:r>
        <w:rPr>
          <w:rFonts w:ascii="Times New Roman" w:hAnsi="Times New Roman" w:cs="Times New Roman" w:eastAsia="Times New Roman" w:hint="default"/>
        </w:rPr>
        <w:t>5</w:t>
      </w:r>
      <w:r>
        <w:rPr/>
        <w:t>、报告期内发生的非同一控制下企业合并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027"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3031" w:type="dxa"/>
            <w:tcBorders>
              <w:top w:val="single" w:sz="4" w:space="0" w:color="000000"/>
              <w:left w:val="single" w:sz="4" w:space="0" w:color="000000"/>
              <w:bottom w:val="single" w:sz="4" w:space="0" w:color="000000"/>
              <w:right w:val="single" w:sz="4" w:space="0" w:color="000000"/>
            </w:tcBorders>
          </w:tcPr>
          <w:p>
            <w:pPr/>
          </w:p>
        </w:tc>
        <w:tc>
          <w:tcPr>
            <w:tcW w:w="3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合并成本减去合并中取得的被购买方于购买日可 辨认净资产公允价值份额的差额确认为商誉，具 体计算如后附表所述。</w:t>
            </w:r>
          </w:p>
        </w:tc>
      </w:tr>
    </w:tbl>
    <w:p>
      <w:pPr>
        <w:pStyle w:val="BodyText"/>
        <w:spacing w:line="240" w:lineRule="auto" w:before="51"/>
        <w:ind w:right="370"/>
        <w:jc w:val="left"/>
      </w:pPr>
      <w:r>
        <w:rPr/>
        <w:t>非同一控制下企业合并的其他说明</w:t>
      </w:r>
    </w:p>
    <w:p>
      <w:pPr>
        <w:pStyle w:val="BodyText"/>
        <w:spacing w:line="240" w:lineRule="auto" w:before="116"/>
        <w:ind w:left="573" w:right="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26</w:t>
      </w:r>
      <w:r>
        <w:rPr>
          <w:spacing w:val="3"/>
        </w:rPr>
        <w:t>日，本集团全资子公司湛江晨鸣浆纸有限公司向湛江华森公司收购了其拥有的广东慧锐投资有限公司</w:t>
      </w:r>
    </w:p>
    <w:p>
      <w:pPr>
        <w:pStyle w:val="BodyText"/>
        <w:spacing w:line="302" w:lineRule="auto" w:before="62"/>
        <w:ind w:right="339"/>
        <w:jc w:val="left"/>
      </w:pPr>
      <w:r>
        <w:rPr>
          <w:rFonts w:ascii="Times New Roman" w:hAnsi="Times New Roman" w:cs="Times New Roman" w:eastAsia="Times New Roman" w:hint="default"/>
          <w:spacing w:val="-1"/>
        </w:rPr>
        <w:t>51%</w:t>
      </w:r>
      <w:r>
        <w:rPr>
          <w:spacing w:val="-1"/>
        </w:rPr>
        <w:t>的股权。本次交易的购买日为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日，系本集团取得对广东慧锐投资有限公司的控制权的日期。确定控制权的</w:t>
      </w:r>
      <w:r>
        <w:rPr>
          <w:spacing w:val="-84"/>
        </w:rPr>
        <w:t> </w:t>
      </w:r>
      <w:r>
        <w:rPr>
          <w:spacing w:val="-84"/>
        </w:rPr>
      </w:r>
      <w:r>
        <w:rPr/>
        <w:t>依据：本公司股权价款支付完毕，本集团委派了董事长在内的三分之二董事，取得控制权。</w:t>
      </w:r>
    </w:p>
    <w:p>
      <w:pPr>
        <w:pStyle w:val="BodyText"/>
        <w:spacing w:line="240" w:lineRule="auto" w:before="69"/>
        <w:ind w:left="634" w:right="370"/>
        <w:jc w:val="left"/>
      </w:pPr>
      <w:r>
        <w:rPr/>
        <w:t>①</w:t>
      </w:r>
      <w:r>
        <w:rPr>
          <w:spacing w:val="-19"/>
        </w:rPr>
        <w:t> </w:t>
      </w:r>
      <w:r>
        <w:rPr/>
        <w:t>合并成本以及商誉（或可辨认净资产公允价值份额超出合并成本计入损益的金额）的确认情况如下：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7243"/>
        <w:gridCol w:w="2604"/>
      </w:tblGrid>
      <w:tr>
        <w:trPr>
          <w:trHeight w:val="435" w:hRule="exact"/>
        </w:trPr>
        <w:tc>
          <w:tcPr>
            <w:tcW w:w="7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2" w:hRule="exact"/>
        </w:trPr>
        <w:tc>
          <w:tcPr>
            <w:tcW w:w="7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60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7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26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131,555,073.05</w:t>
            </w:r>
          </w:p>
        </w:tc>
      </w:tr>
      <w:tr>
        <w:trPr>
          <w:trHeight w:val="432" w:hRule="exact"/>
        </w:trPr>
        <w:tc>
          <w:tcPr>
            <w:tcW w:w="7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6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131,555,073.05</w:t>
            </w:r>
          </w:p>
        </w:tc>
      </w:tr>
      <w:tr>
        <w:trPr>
          <w:trHeight w:val="432" w:hRule="exact"/>
        </w:trPr>
        <w:tc>
          <w:tcPr>
            <w:tcW w:w="7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减：取得的可辨认净资产的公允价值</w:t>
            </w:r>
          </w:p>
        </w:tc>
        <w:tc>
          <w:tcPr>
            <w:tcW w:w="26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131,555,073.05</w:t>
            </w:r>
          </w:p>
        </w:tc>
      </w:tr>
      <w:tr>
        <w:trPr>
          <w:trHeight w:val="432" w:hRule="exact"/>
        </w:trPr>
        <w:tc>
          <w:tcPr>
            <w:tcW w:w="7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商誉（或可辨认净资产公允价值份额超出合并成本计入损益的金额）</w:t>
            </w:r>
          </w:p>
        </w:tc>
        <w:tc>
          <w:tcPr>
            <w:tcW w:w="26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color w:val="0000FF"/>
                <w:sz w:val="18"/>
              </w:rPr>
              <w:t>-</w:t>
            </w:r>
            <w:r>
              <w:rPr>
                <w:rFonts w:ascii="Times New Roman"/>
                <w:sz w:val="18"/>
              </w:rPr>
            </w:r>
          </w:p>
        </w:tc>
      </w:tr>
    </w:tbl>
    <w:p>
      <w:pPr>
        <w:pStyle w:val="BodyText"/>
        <w:spacing w:line="240" w:lineRule="auto" w:before="51"/>
        <w:ind w:left="574" w:right="370"/>
        <w:jc w:val="left"/>
      </w:pPr>
      <w:r>
        <w:rPr/>
        <w:t>被合并净资产公允价值以经广东正中珠江会计师事务所有限公司经审计的净资产的结果并经本集团评估后确定。</w:t>
      </w:r>
    </w:p>
    <w:p>
      <w:pPr>
        <w:pStyle w:val="BodyText"/>
        <w:spacing w:line="240" w:lineRule="auto" w:before="117"/>
        <w:ind w:left="574" w:right="370"/>
        <w:jc w:val="left"/>
      </w:pPr>
      <w:r>
        <w:rPr/>
        <w:t>②广东慧锐投资公司于购买日的资产、负债及与收购相关的现金流量情况列示如下：</w:t>
      </w:r>
    </w:p>
    <w:p>
      <w:pPr>
        <w:spacing w:after="0" w:line="240" w:lineRule="auto"/>
        <w:jc w:val="left"/>
        <w:sectPr>
          <w:pgSz w:w="11910" w:h="16840"/>
          <w:pgMar w:header="0"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30"/>
        <w:gridCol w:w="1972"/>
        <w:gridCol w:w="2365"/>
        <w:gridCol w:w="2419"/>
      </w:tblGrid>
      <w:tr>
        <w:trPr>
          <w:trHeight w:val="435" w:hRule="exact"/>
        </w:trPr>
        <w:tc>
          <w:tcPr>
            <w:tcW w:w="29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4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4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24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上年末账面价值</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79,951,123.62</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79,951,123.62</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178,000,000.00</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178,000,000.00</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减：负债</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257,951,123.62</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257,951,123.62</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257,951,123.62</w:t>
            </w:r>
          </w:p>
        </w:tc>
        <w:tc>
          <w:tcPr>
            <w:tcW w:w="23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257,951,123.62</w:t>
            </w:r>
          </w:p>
        </w:tc>
        <w:tc>
          <w:tcPr>
            <w:tcW w:w="2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以现金支付的对价</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131,555,073.05</w:t>
            </w:r>
          </w:p>
        </w:tc>
        <w:tc>
          <w:tcPr>
            <w:tcW w:w="2365" w:type="dxa"/>
            <w:tcBorders>
              <w:top w:val="single" w:sz="12" w:space="0" w:color="000000"/>
              <w:left w:val="single" w:sz="6" w:space="0" w:color="000000"/>
              <w:bottom w:val="single" w:sz="12" w:space="0" w:color="000000"/>
              <w:right w:val="single" w:sz="6" w:space="0" w:color="000000"/>
            </w:tcBorders>
          </w:tcPr>
          <w:p>
            <w:pPr/>
          </w:p>
        </w:tc>
        <w:tc>
          <w:tcPr>
            <w:tcW w:w="2419" w:type="dxa"/>
            <w:tcBorders>
              <w:top w:val="single" w:sz="12" w:space="0" w:color="000000"/>
              <w:left w:val="single" w:sz="6" w:space="0" w:color="000000"/>
              <w:bottom w:val="single" w:sz="12" w:space="0" w:color="000000"/>
              <w:right w:val="nil" w:sz="6" w:space="0" w:color="auto"/>
            </w:tcBorders>
          </w:tcPr>
          <w:p>
            <w:pPr/>
          </w:p>
        </w:tc>
      </w:tr>
      <w:tr>
        <w:trPr>
          <w:trHeight w:val="744"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508" w:right="1"/>
              <w:jc w:val="left"/>
              <w:rPr>
                <w:rFonts w:ascii="宋体" w:hAnsi="宋体" w:cs="宋体" w:eastAsia="宋体" w:hint="default"/>
                <w:sz w:val="18"/>
                <w:szCs w:val="18"/>
              </w:rPr>
            </w:pPr>
            <w:r>
              <w:rPr>
                <w:rFonts w:ascii="宋体" w:hAnsi="宋体" w:cs="宋体" w:eastAsia="宋体" w:hint="default"/>
                <w:spacing w:val="4"/>
                <w:sz w:val="18"/>
                <w:szCs w:val="18"/>
              </w:rPr>
              <w:t>减：取得的被收购子公司的现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金及现金等价物</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79,951,123.62</w:t>
            </w:r>
          </w:p>
        </w:tc>
        <w:tc>
          <w:tcPr>
            <w:tcW w:w="2365" w:type="dxa"/>
            <w:tcBorders>
              <w:top w:val="single" w:sz="12" w:space="0" w:color="000000"/>
              <w:left w:val="single" w:sz="6" w:space="0" w:color="000000"/>
              <w:bottom w:val="single" w:sz="12" w:space="0" w:color="000000"/>
              <w:right w:val="single" w:sz="6" w:space="0" w:color="000000"/>
            </w:tcBorders>
          </w:tcPr>
          <w:p>
            <w:pPr/>
          </w:p>
        </w:tc>
        <w:tc>
          <w:tcPr>
            <w:tcW w:w="241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9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1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51,603,949.43</w:t>
            </w:r>
          </w:p>
        </w:tc>
        <w:tc>
          <w:tcPr>
            <w:tcW w:w="2365" w:type="dxa"/>
            <w:tcBorders>
              <w:top w:val="single" w:sz="12" w:space="0" w:color="000000"/>
              <w:left w:val="single" w:sz="6" w:space="0" w:color="000000"/>
              <w:bottom w:val="single" w:sz="12" w:space="0" w:color="000000"/>
              <w:right w:val="single" w:sz="6" w:space="0" w:color="000000"/>
            </w:tcBorders>
          </w:tcPr>
          <w:p>
            <w:pPr/>
          </w:p>
        </w:tc>
        <w:tc>
          <w:tcPr>
            <w:tcW w:w="2419" w:type="dxa"/>
            <w:tcBorders>
              <w:top w:val="single" w:sz="12" w:space="0" w:color="000000"/>
              <w:left w:val="single" w:sz="6" w:space="0" w:color="000000"/>
              <w:bottom w:val="single" w:sz="12" w:space="0" w:color="000000"/>
              <w:right w:val="nil" w:sz="6" w:space="0" w:color="auto"/>
            </w:tcBorders>
          </w:tcPr>
          <w:p>
            <w:pPr/>
          </w:p>
        </w:tc>
      </w:tr>
    </w:tbl>
    <w:p>
      <w:pPr>
        <w:pStyle w:val="BodyText"/>
        <w:spacing w:line="316" w:lineRule="auto" w:before="51"/>
        <w:ind w:right="0" w:firstLine="419"/>
        <w:jc w:val="left"/>
      </w:pPr>
      <w:r>
        <w:rPr/>
        <w:t>本公司采用估值技术来确定广东慧锐投资有限公司的资产负债于购买日的公允价值。主要资产的评估方法及其关键假</w:t>
      </w:r>
      <w:r>
        <w:rPr>
          <w:spacing w:val="1"/>
        </w:rPr>
        <w:t> </w:t>
      </w:r>
      <w:r>
        <w:rPr/>
        <w:t>设列示如下：</w:t>
      </w:r>
    </w:p>
    <w:p>
      <w:pPr>
        <w:pStyle w:val="BodyText"/>
        <w:spacing w:line="338" w:lineRule="auto" w:before="58"/>
        <w:ind w:left="573" w:right="0"/>
        <w:jc w:val="left"/>
        <w:rPr>
          <w:rFonts w:ascii="Times New Roman" w:hAnsi="Times New Roman" w:cs="Times New Roman" w:eastAsia="Times New Roman" w:hint="default"/>
        </w:rPr>
      </w:pPr>
      <w:r>
        <w:rPr/>
        <w:t>货币资金的评估以核实后的账面值作为评估值，评估结果为</w:t>
      </w:r>
      <w:r>
        <w:rPr>
          <w:rFonts w:ascii="Times New Roman" w:hAnsi="Times New Roman" w:cs="Times New Roman" w:eastAsia="Times New Roman" w:hint="default"/>
        </w:rPr>
        <w:t>79,951,123.62</w:t>
      </w:r>
      <w:r>
        <w:rPr/>
        <w:t>元； </w:t>
      </w:r>
      <w:r>
        <w:rPr>
          <w:spacing w:val="-1"/>
        </w:rPr>
        <w:t>其他应收款的评估以核实后的账面值并预计可收回金额作为评估值，评估结果为</w:t>
      </w:r>
      <w:r>
        <w:rPr>
          <w:rFonts w:ascii="Times New Roman" w:hAnsi="Times New Roman" w:cs="Times New Roman" w:eastAsia="Times New Roman" w:hint="default"/>
          <w:spacing w:val="-1"/>
        </w:rPr>
        <w:t>178,000,000.00</w:t>
      </w:r>
      <w:r>
        <w:rPr>
          <w:spacing w:val="-1"/>
        </w:rPr>
        <w:t>元，截止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218" w:lineRule="exact"/>
        <w:ind w:left="153" w:right="370"/>
        <w:jc w:val="left"/>
      </w:pPr>
      <w:r>
        <w:rPr/>
        <w:t>日，已全部收回。</w:t>
      </w:r>
    </w:p>
    <w:p>
      <w:pPr>
        <w:pStyle w:val="BodyText"/>
        <w:spacing w:line="240" w:lineRule="auto" w:before="116"/>
        <w:ind w:left="573" w:right="370"/>
        <w:jc w:val="left"/>
      </w:pPr>
      <w:r>
        <w:rPr/>
        <w:t>③</w:t>
      </w:r>
      <w:r>
        <w:rPr>
          <w:spacing w:val="-19"/>
        </w:rPr>
        <w:t> </w:t>
      </w:r>
      <w:r>
        <w:rPr/>
        <w:t>广东慧锐投资有限公司自购买日至当年末止期间的收入、净利润和现金流量列示如下：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6654"/>
        <w:gridCol w:w="3032"/>
      </w:tblGrid>
      <w:tr>
        <w:trPr>
          <w:trHeight w:val="435" w:hRule="exact"/>
        </w:trPr>
        <w:tc>
          <w:tcPr>
            <w:tcW w:w="6654"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32" w:type="dxa"/>
            <w:tcBorders>
              <w:top w:val="single" w:sz="6" w:space="0" w:color="000000"/>
              <w:left w:val="single" w:sz="6" w:space="0" w:color="000000"/>
              <w:bottom w:val="single" w:sz="12" w:space="0" w:color="000000"/>
              <w:right w:val="nil" w:sz="6" w:space="0" w:color="auto"/>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6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6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-666,799.76</w:t>
            </w:r>
          </w:p>
        </w:tc>
      </w:tr>
      <w:tr>
        <w:trPr>
          <w:trHeight w:val="432" w:hRule="exact"/>
        </w:trPr>
        <w:tc>
          <w:tcPr>
            <w:tcW w:w="6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3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-772,865,916.43</w:t>
            </w:r>
          </w:p>
        </w:tc>
      </w:tr>
      <w:tr>
        <w:trPr>
          <w:trHeight w:val="432" w:hRule="exact"/>
        </w:trPr>
        <w:tc>
          <w:tcPr>
            <w:tcW w:w="6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30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-72,865,916.43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370"/>
        <w:jc w:val="left"/>
        <w:rPr>
          <w:b w:val="0"/>
          <w:bCs w:val="0"/>
        </w:rPr>
      </w:pPr>
      <w:r>
        <w:rPr>
          <w:rFonts w:ascii="Times New Roman" w:hAnsi="Times New Roman" w:cs="Times New Roman" w:eastAsia="Times New Roman" w:hint="default"/>
        </w:rPr>
        <w:t>6</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83"/>
      </w:tblGrid>
      <w:tr>
        <w:trPr>
          <w:trHeight w:val="403"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52"/>
        <w:ind w:right="370"/>
        <w:jc w:val="left"/>
      </w:pPr>
      <w:r>
        <w:rPr/>
        <w:t>出售丧失控制权的股权而减少的子公司的其他说明</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998"/>
        <w:gridCol w:w="1970"/>
        <w:gridCol w:w="4879"/>
      </w:tblGrid>
      <w:tr>
        <w:trPr>
          <w:trHeight w:val="747" w:hRule="exact"/>
        </w:trPr>
        <w:tc>
          <w:tcPr>
            <w:tcW w:w="2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鄄城晨鸣（</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879" w:type="dxa"/>
            <w:tcBorders>
              <w:top w:val="single" w:sz="6" w:space="0" w:color="000000"/>
              <w:left w:val="single" w:sz="6" w:space="0" w:color="000000"/>
              <w:bottom w:val="single" w:sz="12" w:space="0" w:color="000000"/>
              <w:right w:val="nil" w:sz="6" w:space="0" w:color="auto"/>
            </w:tcBorders>
          </w:tcPr>
          <w:p>
            <w:pPr>
              <w:pStyle w:val="TableParagraph"/>
              <w:spacing w:line="319" w:lineRule="auto" w:before="62"/>
              <w:ind w:left="94" w:right="5" w:hanging="90"/>
              <w:jc w:val="left"/>
              <w:rPr>
                <w:rFonts w:ascii="宋体" w:hAnsi="宋体" w:cs="宋体" w:eastAsia="宋体" w:hint="default"/>
                <w:sz w:val="18"/>
                <w:szCs w:val="18"/>
              </w:rPr>
            </w:pPr>
            <w:r>
              <w:rPr>
                <w:rFonts w:ascii="宋体" w:hAnsi="宋体" w:cs="宋体" w:eastAsia="宋体" w:hint="default"/>
                <w:sz w:val="18"/>
                <w:szCs w:val="18"/>
              </w:rPr>
              <w:t>将处置对价减去被处置的股权所对应享有的该子公司处置日净 资产于本集团合并报表层面的价值的差额确认为处置损益。</w:t>
            </w:r>
          </w:p>
        </w:tc>
      </w:tr>
      <w:tr>
        <w:trPr>
          <w:trHeight w:val="43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齐河晨鸣合并</w:t>
            </w:r>
            <w:r>
              <w:rPr>
                <w:rFonts w:ascii="宋体" w:hAnsi="宋体" w:cs="宋体" w:eastAsia="宋体" w:hint="default"/>
                <w:spacing w:val="-1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8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2255"/>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432" w:hRule="exact"/>
        </w:trPr>
        <w:tc>
          <w:tcPr>
            <w:tcW w:w="2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齐河板材（</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48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2255"/>
              <w:jc w:val="right"/>
              <w:rPr>
                <w:rFonts w:ascii="宋体" w:hAnsi="宋体" w:cs="宋体" w:eastAsia="宋体" w:hint="default"/>
                <w:sz w:val="18"/>
                <w:szCs w:val="18"/>
              </w:rPr>
            </w:pPr>
            <w:r>
              <w:rPr>
                <w:rFonts w:ascii="宋体" w:hAnsi="宋体" w:cs="宋体" w:eastAsia="宋体" w:hint="default"/>
                <w:sz w:val="18"/>
                <w:szCs w:val="18"/>
              </w:rPr>
              <w:t>同上</w:t>
            </w:r>
          </w:p>
        </w:tc>
      </w:tr>
    </w:tbl>
    <w:p>
      <w:pPr>
        <w:pStyle w:val="BodyText"/>
        <w:spacing w:line="338" w:lineRule="auto" w:before="51"/>
        <w:ind w:left="574" w:right="0"/>
        <w:jc w:val="left"/>
      </w:pPr>
      <w:r>
        <w:rPr/>
        <w:t>（</w:t>
      </w:r>
      <w:r>
        <w:rPr>
          <w:rFonts w:ascii="Times New Roman" w:hAnsi="Times New Roman" w:cs="Times New Roman" w:eastAsia="Times New Roman" w:hint="default"/>
        </w:rPr>
        <w:t>1</w:t>
      </w:r>
      <w:r>
        <w:rPr/>
        <w:t>）</w:t>
      </w:r>
      <w:r>
        <w:rPr>
          <w:spacing w:val="-17"/>
        </w:rPr>
        <w:t> </w:t>
      </w:r>
      <w:r>
        <w:rPr/>
        <w:t>鄄城晨鸣</w:t>
      </w:r>
      <w:r>
        <w:rPr/>
        <w:t> </w:t>
      </w:r>
      <w:r>
        <w:rPr>
          <w:spacing w:val="-1"/>
        </w:rPr>
        <w:t>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日，本集团将拥有的鄄城晨鸣</w:t>
      </w:r>
      <w:r>
        <w:rPr>
          <w:rFonts w:ascii="Times New Roman" w:hAnsi="Times New Roman" w:cs="Times New Roman" w:eastAsia="Times New Roman" w:hint="default"/>
          <w:spacing w:val="-1"/>
        </w:rPr>
        <w:t>100%</w:t>
      </w:r>
      <w:r>
        <w:rPr>
          <w:spacing w:val="-1"/>
        </w:rPr>
        <w:t>的股权全部转让予寿光市东宇鸿翔木业有限公司。出售日为本集团</w:t>
      </w:r>
    </w:p>
    <w:p>
      <w:pPr>
        <w:pStyle w:val="BodyText"/>
        <w:spacing w:line="218" w:lineRule="exact"/>
        <w:ind w:left="153" w:right="370"/>
        <w:jc w:val="left"/>
      </w:pPr>
      <w:r>
        <w:rPr/>
        <w:t>实际丧失对鄄城晨鸣净资产和财务、经营决策的控制权的日期。</w:t>
      </w:r>
    </w:p>
    <w:p>
      <w:pPr>
        <w:pStyle w:val="BodyText"/>
        <w:spacing w:line="240" w:lineRule="auto" w:before="116"/>
        <w:ind w:left="573" w:right="370"/>
        <w:jc w:val="left"/>
      </w:pPr>
      <w:r>
        <w:rPr/>
        <w:t>①</w:t>
      </w:r>
      <w:r>
        <w:rPr>
          <w:spacing w:val="-19"/>
        </w:rPr>
        <w:t> </w:t>
      </w:r>
      <w:r>
        <w:rPr/>
        <w:t>处置价格及现金流量列示如下：</w:t>
      </w:r>
    </w:p>
    <w:p>
      <w:pPr>
        <w:spacing w:after="0" w:line="240" w:lineRule="auto"/>
        <w:jc w:val="left"/>
        <w:sectPr>
          <w:pgSz w:w="11910" w:h="16840"/>
          <w:pgMar w:header="0"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74"/>
        <w:gridCol w:w="2674"/>
      </w:tblGrid>
      <w:tr>
        <w:trPr>
          <w:trHeight w:val="435" w:hRule="exact"/>
        </w:trPr>
        <w:tc>
          <w:tcPr>
            <w:tcW w:w="7174"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4" w:type="dxa"/>
            <w:tcBorders>
              <w:top w:val="single" w:sz="6" w:space="0" w:color="000000"/>
              <w:left w:val="single" w:sz="6" w:space="0" w:color="000000"/>
              <w:bottom w:val="single" w:sz="12" w:space="0" w:color="000000"/>
              <w:right w:val="nil" w:sz="6" w:space="0" w:color="auto"/>
            </w:tcBorders>
          </w:tcPr>
          <w:p>
            <w:pPr>
              <w:pStyle w:val="TableParagraph"/>
              <w:tabs>
                <w:tab w:pos="398" w:val="left" w:leader="none"/>
              </w:tabs>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32" w:hRule="exact"/>
        </w:trPr>
        <w:tc>
          <w:tcPr>
            <w:tcW w:w="7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32" w:hRule="exact"/>
        </w:trPr>
        <w:tc>
          <w:tcPr>
            <w:tcW w:w="7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减：鄄城晨鸣持有的现金和现金等价物</w:t>
            </w:r>
          </w:p>
        </w:tc>
        <w:tc>
          <w:tcPr>
            <w:tcW w:w="2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1,240,724.48</w:t>
            </w:r>
          </w:p>
        </w:tc>
      </w:tr>
      <w:tr>
        <w:trPr>
          <w:trHeight w:val="432" w:hRule="exact"/>
        </w:trPr>
        <w:tc>
          <w:tcPr>
            <w:tcW w:w="71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处置收到的现金净额</w:t>
            </w:r>
          </w:p>
        </w:tc>
        <w:tc>
          <w:tcPr>
            <w:tcW w:w="2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13,759,275.52</w:t>
            </w:r>
          </w:p>
        </w:tc>
      </w:tr>
    </w:tbl>
    <w:p>
      <w:pPr>
        <w:pStyle w:val="BodyText"/>
        <w:spacing w:line="240" w:lineRule="auto" w:before="51"/>
        <w:ind w:left="574" w:right="370"/>
        <w:jc w:val="left"/>
      </w:pPr>
      <w:r>
        <w:rPr/>
        <w:t>②</w:t>
      </w:r>
      <w:r>
        <w:rPr>
          <w:spacing w:val="-19"/>
        </w:rPr>
        <w:t> </w:t>
      </w:r>
      <w:r>
        <w:rPr/>
        <w:t>处置鄄城晨鸣板材有限公司的净资产列示如下：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312"/>
        <w:gridCol w:w="2801"/>
        <w:gridCol w:w="2574"/>
      </w:tblGrid>
      <w:tr>
        <w:trPr>
          <w:trHeight w:val="435" w:hRule="exact"/>
        </w:trPr>
        <w:tc>
          <w:tcPr>
            <w:tcW w:w="4312"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5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42"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14,968,493.55</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12,853,304.94</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40,161,420.61</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43,932,752.48</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34,180,534.54</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65,238,070.43</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6,501,684.77</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6,641,657.17</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14,447,694.85</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-15,102,688.18</w:t>
            </w:r>
          </w:p>
        </w:tc>
      </w:tr>
    </w:tbl>
    <w:p>
      <w:pPr>
        <w:pStyle w:val="BodyText"/>
        <w:spacing w:line="240" w:lineRule="auto" w:before="51"/>
        <w:ind w:left="574" w:right="370"/>
        <w:jc w:val="left"/>
      </w:pPr>
      <w:r>
        <w:rPr/>
        <w:t>③</w:t>
      </w:r>
      <w:r>
        <w:rPr>
          <w:spacing w:val="53"/>
        </w:rPr>
        <w:t> </w:t>
      </w:r>
      <w:r>
        <w:rPr/>
        <w:t>处置损益计算如下：</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7045"/>
        <w:gridCol w:w="2605"/>
      </w:tblGrid>
      <w:tr>
        <w:trPr>
          <w:trHeight w:val="435" w:hRule="exact"/>
        </w:trPr>
        <w:tc>
          <w:tcPr>
            <w:tcW w:w="7045"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5" w:type="dxa"/>
            <w:tcBorders>
              <w:top w:val="single" w:sz="6" w:space="0" w:color="000000"/>
              <w:left w:val="single" w:sz="6" w:space="0" w:color="000000"/>
              <w:bottom w:val="single" w:sz="12" w:space="0" w:color="000000"/>
              <w:right w:val="nil" w:sz="6" w:space="0" w:color="auto"/>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减：鄄城晨鸣于处置日的净资产</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14,447,694.85</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加：与鄄城晨鸣相关的其他综合收益转入处置当期损益的金额</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14,379.19</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566,684.34</w:t>
            </w:r>
          </w:p>
        </w:tc>
      </w:tr>
    </w:tbl>
    <w:p>
      <w:pPr>
        <w:pStyle w:val="BodyText"/>
        <w:spacing w:line="240" w:lineRule="auto" w:before="51"/>
        <w:ind w:left="574" w:right="370"/>
        <w:jc w:val="left"/>
      </w:pPr>
      <w:r>
        <w:rPr/>
        <w:t>④</w:t>
      </w:r>
      <w:r>
        <w:rPr>
          <w:spacing w:val="-19"/>
        </w:rPr>
        <w:t> </w:t>
      </w:r>
      <w:r>
        <w:rPr/>
        <w:t>鄄城公司从处置当年年初至处置日的收入、费用和利润如下：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6472"/>
        <w:gridCol w:w="3215"/>
      </w:tblGrid>
      <w:tr>
        <w:trPr>
          <w:trHeight w:val="435" w:hRule="exact"/>
        </w:trPr>
        <w:tc>
          <w:tcPr>
            <w:tcW w:w="6472" w:type="dxa"/>
            <w:tcBorders>
              <w:top w:val="single" w:sz="6" w:space="0" w:color="000000"/>
              <w:left w:val="single" w:sz="6" w:space="0" w:color="000000"/>
              <w:bottom w:val="single" w:sz="12" w:space="0" w:color="000000"/>
              <w:right w:val="single" w:sz="6" w:space="0" w:color="000000"/>
            </w:tcBorders>
          </w:tcPr>
          <w:p>
            <w:pPr>
              <w:pStyle w:val="TableParagraph"/>
              <w:tabs>
                <w:tab w:pos="1260" w:val="left" w:leader="none"/>
              </w:tabs>
              <w:spacing w:line="240" w:lineRule="auto" w:before="62"/>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5" w:type="dxa"/>
            <w:tcBorders>
              <w:top w:val="single" w:sz="6" w:space="0" w:color="000000"/>
              <w:left w:val="single" w:sz="6" w:space="0" w:color="000000"/>
              <w:bottom w:val="single" w:sz="12" w:space="0" w:color="000000"/>
              <w:right w:val="nil" w:sz="6" w:space="0" w:color="auto"/>
            </w:tcBorders>
          </w:tcPr>
          <w:p>
            <w:pPr>
              <w:pStyle w:val="TableParagraph"/>
              <w:tabs>
                <w:tab w:pos="543"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46,195,326.77</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52,644,943.74</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-6,449,616.97</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5"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-6,449,616.97</w:t>
            </w:r>
          </w:p>
        </w:tc>
      </w:tr>
    </w:tbl>
    <w:p>
      <w:pPr>
        <w:pStyle w:val="BodyText"/>
        <w:spacing w:line="338" w:lineRule="auto" w:before="51"/>
        <w:ind w:left="574" w:right="370"/>
        <w:jc w:val="left"/>
      </w:pPr>
      <w:r>
        <w:rPr/>
        <w:t>（</w:t>
      </w:r>
      <w:r>
        <w:rPr>
          <w:rFonts w:ascii="Times New Roman" w:hAnsi="Times New Roman" w:cs="Times New Roman" w:eastAsia="Times New Roman" w:hint="default"/>
        </w:rPr>
        <w:t>2</w:t>
      </w:r>
      <w:r>
        <w:rPr/>
        <w:t>）</w:t>
      </w:r>
      <w:r>
        <w:rPr>
          <w:spacing w:val="-17"/>
        </w:rPr>
        <w:t> </w:t>
      </w:r>
      <w:r>
        <w:rPr/>
        <w:t>齐河晨鸣</w:t>
      </w:r>
      <w:r>
        <w:rPr/>
        <w:t> 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日，本集团将拥有的齐河晨鸣</w:t>
      </w:r>
      <w:r>
        <w:rPr>
          <w:rFonts w:ascii="Times New Roman" w:hAnsi="Times New Roman" w:cs="Times New Roman" w:eastAsia="Times New Roman" w:hint="default"/>
        </w:rPr>
        <w:t>100%</w:t>
      </w:r>
      <w:r>
        <w:rPr/>
        <w:t>的股权全部转让予河南江河纸业股份有限公司。出售日为本集团实</w:t>
      </w:r>
    </w:p>
    <w:p>
      <w:pPr>
        <w:pStyle w:val="BodyText"/>
        <w:spacing w:line="218" w:lineRule="exact"/>
        <w:ind w:right="370"/>
        <w:jc w:val="left"/>
      </w:pPr>
      <w:r>
        <w:rPr/>
        <w:t>际丧失对齐河晨鸣净资产和财务、经营决策的控制权的日期。</w:t>
      </w:r>
    </w:p>
    <w:p>
      <w:pPr>
        <w:pStyle w:val="BodyText"/>
        <w:spacing w:line="240" w:lineRule="auto" w:before="116"/>
        <w:ind w:left="574" w:right="370"/>
        <w:jc w:val="left"/>
      </w:pPr>
      <w:r>
        <w:rPr/>
        <w:t>①</w:t>
      </w:r>
      <w:r>
        <w:rPr>
          <w:spacing w:val="-19"/>
        </w:rPr>
        <w:t> </w:t>
      </w:r>
      <w:r>
        <w:rPr/>
        <w:t>处置价格及现金流量列示如下：</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7031"/>
        <w:gridCol w:w="2620"/>
      </w:tblGrid>
      <w:tr>
        <w:trPr>
          <w:trHeight w:val="434" w:hRule="exact"/>
        </w:trPr>
        <w:tc>
          <w:tcPr>
            <w:tcW w:w="7031"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0" w:type="dxa"/>
            <w:tcBorders>
              <w:top w:val="single" w:sz="6" w:space="0" w:color="000000"/>
              <w:left w:val="single" w:sz="6" w:space="0" w:color="000000"/>
              <w:bottom w:val="single" w:sz="12" w:space="0" w:color="000000"/>
              <w:right w:val="nil" w:sz="6" w:space="0" w:color="auto"/>
            </w:tcBorders>
          </w:tcPr>
          <w:p>
            <w:pPr>
              <w:pStyle w:val="TableParagraph"/>
              <w:tabs>
                <w:tab w:pos="397"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371,850,000.00</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减：齐河晨鸣持有的现金和现金等价物</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9,531,042.48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780"/>
        </w:sectPr>
      </w:pPr>
    </w:p>
    <w:p>
      <w:pPr>
        <w:spacing w:line="240" w:lineRule="auto" w:before="12"/>
        <w:rPr>
          <w:rFonts w:ascii="宋体" w:hAnsi="宋体" w:cs="宋体" w:eastAsia="宋体" w:hint="default"/>
          <w:sz w:val="27"/>
          <w:szCs w:val="27"/>
        </w:rPr>
      </w:pPr>
    </w:p>
    <w:p>
      <w:pPr>
        <w:spacing w:line="464" w:lineRule="exact"/>
        <w:ind w:left="12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84.75pt;height:23.25pt;mso-position-horizontal-relative:char;mso-position-vertical-relative:line" coordorigin="0,0" coordsize="9695,465">
            <v:group style="position:absolute;left:15;top:14;width:7031;height:2" coordorigin="15,14" coordsize="7031,2">
              <v:shape style="position:absolute;left:15;top:14;width:7031;height:2" coordorigin="15,14" coordsize="7031,0" path="m15,14l7046,14e" filled="false" stroked="true" strokeweight=".72pt" strokecolor="#000000">
                <v:path arrowok="t"/>
              </v:shape>
            </v:group>
            <v:group style="position:absolute;left:7060;top:14;width:2613;height:2" coordorigin="7060,14" coordsize="2613,2">
              <v:shape style="position:absolute;left:7060;top:14;width:2613;height:2" coordorigin="7060,14" coordsize="2613,0" path="m7060,14l9673,14e" filled="false" stroked="true" strokeweight=".72pt" strokecolor="#000000">
                <v:path arrowok="t"/>
              </v:shape>
            </v:group>
            <v:group style="position:absolute;left:22;top:7;width:2;height:428" coordorigin="22,7" coordsize="2,428">
              <v:shape style="position:absolute;left:22;top:7;width:2;height:428" coordorigin="22,7" coordsize="0,428" path="m22,7l22,434e" filled="false" stroked="true" strokeweight=".72pt" strokecolor="#000000">
                <v:path arrowok="t"/>
              </v:shape>
            </v:group>
            <v:group style="position:absolute;left:15;top:449;width:7031;height:2" coordorigin="15,449" coordsize="7031,2">
              <v:shape style="position:absolute;left:15;top:449;width:7031;height:2" coordorigin="15,449" coordsize="7031,0" path="m15,449l7046,449e" filled="false" stroked="true" strokeweight="1.5pt" strokecolor="#000000">
                <v:path arrowok="t"/>
              </v:shape>
            </v:group>
            <v:group style="position:absolute;left:7053;top:7;width:2;height:428" coordorigin="7053,7" coordsize="2,428">
              <v:shape style="position:absolute;left:7053;top:7;width:2;height:428" coordorigin="7053,7" coordsize="0,428" path="m7053,7l7053,434e" filled="false" stroked="true" strokeweight=".72pt" strokecolor="#000000">
                <v:path arrowok="t"/>
              </v:shape>
            </v:group>
            <v:group style="position:absolute;left:7046;top:449;width:2634;height:2" coordorigin="7046,449" coordsize="2634,2">
              <v:shape style="position:absolute;left:7046;top:449;width:2634;height:2" coordorigin="7046,449" coordsize="2634,0" path="m7046,449l9680,449e" filled="false" stroked="true" strokeweight="1.5pt" strokecolor="#000000">
                <v:path arrowok="t"/>
              </v:shape>
              <v:shape style="position:absolute;left:22;top:14;width:7031;height:435" type="#_x0000_t202" filled="false" stroked="false">
                <v:textbox inset="0,0,0,0">
                  <w:txbxContent>
                    <w:p>
                      <w:pPr>
                        <w:spacing w:before="69"/>
                        <w:ind w:left="9" w:right="0" w:firstLine="0"/>
                        <w:jc w:val="left"/>
                        <w:rPr>
                          <w:rFonts w:ascii="宋体" w:hAnsi="宋体" w:cs="宋体" w:eastAsia="宋体" w:hint="default"/>
                          <w:sz w:val="18"/>
                          <w:szCs w:val="18"/>
                        </w:rPr>
                      </w:pPr>
                      <w:r>
                        <w:rPr>
                          <w:rFonts w:ascii="宋体" w:hAnsi="宋体" w:cs="宋体" w:eastAsia="宋体" w:hint="default"/>
                          <w:sz w:val="18"/>
                          <w:szCs w:val="18"/>
                        </w:rPr>
                        <w:t>处置收到的现金净额</w:t>
                      </w:r>
                    </w:p>
                  </w:txbxContent>
                </v:textbox>
                <w10:wrap type="none"/>
              </v:shape>
              <v:shape style="position:absolute;left:8634;top:14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90,468,957.52</w:t>
                      </w:r>
                    </w:p>
                  </w:txbxContent>
                </v:textbox>
                <w10:wrap type="none"/>
              </v:shape>
            </v:group>
          </v:group>
        </w:pict>
      </w:r>
      <w:r>
        <w:rPr>
          <w:rFonts w:ascii="宋体" w:hAnsi="宋体" w:cs="宋体" w:eastAsia="宋体" w:hint="default"/>
          <w:position w:val="-8"/>
          <w:sz w:val="20"/>
          <w:szCs w:val="20"/>
        </w:rPr>
      </w:r>
    </w:p>
    <w:p>
      <w:pPr>
        <w:pStyle w:val="BodyText"/>
        <w:spacing w:line="240" w:lineRule="auto" w:before="51"/>
        <w:ind w:left="574" w:right="181"/>
        <w:jc w:val="left"/>
      </w:pPr>
      <w:r>
        <w:rPr/>
        <w:t>②</w:t>
      </w:r>
      <w:r>
        <w:rPr>
          <w:spacing w:val="-19"/>
        </w:rPr>
        <w:t> </w:t>
      </w:r>
      <w:r>
        <w:rPr/>
        <w:t>处置齐河晨鸣的净资产列示如下：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312"/>
        <w:gridCol w:w="2801"/>
        <w:gridCol w:w="2574"/>
      </w:tblGrid>
      <w:tr>
        <w:trPr>
          <w:trHeight w:val="435" w:hRule="exact"/>
        </w:trPr>
        <w:tc>
          <w:tcPr>
            <w:tcW w:w="4312"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5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42"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541,546,699.30</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701,109,593.12</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763,196,563.11</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784,468,750.10</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869,001,172.72</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613,760,926.61</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9,555,000.00</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10,290,000.00</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426,187,089.69</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861,527,416.61</w:t>
            </w:r>
          </w:p>
        </w:tc>
      </w:tr>
    </w:tbl>
    <w:p>
      <w:pPr>
        <w:pStyle w:val="BodyText"/>
        <w:spacing w:line="240" w:lineRule="auto" w:before="51"/>
        <w:ind w:left="574" w:right="181"/>
        <w:jc w:val="left"/>
      </w:pPr>
      <w:r>
        <w:rPr/>
        <w:t>③</w:t>
      </w:r>
      <w:r>
        <w:rPr>
          <w:spacing w:val="53"/>
        </w:rPr>
        <w:t> </w:t>
      </w:r>
      <w:r>
        <w:rPr/>
        <w:t>处置损益计算如下：</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7045"/>
        <w:gridCol w:w="2605"/>
      </w:tblGrid>
      <w:tr>
        <w:trPr>
          <w:trHeight w:val="435" w:hRule="exact"/>
        </w:trPr>
        <w:tc>
          <w:tcPr>
            <w:tcW w:w="7045"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5" w:type="dxa"/>
            <w:tcBorders>
              <w:top w:val="single" w:sz="6" w:space="0" w:color="000000"/>
              <w:left w:val="single" w:sz="6" w:space="0" w:color="000000"/>
              <w:bottom w:val="single" w:sz="12" w:space="0" w:color="000000"/>
              <w:right w:val="nil" w:sz="6" w:space="0" w:color="auto"/>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371,850,000.00</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减：齐河晨鸣于处置日的净资产</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426,187,089.69</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加：与齐河晨鸣相关的其他综合收益转入处置当期损益的金额</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253,187.06</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-54,083,902.63</w:t>
            </w:r>
          </w:p>
        </w:tc>
      </w:tr>
    </w:tbl>
    <w:p>
      <w:pPr>
        <w:pStyle w:val="BodyText"/>
        <w:spacing w:line="240" w:lineRule="auto" w:before="51"/>
        <w:ind w:left="574" w:right="181"/>
        <w:jc w:val="left"/>
      </w:pPr>
      <w:r>
        <w:rPr/>
        <w:t>④</w:t>
      </w:r>
      <w:r>
        <w:rPr>
          <w:spacing w:val="-19"/>
        </w:rPr>
        <w:t> </w:t>
      </w:r>
      <w:r>
        <w:rPr/>
        <w:t>齐河晨鸣从处置当年年初至处置日的收入、费用和利润如下：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6472"/>
        <w:gridCol w:w="3215"/>
      </w:tblGrid>
      <w:tr>
        <w:trPr>
          <w:trHeight w:val="435" w:hRule="exact"/>
        </w:trPr>
        <w:tc>
          <w:tcPr>
            <w:tcW w:w="6472" w:type="dxa"/>
            <w:tcBorders>
              <w:top w:val="single" w:sz="6" w:space="0" w:color="000000"/>
              <w:left w:val="single" w:sz="6" w:space="0" w:color="000000"/>
              <w:bottom w:val="single" w:sz="12" w:space="0" w:color="000000"/>
              <w:right w:val="single" w:sz="6" w:space="0" w:color="000000"/>
            </w:tcBorders>
          </w:tcPr>
          <w:p>
            <w:pPr>
              <w:pStyle w:val="TableParagraph"/>
              <w:tabs>
                <w:tab w:pos="1260" w:val="left" w:leader="none"/>
              </w:tabs>
              <w:spacing w:line="240" w:lineRule="auto" w:before="62"/>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5" w:type="dxa"/>
            <w:tcBorders>
              <w:top w:val="single" w:sz="6" w:space="0" w:color="000000"/>
              <w:left w:val="single" w:sz="6" w:space="0" w:color="000000"/>
              <w:bottom w:val="single" w:sz="12" w:space="0" w:color="000000"/>
              <w:right w:val="nil" w:sz="6" w:space="0" w:color="auto"/>
            </w:tcBorders>
          </w:tcPr>
          <w:p>
            <w:pPr>
              <w:pStyle w:val="TableParagraph"/>
              <w:tabs>
                <w:tab w:pos="543"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1,382,819,461.81</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1,417,790,883.18</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-34,971,421.37</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-8,863,017.49</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-26,108,403.88</w:t>
            </w:r>
          </w:p>
        </w:tc>
      </w:tr>
    </w:tbl>
    <w:p>
      <w:pPr>
        <w:pStyle w:val="BodyText"/>
        <w:spacing w:line="338" w:lineRule="auto" w:before="51"/>
        <w:ind w:left="574" w:right="181"/>
        <w:jc w:val="left"/>
      </w:pPr>
      <w:r>
        <w:rPr/>
        <w:t>（</w:t>
      </w:r>
      <w:r>
        <w:rPr>
          <w:rFonts w:ascii="Times New Roman" w:hAnsi="Times New Roman" w:cs="Times New Roman" w:eastAsia="Times New Roman" w:hint="default"/>
        </w:rPr>
        <w:t>3</w:t>
      </w:r>
      <w:r>
        <w:rPr/>
        <w:t>）</w:t>
      </w:r>
      <w:r>
        <w:rPr>
          <w:spacing w:val="-17"/>
        </w:rPr>
        <w:t> </w:t>
      </w:r>
      <w:r>
        <w:rPr/>
        <w:t>齐河板材</w:t>
      </w:r>
      <w:r>
        <w:rPr/>
        <w:t> </w:t>
      </w:r>
      <w:r>
        <w:rPr>
          <w:spacing w:val="-1"/>
        </w:rPr>
        <w:t>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日，本集团将拥有的齐河板材</w:t>
      </w:r>
      <w:r>
        <w:rPr>
          <w:rFonts w:ascii="Times New Roman" w:hAnsi="Times New Roman" w:cs="Times New Roman" w:eastAsia="Times New Roman" w:hint="default"/>
          <w:spacing w:val="-1"/>
        </w:rPr>
        <w:t>100%</w:t>
      </w:r>
      <w:r>
        <w:rPr>
          <w:spacing w:val="-1"/>
        </w:rPr>
        <w:t>的股权全部转让予山东全福元商业集团有限责任公司。出售日为本</w:t>
      </w:r>
    </w:p>
    <w:p>
      <w:pPr>
        <w:pStyle w:val="BodyText"/>
        <w:spacing w:line="218" w:lineRule="exact"/>
        <w:ind w:left="153" w:right="181"/>
        <w:jc w:val="left"/>
      </w:pPr>
      <w:r>
        <w:rPr/>
        <w:t>集团实际丧失对齐河板材净资产和财务、经营决策的控制权的日期。</w:t>
      </w:r>
    </w:p>
    <w:p>
      <w:pPr>
        <w:pStyle w:val="BodyText"/>
        <w:spacing w:line="240" w:lineRule="auto" w:before="116"/>
        <w:ind w:left="573" w:right="181"/>
        <w:jc w:val="left"/>
      </w:pPr>
      <w:r>
        <w:rPr/>
        <w:t>①</w:t>
      </w:r>
      <w:r>
        <w:rPr>
          <w:spacing w:val="-19"/>
        </w:rPr>
        <w:t> </w:t>
      </w:r>
      <w:r>
        <w:rPr/>
        <w:t>处置价格及现金流量列示如下：</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7031"/>
        <w:gridCol w:w="2620"/>
      </w:tblGrid>
      <w:tr>
        <w:trPr>
          <w:trHeight w:val="434" w:hRule="exact"/>
        </w:trPr>
        <w:tc>
          <w:tcPr>
            <w:tcW w:w="7031"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0" w:type="dxa"/>
            <w:tcBorders>
              <w:top w:val="single" w:sz="6" w:space="0" w:color="000000"/>
              <w:left w:val="single" w:sz="6" w:space="0" w:color="000000"/>
              <w:bottom w:val="single" w:sz="12" w:space="0" w:color="000000"/>
              <w:right w:val="nil" w:sz="6" w:space="0" w:color="auto"/>
            </w:tcBorders>
          </w:tcPr>
          <w:p>
            <w:pPr>
              <w:pStyle w:val="TableParagraph"/>
              <w:tabs>
                <w:tab w:pos="397"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减：齐河板材持有的现金和现金等价物</w:t>
            </w:r>
          </w:p>
        </w:tc>
        <w:tc>
          <w:tcPr>
            <w:tcW w:w="2620"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7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处置收到的现金净额</w:t>
            </w:r>
          </w:p>
        </w:tc>
        <w:tc>
          <w:tcPr>
            <w:tcW w:w="26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51"/>
        <w:ind w:left="574" w:right="181"/>
        <w:jc w:val="left"/>
      </w:pPr>
      <w:r>
        <w:rPr/>
        <w:t>②</w:t>
      </w:r>
      <w:r>
        <w:rPr>
          <w:spacing w:val="-19"/>
        </w:rPr>
        <w:t> </w:t>
      </w:r>
      <w:r>
        <w:rPr/>
        <w:t>处置齐河板材的净资产列示如下：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312"/>
        <w:gridCol w:w="2801"/>
        <w:gridCol w:w="2574"/>
      </w:tblGrid>
      <w:tr>
        <w:trPr>
          <w:trHeight w:val="435" w:hRule="exact"/>
        </w:trPr>
        <w:tc>
          <w:tcPr>
            <w:tcW w:w="4312"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5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42"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7,117,886.41</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22,568,536.78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312"/>
        <w:gridCol w:w="2801"/>
        <w:gridCol w:w="2574"/>
      </w:tblGrid>
      <w:tr>
        <w:trPr>
          <w:trHeight w:val="435" w:hRule="exact"/>
        </w:trPr>
        <w:tc>
          <w:tcPr>
            <w:tcW w:w="4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72,252,628.34</w:t>
            </w:r>
          </w:p>
        </w:tc>
        <w:tc>
          <w:tcPr>
            <w:tcW w:w="25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72,923,098.34</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88,000,000.00</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102,057,288.51</w:t>
            </w: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01" w:type="dxa"/>
            <w:tcBorders>
              <w:top w:val="single" w:sz="12" w:space="0" w:color="000000"/>
              <w:left w:val="single" w:sz="6" w:space="0" w:color="000000"/>
              <w:bottom w:val="single" w:sz="12" w:space="0" w:color="000000"/>
              <w:right w:val="single" w:sz="6" w:space="0" w:color="000000"/>
            </w:tcBorders>
          </w:tcPr>
          <w:p>
            <w:pPr/>
          </w:p>
        </w:tc>
        <w:tc>
          <w:tcPr>
            <w:tcW w:w="257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3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-8,629,485.25</w:t>
            </w:r>
          </w:p>
        </w:tc>
        <w:tc>
          <w:tcPr>
            <w:tcW w:w="25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-6,565,653.39</w:t>
            </w:r>
          </w:p>
        </w:tc>
      </w:tr>
    </w:tbl>
    <w:p>
      <w:pPr>
        <w:pStyle w:val="BodyText"/>
        <w:spacing w:line="240" w:lineRule="auto" w:before="51"/>
        <w:ind w:left="574" w:right="181"/>
        <w:jc w:val="left"/>
      </w:pPr>
      <w:r>
        <w:rPr/>
        <w:t>③</w:t>
      </w:r>
      <w:r>
        <w:rPr>
          <w:spacing w:val="53"/>
        </w:rPr>
        <w:t> </w:t>
      </w:r>
      <w:r>
        <w:rPr/>
        <w:t>处置损益计算如下：</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7045"/>
        <w:gridCol w:w="2605"/>
      </w:tblGrid>
      <w:tr>
        <w:trPr>
          <w:trHeight w:val="435" w:hRule="exact"/>
        </w:trPr>
        <w:tc>
          <w:tcPr>
            <w:tcW w:w="7045" w:type="dxa"/>
            <w:tcBorders>
              <w:top w:val="single" w:sz="6"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5" w:type="dxa"/>
            <w:tcBorders>
              <w:top w:val="single" w:sz="6" w:space="0" w:color="000000"/>
              <w:left w:val="single" w:sz="6" w:space="0" w:color="000000"/>
              <w:bottom w:val="single" w:sz="12" w:space="0" w:color="000000"/>
              <w:right w:val="nil" w:sz="6" w:space="0" w:color="auto"/>
            </w:tcBorders>
          </w:tcPr>
          <w:p>
            <w:pPr>
              <w:pStyle w:val="TableParagraph"/>
              <w:tabs>
                <w:tab w:pos="470"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减：齐河板材于处置日的净资产</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-8,629,485.25</w:t>
            </w: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加：与齐河板材相关的其他综合收益转入处置当期损益的金额</w:t>
            </w:r>
          </w:p>
        </w:tc>
        <w:tc>
          <w:tcPr>
            <w:tcW w:w="2605"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7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18,629,485.25</w:t>
            </w:r>
          </w:p>
        </w:tc>
      </w:tr>
    </w:tbl>
    <w:p>
      <w:pPr>
        <w:pStyle w:val="BodyText"/>
        <w:spacing w:line="240" w:lineRule="auto" w:before="51"/>
        <w:ind w:left="574" w:right="181"/>
        <w:jc w:val="left"/>
      </w:pPr>
      <w:r>
        <w:rPr/>
        <w:t>④</w:t>
      </w:r>
      <w:r>
        <w:rPr>
          <w:spacing w:val="-19"/>
        </w:rPr>
        <w:t> </w:t>
      </w:r>
      <w:r>
        <w:rPr/>
        <w:t>齐河板材从处置当年年初至处置日的收入、费用和利润如下：</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6472"/>
        <w:gridCol w:w="3215"/>
      </w:tblGrid>
      <w:tr>
        <w:trPr>
          <w:trHeight w:val="435" w:hRule="exact"/>
        </w:trPr>
        <w:tc>
          <w:tcPr>
            <w:tcW w:w="6472" w:type="dxa"/>
            <w:tcBorders>
              <w:top w:val="single" w:sz="6" w:space="0" w:color="000000"/>
              <w:left w:val="single" w:sz="6" w:space="0" w:color="000000"/>
              <w:bottom w:val="single" w:sz="12" w:space="0" w:color="000000"/>
              <w:right w:val="single" w:sz="6" w:space="0" w:color="000000"/>
            </w:tcBorders>
          </w:tcPr>
          <w:p>
            <w:pPr>
              <w:pStyle w:val="TableParagraph"/>
              <w:tabs>
                <w:tab w:pos="1260" w:val="left" w:leader="none"/>
              </w:tabs>
              <w:spacing w:line="240" w:lineRule="auto" w:before="62"/>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5" w:type="dxa"/>
            <w:tcBorders>
              <w:top w:val="single" w:sz="6" w:space="0" w:color="000000"/>
              <w:left w:val="single" w:sz="6" w:space="0" w:color="000000"/>
              <w:bottom w:val="single" w:sz="12" w:space="0" w:color="000000"/>
              <w:right w:val="nil" w:sz="6" w:space="0" w:color="auto"/>
            </w:tcBorders>
          </w:tcPr>
          <w:p>
            <w:pPr>
              <w:pStyle w:val="TableParagraph"/>
              <w:tabs>
                <w:tab w:pos="543"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2,063,831.86</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-2,063,831.86</w:t>
            </w: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5"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-2,063,831.86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47" w:lineRule="auto" w:before="35"/>
        <w:ind w:left="154" w:right="27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、本报告期发生的吸收合并</w:t>
      </w:r>
      <w:r>
        <w:rPr>
          <w:rFonts w:ascii="宋体" w:hAnsi="宋体" w:cs="宋体" w:eastAsia="宋体" w:hint="default"/>
          <w:b/>
          <w:bCs/>
          <w:spacing w:val="1"/>
          <w:w w:val="99"/>
          <w:sz w:val="21"/>
          <w:szCs w:val="21"/>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日吸收合并全资子公司寿光丽奔制纸有限公司，对合并报表不产生影响。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2362"/>
        <w:gridCol w:w="3911"/>
        <w:gridCol w:w="3414"/>
      </w:tblGrid>
      <w:tr>
        <w:trPr>
          <w:trHeight w:val="435" w:hRule="exact"/>
        </w:trPr>
        <w:tc>
          <w:tcPr>
            <w:tcW w:w="2362"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2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资产和负债项目</w:t>
            </w:r>
          </w:p>
        </w:tc>
      </w:tr>
      <w:tr>
        <w:trPr>
          <w:trHeight w:val="432" w:hRule="exact"/>
        </w:trPr>
        <w:tc>
          <w:tcPr>
            <w:tcW w:w="2362" w:type="dxa"/>
            <w:vMerge/>
            <w:tcBorders>
              <w:left w:val="single" w:sz="6" w:space="0" w:color="000000"/>
              <w:bottom w:val="single" w:sz="12" w:space="0" w:color="000000"/>
              <w:right w:val="single" w:sz="6" w:space="0" w:color="000000"/>
            </w:tcBorders>
          </w:tcPr>
          <w:p>
            <w:pP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32" w:hRule="exact"/>
        </w:trPr>
        <w:tc>
          <w:tcPr>
            <w:tcW w:w="2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6.2855</w:t>
            </w:r>
            <w:r>
              <w:rPr>
                <w:rFonts w:ascii="宋体" w:hAnsi="宋体" w:cs="宋体" w:eastAsia="宋体" w:hint="default"/>
                <w:sz w:val="18"/>
                <w:szCs w:val="18"/>
              </w:rPr>
              <w:t>人民币</w:t>
            </w:r>
          </w:p>
        </w:tc>
        <w:tc>
          <w:tcPr>
            <w:tcW w:w="3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6.3009</w:t>
            </w:r>
            <w:r>
              <w:rPr>
                <w:rFonts w:ascii="宋体" w:hAnsi="宋体" w:cs="宋体" w:eastAsia="宋体" w:hint="default"/>
                <w:sz w:val="18"/>
                <w:szCs w:val="18"/>
              </w:rPr>
              <w:t>人民币</w:t>
            </w:r>
          </w:p>
        </w:tc>
      </w:tr>
      <w:tr>
        <w:trPr>
          <w:trHeight w:val="432" w:hRule="exact"/>
        </w:trPr>
        <w:tc>
          <w:tcPr>
            <w:tcW w:w="2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7.3049</w:t>
            </w:r>
            <w:r>
              <w:rPr>
                <w:rFonts w:ascii="宋体" w:hAnsi="宋体" w:cs="宋体" w:eastAsia="宋体" w:hint="default"/>
                <w:sz w:val="18"/>
                <w:szCs w:val="18"/>
              </w:rPr>
              <w:t>人民币</w:t>
            </w:r>
          </w:p>
        </w:tc>
        <w:tc>
          <w:tcPr>
            <w:tcW w:w="341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362" w:type="dxa"/>
            <w:vMerge w:val="restart"/>
            <w:tcBorders>
              <w:top w:val="single" w:sz="12" w:space="0" w:color="000000"/>
              <w:left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25"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收入、费用现金流量项目</w:t>
            </w:r>
          </w:p>
        </w:tc>
      </w:tr>
      <w:tr>
        <w:trPr>
          <w:trHeight w:val="432" w:hRule="exact"/>
        </w:trPr>
        <w:tc>
          <w:tcPr>
            <w:tcW w:w="2362" w:type="dxa"/>
            <w:vMerge/>
            <w:tcBorders>
              <w:left w:val="single" w:sz="6" w:space="0" w:color="000000"/>
              <w:bottom w:val="single" w:sz="12" w:space="0" w:color="000000"/>
              <w:right w:val="single" w:sz="6" w:space="0" w:color="000000"/>
            </w:tcBorders>
          </w:tcPr>
          <w:p>
            <w:pP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3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432" w:hRule="exact"/>
        </w:trPr>
        <w:tc>
          <w:tcPr>
            <w:tcW w:w="2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=6.3029</w:t>
            </w:r>
            <w:r>
              <w:rPr>
                <w:rFonts w:ascii="宋体" w:hAnsi="宋体" w:cs="宋体" w:eastAsia="宋体" w:hint="default"/>
                <w:sz w:val="18"/>
                <w:szCs w:val="18"/>
              </w:rPr>
              <w:t>人民币</w:t>
            </w:r>
          </w:p>
        </w:tc>
        <w:tc>
          <w:tcPr>
            <w:tcW w:w="3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6.4505</w:t>
            </w:r>
            <w:r>
              <w:rPr>
                <w:rFonts w:ascii="宋体" w:hAnsi="宋体" w:cs="宋体" w:eastAsia="宋体" w:hint="default"/>
                <w:sz w:val="18"/>
                <w:szCs w:val="18"/>
              </w:rPr>
              <w:t>人民币</w:t>
            </w:r>
          </w:p>
        </w:tc>
      </w:tr>
      <w:tr>
        <w:trPr>
          <w:trHeight w:val="432" w:hRule="exact"/>
        </w:trPr>
        <w:tc>
          <w:tcPr>
            <w:tcW w:w="2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39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7.7856</w:t>
            </w:r>
            <w:r>
              <w:rPr>
                <w:rFonts w:ascii="宋体" w:hAnsi="宋体" w:cs="宋体" w:eastAsia="宋体" w:hint="default"/>
                <w:sz w:val="18"/>
                <w:szCs w:val="18"/>
              </w:rPr>
              <w:t>人民币</w:t>
            </w:r>
          </w:p>
        </w:tc>
        <w:tc>
          <w:tcPr>
            <w:tcW w:w="341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0" w:footer="982" w:top="1060" w:bottom="1180" w:left="980" w:right="94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23"/>
        <w:gridCol w:w="1346"/>
        <w:gridCol w:w="942"/>
        <w:gridCol w:w="1481"/>
        <w:gridCol w:w="1346"/>
        <w:gridCol w:w="940"/>
        <w:gridCol w:w="1615"/>
      </w:tblGrid>
      <w:tr>
        <w:trPr>
          <w:trHeight w:val="201" w:hRule="exact"/>
        </w:trPr>
        <w:tc>
          <w:tcPr>
            <w:tcW w:w="2023" w:type="dxa"/>
            <w:tcBorders>
              <w:top w:val="single" w:sz="4" w:space="0" w:color="000000"/>
              <w:left w:val="single" w:sz="4" w:space="0" w:color="000000"/>
              <w:bottom w:val="nil" w:sz="6" w:space="0" w:color="auto"/>
              <w:right w:val="single" w:sz="4" w:space="0" w:color="000000"/>
            </w:tcBorders>
            <w:shd w:val="clear" w:color="auto" w:fill="D3D3D3"/>
          </w:tcPr>
          <w:p>
            <w:pPr/>
          </w:p>
        </w:tc>
        <w:tc>
          <w:tcPr>
            <w:tcW w:w="376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20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9" w:type="dxa"/>
            <w:gridSpan w:val="3"/>
            <w:vMerge/>
            <w:tcBorders>
              <w:left w:val="single" w:sz="4" w:space="0" w:color="000000"/>
              <w:bottom w:val="single" w:sz="4" w:space="0" w:color="000000"/>
              <w:right w:val="single" w:sz="4" w:space="0" w:color="000000"/>
            </w:tcBorders>
            <w:shd w:val="clear" w:color="auto" w:fill="D3D3D3"/>
          </w:tcPr>
          <w:p>
            <w:pPr/>
          </w:p>
        </w:tc>
        <w:tc>
          <w:tcPr>
            <w:tcW w:w="3901"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023" w:type="dxa"/>
            <w:vMerge/>
            <w:tcBorders>
              <w:left w:val="single" w:sz="4" w:space="0" w:color="000000"/>
              <w:bottom w:val="nil" w:sz="6" w:space="0" w:color="auto"/>
              <w:right w:val="single" w:sz="4" w:space="0" w:color="000000"/>
            </w:tcBorders>
            <w:shd w:val="clear" w:color="auto" w:fill="D3D3D3"/>
          </w:tcPr>
          <w:p>
            <w:pPr/>
          </w:p>
        </w:tc>
        <w:tc>
          <w:tcPr>
            <w:tcW w:w="13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1" w:hRule="exact"/>
        </w:trPr>
        <w:tc>
          <w:tcPr>
            <w:tcW w:w="20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6" w:type="dxa"/>
            <w:vMerge/>
            <w:tcBorders>
              <w:left w:val="single" w:sz="4" w:space="0" w:color="000000"/>
              <w:bottom w:val="single" w:sz="4" w:space="0" w:color="000000"/>
              <w:right w:val="single" w:sz="4" w:space="0" w:color="000000"/>
            </w:tcBorders>
            <w:shd w:val="clear" w:color="auto" w:fill="D3D3D3"/>
          </w:tcPr>
          <w:p>
            <w:pPr/>
          </w:p>
        </w:tc>
        <w:tc>
          <w:tcPr>
            <w:tcW w:w="942" w:type="dxa"/>
            <w:vMerge/>
            <w:tcBorders>
              <w:left w:val="single" w:sz="4" w:space="0" w:color="000000"/>
              <w:bottom w:val="single" w:sz="4" w:space="0" w:color="000000"/>
              <w:right w:val="single" w:sz="4" w:space="0" w:color="000000"/>
            </w:tcBorders>
            <w:shd w:val="clear" w:color="auto" w:fill="D3D3D3"/>
          </w:tcPr>
          <w:p>
            <w:pPr/>
          </w:p>
        </w:tc>
        <w:tc>
          <w:tcPr>
            <w:tcW w:w="1481" w:type="dxa"/>
            <w:vMerge/>
            <w:tcBorders>
              <w:left w:val="single" w:sz="4" w:space="0" w:color="000000"/>
              <w:bottom w:val="single" w:sz="4" w:space="0" w:color="000000"/>
              <w:right w:val="single" w:sz="4" w:space="0" w:color="000000"/>
            </w:tcBorders>
            <w:shd w:val="clear" w:color="auto" w:fill="D3D3D3"/>
          </w:tcPr>
          <w:p>
            <w:pPr/>
          </w:p>
        </w:tc>
        <w:tc>
          <w:tcPr>
            <w:tcW w:w="1346" w:type="dxa"/>
            <w:vMerge/>
            <w:tcBorders>
              <w:left w:val="single" w:sz="4" w:space="0" w:color="000000"/>
              <w:bottom w:val="single" w:sz="4" w:space="0" w:color="000000"/>
              <w:right w:val="single" w:sz="4" w:space="0" w:color="000000"/>
            </w:tcBorders>
            <w:shd w:val="clear" w:color="auto" w:fill="D3D3D3"/>
          </w:tcPr>
          <w:p>
            <w:pPr/>
          </w:p>
        </w:tc>
        <w:tc>
          <w:tcPr>
            <w:tcW w:w="940"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1,398,324.17</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1,908,702.31</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937,182.22</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1,556,425.31</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294,789.95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6.3009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189,027.00</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8.3176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166,352.00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8.1625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163,250.00</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2,342,151,861.28</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2,315,139,917.22</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2,187,734,778.74</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1,830,469,433.66</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23,459,592.25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147,455,267.10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76,809,550.06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6.3009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483,969,293.97</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61,101.44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8.3176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508,217.34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82,977.09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8.1625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677,300.50</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218,778.49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0.81085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177,396.54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29,467.24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0.8107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23,889.09</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85,917,693.00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0.073049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6,276,201.56</w:t>
            </w:r>
          </w:p>
        </w:tc>
        <w:tc>
          <w:tcPr>
            <w:tcW w:w="1346"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2,112,667,177.41</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1,212,889,591.94</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1,953,372,355.46</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1,212,112,028.70</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25,343,206.29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6.2855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159,294,723.14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123,389.73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6.3009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777,466.35</w:t>
            </w:r>
          </w:p>
        </w:tc>
      </w:tr>
      <w:tr>
        <w:trPr>
          <w:trHeight w:val="40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8.3176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8.1625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96.89</w:t>
            </w:r>
          </w:p>
        </w:tc>
      </w:tr>
      <w:tr>
        <w:trPr>
          <w:trHeight w:val="403"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4,456,217,362.86</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3,529,938,211.47</w:t>
            </w:r>
          </w:p>
        </w:tc>
      </w:tr>
    </w:tbl>
    <w:p>
      <w:pPr>
        <w:pStyle w:val="BodyText"/>
        <w:spacing w:line="357" w:lineRule="auto" w:before="51"/>
        <w:ind w:left="573" w:right="0" w:hanging="420"/>
        <w:jc w:val="left"/>
      </w:pPr>
      <w:r>
        <w:rPr/>
        <w:t>如有因抵押、质押或冻结等对使用有限制、存放在境外、有潜在回收风险的款项应单独说明 </w:t>
      </w:r>
      <w:r>
        <w:rPr>
          <w:spacing w:val="2"/>
        </w:rPr>
        <w:t>注：①于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日，本集团其他货币资金中人民币</w:t>
      </w:r>
      <w:r>
        <w:rPr>
          <w:rFonts w:ascii="Times New Roman" w:hAnsi="Times New Roman" w:cs="Times New Roman" w:eastAsia="Times New Roman" w:hint="default"/>
          <w:spacing w:val="2"/>
        </w:rPr>
        <w:t>136,092,448.78</w:t>
      </w:r>
      <w:r>
        <w:rPr>
          <w:spacing w:val="2"/>
        </w:rPr>
        <w:t>元所有权受限制（</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
    </w:p>
    <w:p>
      <w:pPr>
        <w:pStyle w:val="BodyText"/>
        <w:spacing w:line="214" w:lineRule="exact"/>
        <w:ind w:right="0"/>
        <w:jc w:val="left"/>
      </w:pPr>
      <w:r>
        <w:rPr>
          <w:rFonts w:ascii="Times New Roman" w:hAnsi="Times New Roman" w:cs="Times New Roman" w:eastAsia="Times New Roman" w:hint="default"/>
        </w:rPr>
        <w:t>402,100,000.00</w:t>
      </w:r>
      <w:r>
        <w:rPr/>
        <w:t>元），系本集团以人民币</w:t>
      </w:r>
      <w:r>
        <w:rPr>
          <w:rFonts w:ascii="Times New Roman" w:hAnsi="Times New Roman" w:cs="Times New Roman" w:eastAsia="Times New Roman" w:hint="default"/>
        </w:rPr>
        <w:t>136,092,448.78</w:t>
      </w:r>
      <w:r>
        <w:rPr/>
        <w:t>元银行定期存单为质押取得摩根大通银行借款</w:t>
      </w:r>
      <w:r>
        <w:rPr>
          <w:rFonts w:ascii="Times New Roman" w:hAnsi="Times New Roman" w:cs="Times New Roman" w:eastAsia="Times New Roman" w:hint="default"/>
        </w:rPr>
        <w:t>20,000,000.00</w:t>
      </w:r>
      <w:r>
        <w:rPr/>
        <w:t>美元，期</w:t>
      </w:r>
    </w:p>
    <w:p>
      <w:pPr>
        <w:pStyle w:val="BodyText"/>
        <w:spacing w:line="240" w:lineRule="auto" w:before="64"/>
        <w:ind w:right="0"/>
        <w:jc w:val="left"/>
      </w:pPr>
      <w:r>
        <w:rPr/>
        <w:t>限为</w:t>
      </w:r>
      <w:r>
        <w:rPr>
          <w:rFonts w:ascii="Times New Roman" w:hAnsi="Times New Roman" w:cs="Times New Roman" w:eastAsia="Times New Roman" w:hint="default"/>
        </w:rPr>
        <w:t>2</w:t>
      </w:r>
      <w:r>
        <w:rPr/>
        <w:t>年；</w:t>
      </w:r>
    </w:p>
    <w:p>
      <w:pPr>
        <w:pStyle w:val="BodyText"/>
        <w:spacing w:line="302" w:lineRule="auto" w:before="102"/>
        <w:ind w:right="0" w:firstLine="217"/>
        <w:jc w:val="left"/>
      </w:pPr>
      <w:r>
        <w:rPr>
          <w:spacing w:val="-1"/>
        </w:rPr>
        <w:t>②其他货币资金</w:t>
      </w:r>
      <w:r>
        <w:rPr>
          <w:rFonts w:ascii="Times New Roman" w:hAnsi="Times New Roman" w:cs="Times New Roman" w:eastAsia="Times New Roman" w:hint="default"/>
          <w:spacing w:val="-1"/>
        </w:rPr>
        <w:t>987,167,187.90</w:t>
      </w:r>
      <w:r>
        <w:rPr>
          <w:spacing w:val="-1"/>
        </w:rPr>
        <w:t>元（</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263,942,118.89</w:t>
      </w:r>
      <w:r>
        <w:rPr>
          <w:spacing w:val="-1"/>
        </w:rPr>
        <w:t>元）为本集团向银行申请开具银行承兑汇票所存入的</w:t>
      </w:r>
      <w:r>
        <w:rPr/>
        <w:t> 保证金存款；</w:t>
      </w:r>
    </w:p>
    <w:p>
      <w:pPr>
        <w:pStyle w:val="BodyText"/>
        <w:spacing w:line="302" w:lineRule="auto" w:before="68"/>
        <w:ind w:right="0" w:firstLine="315"/>
        <w:jc w:val="left"/>
      </w:pPr>
      <w:r>
        <w:rPr>
          <w:spacing w:val="-2"/>
        </w:rPr>
        <w:t>③其他货币资金</w:t>
      </w:r>
      <w:r>
        <w:rPr>
          <w:rFonts w:ascii="Times New Roman" w:hAnsi="Times New Roman" w:cs="Times New Roman" w:eastAsia="Times New Roman" w:hint="default"/>
          <w:spacing w:val="-2"/>
        </w:rPr>
        <w:t>595,207,540.73</w:t>
      </w:r>
      <w:r>
        <w:rPr>
          <w:spacing w:val="-2"/>
        </w:rPr>
        <w:t>元</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546,847,473.05</w:t>
      </w:r>
      <w:r>
        <w:rPr>
          <w:spacing w:val="-2"/>
        </w:rPr>
        <w:t>元</w:t>
      </w:r>
      <w:r>
        <w:rPr>
          <w:rFonts w:ascii="Times New Roman" w:hAnsi="Times New Roman" w:cs="Times New Roman" w:eastAsia="Times New Roman" w:hint="default"/>
          <w:spacing w:val="-2"/>
        </w:rPr>
        <w:t>)</w:t>
      </w:r>
      <w:r>
        <w:rPr>
          <w:spacing w:val="-2"/>
        </w:rPr>
        <w:t>，为本集团向银行申请开具信用证所存入的保证金</w:t>
      </w:r>
      <w:r>
        <w:rPr/>
        <w:t> 存款。</w:t>
      </w:r>
    </w:p>
    <w:p>
      <w:pPr>
        <w:pStyle w:val="BodyText"/>
        <w:spacing w:line="240" w:lineRule="auto" w:before="69"/>
        <w:ind w:left="469" w:right="0"/>
        <w:jc w:val="left"/>
      </w:pPr>
      <w:r>
        <w:rPr/>
        <w:t>④其他货币资金</w:t>
      </w:r>
      <w:r>
        <w:rPr>
          <w:rFonts w:ascii="Times New Roman" w:hAnsi="Times New Roman" w:cs="Times New Roman" w:eastAsia="Times New Roman" w:hint="default"/>
        </w:rPr>
        <w:t>394,200,000.00</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0</w:t>
      </w:r>
      <w:r>
        <w:rPr/>
        <w:t>元</w:t>
      </w:r>
      <w:r>
        <w:rPr>
          <w:rFonts w:ascii="Times New Roman" w:hAnsi="Times New Roman" w:cs="Times New Roman" w:eastAsia="Times New Roman" w:hint="default"/>
        </w:rPr>
        <w:t>)</w:t>
      </w:r>
      <w:r>
        <w:rPr/>
        <w:t>，为本集团向银行申请保函所存入的保证金存款。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1,852,478,364.46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2,444,508,997.74</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1,852,478,364.46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2,444,508,997.74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26"/>
        <w:gridCol w:w="1980"/>
        <w:gridCol w:w="1980"/>
        <w:gridCol w:w="1621"/>
        <w:gridCol w:w="1386"/>
      </w:tblGrid>
      <w:tr>
        <w:trPr>
          <w:trHeight w:val="401" w:hRule="exact"/>
        </w:trPr>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无锡市亿发纸业有限公司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镇江金龙包装材料有限公司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海南人教文海出版发行有限公司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成都金泰元纸业有限公司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海南人教文海出版发行有限公司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17,200,000.00</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59" w:lineRule="auto" w:before="35"/>
        <w:ind w:left="153"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1060" w:bottom="1180" w:left="980" w:right="980"/>
        </w:sectPr>
      </w:pPr>
    </w:p>
    <w:p>
      <w:pPr>
        <w:pStyle w:val="BodyText"/>
        <w:spacing w:line="357" w:lineRule="auto" w:before="44"/>
        <w:ind w:left="153" w:right="-19"/>
        <w:jc w:val="left"/>
      </w:pPr>
      <w:r>
        <w:rPr/>
        <w:t>因出票人无力履约而将票据转为应收账款的票据 无</w:t>
      </w:r>
    </w:p>
    <w:p>
      <w:pPr>
        <w:pStyle w:val="BodyText"/>
        <w:spacing w:line="240" w:lineRule="auto" w:before="29"/>
        <w:ind w:left="153" w:right="-19"/>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3935" w:space="489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980"/>
        <w:gridCol w:w="1980"/>
        <w:gridCol w:w="1620"/>
        <w:gridCol w:w="1290"/>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深圳市极雅致印刷有限公公司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常熟市双乐印包装有限公司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江西蓝海国际贸易有限公司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北新建材集团有限公司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4,426,642.00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浙江义乌和昌纸业有限公司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21,706,642.00</w:t>
            </w:r>
          </w:p>
        </w:tc>
        <w:tc>
          <w:tcPr>
            <w:tcW w:w="1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410"/>
        <w:jc w:val="left"/>
      </w:pPr>
      <w:r>
        <w:rPr/>
        <w:t>说明 无</w:t>
      </w:r>
    </w:p>
    <w:p>
      <w:pPr>
        <w:pStyle w:val="BodyText"/>
        <w:spacing w:line="357" w:lineRule="auto" w:before="29"/>
        <w:ind w:left="153" w:right="6891"/>
        <w:jc w:val="left"/>
      </w:pPr>
      <w:r>
        <w:rPr/>
        <w:t>已贴现或质押的商业承兑票据的说明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88"/>
        <w:gridCol w:w="1452"/>
        <w:gridCol w:w="720"/>
        <w:gridCol w:w="1266"/>
        <w:gridCol w:w="534"/>
        <w:gridCol w:w="1356"/>
        <w:gridCol w:w="720"/>
        <w:gridCol w:w="1266"/>
        <w:gridCol w:w="564"/>
      </w:tblGrid>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
        </w:tc>
        <w:tc>
          <w:tcPr>
            <w:tcW w:w="39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788" w:type="dxa"/>
            <w:vMerge/>
            <w:tcBorders>
              <w:left w:val="single" w:sz="4" w:space="0" w:color="000000"/>
              <w:bottom w:val="nil" w:sz="6" w:space="0" w:color="auto"/>
              <w:right w:val="single" w:sz="4" w:space="0" w:color="000000"/>
            </w:tcBorders>
            <w:shd w:val="clear" w:color="auto" w:fill="D3D3D3"/>
          </w:tcPr>
          <w:p>
            <w:pPr/>
          </w:p>
        </w:tc>
        <w:tc>
          <w:tcPr>
            <w:tcW w:w="21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1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72" w:type="dxa"/>
            <w:gridSpan w:val="2"/>
            <w:vMerge/>
            <w:tcBorders>
              <w:left w:val="single" w:sz="4" w:space="0" w:color="000000"/>
              <w:bottom w:val="single" w:sz="4" w:space="0" w:color="000000"/>
              <w:right w:val="single" w:sz="4" w:space="0" w:color="000000"/>
            </w:tcBorders>
            <w:shd w:val="clear" w:color="auto" w:fill="D3D3D3"/>
          </w:tcPr>
          <w:p>
            <w:pPr/>
          </w:p>
        </w:tc>
        <w:tc>
          <w:tcPr>
            <w:tcW w:w="1800" w:type="dxa"/>
            <w:gridSpan w:val="2"/>
            <w:vMerge/>
            <w:tcBorders>
              <w:left w:val="single" w:sz="4" w:space="0" w:color="000000"/>
              <w:bottom w:val="single" w:sz="4" w:space="0" w:color="000000"/>
              <w:right w:val="single" w:sz="4" w:space="0" w:color="000000"/>
            </w:tcBorders>
            <w:shd w:val="clear" w:color="auto" w:fill="D3D3D3"/>
          </w:tcPr>
          <w:p>
            <w:pPr/>
          </w:p>
        </w:tc>
        <w:tc>
          <w:tcPr>
            <w:tcW w:w="2076" w:type="dxa"/>
            <w:gridSpan w:val="2"/>
            <w:vMerge/>
            <w:tcBorders>
              <w:left w:val="single" w:sz="4" w:space="0" w:color="000000"/>
              <w:bottom w:val="single" w:sz="4" w:space="0" w:color="000000"/>
              <w:right w:val="single" w:sz="4" w:space="0" w:color="000000"/>
            </w:tcBorders>
            <w:shd w:val="clear" w:color="auto" w:fill="D3D3D3"/>
          </w:tcPr>
          <w:p>
            <w:pPr/>
          </w:p>
        </w:tc>
        <w:tc>
          <w:tcPr>
            <w:tcW w:w="1830" w:type="dxa"/>
            <w:gridSpan w:val="2"/>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788" w:type="dxa"/>
            <w:vMerge/>
            <w:tcBorders>
              <w:left w:val="single" w:sz="4" w:space="0" w:color="000000"/>
              <w:bottom w:val="nil" w:sz="6" w:space="0" w:color="auto"/>
              <w:right w:val="single" w:sz="4" w:space="0" w:color="000000"/>
            </w:tcBorders>
            <w:shd w:val="clear" w:color="auto" w:fill="D3D3D3"/>
          </w:tcPr>
          <w:p>
            <w:pP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38"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88" w:type="dxa"/>
            <w:vMerge w:val="restart"/>
            <w:tcBorders>
              <w:top w:val="nil" w:sz="6" w:space="0" w:color="auto"/>
              <w:left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534" w:type="dxa"/>
            <w:vMerge/>
            <w:tcBorders>
              <w:left w:val="single" w:sz="4" w:space="0" w:color="000000"/>
              <w:right w:val="single" w:sz="4" w:space="0" w:color="000000"/>
            </w:tcBorders>
            <w:shd w:val="clear" w:color="auto" w:fill="D3D3D3"/>
          </w:tcPr>
          <w:p>
            <w:pPr/>
          </w:p>
        </w:tc>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564" w:type="dxa"/>
            <w:vMerge/>
            <w:tcBorders>
              <w:left w:val="single" w:sz="4" w:space="0" w:color="000000"/>
              <w:right w:val="single" w:sz="4" w:space="0" w:color="000000"/>
            </w:tcBorders>
            <w:shd w:val="clear" w:color="auto" w:fill="D3D3D3"/>
          </w:tcPr>
          <w:p>
            <w:pPr/>
          </w:p>
        </w:tc>
      </w:tr>
      <w:tr>
        <w:trPr>
          <w:trHeight w:val="161"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34" w:type="dxa"/>
            <w:vMerge/>
            <w:tcBorders>
              <w:left w:val="single" w:sz="4" w:space="0" w:color="000000"/>
              <w:bottom w:val="single" w:sz="4" w:space="0" w:color="000000"/>
              <w:right w:val="single" w:sz="4" w:space="0" w:color="000000"/>
            </w:tcBorders>
            <w:shd w:val="clear" w:color="auto" w:fill="D3D3D3"/>
          </w:tcPr>
          <w:p>
            <w:pPr/>
          </w:p>
        </w:tc>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4"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单项金额重大并单项 计提坏账准备的应收 账款</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48,696,549.72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48,696,549.72</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56,089,509.86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56,089,509.86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6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358,778,459.12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9.27%</w:t>
            </w:r>
          </w:p>
        </w:tc>
        <w:tc>
          <w:tcPr>
            <w:tcW w:w="126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241,485,698.41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7.72%</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3,461,286,305.68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217,109,713.62</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2,831,411,794.16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90.49%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186,459,737.88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6.59%</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3,820,064,764.80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98.74%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217,109,713.62</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3,072,897,492.57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186,459,737.88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6.07%</w:t>
            </w: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应收账款</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86,850.13</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86,850.13</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3,868,848,164.65</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265,893,113.47</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3,128,987,002.43</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6"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242,549,247.74</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573" w:right="7771" w:hanging="420"/>
        <w:jc w:val="left"/>
      </w:pPr>
      <w:r>
        <w:rPr/>
        <w:t>应收账款种类的说明 应收账款按账龄列示</w:t>
      </w:r>
    </w:p>
    <w:tbl>
      <w:tblPr>
        <w:tblW w:w="0" w:type="auto"/>
        <w:jc w:val="left"/>
        <w:tblInd w:w="146" w:type="dxa"/>
        <w:tblLayout w:type="fixed"/>
        <w:tblCellMar>
          <w:top w:w="0" w:type="dxa"/>
          <w:left w:w="0" w:type="dxa"/>
          <w:bottom w:w="0" w:type="dxa"/>
          <w:right w:w="0" w:type="dxa"/>
        </w:tblCellMar>
        <w:tblLook w:val="01E0"/>
      </w:tblPr>
      <w:tblGrid>
        <w:gridCol w:w="1434"/>
        <w:gridCol w:w="2412"/>
        <w:gridCol w:w="1885"/>
        <w:gridCol w:w="2164"/>
        <w:gridCol w:w="1792"/>
      </w:tblGrid>
      <w:tr>
        <w:trPr>
          <w:trHeight w:val="435" w:hRule="exact"/>
        </w:trPr>
        <w:tc>
          <w:tcPr>
            <w:tcW w:w="1434" w:type="dxa"/>
            <w:vMerge w:val="restart"/>
            <w:tcBorders>
              <w:top w:val="single" w:sz="6" w:space="0" w:color="000000"/>
              <w:left w:val="single" w:sz="6" w:space="0" w:color="000000"/>
              <w:right w:val="single" w:sz="6" w:space="0" w:color="000000"/>
            </w:tcBorders>
          </w:tcPr>
          <w:p>
            <w:pPr>
              <w:pStyle w:val="TableParagraph"/>
              <w:spacing w:line="240" w:lineRule="auto" w:before="62"/>
              <w:ind w:left="45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9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5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1434" w:type="dxa"/>
            <w:vMerge/>
            <w:tcBorders>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3,709,154,191.60</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95.88%</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3,011,123,696.78</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96.23%</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65,152,312.73</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1.68%</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23,656,767.35</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0.76%</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3,440,056.06</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0.09%</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14,291,872.31</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0.46%</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91,101,604.26</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2.35%</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79,914,665.99</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2.55%</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3,868,848,164.65</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100.00%</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3,128,987,002.43</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65"/>
        <w:ind w:left="153" w:right="181" w:firstLine="420"/>
        <w:jc w:val="left"/>
      </w:pPr>
      <w:r>
        <w:rPr/>
        <w:t>除了若干客户获授超过</w:t>
      </w:r>
      <w:r>
        <w:rPr>
          <w:rFonts w:ascii="Times New Roman" w:hAnsi="Times New Roman" w:cs="Times New Roman" w:eastAsia="Times New Roman" w:hint="default"/>
        </w:rPr>
        <w:t>90</w:t>
      </w:r>
      <w:r>
        <w:rPr/>
        <w:t>日的信用期外，本集团授予贸易客户平均</w:t>
      </w:r>
      <w:r>
        <w:rPr>
          <w:rFonts w:ascii="Times New Roman" w:hAnsi="Times New Roman" w:cs="Times New Roman" w:eastAsia="Times New Roman" w:hint="default"/>
        </w:rPr>
        <w:t>90</w:t>
      </w:r>
      <w:r>
        <w:rPr/>
        <w:t>日信用期。于报告日，根据发票日期扣除减值账</w:t>
      </w:r>
      <w:r>
        <w:rPr>
          <w:spacing w:val="1"/>
        </w:rPr>
        <w:t> </w:t>
      </w:r>
      <w:r>
        <w:rPr/>
        <w:t>龄分析如下：</w:t>
      </w:r>
    </w:p>
    <w:p>
      <w:pPr>
        <w:spacing w:line="240" w:lineRule="auto" w:before="8"/>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85.05pt;height:.75pt;mso-position-horizontal-relative:char;mso-position-vertical-relative:line" coordorigin="0,0" coordsize="9701,15">
            <v:group style="position:absolute;left:7;top:7;width:9687;height:2" coordorigin="7,7" coordsize="9687,2">
              <v:shape style="position:absolute;left:7;top:7;width:9687;height:2" coordorigin="7,7" coordsize="9687,0" path="m7,7l9694,7e" filled="false" stroked="true" strokeweight=".72pt" strokecolor="#000000">
                <v:path arrowok="t"/>
              </v:shape>
            </v:group>
          </v:group>
        </w:pict>
      </w:r>
      <w:r>
        <w:rPr>
          <w:rFonts w:ascii="宋体" w:hAnsi="宋体" w:cs="宋体" w:eastAsia="宋体" w:hint="default"/>
          <w:sz w:val="2"/>
          <w:szCs w:val="2"/>
        </w:rPr>
      </w:r>
    </w:p>
    <w:p>
      <w:pPr>
        <w:pStyle w:val="BodyText"/>
        <w:tabs>
          <w:tab w:pos="4282" w:val="left" w:leader="none"/>
          <w:tab w:pos="7862" w:val="left" w:leader="none"/>
        </w:tabs>
        <w:spacing w:line="240" w:lineRule="auto" w:before="56"/>
        <w:ind w:left="1092" w:right="181"/>
        <w:jc w:val="left"/>
      </w:pPr>
      <w:r>
        <w:rPr/>
        <w:t>账龄</w:t>
        <w:tab/>
        <w:t>年末数</w:t>
        <w:tab/>
        <w:t>年初数</w:t>
      </w:r>
    </w:p>
    <w:p>
      <w:pPr>
        <w:spacing w:line="240" w:lineRule="auto" w:before="10"/>
        <w:rPr>
          <w:rFonts w:ascii="宋体" w:hAnsi="宋体" w:cs="宋体" w:eastAsia="宋体" w:hint="default"/>
          <w:sz w:val="8"/>
          <w:szCs w:val="8"/>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5.85pt;height:1.5pt;mso-position-horizontal-relative:char;mso-position-vertical-relative:line" coordorigin="0,0" coordsize="9717,30">
            <v:group style="position:absolute;left:15;top:15;width:9687;height:2" coordorigin="15,15" coordsize="9687,2">
              <v:shape style="position:absolute;left:15;top:15;width:9687;height:2" coordorigin="15,15" coordsize="9687,0" path="m15,15l9701,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4850" w:val="left" w:leader="none"/>
          <w:tab w:pos="8578" w:val="left" w:leader="none"/>
        </w:tabs>
        <w:spacing w:line="240" w:lineRule="auto" w:before="51"/>
        <w:ind w:left="163" w:right="9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年以内</w:t>
        <w:tab/>
      </w:r>
      <w:r>
        <w:rPr>
          <w:rFonts w:ascii="Times New Roman" w:hAnsi="Times New Roman" w:cs="Times New Roman" w:eastAsia="Times New Roman" w:hint="default"/>
          <w:spacing w:val="-1"/>
        </w:rPr>
        <w:t>3,541,635,404.98</w:t>
        <w:tab/>
        <w:t>2,872,638,580.01</w:t>
      </w:r>
    </w:p>
    <w:p>
      <w:pPr>
        <w:spacing w:line="240" w:lineRule="auto" w:before="9"/>
        <w:rPr>
          <w:rFonts w:ascii="Times New Roman" w:hAnsi="Times New Roman" w:cs="Times New Roman" w:eastAsia="Times New Roman" w:hint="default"/>
          <w:sz w:val="8"/>
          <w:szCs w:val="8"/>
        </w:rPr>
      </w:pPr>
    </w:p>
    <w:p>
      <w:pPr>
        <w:spacing w:line="30" w:lineRule="exact"/>
        <w:ind w:left="13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5.85pt;height:1.5pt;mso-position-horizontal-relative:char;mso-position-vertical-relative:line" coordorigin="0,0" coordsize="9717,30">
            <v:group style="position:absolute;left:15;top:15;width:9687;height:2" coordorigin="15,15" coordsize="9687,2">
              <v:shape style="position:absolute;left:15;top:15;width:9687;height:2" coordorigin="15,15" coordsize="9687,0" path="m15,15l970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BodyText"/>
        <w:tabs>
          <w:tab w:pos="5076" w:val="left" w:leader="none"/>
          <w:tab w:pos="8894" w:val="left" w:leader="none"/>
        </w:tabs>
        <w:spacing w:line="240" w:lineRule="auto" w:before="51"/>
        <w:ind w:left="163" w:right="9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至</w:t>
      </w:r>
      <w:r>
        <w:rPr>
          <w:rFonts w:ascii="Times New Roman" w:hAnsi="Times New Roman" w:cs="Times New Roman" w:eastAsia="Times New Roman" w:hint="default"/>
        </w:rPr>
        <w:t>2</w:t>
      </w:r>
      <w:r>
        <w:rPr/>
        <w:t>年</w:t>
        <w:tab/>
      </w:r>
      <w:r>
        <w:rPr>
          <w:rFonts w:ascii="Times New Roman" w:hAnsi="Times New Roman" w:cs="Times New Roman" w:eastAsia="Times New Roman" w:hint="default"/>
          <w:spacing w:val="-1"/>
        </w:rPr>
        <w:t>58,637,081.46</w:t>
        <w:tab/>
        <w:t>9,869,976.13</w:t>
      </w:r>
    </w:p>
    <w:p>
      <w:pPr>
        <w:spacing w:line="240" w:lineRule="auto" w:before="9"/>
        <w:rPr>
          <w:rFonts w:ascii="Times New Roman" w:hAnsi="Times New Roman" w:cs="Times New Roman" w:eastAsia="Times New Roman" w:hint="default"/>
          <w:sz w:val="8"/>
          <w:szCs w:val="8"/>
        </w:rPr>
      </w:pPr>
    </w:p>
    <w:p>
      <w:pPr>
        <w:spacing w:line="30" w:lineRule="exact"/>
        <w:ind w:left="13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5.85pt;height:1.5pt;mso-position-horizontal-relative:char;mso-position-vertical-relative:line" coordorigin="0,0" coordsize="9717,30">
            <v:group style="position:absolute;left:15;top:15;width:9687;height:2" coordorigin="15,15" coordsize="9687,2">
              <v:shape style="position:absolute;left:15;top:15;width:9687;height:2" coordorigin="15,15" coordsize="9687,0" path="m15,15l970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BodyText"/>
        <w:tabs>
          <w:tab w:pos="5166" w:val="left" w:leader="none"/>
          <w:tab w:pos="8894" w:val="left" w:leader="none"/>
        </w:tabs>
        <w:spacing w:line="240" w:lineRule="auto" w:before="51"/>
        <w:ind w:left="163" w:right="9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至</w:t>
      </w:r>
      <w:r>
        <w:rPr>
          <w:rFonts w:ascii="Times New Roman" w:hAnsi="Times New Roman" w:cs="Times New Roman" w:eastAsia="Times New Roman" w:hint="default"/>
        </w:rPr>
        <w:t>3</w:t>
      </w:r>
      <w:r>
        <w:rPr/>
        <w:t>年</w:t>
        <w:tab/>
      </w:r>
      <w:r>
        <w:rPr>
          <w:rFonts w:ascii="Times New Roman" w:hAnsi="Times New Roman" w:cs="Times New Roman" w:eastAsia="Times New Roman" w:hint="default"/>
          <w:spacing w:val="-1"/>
        </w:rPr>
        <w:t>2,682,564.74</w:t>
        <w:tab/>
        <w:t>3,929,198.55</w:t>
      </w:r>
    </w:p>
    <w:p>
      <w:pPr>
        <w:spacing w:line="240" w:lineRule="auto" w:before="9"/>
        <w:rPr>
          <w:rFonts w:ascii="Times New Roman" w:hAnsi="Times New Roman" w:cs="Times New Roman" w:eastAsia="Times New Roman" w:hint="default"/>
          <w:sz w:val="8"/>
          <w:szCs w:val="8"/>
        </w:rPr>
      </w:pPr>
    </w:p>
    <w:p>
      <w:pPr>
        <w:spacing w:line="30" w:lineRule="exact"/>
        <w:ind w:left="13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5.85pt;height:1.5pt;mso-position-horizontal-relative:char;mso-position-vertical-relative:line" coordorigin="0,0" coordsize="9717,30">
            <v:group style="position:absolute;left:15;top:15;width:9687;height:2" coordorigin="15,15" coordsize="9687,2">
              <v:shape style="position:absolute;left:15;top:15;width:9687;height:2" coordorigin="15,15" coordsize="9687,0" path="m15,15l970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BodyText"/>
        <w:tabs>
          <w:tab w:pos="4850" w:val="left" w:leader="none"/>
          <w:tab w:pos="8578" w:val="left" w:leader="none"/>
        </w:tabs>
        <w:spacing w:line="240" w:lineRule="auto" w:before="51"/>
        <w:ind w:left="1092" w:right="99"/>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
        </w:rPr>
        <w:t>3,602,955,051.18</w:t>
        <w:tab/>
        <w:t>2,886,437,754.69</w:t>
      </w:r>
    </w:p>
    <w:p>
      <w:pPr>
        <w:spacing w:line="240" w:lineRule="auto" w:before="9"/>
        <w:rPr>
          <w:rFonts w:ascii="Times New Roman" w:hAnsi="Times New Roman" w:cs="Times New Roman" w:eastAsia="Times New Roman" w:hint="default"/>
          <w:sz w:val="8"/>
          <w:szCs w:val="8"/>
        </w:rPr>
      </w:pPr>
    </w:p>
    <w:p>
      <w:pPr>
        <w:spacing w:line="30" w:lineRule="exact"/>
        <w:ind w:left="12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6.9pt;height:1.5pt;mso-position-horizontal-relative:char;mso-position-vertical-relative:line" coordorigin="0,0" coordsize="9738,30">
            <v:group style="position:absolute;left:15;top:15;width:2252;height:2" coordorigin="15,15" coordsize="2252,2">
              <v:shape style="position:absolute;left:15;top:15;width:2252;height:2" coordorigin="15,15" coordsize="2252,0" path="m15,15l2266,15e" filled="false" stroked="true" strokeweight="1.5pt" strokecolor="#000000">
                <v:path arrowok="t"/>
              </v:shape>
            </v:group>
            <v:group style="position:absolute;left:2252;top:15;width:612;height:2" coordorigin="2252,15" coordsize="612,2">
              <v:shape style="position:absolute;left:2252;top:15;width:612;height:2" coordorigin="2252,15" coordsize="612,0" path="m2252,15l2864,15e" filled="false" stroked="true" strokeweight="1.5pt" strokecolor="#000000">
                <v:path arrowok="t"/>
              </v:shape>
            </v:group>
            <v:group style="position:absolute;left:2849;top:15;width:3146;height:2" coordorigin="2849,15" coordsize="3146,2">
              <v:shape style="position:absolute;left:2849;top:15;width:3146;height:2" coordorigin="2849,15" coordsize="3146,0" path="m2849,15l5995,15e" filled="false" stroked="true" strokeweight="1.5pt" strokecolor="#000000">
                <v:path arrowok="t"/>
              </v:shape>
            </v:group>
            <v:group style="position:absolute;left:5980;top:15;width:314;height:2" coordorigin="5980,15" coordsize="314,2">
              <v:shape style="position:absolute;left:5980;top:15;width:314;height:2" coordorigin="5980,15" coordsize="314,0" path="m5980,15l6293,15e" filled="false" stroked="true" strokeweight="1.5pt" strokecolor="#000000">
                <v:path arrowok="t"/>
              </v:shape>
            </v:group>
            <v:group style="position:absolute;left:6279;top:15;width:3444;height:2" coordorigin="6279,15" coordsize="3444,2">
              <v:shape style="position:absolute;left:6279;top:15;width:3444;height:2" coordorigin="6279,15" coordsize="3444,0" path="m6279,15l972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BodyText"/>
        <w:spacing w:line="240" w:lineRule="auto" w:before="51"/>
        <w:ind w:left="574" w:right="181"/>
        <w:jc w:val="left"/>
      </w:pPr>
      <w:r>
        <w:rPr/>
        <w:t>已超过信用期未收回应收账款扣除减值账龄分析如下：</w:t>
      </w:r>
    </w:p>
    <w:p>
      <w:pPr>
        <w:spacing w:line="240" w:lineRule="auto" w:before="13"/>
        <w:rPr>
          <w:rFonts w:ascii="宋体" w:hAnsi="宋体" w:cs="宋体" w:eastAsia="宋体" w:hint="default"/>
          <w:sz w:val="7"/>
          <w:szCs w:val="7"/>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85.05pt;height:.75pt;mso-position-horizontal-relative:char;mso-position-vertical-relative:line" coordorigin="0,0" coordsize="9701,15">
            <v:group style="position:absolute;left:7;top:7;width:9687;height:2" coordorigin="7,7" coordsize="9687,2">
              <v:shape style="position:absolute;left:7;top:7;width:9687;height:2" coordorigin="7,7" coordsize="9687,0" path="m7,7l9694,7e" filled="false" stroked="true" strokeweight=".72pt" strokecolor="#000000">
                <v:path arrowok="t"/>
              </v:shape>
            </v:group>
          </v:group>
        </w:pict>
      </w:r>
      <w:r>
        <w:rPr>
          <w:rFonts w:ascii="宋体" w:hAnsi="宋体" w:cs="宋体" w:eastAsia="宋体" w:hint="default"/>
          <w:sz w:val="2"/>
          <w:szCs w:val="2"/>
        </w:rPr>
      </w:r>
    </w:p>
    <w:p>
      <w:pPr>
        <w:pStyle w:val="BodyText"/>
        <w:tabs>
          <w:tab w:pos="4283" w:val="left" w:leader="none"/>
          <w:tab w:pos="7862" w:val="left" w:leader="none"/>
        </w:tabs>
        <w:spacing w:line="240" w:lineRule="auto" w:before="56"/>
        <w:ind w:left="1092" w:right="181"/>
        <w:jc w:val="left"/>
      </w:pPr>
      <w:r>
        <w:rPr/>
        <w:t>账龄</w:t>
        <w:tab/>
        <w:t>年末数</w:t>
        <w:tab/>
        <w:t>年初数</w:t>
      </w:r>
    </w:p>
    <w:p>
      <w:pPr>
        <w:spacing w:line="240" w:lineRule="auto" w:before="10"/>
        <w:rPr>
          <w:rFonts w:ascii="宋体" w:hAnsi="宋体" w:cs="宋体" w:eastAsia="宋体" w:hint="default"/>
          <w:sz w:val="8"/>
          <w:szCs w:val="8"/>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5.85pt;height:1.5pt;mso-position-horizontal-relative:char;mso-position-vertical-relative:line" coordorigin="0,0" coordsize="9717,30">
            <v:group style="position:absolute;left:15;top:15;width:9687;height:2" coordorigin="15,15" coordsize="9687,2">
              <v:shape style="position:absolute;left:15;top:15;width:9687;height:2" coordorigin="15,15" coordsize="9687,0" path="m15,15l9701,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4986" w:val="left" w:leader="none"/>
          <w:tab w:pos="8714" w:val="left" w:leader="none"/>
        </w:tabs>
        <w:spacing w:line="240" w:lineRule="auto" w:before="51"/>
        <w:ind w:left="163" w:right="9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年以内</w:t>
        <w:tab/>
      </w:r>
      <w:r>
        <w:rPr>
          <w:rFonts w:ascii="Times New Roman" w:hAnsi="Times New Roman" w:cs="Times New Roman" w:eastAsia="Times New Roman" w:hint="default"/>
          <w:spacing w:val="-1"/>
        </w:rPr>
        <w:t>897,287,266.76</w:t>
        <w:tab/>
        <w:t>520,677,251.23</w:t>
      </w:r>
    </w:p>
    <w:p>
      <w:pPr>
        <w:spacing w:line="240" w:lineRule="auto" w:before="9"/>
        <w:rPr>
          <w:rFonts w:ascii="Times New Roman" w:hAnsi="Times New Roman" w:cs="Times New Roman" w:eastAsia="Times New Roman" w:hint="default"/>
          <w:sz w:val="8"/>
          <w:szCs w:val="8"/>
        </w:rPr>
      </w:pPr>
    </w:p>
    <w:p>
      <w:pPr>
        <w:spacing w:line="30" w:lineRule="exact"/>
        <w:ind w:left="12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6.9pt;height:1.5pt;mso-position-horizontal-relative:char;mso-position-vertical-relative:line" coordorigin="0,0" coordsize="9738,30">
            <v:group style="position:absolute;left:15;top:15;width:2252;height:2" coordorigin="15,15" coordsize="2252,2">
              <v:shape style="position:absolute;left:15;top:15;width:2252;height:2" coordorigin="15,15" coordsize="2252,0" path="m15,15l2266,15e" filled="false" stroked="true" strokeweight="1.5pt" strokecolor="#000000">
                <v:path arrowok="t"/>
              </v:shape>
            </v:group>
            <v:group style="position:absolute;left:2252;top:15;width:612;height:2" coordorigin="2252,15" coordsize="612,2">
              <v:shape style="position:absolute;left:2252;top:15;width:612;height:2" coordorigin="2252,15" coordsize="612,0" path="m2252,15l2864,15e" filled="false" stroked="true" strokeweight="1.5pt" strokecolor="#000000">
                <v:path arrowok="t"/>
              </v:shape>
            </v:group>
            <v:group style="position:absolute;left:2849;top:15;width:3146;height:2" coordorigin="2849,15" coordsize="3146,2">
              <v:shape style="position:absolute;left:2849;top:15;width:3146;height:2" coordorigin="2849,15" coordsize="3146,0" path="m2849,15l5995,15e" filled="false" stroked="true" strokeweight="1.5pt" strokecolor="#000000">
                <v:path arrowok="t"/>
              </v:shape>
            </v:group>
            <v:group style="position:absolute;left:5980;top:15;width:314;height:2" coordorigin="5980,15" coordsize="314,2">
              <v:shape style="position:absolute;left:5980;top:15;width:314;height:2" coordorigin="5980,15" coordsize="314,0" path="m5980,15l6293,15e" filled="false" stroked="true" strokeweight="1.5pt" strokecolor="#000000">
                <v:path arrowok="t"/>
              </v:shape>
            </v:group>
            <v:group style="position:absolute;left:6279;top:15;width:3444;height:2" coordorigin="6279,15" coordsize="3444,2">
              <v:shape style="position:absolute;left:6279;top:15;width:3444;height:2" coordorigin="6279,15" coordsize="3444,0" path="m6279,15l972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pgSz w:w="11910" w:h="16840"/>
          <w:pgMar w:header="0"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1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05pt;height:.75pt;mso-position-horizontal-relative:char;mso-position-vertical-relative:line" coordorigin="0,0" coordsize="9701,15">
            <v:group style="position:absolute;left:7;top:7;width:9687;height:2" coordorigin="7,7" coordsize="9687,2">
              <v:shape style="position:absolute;left:7;top:7;width:9687;height:2" coordorigin="7,7" coordsize="9687,0" path="m7,7l9694,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53" w:type="dxa"/>
        <w:tblLayout w:type="fixed"/>
        <w:tblCellMar>
          <w:top w:w="0" w:type="dxa"/>
          <w:left w:w="0" w:type="dxa"/>
          <w:bottom w:w="0" w:type="dxa"/>
          <w:right w:w="0" w:type="dxa"/>
        </w:tblCellMar>
        <w:tblLook w:val="01E0"/>
      </w:tblPr>
      <w:tblGrid>
        <w:gridCol w:w="744"/>
        <w:gridCol w:w="2321"/>
        <w:gridCol w:w="4194"/>
        <w:gridCol w:w="2428"/>
      </w:tblGrid>
      <w:tr>
        <w:trPr>
          <w:trHeight w:val="410" w:hRule="exact"/>
        </w:trPr>
        <w:tc>
          <w:tcPr>
            <w:tcW w:w="74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21" w:type="dxa"/>
            <w:tcBorders>
              <w:top w:val="nil" w:sz="6" w:space="0" w:color="auto"/>
              <w:left w:val="nil" w:sz="6" w:space="0" w:color="auto"/>
              <w:bottom w:val="single" w:sz="12" w:space="0" w:color="000000"/>
              <w:right w:val="nil" w:sz="6" w:space="0" w:color="auto"/>
            </w:tcBorders>
          </w:tcPr>
          <w:p>
            <w:pPr/>
          </w:p>
        </w:tc>
        <w:tc>
          <w:tcPr>
            <w:tcW w:w="4194"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301"/>
              <w:jc w:val="right"/>
              <w:rPr>
                <w:rFonts w:ascii="Times New Roman" w:hAnsi="Times New Roman" w:cs="Times New Roman" w:eastAsia="Times New Roman" w:hint="default"/>
                <w:sz w:val="18"/>
                <w:szCs w:val="18"/>
              </w:rPr>
            </w:pPr>
            <w:r>
              <w:rPr>
                <w:rFonts w:ascii="Times New Roman"/>
                <w:spacing w:val="-1"/>
                <w:sz w:val="18"/>
              </w:rPr>
              <w:t>58,637,081.46</w:t>
            </w:r>
          </w:p>
        </w:tc>
        <w:tc>
          <w:tcPr>
            <w:tcW w:w="2428"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9,869,976.13</w:t>
            </w:r>
          </w:p>
        </w:tc>
      </w:tr>
      <w:tr>
        <w:trPr>
          <w:trHeight w:val="432" w:hRule="exact"/>
        </w:trPr>
        <w:tc>
          <w:tcPr>
            <w:tcW w:w="7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321" w:type="dxa"/>
            <w:tcBorders>
              <w:top w:val="single" w:sz="12" w:space="0" w:color="000000"/>
              <w:left w:val="nil" w:sz="6" w:space="0" w:color="auto"/>
              <w:bottom w:val="single" w:sz="12" w:space="0" w:color="000000"/>
              <w:right w:val="nil" w:sz="6" w:space="0" w:color="auto"/>
            </w:tcBorders>
          </w:tcPr>
          <w:p>
            <w:pPr/>
          </w:p>
        </w:tc>
        <w:tc>
          <w:tcPr>
            <w:tcW w:w="41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301"/>
              <w:jc w:val="right"/>
              <w:rPr>
                <w:rFonts w:ascii="Times New Roman" w:hAnsi="Times New Roman" w:cs="Times New Roman" w:eastAsia="Times New Roman" w:hint="default"/>
                <w:sz w:val="18"/>
                <w:szCs w:val="18"/>
              </w:rPr>
            </w:pPr>
            <w:r>
              <w:rPr>
                <w:rFonts w:ascii="Times New Roman"/>
                <w:spacing w:val="-1"/>
                <w:sz w:val="18"/>
              </w:rPr>
              <w:t>2,682,564.74</w:t>
            </w:r>
          </w:p>
        </w:tc>
        <w:tc>
          <w:tcPr>
            <w:tcW w:w="24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3,929,198.55</w:t>
            </w:r>
          </w:p>
        </w:tc>
      </w:tr>
      <w:tr>
        <w:trPr>
          <w:trHeight w:val="409" w:hRule="exact"/>
        </w:trPr>
        <w:tc>
          <w:tcPr>
            <w:tcW w:w="744" w:type="dxa"/>
            <w:tcBorders>
              <w:top w:val="single" w:sz="12" w:space="0" w:color="000000"/>
              <w:left w:val="nil" w:sz="6" w:space="0" w:color="auto"/>
              <w:bottom w:val="nil" w:sz="6" w:space="0" w:color="auto"/>
              <w:right w:val="nil" w:sz="6" w:space="0" w:color="auto"/>
            </w:tcBorders>
          </w:tcPr>
          <w:p>
            <w:pPr/>
          </w:p>
        </w:tc>
        <w:tc>
          <w:tcPr>
            <w:tcW w:w="2321"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94"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300"/>
              <w:jc w:val="right"/>
              <w:rPr>
                <w:rFonts w:ascii="Times New Roman" w:hAnsi="Times New Roman" w:cs="Times New Roman" w:eastAsia="Times New Roman" w:hint="default"/>
                <w:sz w:val="18"/>
                <w:szCs w:val="18"/>
              </w:rPr>
            </w:pPr>
            <w:r>
              <w:rPr>
                <w:rFonts w:ascii="Times New Roman"/>
                <w:spacing w:val="-1"/>
                <w:sz w:val="18"/>
              </w:rPr>
              <w:t>958,606,912.96</w:t>
            </w:r>
          </w:p>
        </w:tc>
        <w:tc>
          <w:tcPr>
            <w:tcW w:w="2428"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534,476,425.91</w:t>
            </w:r>
          </w:p>
        </w:tc>
      </w:tr>
    </w:tbl>
    <w:p>
      <w:pPr>
        <w:spacing w:line="30" w:lineRule="exact"/>
        <w:ind w:left="12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6.9pt;height:1.5pt;mso-position-horizontal-relative:char;mso-position-vertical-relative:line" coordorigin="0,0" coordsize="9738,30">
            <v:group style="position:absolute;left:15;top:15;width:2252;height:2" coordorigin="15,15" coordsize="2252,2">
              <v:shape style="position:absolute;left:15;top:15;width:2252;height:2" coordorigin="15,15" coordsize="2252,0" path="m15,15l2266,15e" filled="false" stroked="true" strokeweight="1.5pt" strokecolor="#000000">
                <v:path arrowok="t"/>
              </v:shape>
            </v:group>
            <v:group style="position:absolute;left:2252;top:15;width:612;height:2" coordorigin="2252,15" coordsize="612,2">
              <v:shape style="position:absolute;left:2252;top:15;width:612;height:2" coordorigin="2252,15" coordsize="612,0" path="m2252,15l2864,15e" filled="false" stroked="true" strokeweight="1.5pt" strokecolor="#000000">
                <v:path arrowok="t"/>
              </v:shape>
            </v:group>
            <v:group style="position:absolute;left:2849;top:15;width:3146;height:2" coordorigin="2849,15" coordsize="3146,2">
              <v:shape style="position:absolute;left:2849;top:15;width:3146;height:2" coordorigin="2849,15" coordsize="3146,0" path="m2849,15l5995,15e" filled="false" stroked="true" strokeweight="1.5pt" strokecolor="#000000">
                <v:path arrowok="t"/>
              </v:shape>
            </v:group>
            <v:group style="position:absolute;left:5980;top:15;width:314;height:2" coordorigin="5980,15" coordsize="314,2">
              <v:shape style="position:absolute;left:5980;top:15;width:314;height:2" coordorigin="5980,15" coordsize="314,0" path="m5980,15l6293,15e" filled="false" stroked="true" strokeweight="1.5pt" strokecolor="#000000">
                <v:path arrowok="t"/>
              </v:shape>
            </v:group>
            <v:group style="position:absolute;left:6279;top:15;width:3444;height:2" coordorigin="6279,15" coordsize="3444,2">
              <v:shape style="position:absolute;left:6279;top:15;width:3444;height:2" coordorigin="6279,15" coordsize="3444,0" path="m6279,15l972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BodyText"/>
        <w:spacing w:line="309" w:lineRule="auto" w:before="71"/>
        <w:ind w:right="167" w:firstLine="419"/>
        <w:jc w:val="both"/>
      </w:pPr>
      <w:r>
        <w:rPr/>
        <w:t>根据集团应收账款催收经验，</w:t>
      </w:r>
      <w:r>
        <w:rPr>
          <w:rFonts w:ascii="Times New Roman" w:hAnsi="Times New Roman" w:cs="Times New Roman" w:eastAsia="Times New Roman" w:hint="default"/>
        </w:rPr>
        <w:t>3</w:t>
      </w:r>
      <w:r>
        <w:rPr/>
        <w:t>年以上应收账款一般无法收回，故本集团对逾期</w:t>
      </w:r>
      <w:r>
        <w:rPr>
          <w:rFonts w:ascii="Times New Roman" w:hAnsi="Times New Roman" w:cs="Times New Roman" w:eastAsia="Times New Roman" w:hint="default"/>
        </w:rPr>
        <w:t>3</w:t>
      </w:r>
      <w:r>
        <w:rPr/>
        <w:t>年以上应收账款全额计提减值准备。</w:t>
      </w:r>
      <w:r>
        <w:rPr>
          <w:spacing w:val="1"/>
        </w:rPr>
        <w:t> </w:t>
      </w:r>
      <w:r>
        <w:rPr>
          <w:spacing w:val="-2"/>
        </w:rPr>
        <w:t>由于本集团认可该等客户以后还款情况及信用度，认为无需就以上逾期应收账款全额计提减值准备，除单项进行减值测试已</w:t>
      </w:r>
      <w:r>
        <w:rPr>
          <w:spacing w:val="-64"/>
        </w:rPr>
        <w:t> </w:t>
      </w:r>
      <w:r>
        <w:rPr>
          <w:spacing w:val="-64"/>
        </w:rPr>
      </w:r>
      <w:r>
        <w:rPr/>
        <w:t>减值的除外。</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82" w:top="1060" w:bottom="1180" w:left="980" w:right="960"/>
        </w:sectPr>
      </w:pPr>
    </w:p>
    <w:p>
      <w:pPr>
        <w:pStyle w:val="BodyText"/>
        <w:spacing w:line="240" w:lineRule="auto" w:before="44"/>
        <w:ind w:right="-20"/>
        <w:jc w:val="left"/>
      </w:pPr>
      <w:r>
        <w:rPr/>
        <w:t>期末单项金额重大并单项计提坏账准备的应收账款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60"/>
          <w:cols w:num="2" w:equalWidth="0">
            <w:col w:w="4115" w:space="4714"/>
            <w:col w:w="114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16"/>
        <w:gridCol w:w="1626"/>
        <w:gridCol w:w="1378"/>
        <w:gridCol w:w="1440"/>
        <w:gridCol w:w="3780"/>
      </w:tblGrid>
      <w:tr>
        <w:trPr>
          <w:trHeight w:val="401" w:hRule="exact"/>
        </w:trPr>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48,696,549.72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48,696,549.72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pacing w:val="-3"/>
                <w:sz w:val="18"/>
                <w:szCs w:val="18"/>
              </w:rPr>
              <w:t>主要是账龄三年以上的货款，预计收回可能性小</w:t>
            </w:r>
          </w:p>
        </w:tc>
      </w:tr>
      <w:tr>
        <w:trPr>
          <w:trHeight w:val="401" w:hRule="exact"/>
        </w:trPr>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48,696,549.72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48,696,549.72</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60"/>
        </w:sectPr>
      </w:pPr>
    </w:p>
    <w:p>
      <w:pPr>
        <w:pStyle w:val="BodyText"/>
        <w:spacing w:line="240" w:lineRule="auto" w:before="52"/>
        <w:ind w:right="-20"/>
        <w:jc w:val="left"/>
      </w:pPr>
      <w:r>
        <w:rPr/>
        <w:t>组合中，按账龄分析法计提坏账准备的应收账款</w:t>
      </w:r>
    </w:p>
    <w:p>
      <w:pPr>
        <w:pStyle w:val="BodyText"/>
        <w:spacing w:line="240" w:lineRule="auto" w:before="117"/>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60"/>
          <w:cols w:num="2" w:equalWidth="0">
            <w:col w:w="3935" w:space="4894"/>
            <w:col w:w="114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3,350,375,732.48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167,518,786.62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2,769,702,335.26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138,485,116.77</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3,350,375,732.48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167,518,786.62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2,769,702,335.26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138,485,116.77</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65,152,312.73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6,515,231.27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10,895,154.72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1,089,515.48</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3,353,205.93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670,641.19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4,911,498.20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982,299.65</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42,405,054.54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42,405,054.54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45,902,805.98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45,902,805.98</w:t>
            </w:r>
          </w:p>
        </w:tc>
      </w:tr>
      <w:tr>
        <w:trPr>
          <w:trHeight w:val="403"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3,461,286,305.68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217,109,713.62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2,831,411,794.16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186,459,737.88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60"/>
        </w:sectPr>
      </w:pPr>
    </w:p>
    <w:p>
      <w:pPr>
        <w:pStyle w:val="BodyText"/>
        <w:spacing w:line="240" w:lineRule="auto" w:before="51"/>
        <w:ind w:right="-20"/>
        <w:jc w:val="left"/>
      </w:pPr>
      <w:r>
        <w:rPr/>
        <w:t>组合中，采用余额百分比法计提坏账准备的应收账款</w:t>
      </w:r>
    </w:p>
    <w:p>
      <w:pPr>
        <w:pStyle w:val="BodyText"/>
        <w:spacing w:line="360" w:lineRule="auto" w:before="116"/>
        <w:ind w:left="153" w:right="341"/>
        <w:jc w:val="left"/>
      </w:pPr>
      <w:r>
        <w:rPr/>
        <w:t>□ 适用 √ 不适用 组合中，采用其他方法计提坏账准备的应收账款</w:t>
      </w:r>
    </w:p>
    <w:p>
      <w:pPr>
        <w:pStyle w:val="BodyText"/>
        <w:spacing w:line="240" w:lineRule="auto" w:before="26"/>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60"/>
          <w:cols w:num="2" w:equalWidth="0">
            <w:col w:w="4295" w:space="4534"/>
            <w:col w:w="114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358,778,459.12</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358,778,459.12</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0"/>
        <w:jc w:val="left"/>
      </w:pPr>
      <w:r>
        <w:rPr/>
        <w:t>期末单项金额虽不重大但单项计提坏账准备的应收账款</w:t>
      </w:r>
    </w:p>
    <w:p>
      <w:pPr>
        <w:spacing w:after="0" w:line="240" w:lineRule="auto"/>
        <w:jc w:val="left"/>
        <w:sectPr>
          <w:type w:val="continuous"/>
          <w:pgSz w:w="11910" w:h="16840"/>
          <w:pgMar w:top="1060" w:bottom="1180" w:left="980" w:right="96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34"/>
        <w:gridCol w:w="1043"/>
        <w:gridCol w:w="1238"/>
        <w:gridCol w:w="1601"/>
        <w:gridCol w:w="4378"/>
      </w:tblGrid>
      <w:tr>
        <w:trPr>
          <w:trHeight w:val="402" w:hRule="exact"/>
        </w:trPr>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86,850.13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86,850.13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4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主要是账龄三年以上的货款，预计收回可能性小</w:t>
            </w:r>
          </w:p>
        </w:tc>
      </w:tr>
      <w:tr>
        <w:trPr>
          <w:trHeight w:val="402" w:hRule="exact"/>
        </w:trPr>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86,850.13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86,850.13</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16"/>
        <w:gridCol w:w="2035"/>
        <w:gridCol w:w="2513"/>
        <w:gridCol w:w="1918"/>
        <w:gridCol w:w="1758"/>
      </w:tblGrid>
      <w:tr>
        <w:trPr>
          <w:trHeight w:val="714" w:hRule="exact"/>
        </w:trPr>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收回货款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年以上，预计收回可能性极小</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7,306,110.01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7,306,110.01</w:t>
            </w:r>
          </w:p>
        </w:tc>
      </w:tr>
      <w:tr>
        <w:trPr>
          <w:trHeight w:val="402"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收回前期已核销的坏账</w:t>
            </w:r>
          </w:p>
        </w:tc>
        <w:tc>
          <w:tcPr>
            <w:tcW w:w="25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28,253.86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28,253.86</w:t>
            </w:r>
          </w:p>
        </w:tc>
      </w:tr>
      <w:tr>
        <w:trPr>
          <w:trHeight w:val="403" w:hRule="exact"/>
        </w:trPr>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7,334,363.87</w:t>
            </w:r>
          </w:p>
        </w:tc>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left="153" w:right="3651"/>
        <w:jc w:val="left"/>
      </w:pPr>
      <w:r>
        <w:rPr/>
        <w:t>单项金额不重大但按信用风险特征组合后该组合的风险较大的应收账款的说明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73" w:right="2646" w:hanging="420"/>
        <w:jc w:val="left"/>
      </w:pPr>
      <w:r>
        <w:rPr/>
        <w:t>应收账款核销说明 原核销的应收账款收回</w:t>
      </w:r>
      <w:r>
        <w:rPr>
          <w:rFonts w:ascii="Times New Roman" w:hAnsi="Times New Roman" w:cs="Times New Roman" w:eastAsia="Times New Roman" w:hint="default"/>
        </w:rPr>
        <w:t>28,253.86</w:t>
      </w:r>
      <w:r>
        <w:rPr/>
        <w:t>元，原全额计提减值的应收账款收回</w:t>
      </w:r>
      <w:r>
        <w:rPr>
          <w:rFonts w:ascii="Times New Roman" w:hAnsi="Times New Roman" w:cs="Times New Roman" w:eastAsia="Times New Roman" w:hint="default"/>
        </w:rPr>
        <w:t>7,306,110.01</w:t>
      </w:r>
      <w:r>
        <w:rPr/>
        <w:t>元。 报告期累计核销应收款</w:t>
      </w:r>
      <w:r>
        <w:rPr>
          <w:rFonts w:ascii="Times New Roman" w:hAnsi="Times New Roman" w:cs="Times New Roman" w:eastAsia="Times New Roman" w:hint="default"/>
        </w:rPr>
        <w:t>72,305.63</w:t>
      </w:r>
      <w:r>
        <w:rPr/>
        <w:t>元，无实际核销的大额应收账款情况。</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80"/>
        <w:gridCol w:w="1440"/>
        <w:gridCol w:w="1800"/>
        <w:gridCol w:w="1080"/>
        <w:gridCol w:w="2219"/>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山西省印刷物资总公司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46,471,623.79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东莞市华发纸张有限公司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45,067,685.96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湖北日报传媒集团</w:t>
            </w:r>
            <w:r>
              <w:rPr>
                <w:rFonts w:ascii="Times New Roman" w:hAnsi="Times New Roman" w:cs="Times New Roman" w:eastAsia="Times New Roman" w:hint="default"/>
                <w:sz w:val="18"/>
                <w:szCs w:val="18"/>
              </w:rPr>
              <w:t>(</w:t>
            </w:r>
            <w:r>
              <w:rPr>
                <w:rFonts w:ascii="宋体" w:hAnsi="宋体" w:cs="宋体" w:eastAsia="宋体" w:hint="default"/>
                <w:sz w:val="18"/>
                <w:szCs w:val="18"/>
              </w:rPr>
              <w:t>湖北日报社</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30,538,530.24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北京青年报现代物流有限公司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28,606,078.65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深圳市京迪纸业有限公司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26,327,190.00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177,011,108.64</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0" w:right="0"/>
              <w:jc w:val="left"/>
              <w:rPr>
                <w:rFonts w:ascii="Times New Roman" w:hAnsi="Times New Roman" w:cs="Times New Roman" w:eastAsia="Times New Roman" w:hint="default"/>
                <w:sz w:val="18"/>
                <w:szCs w:val="18"/>
              </w:rPr>
            </w:pPr>
            <w:r>
              <w:rPr>
                <w:rFonts w:ascii="Times New Roman"/>
                <w:sz w:val="18"/>
              </w:rPr>
              <w:t>15,739,073.73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21,627.00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15,760,700.73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0.41%</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6</w:t>
      </w:r>
      <w:r>
        <w:rPr/>
        <w:t>）</w:t>
      </w:r>
      <w:r>
        <w:rPr>
          <w:spacing w:val="-14"/>
        </w:rPr>
        <w:t> </w:t>
      </w:r>
      <w:r>
        <w:rPr/>
        <w:t>外币应收账款原币金额以及折算汇率列示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996"/>
        <w:gridCol w:w="1810"/>
        <w:gridCol w:w="1038"/>
        <w:gridCol w:w="1681"/>
        <w:gridCol w:w="1621"/>
        <w:gridCol w:w="836"/>
        <w:gridCol w:w="1704"/>
      </w:tblGrid>
      <w:tr>
        <w:trPr>
          <w:trHeight w:val="435" w:hRule="exact"/>
        </w:trPr>
        <w:tc>
          <w:tcPr>
            <w:tcW w:w="996" w:type="dxa"/>
            <w:vMerge w:val="restart"/>
            <w:tcBorders>
              <w:top w:val="single" w:sz="6" w:space="0" w:color="000000"/>
              <w:left w:val="single" w:sz="6" w:space="0" w:color="000000"/>
              <w:right w:val="single" w:sz="6" w:space="0" w:color="000000"/>
            </w:tcBorders>
          </w:tcPr>
          <w:p>
            <w:pPr>
              <w:pStyle w:val="TableParagraph"/>
              <w:spacing w:line="240" w:lineRule="auto" w:before="62"/>
              <w:ind w:left="3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2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6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996" w:type="dxa"/>
            <w:vMerge/>
            <w:tcBorders>
              <w:left w:val="single" w:sz="6" w:space="0" w:color="000000"/>
              <w:bottom w:val="single" w:sz="12" w:space="0" w:color="000000"/>
              <w:right w:val="single" w:sz="6" w:space="0" w:color="000000"/>
            </w:tcBorders>
          </w:tcPr>
          <w:p>
            <w:pP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46,883,111.89</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6.2855</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294,683,799.78</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39,529,969.13</w:t>
            </w:r>
          </w:p>
        </w:tc>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6.3009</w:t>
            </w: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249,074,382.49</w:t>
            </w: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102,504,709.99</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0.073049</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7,487,866.56</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836" w:type="dxa"/>
            <w:tcBorders>
              <w:top w:val="single" w:sz="12" w:space="0" w:color="000000"/>
              <w:left w:val="single" w:sz="6" w:space="0" w:color="000000"/>
              <w:bottom w:val="single" w:sz="12" w:space="0" w:color="000000"/>
              <w:right w:val="single" w:sz="6" w:space="0" w:color="000000"/>
            </w:tcBorders>
          </w:tcPr>
          <w:p>
            <w:pPr/>
          </w:p>
        </w:tc>
        <w:tc>
          <w:tcPr>
            <w:tcW w:w="170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12" w:space="0" w:color="000000"/>
              <w:left w:val="single" w:sz="6" w:space="0" w:color="000000"/>
              <w:bottom w:val="single" w:sz="12" w:space="0" w:color="000000"/>
              <w:right w:val="single" w:sz="6" w:space="0" w:color="000000"/>
            </w:tcBorders>
          </w:tcPr>
          <w:p>
            <w:pPr/>
          </w:p>
        </w:tc>
        <w:tc>
          <w:tcPr>
            <w:tcW w:w="1038" w:type="dxa"/>
            <w:tcBorders>
              <w:top w:val="single" w:sz="12" w:space="0" w:color="000000"/>
              <w:left w:val="single" w:sz="6" w:space="0" w:color="000000"/>
              <w:bottom w:val="single" w:sz="12" w:space="0" w:color="000000"/>
              <w:right w:val="single" w:sz="6" w:space="0" w:color="000000"/>
            </w:tcBorders>
          </w:tcPr>
          <w:p>
            <w:pP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302,171,666.34</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836" w:type="dxa"/>
            <w:tcBorders>
              <w:top w:val="single" w:sz="12" w:space="0" w:color="000000"/>
              <w:left w:val="single" w:sz="6" w:space="0" w:color="000000"/>
              <w:bottom w:val="single" w:sz="12" w:space="0" w:color="000000"/>
              <w:right w:val="single" w:sz="6" w:space="0" w:color="000000"/>
            </w:tcBorders>
          </w:tcPr>
          <w:p>
            <w:pP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249,074,382.49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53"/>
        <w:gridCol w:w="1317"/>
        <w:gridCol w:w="740"/>
        <w:gridCol w:w="1091"/>
        <w:gridCol w:w="743"/>
        <w:gridCol w:w="1182"/>
        <w:gridCol w:w="876"/>
        <w:gridCol w:w="1144"/>
        <w:gridCol w:w="737"/>
      </w:tblGrid>
      <w:tr>
        <w:trPr>
          <w:trHeight w:val="402" w:hRule="exact"/>
        </w:trPr>
        <w:tc>
          <w:tcPr>
            <w:tcW w:w="1853" w:type="dxa"/>
            <w:tcBorders>
              <w:top w:val="single" w:sz="4" w:space="0" w:color="000000"/>
              <w:left w:val="single" w:sz="4" w:space="0" w:color="000000"/>
              <w:bottom w:val="nil" w:sz="6" w:space="0" w:color="auto"/>
              <w:right w:val="single" w:sz="4" w:space="0" w:color="000000"/>
            </w:tcBorders>
            <w:shd w:val="clear" w:color="auto" w:fill="D3D3D3"/>
          </w:tcPr>
          <w:p>
            <w:pPr/>
          </w:p>
        </w:tc>
        <w:tc>
          <w:tcPr>
            <w:tcW w:w="38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3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8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8" w:hRule="exact"/>
        </w:trPr>
        <w:tc>
          <w:tcPr>
            <w:tcW w:w="18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tc>
        <w:tc>
          <w:tcPr>
            <w:tcW w:w="1317" w:type="dxa"/>
            <w:tcBorders>
              <w:top w:val="single" w:sz="4" w:space="0" w:color="000000"/>
              <w:left w:val="single" w:sz="13" w:space="0" w:color="D3D3D3"/>
              <w:bottom w:val="nil" w:sz="6" w:space="0" w:color="auto"/>
              <w:right w:val="single" w:sz="4" w:space="0" w:color="000000"/>
            </w:tcBorders>
          </w:tcPr>
          <w:p>
            <w:pPr/>
          </w:p>
        </w:tc>
        <w:tc>
          <w:tcPr>
            <w:tcW w:w="740"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提坏账准备的其他应收</w:t>
            </w:r>
          </w:p>
        </w:tc>
        <w:tc>
          <w:tcPr>
            <w:tcW w:w="1317"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8,918,424.06</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0.66%</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9" w:right="0"/>
              <w:jc w:val="center"/>
              <w:rPr>
                <w:rFonts w:ascii="Times New Roman" w:hAnsi="Times New Roman" w:cs="Times New Roman" w:eastAsia="Times New Roman" w:hint="default"/>
                <w:sz w:val="18"/>
                <w:szCs w:val="18"/>
              </w:rPr>
            </w:pPr>
            <w:r>
              <w:rPr>
                <w:rFonts w:ascii="Times New Roman"/>
                <w:sz w:val="18"/>
              </w:rPr>
              <w:t>8,918,424.06</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9,330,331.45</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2.38%</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9,330,331.45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8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17" w:type="dxa"/>
            <w:tcBorders>
              <w:top w:val="nil" w:sz="6" w:space="0" w:color="auto"/>
              <w:left w:val="single" w:sz="13" w:space="0" w:color="D3D3D3"/>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6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1,213,593,786.15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252,019,690.65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64.41%</w:t>
            </w:r>
          </w:p>
        </w:tc>
        <w:tc>
          <w:tcPr>
            <w:tcW w:w="114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113,580,888.39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42,519,331.91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114,387,017.39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29.23%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40,855,794.32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1,327,174,674.54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42,519,331.91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366,406,708.04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93.64%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40,855,794.32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w:t>
            </w:r>
          </w:p>
        </w:tc>
      </w:tr>
      <w:tr>
        <w:trPr>
          <w:trHeight w:val="357" w:hRule="exact"/>
        </w:trPr>
        <w:tc>
          <w:tcPr>
            <w:tcW w:w="185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317" w:type="dxa"/>
            <w:tcBorders>
              <w:top w:val="single" w:sz="4" w:space="0" w:color="000000"/>
              <w:left w:val="single" w:sz="4" w:space="0" w:color="000000"/>
              <w:bottom w:val="nil" w:sz="6" w:space="0" w:color="auto"/>
              <w:right w:val="single" w:sz="4" w:space="0" w:color="000000"/>
            </w:tcBorders>
          </w:tcPr>
          <w:p>
            <w:pPr/>
          </w:p>
        </w:tc>
        <w:tc>
          <w:tcPr>
            <w:tcW w:w="740"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43"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项计提坏账准备的其他</w:t>
            </w:r>
          </w:p>
        </w:tc>
        <w:tc>
          <w:tcPr>
            <w:tcW w:w="13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13,771,354.38</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1.02%</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13,771,354.38</w:t>
            </w:r>
          </w:p>
        </w:tc>
        <w:tc>
          <w:tcPr>
            <w:tcW w:w="7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15,554,009.74</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3.98%</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15,554,009.74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85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17" w:type="dxa"/>
            <w:tcBorders>
              <w:top w:val="nil" w:sz="6" w:space="0" w:color="auto"/>
              <w:left w:val="single" w:sz="4" w:space="0" w:color="000000"/>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43"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1,349,864,452.98</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65,209,110.35</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391,291,049.23</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65,740,135.51</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2"/>
        <w:ind w:left="573" w:right="7591" w:hanging="420"/>
        <w:jc w:val="left"/>
      </w:pPr>
      <w:r>
        <w:rPr/>
        <w:t>其他应收款种类的说明 其他应收款按账龄列示</w:t>
      </w:r>
    </w:p>
    <w:tbl>
      <w:tblPr>
        <w:tblW w:w="0" w:type="auto"/>
        <w:jc w:val="left"/>
        <w:tblInd w:w="146" w:type="dxa"/>
        <w:tblLayout w:type="fixed"/>
        <w:tblCellMar>
          <w:top w:w="0" w:type="dxa"/>
          <w:left w:w="0" w:type="dxa"/>
          <w:bottom w:w="0" w:type="dxa"/>
          <w:right w:w="0" w:type="dxa"/>
        </w:tblCellMar>
        <w:tblLook w:val="01E0"/>
      </w:tblPr>
      <w:tblGrid>
        <w:gridCol w:w="1434"/>
        <w:gridCol w:w="2412"/>
        <w:gridCol w:w="1885"/>
        <w:gridCol w:w="2164"/>
        <w:gridCol w:w="1792"/>
      </w:tblGrid>
      <w:tr>
        <w:trPr>
          <w:trHeight w:val="435" w:hRule="exact"/>
        </w:trPr>
        <w:tc>
          <w:tcPr>
            <w:tcW w:w="1434" w:type="dxa"/>
            <w:vMerge w:val="restart"/>
            <w:tcBorders>
              <w:top w:val="single" w:sz="6" w:space="0" w:color="000000"/>
              <w:left w:val="single" w:sz="6" w:space="0" w:color="000000"/>
              <w:right w:val="single" w:sz="6" w:space="0" w:color="000000"/>
            </w:tcBorders>
          </w:tcPr>
          <w:p>
            <w:pPr>
              <w:pStyle w:val="TableParagraph"/>
              <w:spacing w:line="240" w:lineRule="auto" w:before="62"/>
              <w:ind w:left="45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9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5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1434" w:type="dxa"/>
            <w:vMerge/>
            <w:tcBorders>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1,145,721,315.64</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84.88%</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290,861,260.47</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74.33%</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131,913,116.61</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9.77%</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22,447,913.22</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5.74%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34"/>
        <w:gridCol w:w="2412"/>
        <w:gridCol w:w="1885"/>
        <w:gridCol w:w="2164"/>
        <w:gridCol w:w="1792"/>
      </w:tblGrid>
      <w:tr>
        <w:trPr>
          <w:trHeight w:val="435" w:hRule="exact"/>
        </w:trPr>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13,139,381.38</w:t>
            </w:r>
          </w:p>
        </w:tc>
        <w:tc>
          <w:tcPr>
            <w:tcW w:w="18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0.97%</w:t>
            </w:r>
          </w:p>
        </w:tc>
        <w:tc>
          <w:tcPr>
            <w:tcW w:w="2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12,523,529.69</w:t>
            </w:r>
          </w:p>
        </w:tc>
        <w:tc>
          <w:tcPr>
            <w:tcW w:w="17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3.20%</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59,090,639.35</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4.38%</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65,458,345.85</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16.73%</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1,349,864,452.98</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100.00%</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391,291,049.23</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82" w:top="1060" w:bottom="1180" w:left="980" w:right="940"/>
        </w:sectPr>
      </w:pPr>
    </w:p>
    <w:p>
      <w:pPr>
        <w:pStyle w:val="BodyText"/>
        <w:spacing w:line="240" w:lineRule="auto" w:before="44"/>
        <w:ind w:right="-20"/>
        <w:jc w:val="left"/>
      </w:pPr>
      <w:r>
        <w:rPr/>
        <w:t>期末单项金额重大并单项计提坏账准备的其他应收款</w:t>
      </w:r>
    </w:p>
    <w:p>
      <w:pPr>
        <w:pStyle w:val="BodyText"/>
        <w:spacing w:line="240" w:lineRule="auto" w:before="116"/>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96"/>
        <w:gridCol w:w="1411"/>
        <w:gridCol w:w="1181"/>
        <w:gridCol w:w="1469"/>
        <w:gridCol w:w="4136"/>
      </w:tblGrid>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8,918,424.06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8,918,424.06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主要是账龄五年以上的往来款，预计收回可能性小</w:t>
            </w: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8,918,424.06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8,918,424.06</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4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70"/>
        <w:gridCol w:w="1865"/>
        <w:gridCol w:w="667"/>
        <w:gridCol w:w="1468"/>
        <w:gridCol w:w="1469"/>
        <w:gridCol w:w="667"/>
        <w:gridCol w:w="1688"/>
      </w:tblGrid>
      <w:tr>
        <w:trPr>
          <w:trHeight w:val="402" w:hRule="exact"/>
        </w:trPr>
        <w:tc>
          <w:tcPr>
            <w:tcW w:w="1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2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870" w:type="dxa"/>
            <w:vMerge/>
            <w:tcBorders>
              <w:left w:val="single" w:sz="4" w:space="0" w:color="000000"/>
              <w:right w:val="single" w:sz="4" w:space="0" w:color="000000"/>
            </w:tcBorders>
            <w:shd w:val="clear" w:color="auto" w:fill="D3D3D3"/>
          </w:tcPr>
          <w:p>
            <w:pP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70" w:type="dxa"/>
            <w:vMerge/>
            <w:tcBorders>
              <w:left w:val="single" w:sz="4" w:space="0" w:color="000000"/>
              <w:bottom w:val="single" w:sz="4" w:space="0" w:color="000000"/>
              <w:right w:val="single" w:sz="4" w:space="0" w:color="000000"/>
            </w:tcBorders>
            <w:shd w:val="clear" w:color="auto" w:fill="D3D3D3"/>
          </w:tcPr>
          <w:p>
            <w:pP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468" w:type="dxa"/>
            <w:vMerge/>
            <w:tcBorders>
              <w:left w:val="single" w:sz="4" w:space="0" w:color="000000"/>
              <w:bottom w:val="single" w:sz="4" w:space="0" w:color="000000"/>
              <w:right w:val="single" w:sz="4" w:space="0" w:color="000000"/>
            </w:tcBorders>
            <w:shd w:val="clear" w:color="auto" w:fill="D3D3D3"/>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6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52,096,861.35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45.87%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2,604,843.05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63,395,635.64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3,169,781.77</w:t>
            </w: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52,096,861.35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45.87%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2,604,843.05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63,395,635.64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3,169,781.77</w:t>
            </w: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13,434,171.09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11.83%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1,343,417.10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3,856,994.93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385,699.49</w:t>
            </w: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11,848,480.25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10.43%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2,369,696.05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12,292,592.20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2,458,518.44</w:t>
            </w:r>
          </w:p>
        </w:tc>
      </w:tr>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36,201,375.70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31.87%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36,201,375.70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34,841,794.62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34,841,794.62</w:t>
            </w: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113,580,888.39</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42,519,331.90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114,387,017.39</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40,855,794.32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40"/>
        </w:sectPr>
      </w:pPr>
    </w:p>
    <w:p>
      <w:pPr>
        <w:pStyle w:val="BodyText"/>
        <w:spacing w:line="240" w:lineRule="auto" w:before="52"/>
        <w:ind w:right="-20"/>
        <w:jc w:val="left"/>
      </w:pPr>
      <w:r>
        <w:rPr/>
        <w:t>组合中，采用余额百分比法计提坏账准备的其他应收款</w:t>
      </w:r>
    </w:p>
    <w:p>
      <w:pPr>
        <w:pStyle w:val="BodyText"/>
        <w:spacing w:line="338" w:lineRule="auto" w:before="117"/>
        <w:ind w:right="3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475" w:space="4354"/>
            <w:col w:w="116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1,213,593,786.15</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1,213,593,786.15</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40"/>
        </w:sectPr>
      </w:pPr>
    </w:p>
    <w:p>
      <w:pPr>
        <w:pStyle w:val="BodyText"/>
        <w:spacing w:line="240" w:lineRule="auto" w:before="51"/>
        <w:ind w:right="-20"/>
        <w:jc w:val="left"/>
      </w:pPr>
      <w:r>
        <w:rPr/>
        <w:t>期末单项金额虽不重大但单项计提坏账准备的其他应收款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655" w:space="4174"/>
            <w:col w:w="116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96"/>
        <w:gridCol w:w="1271"/>
        <w:gridCol w:w="1271"/>
        <w:gridCol w:w="1466"/>
        <w:gridCol w:w="4162"/>
      </w:tblGrid>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13,771,354.38</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13,771,354.38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4"/>
              <w:jc w:val="center"/>
              <w:rPr>
                <w:rFonts w:ascii="宋体" w:hAnsi="宋体" w:cs="宋体" w:eastAsia="宋体" w:hint="default"/>
                <w:sz w:val="18"/>
                <w:szCs w:val="18"/>
              </w:rPr>
            </w:pPr>
            <w:r>
              <w:rPr>
                <w:rFonts w:ascii="宋体" w:hAnsi="宋体" w:cs="宋体" w:eastAsia="宋体" w:hint="default"/>
                <w:sz w:val="18"/>
                <w:szCs w:val="18"/>
              </w:rPr>
              <w:t>主要是账龄五年以上的往来款，预计收回可能性小</w:t>
            </w:r>
          </w:p>
        </w:tc>
      </w:tr>
      <w:tr>
        <w:trPr>
          <w:trHeight w:val="402" w:hRule="exact"/>
        </w:trPr>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13,771,354.38</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13,771,354.38</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25"/>
        <w:gridCol w:w="1526"/>
        <w:gridCol w:w="2765"/>
        <w:gridCol w:w="1956"/>
        <w:gridCol w:w="1921"/>
      </w:tblGrid>
      <w:tr>
        <w:trPr>
          <w:trHeight w:val="714" w:hRule="exact"/>
        </w:trPr>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3" w:right="71"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年以上，预计收回可能性极小</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2,194,562.75</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2,194,562.75</w:t>
            </w:r>
          </w:p>
        </w:tc>
      </w:tr>
      <w:tr>
        <w:trPr>
          <w:trHeight w:val="401" w:hRule="exact"/>
        </w:trPr>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2,194,562.75</w:t>
            </w:r>
          </w:p>
        </w:tc>
        <w:tc>
          <w:tcPr>
            <w:tcW w:w="1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left="153" w:right="3471"/>
        <w:jc w:val="left"/>
      </w:pPr>
      <w:r>
        <w:rPr/>
        <w:t>单项金额不重大但按信用风险特征组合后该组合的风险较大的其他应收款的说明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54" w:right="0"/>
        <w:jc w:val="left"/>
      </w:pPr>
      <w:r>
        <w:rPr/>
        <w:t>报告期累计核销其他应收款</w:t>
      </w:r>
      <w:r>
        <w:rPr>
          <w:rFonts w:ascii="Times New Roman" w:hAnsi="Times New Roman" w:cs="Times New Roman" w:eastAsia="Times New Roman" w:hint="default"/>
        </w:rPr>
        <w:t>749,916.42</w:t>
      </w:r>
      <w:r>
        <w:rPr/>
        <w:t>元，无实际核销的大额其他应收款情况。</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69"/>
        <w:gridCol w:w="1799"/>
        <w:gridCol w:w="1679"/>
        <w:gridCol w:w="1277"/>
        <w:gridCol w:w="1670"/>
      </w:tblGrid>
      <w:tr>
        <w:trPr>
          <w:trHeight w:val="714"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24" w:right="108"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河南江河纸业股份有限公司</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274,032,976.36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齐河晨鸣</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592,675,418.65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43.91%</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湛江市财政局</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11.85%</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武汉市国土资源管理局开发区分局</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湛江建设工程交易中心</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1,184,708,395.01</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00"/>
        <w:gridCol w:w="2006"/>
        <w:gridCol w:w="2430"/>
        <w:gridCol w:w="2430"/>
      </w:tblGrid>
      <w:tr>
        <w:trPr>
          <w:trHeight w:val="402" w:hRule="exact"/>
        </w:trPr>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
              <w:jc w:val="center"/>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1,290,901.12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1,290,901.12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81"/>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0"/>
        <w:gridCol w:w="3199"/>
        <w:gridCol w:w="1051"/>
        <w:gridCol w:w="3065"/>
        <w:gridCol w:w="1062"/>
      </w:tblGrid>
      <w:tr>
        <w:trPr>
          <w:trHeight w:val="201" w:hRule="exact"/>
        </w:trPr>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3D3D3"/>
          </w:tcPr>
          <w:p>
            <w:pPr/>
          </w:p>
        </w:tc>
        <w:tc>
          <w:tcPr>
            <w:tcW w:w="412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90"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3065"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1,458,377,404.07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89.13%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582,653,900.45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76.18%</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177,856,520.57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10.87%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182,226,337.45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23.82%</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1,636,233,924.64</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w:t>
            </w:r>
          </w:p>
        </w:tc>
        <w:tc>
          <w:tcPr>
            <w:tcW w:w="3065"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764,880,237.90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81"/>
        <w:jc w:val="left"/>
      </w:pPr>
      <w:r>
        <w:rPr/>
        <w:t>预付款项账龄的说明</w:t>
      </w:r>
    </w:p>
    <w:p>
      <w:pPr>
        <w:pStyle w:val="BodyText"/>
        <w:spacing w:line="240" w:lineRule="auto" w:before="115"/>
        <w:ind w:left="153" w:right="181"/>
        <w:jc w:val="left"/>
      </w:pPr>
      <w:r>
        <w:rPr/>
        <w:t>账龄超过</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年的金额重大的预付款项，主要为预付采购款，因本集团经营计划安排，未要求对方单位发货。</w:t>
      </w:r>
    </w:p>
    <w:p>
      <w:pPr>
        <w:spacing w:line="240" w:lineRule="auto" w:before="11"/>
        <w:rPr>
          <w:rFonts w:ascii="宋体" w:hAnsi="宋体" w:cs="宋体" w:eastAsia="宋体" w:hint="default"/>
          <w:sz w:val="25"/>
          <w:szCs w:val="25"/>
        </w:rPr>
      </w:pPr>
    </w:p>
    <w:p>
      <w:pPr>
        <w:pStyle w:val="Heading3"/>
        <w:spacing w:line="240" w:lineRule="auto"/>
        <w:ind w:right="181"/>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1308"/>
        <w:gridCol w:w="1914"/>
        <w:gridCol w:w="1458"/>
        <w:gridCol w:w="2370"/>
      </w:tblGrid>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按合同约定预付的工程款</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黄冈市辖各村</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90,413,883.00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按合同约定预付的林木定金</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河北文通国际贸易有限公司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82,919,628.61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苏州市开元化工有限公司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芬兰维美德公司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17,348,238.77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按合同约定预付的备件款</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998,141,750.38</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7831"/>
        <w:jc w:val="left"/>
      </w:pPr>
      <w:r>
        <w:rPr/>
        <w:t>预付款项主要单位的说明 无</w:t>
      </w:r>
    </w:p>
    <w:p>
      <w:pPr>
        <w:spacing w:line="240" w:lineRule="auto" w:before="2"/>
        <w:rPr>
          <w:rFonts w:ascii="宋体" w:hAnsi="宋体" w:cs="宋体" w:eastAsia="宋体" w:hint="default"/>
          <w:sz w:val="20"/>
          <w:szCs w:val="20"/>
        </w:rPr>
      </w:pPr>
    </w:p>
    <w:p>
      <w:pPr>
        <w:pStyle w:val="Heading3"/>
        <w:spacing w:line="240" w:lineRule="auto"/>
        <w:ind w:right="181"/>
        <w:jc w:val="left"/>
        <w:rPr>
          <w:b w:val="0"/>
          <w:bCs w:val="0"/>
        </w:rPr>
      </w:pPr>
      <w:r>
        <w:rPr/>
        <w:t>（</w:t>
      </w:r>
      <w:r>
        <w:rPr>
          <w:rFonts w:ascii="Times New Roman" w:hAnsi="Times New Roman" w:cs="Times New Roman" w:eastAsia="Times New Roman" w:hint="default"/>
        </w:rPr>
        <w:t>3</w:t>
      </w:r>
      <w:r>
        <w:rPr/>
        <w:t>）预付款项的说明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181"/>
        <w:jc w:val="left"/>
      </w:pPr>
      <w:r>
        <w:rPr/>
        <w:t>外币预付款项原币金额以及折算汇率列示</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996"/>
        <w:gridCol w:w="1810"/>
        <w:gridCol w:w="1038"/>
        <w:gridCol w:w="1681"/>
        <w:gridCol w:w="1621"/>
        <w:gridCol w:w="836"/>
        <w:gridCol w:w="1704"/>
      </w:tblGrid>
      <w:tr>
        <w:trPr>
          <w:trHeight w:val="435" w:hRule="exact"/>
        </w:trPr>
        <w:tc>
          <w:tcPr>
            <w:tcW w:w="996" w:type="dxa"/>
            <w:vMerge w:val="restart"/>
            <w:tcBorders>
              <w:top w:val="single" w:sz="6" w:space="0" w:color="000000"/>
              <w:left w:val="single" w:sz="6" w:space="0" w:color="000000"/>
              <w:right w:val="single" w:sz="6" w:space="0" w:color="000000"/>
            </w:tcBorders>
          </w:tcPr>
          <w:p>
            <w:pPr>
              <w:pStyle w:val="TableParagraph"/>
              <w:spacing w:line="240" w:lineRule="auto" w:before="62"/>
              <w:ind w:left="3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2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6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996" w:type="dxa"/>
            <w:vMerge/>
            <w:tcBorders>
              <w:left w:val="single" w:sz="6" w:space="0" w:color="000000"/>
              <w:bottom w:val="single" w:sz="12" w:space="0" w:color="000000"/>
              <w:right w:val="single" w:sz="6" w:space="0" w:color="000000"/>
            </w:tcBorders>
          </w:tcPr>
          <w:p>
            <w:pP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42,598,033.82</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6.2855</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267,749,941.56</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52,882,534.55</w:t>
            </w:r>
          </w:p>
        </w:tc>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6.3009</w:t>
            </w: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333,207,561.94</w:t>
            </w: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5,685,388.64</w:t>
            </w:r>
          </w:p>
        </w:tc>
        <w:tc>
          <w:tcPr>
            <w:tcW w:w="1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8.3176</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47,288,788.51</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8,835,086.28</w:t>
            </w:r>
          </w:p>
        </w:tc>
        <w:tc>
          <w:tcPr>
            <w:tcW w:w="8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8.1625</w:t>
            </w: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72,116,391.72</w:t>
            </w:r>
          </w:p>
        </w:tc>
      </w:tr>
      <w:tr>
        <w:trPr>
          <w:trHeight w:val="432" w:hRule="exact"/>
        </w:trPr>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12" w:space="0" w:color="000000"/>
              <w:left w:val="single" w:sz="6" w:space="0" w:color="000000"/>
              <w:bottom w:val="single" w:sz="12" w:space="0" w:color="000000"/>
              <w:right w:val="single" w:sz="6" w:space="0" w:color="000000"/>
            </w:tcBorders>
          </w:tcPr>
          <w:p>
            <w:pPr/>
          </w:p>
        </w:tc>
        <w:tc>
          <w:tcPr>
            <w:tcW w:w="1038" w:type="dxa"/>
            <w:tcBorders>
              <w:top w:val="single" w:sz="12" w:space="0" w:color="000000"/>
              <w:left w:val="single" w:sz="6" w:space="0" w:color="000000"/>
              <w:bottom w:val="single" w:sz="12" w:space="0" w:color="000000"/>
              <w:right w:val="single" w:sz="6" w:space="0" w:color="000000"/>
            </w:tcBorders>
          </w:tcPr>
          <w:p>
            <w:pP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315,038,730.07</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836" w:type="dxa"/>
            <w:tcBorders>
              <w:top w:val="single" w:sz="12" w:space="0" w:color="000000"/>
              <w:left w:val="single" w:sz="6" w:space="0" w:color="000000"/>
              <w:bottom w:val="single" w:sz="12" w:space="0" w:color="000000"/>
              <w:right w:val="single" w:sz="6" w:space="0" w:color="000000"/>
            </w:tcBorders>
          </w:tcPr>
          <w:p>
            <w:pPr/>
          </w:p>
        </w:tc>
        <w:tc>
          <w:tcPr>
            <w:tcW w:w="17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405,323,953.66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5"/>
        <w:gridCol w:w="1472"/>
        <w:gridCol w:w="1194"/>
        <w:gridCol w:w="1330"/>
        <w:gridCol w:w="1327"/>
        <w:gridCol w:w="1330"/>
        <w:gridCol w:w="1328"/>
      </w:tblGrid>
      <w:tr>
        <w:trPr>
          <w:trHeight w:val="201" w:hRule="exact"/>
        </w:trPr>
        <w:tc>
          <w:tcPr>
            <w:tcW w:w="1575"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75"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1,961,862,887.18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1,961,862,887.18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2,892,631,003.19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21,071,145.40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2,871,559,857.79</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179,769,195.77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179,769,195.77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105,925,380.16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105,925,380.16</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2,285,369,746.18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2,270,916,617.73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2,644,574,241.70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35,587,358.28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2,608,986,883.42</w:t>
            </w:r>
          </w:p>
        </w:tc>
      </w:tr>
      <w:tr>
        <w:trPr>
          <w:trHeight w:val="403"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4,427,001,829.13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4,412,548,700.68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5,643,130,625.05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56,658,503.68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5,586,472,121.37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30"/>
        <w:gridCol w:w="1756"/>
      </w:tblGrid>
      <w:tr>
        <w:trPr>
          <w:trHeight w:val="200"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3D3D3"/>
          </w:tcPr>
          <w:p>
            <w:pPr/>
          </w:p>
        </w:tc>
        <w:tc>
          <w:tcPr>
            <w:tcW w:w="1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1"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7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21,071,145.40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21,071,145.40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35,587,358.28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14,419,123.18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35,553,353.01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14,453,128.45</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56,658,503.68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14,419,123.18</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56,624,498.41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14,453,128.45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3200"/>
        <w:gridCol w:w="1596"/>
        <w:gridCol w:w="2380"/>
      </w:tblGrid>
      <w:tr>
        <w:trPr>
          <w:trHeight w:val="162"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0" w:right="83" w:hanging="270"/>
              <w:jc w:val="left"/>
              <w:rPr>
                <w:rFonts w:ascii="宋体" w:hAnsi="宋体" w:cs="宋体" w:eastAsia="宋体" w:hint="default"/>
                <w:sz w:val="18"/>
                <w:szCs w:val="18"/>
              </w:rPr>
            </w:pPr>
            <w:r>
              <w:rPr>
                <w:rFonts w:ascii="宋体" w:hAnsi="宋体" w:cs="宋体" w:eastAsia="宋体" w:hint="default"/>
                <w:sz w:val="18"/>
                <w:szCs w:val="18"/>
              </w:rPr>
              <w:t>本期转回存货跌价 准备的原因</w:t>
            </w: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84"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0"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1596" w:type="dxa"/>
            <w:vMerge/>
            <w:tcBorders>
              <w:left w:val="single" w:sz="4" w:space="0" w:color="000000"/>
              <w:right w:val="single" w:sz="4" w:space="0" w:color="000000"/>
            </w:tcBorders>
            <w:shd w:val="clear" w:color="auto" w:fill="D3D3D3"/>
          </w:tcPr>
          <w:p>
            <w:pPr/>
          </w:p>
        </w:tc>
        <w:tc>
          <w:tcPr>
            <w:tcW w:w="2380" w:type="dxa"/>
            <w:vMerge/>
            <w:tcBorders>
              <w:left w:val="single" w:sz="4" w:space="0" w:color="000000"/>
              <w:right w:val="single" w:sz="4" w:space="0" w:color="000000"/>
            </w:tcBorders>
            <w:shd w:val="clear" w:color="auto" w:fill="D3D3D3"/>
          </w:tcPr>
          <w:p>
            <w:pPr/>
          </w:p>
        </w:tc>
      </w:tr>
      <w:tr>
        <w:trPr>
          <w:trHeight w:val="162"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200" w:type="dxa"/>
            <w:vMerge w:val="restart"/>
            <w:tcBorders>
              <w:top w:val="single" w:sz="4" w:space="0" w:color="000000"/>
              <w:left w:val="single" w:sz="9" w:space="0" w:color="D3D3D3"/>
              <w:right w:val="single" w:sz="4" w:space="0" w:color="000000"/>
            </w:tcBorders>
          </w:tcPr>
          <w:p>
            <w:pPr>
              <w:pStyle w:val="TableParagraph"/>
              <w:spacing w:line="316" w:lineRule="auto" w:before="51"/>
              <w:ind w:left="17" w:right="104"/>
              <w:jc w:val="left"/>
              <w:rPr>
                <w:rFonts w:ascii="宋体" w:hAnsi="宋体" w:cs="宋体" w:eastAsia="宋体" w:hint="default"/>
                <w:sz w:val="18"/>
                <w:szCs w:val="18"/>
              </w:rPr>
            </w:pPr>
            <w:r>
              <w:rPr>
                <w:rFonts w:ascii="宋体" w:hAnsi="宋体" w:cs="宋体" w:eastAsia="宋体" w:hint="default"/>
                <w:sz w:val="18"/>
                <w:szCs w:val="18"/>
              </w:rPr>
              <w:t>铜版纸和化学浆市场价格下降，导致产 成品可变现净值低于存货成本</w:t>
            </w:r>
          </w:p>
        </w:tc>
        <w:tc>
          <w:tcPr>
            <w:tcW w:w="1596" w:type="dxa"/>
            <w:vMerge w:val="restart"/>
            <w:tcBorders>
              <w:top w:val="single" w:sz="4" w:space="0" w:color="000000"/>
              <w:left w:val="single" w:sz="4" w:space="0" w:color="000000"/>
              <w:right w:val="single" w:sz="4" w:space="0" w:color="000000"/>
            </w:tcBorders>
          </w:tcPr>
          <w:p>
            <w:pPr/>
          </w:p>
        </w:tc>
        <w:tc>
          <w:tcPr>
            <w:tcW w:w="2380" w:type="dxa"/>
            <w:vMerge w:val="restart"/>
            <w:tcBorders>
              <w:top w:val="single" w:sz="4" w:space="0" w:color="000000"/>
              <w:left w:val="single" w:sz="4" w:space="0" w:color="000000"/>
              <w:right w:val="single" w:sz="4" w:space="0" w:color="000000"/>
            </w:tcBorders>
          </w:tcPr>
          <w:p>
            <w:pP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200" w:type="dxa"/>
            <w:vMerge/>
            <w:tcBorders>
              <w:left w:val="single" w:sz="9" w:space="0" w:color="D3D3D3"/>
              <w:right w:val="single" w:sz="4" w:space="0" w:color="000000"/>
            </w:tcBorders>
          </w:tcPr>
          <w:p>
            <w:pPr/>
          </w:p>
        </w:tc>
        <w:tc>
          <w:tcPr>
            <w:tcW w:w="1596" w:type="dxa"/>
            <w:vMerge/>
            <w:tcBorders>
              <w:left w:val="single" w:sz="4" w:space="0" w:color="000000"/>
              <w:right w:val="single" w:sz="4" w:space="0" w:color="000000"/>
            </w:tcBorders>
          </w:tcPr>
          <w:p>
            <w:pPr/>
          </w:p>
        </w:tc>
        <w:tc>
          <w:tcPr>
            <w:tcW w:w="2380" w:type="dxa"/>
            <w:vMerge/>
            <w:tcBorders>
              <w:left w:val="single" w:sz="4" w:space="0" w:color="000000"/>
              <w:right w:val="single" w:sz="4" w:space="0" w:color="000000"/>
            </w:tcBorders>
          </w:tcPr>
          <w:p>
            <w:pPr/>
          </w:p>
        </w:tc>
      </w:tr>
      <w:tr>
        <w:trPr>
          <w:trHeight w:val="162"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0" w:type="dxa"/>
            <w:vMerge/>
            <w:tcBorders>
              <w:left w:val="single" w:sz="9" w:space="0" w:color="D3D3D3"/>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2380"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8870"/>
        <w:jc w:val="left"/>
      </w:pPr>
      <w:r>
        <w:rPr/>
        <w:t>存货的说明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103,139,626.04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37,199,570.80</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尚未抵扣的增值税进项税额</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1,700,116,681.57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1,661,162,690.83</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1,803,256,307.61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1,698,362,261.63</w:t>
            </w:r>
          </w:p>
        </w:tc>
      </w:tr>
    </w:tbl>
    <w:p>
      <w:pPr>
        <w:pStyle w:val="BodyText"/>
        <w:spacing w:line="357" w:lineRule="auto" w:before="51"/>
        <w:ind w:left="153" w:right="8331"/>
        <w:jc w:val="left"/>
      </w:pPr>
      <w:r>
        <w:rPr/>
        <w:t>其他流动资产说明 无</w:t>
      </w:r>
    </w:p>
    <w:p>
      <w:pPr>
        <w:spacing w:after="0" w:line="357" w:lineRule="auto"/>
        <w:jc w:val="left"/>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4"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阿尔诺维根斯 晨鸣特种纸有 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24,942,125.97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49,305,023.17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-24,362,897.20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2,047,165.57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-88,980,567.78</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青州市晨鸣变 性淀粉有限责 任公司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江西江报传媒 彩印有限公司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39,192,081.49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16,542,388.08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22,649,693.41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16,132,274.94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10,077.37</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上海安舟新能 源有限公司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528,743,677.13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528,743,677.13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18,743,677.13</w:t>
            </w:r>
          </w:p>
        </w:tc>
      </w:tr>
    </w:tbl>
    <w:p>
      <w:pPr>
        <w:pStyle w:val="BodyText"/>
        <w:spacing w:line="357" w:lineRule="auto" w:before="51"/>
        <w:ind w:left="153" w:right="1491"/>
        <w:jc w:val="left"/>
      </w:pPr>
      <w:r>
        <w:rPr/>
        <w:t>合营企业、联营企业的重要会计政策、会计估计与公司的会计政策、会计估计存在重大差异的说明：无。 青州市晨鸣变性淀粉有限责任公司因经营不善，以前年度已全额计提减值准备。</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根斯晨鸣 特种纸有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80,100,00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19,385,30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1.17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-19,385,3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01.17</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青州市晨</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鸣变性淀 粉有限责</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江西江报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4,788,278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4,396.33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4,792,675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32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传媒彩印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上海安舟 新能源有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268,743,6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268,743,6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山东纸业 集团总公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济南商友 商务有限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浙江省广 育报业印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寿光弥河 水务有限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上海林嘉 纸电子商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潍坊新业 资本投资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山东虹桥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421,950,0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80,023,57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279,362,7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359,386,3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52.25</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tabs>
          <w:tab w:pos="889" w:val="left" w:leader="none"/>
        </w:tabs>
        <w:spacing w:line="240" w:lineRule="auto" w:before="35"/>
        <w:ind w:left="334" w:right="0"/>
        <w:jc w:val="left"/>
        <w:rPr>
          <w:b w:val="0"/>
          <w:bCs w:val="0"/>
        </w:rPr>
      </w:pPr>
      <w:r>
        <w:rPr>
          <w:rFonts w:ascii="Times New Roman" w:hAnsi="Times New Roman" w:cs="Times New Roman" w:eastAsia="Times New Roman" w:hint="default"/>
        </w:rPr>
        <w:t>(2)</w:t>
        <w:tab/>
      </w:r>
      <w:r>
        <w:rPr/>
        <w:t>对联营企业投资情况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单位：元</w:t>
      </w:r>
    </w:p>
    <w:p>
      <w:pPr>
        <w:spacing w:line="240" w:lineRule="auto" w:before="13"/>
        <w:rPr>
          <w:rFonts w:ascii="宋体" w:hAnsi="宋体" w:cs="宋体" w:eastAsia="宋体" w:hint="default"/>
          <w:sz w:val="7"/>
          <w:szCs w:val="7"/>
        </w:rPr>
      </w:pPr>
    </w:p>
    <w:p>
      <w:pPr>
        <w:spacing w:line="1419" w:lineRule="exact"/>
        <w:ind w:left="105"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504pt;height:71pt;mso-position-horizontal-relative:char;mso-position-vertical-relative:line" coordorigin="0,0" coordsize="10080,1420">
            <v:group style="position:absolute;left:29;top:15;width:10029;height:2" coordorigin="29,15" coordsize="10029,2">
              <v:shape style="position:absolute;left:29;top:15;width:10029;height:2" coordorigin="29,15" coordsize="10029,0" path="m29,15l10058,15e" filled="false" stroked="true" strokeweight="1.5pt" strokecolor="#000000">
                <v:path arrowok="t"/>
              </v:shape>
            </v:group>
            <v:group style="position:absolute;left:15;top:1405;width:2768;height:2" coordorigin="15,1405" coordsize="2768,2">
              <v:shape style="position:absolute;left:15;top:1405;width:2768;height:2" coordorigin="15,1405" coordsize="2768,0" path="m15,1405l2782,1405e" filled="false" stroked="true" strokeweight="1.5pt" strokecolor="#000000">
                <v:path arrowok="t"/>
              </v:shape>
              <v:shape style="position:absolute;left:2763;top:11;width:48;height:1382" type="#_x0000_t75" stroked="false">
                <v:imagedata r:id="rId34" o:title=""/>
              </v:shape>
            </v:group>
            <v:group style="position:absolute;left:2782;top:1405;width:1136;height:2" coordorigin="2782,1405" coordsize="1136,2">
              <v:shape style="position:absolute;left:2782;top:1405;width:1136;height:2" coordorigin="2782,1405" coordsize="1136,0" path="m2782,1405l3917,1405e" filled="false" stroked="true" strokeweight="1.5pt" strokecolor="#000000">
                <v:path arrowok="t"/>
              </v:shape>
              <v:shape style="position:absolute;left:3902;top:14;width:41;height:1391" type="#_x0000_t75" stroked="false">
                <v:imagedata r:id="rId35" o:title=""/>
              </v:shape>
            </v:group>
            <v:group style="position:absolute;left:3917;top:1405;width:1163;height:2" coordorigin="3917,1405" coordsize="1163,2">
              <v:shape style="position:absolute;left:3917;top:1405;width:1163;height:2" coordorigin="3917,1405" coordsize="1163,0" path="m3917,1405l5080,1405e" filled="false" stroked="true" strokeweight="1.5pt" strokecolor="#000000">
                <v:path arrowok="t"/>
              </v:shape>
              <v:shape style="position:absolute;left:5065;top:14;width:41;height:1391" type="#_x0000_t75" stroked="false">
                <v:imagedata r:id="rId35" o:title=""/>
              </v:shape>
            </v:group>
            <v:group style="position:absolute;left:5080;top:1405;width:827;height:2" coordorigin="5080,1405" coordsize="827,2">
              <v:shape style="position:absolute;left:5080;top:1405;width:827;height:2" coordorigin="5080,1405" coordsize="827,0" path="m5080,1405l5907,1405e" filled="false" stroked="true" strokeweight="1.5pt" strokecolor="#000000">
                <v:path arrowok="t"/>
              </v:shape>
              <v:shape style="position:absolute;left:5888;top:11;width:48;height:1382" type="#_x0000_t75" stroked="false">
                <v:imagedata r:id="rId34" o:title=""/>
              </v:shape>
            </v:group>
            <v:group style="position:absolute;left:5907;top:1405;width:1134;height:2" coordorigin="5907,1405" coordsize="1134,2">
              <v:shape style="position:absolute;left:5907;top:1405;width:1134;height:2" coordorigin="5907,1405" coordsize="1134,0" path="m5907,1405l7041,1405e" filled="false" stroked="true" strokeweight="1.5pt" strokecolor="#000000">
                <v:path arrowok="t"/>
              </v:shape>
              <v:shape style="position:absolute;left:7025;top:14;width:41;height:1391" type="#_x0000_t75" stroked="false">
                <v:imagedata r:id="rId36" o:title=""/>
              </v:shape>
            </v:group>
            <v:group style="position:absolute;left:7041;top:1405;width:1181;height:2" coordorigin="7041,1405" coordsize="1181,2">
              <v:shape style="position:absolute;left:7041;top:1405;width:1181;height:2" coordorigin="7041,1405" coordsize="1181,0" path="m7041,1405l8222,1405e" filled="false" stroked="true" strokeweight="1.5pt" strokecolor="#000000">
                <v:path arrowok="t"/>
              </v:shape>
              <v:shape style="position:absolute;left:8206;top:14;width:41;height:1391" type="#_x0000_t75" stroked="false">
                <v:imagedata r:id="rId35" o:title=""/>
              </v:shape>
            </v:group>
            <v:group style="position:absolute;left:8222;top:1405;width:688;height:2" coordorigin="8222,1405" coordsize="688,2">
              <v:shape style="position:absolute;left:8222;top:1405;width:688;height:2" coordorigin="8222,1405" coordsize="688,0" path="m8222,1405l8909,1405e" filled="false" stroked="true" strokeweight="1.5pt" strokecolor="#000000">
                <v:path arrowok="t"/>
              </v:shape>
              <v:shape style="position:absolute;left:8894;top:14;width:41;height:1391" type="#_x0000_t75" stroked="false">
                <v:imagedata r:id="rId35" o:title=""/>
              </v:shape>
            </v:group>
            <v:group style="position:absolute;left:8909;top:1405;width:1156;height:2" coordorigin="8909,1405" coordsize="1156,2">
              <v:shape style="position:absolute;left:8909;top:1405;width:1156;height:2" coordorigin="8909,1405" coordsize="1156,0" path="m8909,1405l10065,1405e" filled="false" stroked="true" strokeweight="1.5pt" strokecolor="#000000">
                <v:path arrowok="t"/>
              </v:shape>
              <v:shape style="position:absolute;left:777;top:619;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txbxContent>
                </v:textbox>
                <w10:wrap type="none"/>
              </v:shape>
              <v:shape style="position:absolute;left:2995;top:6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4234;top:619;width:2605;height:180" type="#_x0000_t202" filled="false" stroked="false">
                <v:textbox inset="0,0,0,0">
                  <w:txbxContent>
                    <w:p>
                      <w:pPr>
                        <w:tabs>
                          <w:tab w:pos="903" w:val="left" w:leader="none"/>
                          <w:tab w:pos="188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注册地</w:t>
                        <w:tab/>
                        <w:t>法人代表</w:t>
                        <w:tab/>
                        <w:t>业务性质</w:t>
                      </w:r>
                    </w:p>
                  </w:txbxContent>
                </v:textbox>
                <w10:wrap type="none"/>
              </v:shape>
              <v:shape style="position:absolute;left:7276;top:307;width:2754;height:806" type="#_x0000_t202" filled="false" stroked="false">
                <v:textbox inset="0,0,0,0">
                  <w:txbxContent>
                    <w:p>
                      <w:pPr>
                        <w:spacing w:line="180" w:lineRule="exact" w:before="0"/>
                        <w:ind w:left="0" w:right="0" w:firstLine="1023"/>
                        <w:jc w:val="left"/>
                        <w:rPr>
                          <w:rFonts w:ascii="宋体" w:hAnsi="宋体" w:cs="宋体" w:eastAsia="宋体" w:hint="default"/>
                          <w:sz w:val="18"/>
                          <w:szCs w:val="18"/>
                        </w:rPr>
                      </w:pPr>
                      <w:r>
                        <w:rPr>
                          <w:rFonts w:ascii="宋体" w:hAnsi="宋体" w:cs="宋体" w:eastAsia="宋体" w:hint="default"/>
                          <w:sz w:val="18"/>
                          <w:szCs w:val="18"/>
                        </w:rPr>
                        <w:t>本企业</w:t>
                      </w:r>
                      <w:r>
                        <w:rPr>
                          <w:rFonts w:ascii="宋体" w:hAnsi="宋体" w:cs="宋体" w:eastAsia="宋体" w:hint="default"/>
                          <w:spacing w:val="20"/>
                          <w:sz w:val="18"/>
                          <w:szCs w:val="18"/>
                        </w:rPr>
                        <w:t> </w:t>
                      </w:r>
                      <w:r>
                        <w:rPr>
                          <w:rFonts w:ascii="宋体" w:hAnsi="宋体" w:cs="宋体" w:eastAsia="宋体" w:hint="default"/>
                          <w:sz w:val="18"/>
                          <w:szCs w:val="18"/>
                        </w:rPr>
                        <w:t>本企业在被投</w:t>
                      </w:r>
                    </w:p>
                    <w:p>
                      <w:pPr>
                        <w:tabs>
                          <w:tab w:pos="1023" w:val="left" w:leader="none"/>
                        </w:tabs>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tab/>
                        <w:t>持股比</w:t>
                      </w:r>
                      <w:r>
                        <w:rPr>
                          <w:rFonts w:ascii="宋体" w:hAnsi="宋体" w:cs="宋体" w:eastAsia="宋体" w:hint="default"/>
                          <w:spacing w:val="20"/>
                          <w:sz w:val="18"/>
                          <w:szCs w:val="18"/>
                        </w:rPr>
                        <w:t> </w:t>
                      </w:r>
                      <w:r>
                        <w:rPr>
                          <w:rFonts w:ascii="宋体" w:hAnsi="宋体" w:cs="宋体" w:eastAsia="宋体" w:hint="default"/>
                          <w:sz w:val="18"/>
                          <w:szCs w:val="18"/>
                        </w:rPr>
                        <w:t>资单位表决权</w:t>
                      </w:r>
                    </w:p>
                    <w:p>
                      <w:pPr>
                        <w:spacing w:before="77"/>
                        <w:ind w:left="979" w:right="0" w:firstLine="0"/>
                        <w:jc w:val="left"/>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pacing w:val="19"/>
                          <w:sz w:val="18"/>
                          <w:szCs w:val="18"/>
                        </w:rPr>
                        <w:t> </w:t>
                      </w: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27"/>
          <w:sz w:val="20"/>
          <w:szCs w:val="20"/>
        </w:rPr>
      </w:r>
    </w:p>
    <w:p>
      <w:pPr>
        <w:spacing w:after="0" w:line="1419" w:lineRule="exact"/>
        <w:rPr>
          <w:rFonts w:ascii="宋体" w:hAnsi="宋体" w:cs="宋体" w:eastAsia="宋体" w:hint="default"/>
          <w:sz w:val="20"/>
          <w:szCs w:val="20"/>
        </w:rPr>
        <w:sectPr>
          <w:pgSz w:w="11910" w:h="16840"/>
          <w:pgMar w:header="0" w:footer="982" w:top="1060" w:bottom="1180" w:left="80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8481" w:type="dxa"/>
        <w:tblLayout w:type="fixed"/>
        <w:tblCellMar>
          <w:top w:w="0" w:type="dxa"/>
          <w:left w:w="0" w:type="dxa"/>
          <w:bottom w:w="0" w:type="dxa"/>
          <w:right w:w="0" w:type="dxa"/>
        </w:tblCellMar>
        <w:tblLook w:val="01E0"/>
      </w:tblPr>
      <w:tblGrid>
        <w:gridCol w:w="888"/>
        <w:gridCol w:w="888"/>
      </w:tblGrid>
      <w:tr>
        <w:trPr>
          <w:trHeight w:val="335"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z w:val="18"/>
              </w:rPr>
              <w:t>30.00%</w:t>
            </w:r>
          </w:p>
        </w:tc>
        <w:tc>
          <w:tcPr>
            <w:tcW w:w="88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30.00%</w:t>
            </w:r>
          </w:p>
        </w:tc>
      </w:tr>
      <w:tr>
        <w:trPr>
          <w:trHeight w:val="490"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Times New Roman" w:hAnsi="Times New Roman" w:cs="Times New Roman" w:eastAsia="Times New Roman" w:hint="default"/>
                <w:sz w:val="18"/>
                <w:szCs w:val="18"/>
              </w:rPr>
            </w:pPr>
            <w:r>
              <w:rPr>
                <w:rFonts w:ascii="Times New Roman"/>
                <w:sz w:val="18"/>
              </w:rPr>
              <w:t>30.00%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z w:val="18"/>
              </w:rPr>
              <w:t>30.00%</w:t>
            </w:r>
          </w:p>
        </w:tc>
      </w:tr>
      <w:tr>
        <w:trPr>
          <w:trHeight w:val="490"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Times New Roman" w:hAnsi="Times New Roman" w:cs="Times New Roman" w:eastAsia="Times New Roman" w:hint="default"/>
                <w:sz w:val="18"/>
                <w:szCs w:val="18"/>
              </w:rPr>
            </w:pPr>
            <w:r>
              <w:rPr>
                <w:rFonts w:ascii="Times New Roman"/>
                <w:sz w:val="18"/>
              </w:rPr>
              <w:t>21.16%</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21.16%</w:t>
            </w:r>
          </w:p>
        </w:tc>
      </w:tr>
      <w:tr>
        <w:trPr>
          <w:trHeight w:val="335" w:hRule="exact"/>
        </w:trPr>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Times New Roman" w:hAnsi="Times New Roman" w:cs="Times New Roman" w:eastAsia="Times New Roman" w:hint="default"/>
                <w:sz w:val="18"/>
                <w:szCs w:val="18"/>
              </w:rPr>
            </w:pPr>
            <w:r>
              <w:rPr>
                <w:rFonts w:ascii="Times New Roman"/>
                <w:sz w:val="18"/>
              </w:rPr>
              <w:t>49.00%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Times New Roman" w:hAnsi="Times New Roman" w:cs="Times New Roman" w:eastAsia="Times New Roman" w:hint="default"/>
                <w:sz w:val="18"/>
                <w:szCs w:val="18"/>
              </w:rPr>
            </w:pPr>
            <w:r>
              <w:rPr>
                <w:rFonts w:ascii="Times New Roman"/>
                <w:sz w:val="18"/>
              </w:rPr>
              <w:t>49.00%</w:t>
            </w:r>
          </w:p>
        </w:tc>
      </w:tr>
    </w:tbl>
    <w:p>
      <w:pPr>
        <w:spacing w:line="240" w:lineRule="auto" w:before="5"/>
        <w:rPr>
          <w:rFonts w:ascii="宋体" w:hAnsi="宋体" w:cs="宋体" w:eastAsia="宋体" w:hint="default"/>
          <w:sz w:val="21"/>
          <w:szCs w:val="21"/>
        </w:rPr>
      </w:pPr>
    </w:p>
    <w:p>
      <w:pPr>
        <w:pStyle w:val="BodyText"/>
        <w:spacing w:line="240" w:lineRule="auto" w:before="44"/>
        <w:ind w:left="774" w:right="0"/>
        <w:jc w:val="left"/>
      </w:pPr>
      <w:r>
        <w:rPr/>
        <w:pict>
          <v:group style="position:absolute;margin-left:45.27pt;margin-top:-174.307999pt;width:504pt;height:169pt;mso-position-horizontal-relative:page;mso-position-vertical-relative:paragraph;z-index:-1369672" coordorigin="905,-3486" coordsize="10080,3380">
            <v:group style="position:absolute;left:935;top:-3471;width:10029;height:2" coordorigin="935,-3471" coordsize="10029,2">
              <v:shape style="position:absolute;left:935;top:-3471;width:10029;height:2" coordorigin="935,-3471" coordsize="10029,0" path="m935,-3471l10963,-3471e" filled="false" stroked="true" strokeweight="1.5pt" strokecolor="#000000">
                <v:path arrowok="t"/>
              </v:shape>
              <v:shape style="position:absolute;left:3673;top:-3471;width:6166;height:1387" type="#_x0000_t75" stroked="false">
                <v:imagedata r:id="rId37" o:title=""/>
              </v:shape>
            </v:group>
            <v:group style="position:absolute;left:920;top:-122;width:2768;height:2" coordorigin="920,-122" coordsize="2768,2">
              <v:shape style="position:absolute;left:920;top:-122;width:2768;height:2" coordorigin="920,-122" coordsize="2768,0" path="m920,-122l3688,-122e" filled="false" stroked="true" strokeweight="1.5pt" strokecolor="#000000">
                <v:path arrowok="t"/>
              </v:shape>
              <v:shape style="position:absolute;left:922;top:-2111;width:10058;height:1993" type="#_x0000_t75" stroked="false">
                <v:imagedata r:id="rId38" o:title=""/>
              </v:shape>
            </v:group>
            <v:group style="position:absolute;left:3688;top:-122;width:1136;height:2" coordorigin="3688,-122" coordsize="1136,2">
              <v:shape style="position:absolute;left:3688;top:-122;width:1136;height:2" coordorigin="3688,-122" coordsize="1136,0" path="m3688,-122l4823,-122e" filled="false" stroked="true" strokeweight="1.5pt" strokecolor="#000000">
                <v:path arrowok="t"/>
              </v:shape>
              <v:shape style="position:absolute;left:4804;top:-637;width:48;height:520" type="#_x0000_t75" stroked="false">
                <v:imagedata r:id="rId39" o:title=""/>
              </v:shape>
            </v:group>
            <v:group style="position:absolute;left:4823;top:-122;width:1163;height:2" coordorigin="4823,-122" coordsize="1163,2">
              <v:shape style="position:absolute;left:4823;top:-122;width:1163;height:2" coordorigin="4823,-122" coordsize="1163,0" path="m4823,-122l5986,-122e" filled="false" stroked="true" strokeweight="1.5pt" strokecolor="#000000">
                <v:path arrowok="t"/>
              </v:shape>
              <v:shape style="position:absolute;left:5966;top:-637;width:48;height:520" type="#_x0000_t75" stroked="false">
                <v:imagedata r:id="rId39" o:title=""/>
              </v:shape>
            </v:group>
            <v:group style="position:absolute;left:5986;top:-122;width:827;height:2" coordorigin="5986,-122" coordsize="827,2">
              <v:shape style="position:absolute;left:5986;top:-122;width:827;height:2" coordorigin="5986,-122" coordsize="827,0" path="m5986,-122l6812,-122e" filled="false" stroked="true" strokeweight="1.5pt" strokecolor="#000000">
                <v:path arrowok="t"/>
              </v:shape>
              <v:shape style="position:absolute;left:6793;top:-637;width:48;height:520" type="#_x0000_t75" stroked="false">
                <v:imagedata r:id="rId39" o:title=""/>
              </v:shape>
            </v:group>
            <v:group style="position:absolute;left:6812;top:-122;width:1134;height:2" coordorigin="6812,-122" coordsize="1134,2">
              <v:shape style="position:absolute;left:6812;top:-122;width:1134;height:2" coordorigin="6812,-122" coordsize="1134,0" path="m6812,-122l7946,-122e" filled="false" stroked="true" strokeweight="1.5pt" strokecolor="#000000">
                <v:path arrowok="t"/>
              </v:shape>
              <v:shape style="position:absolute;left:7927;top:-637;width:48;height:520" type="#_x0000_t75" stroked="false">
                <v:imagedata r:id="rId39" o:title=""/>
              </v:shape>
            </v:group>
            <v:group style="position:absolute;left:7946;top:-122;width:1181;height:2" coordorigin="7946,-122" coordsize="1181,2">
              <v:shape style="position:absolute;left:7946;top:-122;width:1181;height:2" coordorigin="7946,-122" coordsize="1181,0" path="m7946,-122l9127,-122e" filled="false" stroked="true" strokeweight="1.5pt" strokecolor="#000000">
                <v:path arrowok="t"/>
              </v:shape>
              <v:shape style="position:absolute;left:9108;top:-637;width:48;height:520" type="#_x0000_t75" stroked="false">
                <v:imagedata r:id="rId39" o:title=""/>
              </v:shape>
            </v:group>
            <v:group style="position:absolute;left:9127;top:-122;width:688;height:2" coordorigin="9127,-122" coordsize="688,2">
              <v:shape style="position:absolute;left:9127;top:-122;width:688;height:2" coordorigin="9127,-122" coordsize="688,0" path="m9127,-122l9815,-122e" filled="false" stroked="true" strokeweight="1.5pt" strokecolor="#000000">
                <v:path arrowok="t"/>
              </v:shape>
              <v:shape style="position:absolute;left:9796;top:-637;width:48;height:520" type="#_x0000_t75" stroked="false">
                <v:imagedata r:id="rId39" o:title=""/>
              </v:shape>
            </v:group>
            <v:group style="position:absolute;left:9815;top:-122;width:1156;height:2" coordorigin="9815,-122" coordsize="1156,2">
              <v:shape style="position:absolute;left:9815;top:-122;width:1156;height:2" coordorigin="9815,-122" coordsize="1156,0" path="m9815,-122l10970,-122e" filled="false" stroked="true" strokeweight="1.5pt" strokecolor="#000000">
                <v:path arrowok="t"/>
              </v:shape>
              <v:shape style="position:absolute;left:1682;top:-2867;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txbxContent>
                </v:textbox>
                <w10:wrap type="none"/>
              </v:shape>
              <v:shape style="position:absolute;left:3900;top:-286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5140;top:-2867;width:2605;height:180" type="#_x0000_t202" filled="false" stroked="false">
                <v:textbox inset="0,0,0,0">
                  <w:txbxContent>
                    <w:p>
                      <w:pPr>
                        <w:tabs>
                          <w:tab w:pos="903" w:val="left" w:leader="none"/>
                          <w:tab w:pos="188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注册地</w:t>
                        <w:tab/>
                        <w:t>法人代表</w:t>
                        <w:tab/>
                        <w:t>业务性质</w:t>
                      </w:r>
                    </w:p>
                  </w:txbxContent>
                </v:textbox>
                <w10:wrap type="none"/>
              </v:shape>
              <v:shape style="position:absolute;left:8182;top:-3179;width:2754;height:805" type="#_x0000_t202" filled="false" stroked="false">
                <v:textbox inset="0,0,0,0">
                  <w:txbxContent>
                    <w:p>
                      <w:pPr>
                        <w:spacing w:line="180" w:lineRule="exact" w:before="0"/>
                        <w:ind w:left="0" w:right="0" w:firstLine="1023"/>
                        <w:jc w:val="left"/>
                        <w:rPr>
                          <w:rFonts w:ascii="宋体" w:hAnsi="宋体" w:cs="宋体" w:eastAsia="宋体" w:hint="default"/>
                          <w:sz w:val="18"/>
                          <w:szCs w:val="18"/>
                        </w:rPr>
                      </w:pPr>
                      <w:r>
                        <w:rPr>
                          <w:rFonts w:ascii="宋体" w:hAnsi="宋体" w:cs="宋体" w:eastAsia="宋体" w:hint="default"/>
                          <w:sz w:val="18"/>
                          <w:szCs w:val="18"/>
                        </w:rPr>
                        <w:t>本企业</w:t>
                      </w:r>
                      <w:r>
                        <w:rPr>
                          <w:rFonts w:ascii="宋体" w:hAnsi="宋体" w:cs="宋体" w:eastAsia="宋体" w:hint="default"/>
                          <w:spacing w:val="20"/>
                          <w:sz w:val="18"/>
                          <w:szCs w:val="18"/>
                        </w:rPr>
                        <w:t> </w:t>
                      </w:r>
                      <w:r>
                        <w:rPr>
                          <w:rFonts w:ascii="宋体" w:hAnsi="宋体" w:cs="宋体" w:eastAsia="宋体" w:hint="default"/>
                          <w:sz w:val="18"/>
                          <w:szCs w:val="18"/>
                        </w:rPr>
                        <w:t>本企业在被投</w:t>
                      </w:r>
                    </w:p>
                    <w:p>
                      <w:pPr>
                        <w:tabs>
                          <w:tab w:pos="1023" w:val="left" w:leader="none"/>
                        </w:tabs>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tab/>
                        <w:t>持股比</w:t>
                      </w:r>
                      <w:r>
                        <w:rPr>
                          <w:rFonts w:ascii="宋体" w:hAnsi="宋体" w:cs="宋体" w:eastAsia="宋体" w:hint="default"/>
                          <w:spacing w:val="20"/>
                          <w:sz w:val="18"/>
                          <w:szCs w:val="18"/>
                        </w:rPr>
                        <w:t> </w:t>
                      </w:r>
                      <w:r>
                        <w:rPr>
                          <w:rFonts w:ascii="宋体" w:hAnsi="宋体" w:cs="宋体" w:eastAsia="宋体" w:hint="default"/>
                          <w:sz w:val="18"/>
                          <w:szCs w:val="18"/>
                        </w:rPr>
                        <w:t>资单位表决权</w:t>
                      </w:r>
                    </w:p>
                    <w:p>
                      <w:pPr>
                        <w:spacing w:before="76"/>
                        <w:ind w:left="979" w:right="0" w:firstLine="0"/>
                        <w:jc w:val="left"/>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pacing w:val="19"/>
                          <w:sz w:val="18"/>
                          <w:szCs w:val="18"/>
                        </w:rPr>
                        <w:t> </w:t>
                      </w:r>
                      <w:r>
                        <w:rPr>
                          <w:rFonts w:ascii="宋体" w:hAnsi="宋体" w:cs="宋体" w:eastAsia="宋体" w:hint="default"/>
                          <w:sz w:val="18"/>
                          <w:szCs w:val="18"/>
                        </w:rPr>
                        <w:t>比例（%）</w:t>
                      </w:r>
                    </w:p>
                  </w:txbxContent>
                </v:textbox>
                <w10:wrap type="none"/>
              </v:shape>
              <v:shape style="position:absolute;left:962;top:-1938;width:3838;height:237" type="#_x0000_t202" filled="false" stroked="false">
                <v:textbox inset="0,0,0,0">
                  <w:txbxContent>
                    <w:p>
                      <w:pPr>
                        <w:spacing w:line="23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r>
                        <w:rPr>
                          <w:rFonts w:ascii="宋体" w:hAnsi="宋体" w:cs="宋体" w:eastAsia="宋体" w:hint="default"/>
                          <w:spacing w:val="-33"/>
                          <w:sz w:val="18"/>
                          <w:szCs w:val="18"/>
                        </w:rPr>
                        <w:t> </w:t>
                      </w:r>
                      <w:r>
                        <w:rPr>
                          <w:rFonts w:ascii="宋体" w:hAnsi="宋体" w:cs="宋体" w:eastAsia="宋体" w:hint="default"/>
                          <w:position w:val="6"/>
                          <w:sz w:val="18"/>
                          <w:szCs w:val="18"/>
                        </w:rPr>
                        <w:t>中外合资企业</w:t>
                      </w:r>
                      <w:r>
                        <w:rPr>
                          <w:rFonts w:ascii="宋体" w:hAnsi="宋体" w:cs="宋体" w:eastAsia="宋体" w:hint="default"/>
                          <w:sz w:val="18"/>
                          <w:szCs w:val="18"/>
                        </w:rPr>
                      </w:r>
                    </w:p>
                  </w:txbxContent>
                </v:textbox>
                <w10:wrap type="none"/>
              </v:shape>
              <v:shape style="position:absolute;left:5004;top:-1938;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中国.山东</w:t>
                      </w:r>
                    </w:p>
                  </w:txbxContent>
                </v:textbox>
                <w10:wrap type="none"/>
              </v:shape>
              <v:shape style="position:absolute;left:6223;top:-19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佟翀</w:t>
                      </w:r>
                    </w:p>
                  </w:txbxContent>
                </v:textbox>
                <w10:wrap type="none"/>
              </v:shape>
              <v:shape style="position:absolute;left:7204;top:-19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造纸</w:t>
                      </w:r>
                    </w:p>
                  </w:txbxContent>
                </v:textbox>
                <w10:wrap type="none"/>
              </v:shape>
              <v:shape style="position:absolute;left:7980;top:-1872;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267,368,330.00</w:t>
                      </w:r>
                    </w:p>
                  </w:txbxContent>
                </v:textbox>
                <w10:wrap type="none"/>
              </v:shape>
              <v:shape style="position:absolute;left:962;top:-1391;width:27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xbxContent>
                </v:textbox>
                <w10:wrap type="none"/>
              </v:shape>
              <v:shape style="position:absolute;left:3900;top:-144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v:shape style="position:absolute;left:5004;top:-1447;width:1670;height:180" type="#_x0000_t202" filled="false" stroked="false">
                <v:textbox inset="0,0,0,0">
                  <w:txbxContent>
                    <w:p>
                      <w:pPr>
                        <w:tabs>
                          <w:tab w:pos="112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中国.山东</w:t>
                        <w:tab/>
                        <w:t>房师明</w:t>
                      </w:r>
                    </w:p>
                  </w:txbxContent>
                </v:textbox>
                <w10:wrap type="none"/>
              </v:shape>
              <v:shape style="position:absolute;left:7204;top:-144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淀粉</w:t>
                      </w:r>
                    </w:p>
                  </w:txbxContent>
                </v:textbox>
                <w10:wrap type="none"/>
              </v:shape>
              <v:shape style="position:absolute;left:8159;top:-1381;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3,000,000.00</w:t>
                      </w:r>
                    </w:p>
                  </w:txbxContent>
                </v:textbox>
                <w10:wrap type="none"/>
              </v:shape>
              <v:shape style="position:absolute;left:962;top:-901;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xbxContent>
                </v:textbox>
                <w10:wrap type="none"/>
              </v:shape>
              <v:shape style="position:absolute;left:3900;top:-958;width:1914;height:180" type="#_x0000_t202" filled="false" stroked="false">
                <v:textbox inset="0,0,0,0">
                  <w:txbxContent>
                    <w:p>
                      <w:pPr>
                        <w:tabs>
                          <w:tab w:pos="110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w:t>
                        <w:tab/>
                        <w:t>中国.江西</w:t>
                      </w:r>
                    </w:p>
                  </w:txbxContent>
                </v:textbox>
                <w10:wrap type="none"/>
              </v:shape>
              <v:shape style="position:absolute;left:6223;top:-95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欧洋</w:t>
                      </w:r>
                    </w:p>
                  </w:txbxContent>
                </v:textbox>
                <w10:wrap type="none"/>
              </v:shape>
              <v:shape style="position:absolute;left:7204;top:-95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印刷</w:t>
                      </w:r>
                    </w:p>
                  </w:txbxContent>
                </v:textbox>
                <w10:wrap type="none"/>
              </v:shape>
              <v:shape style="position:absolute;left:8069;top:-891;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23,140,000.00</w:t>
                      </w:r>
                    </w:p>
                  </w:txbxContent>
                </v:textbox>
                <w10:wrap type="none"/>
              </v:shape>
              <v:shape style="position:absolute;left:962;top:-412;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上海安舟新能源有限公司</w:t>
                      </w:r>
                    </w:p>
                  </w:txbxContent>
                </v:textbox>
                <w10:wrap type="none"/>
              </v:shape>
              <v:shape style="position:absolute;left:3720;top:-41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v:shape style="position:absolute;left:5004;top:-412;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中国.上海</w:t>
                      </w:r>
                    </w:p>
                  </w:txbxContent>
                </v:textbox>
                <w10:wrap type="none"/>
              </v:shape>
              <v:shape style="position:absolute;left:6223;top:-4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陈烽</w:t>
                      </w:r>
                    </w:p>
                  </w:txbxContent>
                </v:textbox>
                <w10:wrap type="none"/>
              </v:shape>
              <v:shape style="position:absolute;left:7024;top:-412;width:2083;height:190" type="#_x0000_t202" filled="false" stroked="false">
                <v:textbox inset="0,0,0,0">
                  <w:txbxContent>
                    <w:p>
                      <w:pPr>
                        <w:tabs>
                          <w:tab w:pos="956" w:val="left" w:leader="none"/>
                        </w:tabs>
                        <w:spacing w:line="190"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能源投资</w:t>
                        <w:tab/>
                      </w:r>
                      <w:r>
                        <w:rPr>
                          <w:rFonts w:ascii="Times New Roman" w:hAnsi="Times New Roman" w:cs="Times New Roman" w:eastAsia="Times New Roman" w:hint="default"/>
                          <w:sz w:val="18"/>
                          <w:szCs w:val="18"/>
                        </w:rPr>
                        <w:t>510,000,000.00</w:t>
                      </w:r>
                    </w:p>
                  </w:txbxContent>
                </v:textbox>
                <w10:wrap type="none"/>
              </v:shape>
            </v:group>
            <w10:wrap type="none"/>
          </v:group>
        </w:pict>
      </w:r>
      <w:r>
        <w:rPr/>
        <w:t>（续）</w:t>
      </w:r>
    </w:p>
    <w:p>
      <w:pPr>
        <w:spacing w:line="240" w:lineRule="auto" w:before="2"/>
        <w:rPr>
          <w:rFonts w:ascii="宋体" w:hAnsi="宋体" w:cs="宋体" w:eastAsia="宋体" w:hint="default"/>
          <w:sz w:val="7"/>
          <w:szCs w:val="7"/>
        </w:rPr>
      </w:pPr>
    </w:p>
    <w:p>
      <w:pPr>
        <w:spacing w:line="2763" w:lineRule="exact"/>
        <w:ind w:left="106" w:right="0" w:firstLine="0"/>
        <w:rPr>
          <w:rFonts w:ascii="宋体" w:hAnsi="宋体" w:cs="宋体" w:eastAsia="宋体" w:hint="default"/>
          <w:sz w:val="20"/>
          <w:szCs w:val="20"/>
        </w:rPr>
      </w:pPr>
      <w:r>
        <w:rPr>
          <w:rFonts w:ascii="宋体" w:hAnsi="宋体" w:cs="宋体" w:eastAsia="宋体" w:hint="default"/>
          <w:position w:val="-54"/>
          <w:sz w:val="20"/>
          <w:szCs w:val="20"/>
        </w:rPr>
        <w:pict>
          <v:group style="width:511.95pt;height:138.2pt;mso-position-horizontal-relative:char;mso-position-vertical-relative:line" coordorigin="0,0" coordsize="10239,2764">
            <v:group style="position:absolute;left:29;top:15;width:10187;height:2" coordorigin="29,15" coordsize="10187,2">
              <v:shape style="position:absolute;left:29;top:15;width:10187;height:2" coordorigin="29,15" coordsize="10187,0" path="m29,15l10216,15e" filled="false" stroked="true" strokeweight="1.5pt" strokecolor="#000000">
                <v:path arrowok="t"/>
              </v:shape>
              <v:shape style="position:absolute;left:2767;top:16;width:6510;height:773" type="#_x0000_t75" stroked="false">
                <v:imagedata r:id="rId40" o:title=""/>
              </v:shape>
            </v:group>
            <v:group style="position:absolute;left:15;top:2749;width:2766;height:2" coordorigin="15,2749" coordsize="2766,2">
              <v:shape style="position:absolute;left:15;top:2749;width:2766;height:2" coordorigin="15,2749" coordsize="2766,0" path="m15,2749l2781,2749e" filled="false" stroked="true" strokeweight="1.5pt" strokecolor="#000000">
                <v:path arrowok="t"/>
              </v:shape>
              <v:shape style="position:absolute;left:17;top:761;width:10218;height:1992" type="#_x0000_t75" stroked="false">
                <v:imagedata r:id="rId41" o:title=""/>
              </v:shape>
            </v:group>
            <v:group style="position:absolute;left:2781;top:2749;width:1181;height:2" coordorigin="2781,2749" coordsize="1181,2">
              <v:shape style="position:absolute;left:2781;top:2749;width:1181;height:2" coordorigin="2781,2749" coordsize="1181,0" path="m2781,2749l3962,2749e" filled="false" stroked="true" strokeweight="1.5pt" strokecolor="#000000">
                <v:path arrowok="t"/>
              </v:shape>
              <v:shape style="position:absolute;left:3943;top:2234;width:48;height:518" type="#_x0000_t75" stroked="false">
                <v:imagedata r:id="rId42" o:title=""/>
              </v:shape>
            </v:group>
            <v:group style="position:absolute;left:3962;top:2749;width:1091;height:2" coordorigin="3962,2749" coordsize="1091,2">
              <v:shape style="position:absolute;left:3962;top:2749;width:1091;height:2" coordorigin="3962,2749" coordsize="1091,0" path="m3962,2749l5053,2749e" filled="false" stroked="true" strokeweight="1.5pt" strokecolor="#000000">
                <v:path arrowok="t"/>
              </v:shape>
              <v:shape style="position:absolute;left:5033;top:2234;width:48;height:518" type="#_x0000_t75" stroked="false">
                <v:imagedata r:id="rId42" o:title=""/>
              </v:shape>
            </v:group>
            <v:group style="position:absolute;left:5053;top:2749;width:1182;height:2" coordorigin="5053,2749" coordsize="1182,2">
              <v:shape style="position:absolute;left:5053;top:2749;width:1182;height:2" coordorigin="5053,2749" coordsize="1182,0" path="m5053,2749l6235,2749e" filled="false" stroked="true" strokeweight="1.5pt" strokecolor="#000000">
                <v:path arrowok="t"/>
              </v:shape>
              <v:shape style="position:absolute;left:6215;top:2234;width:48;height:518" type="#_x0000_t75" stroked="false">
                <v:imagedata r:id="rId42" o:title=""/>
              </v:shape>
            </v:group>
            <v:group style="position:absolute;left:6235;top:2749;width:1091;height:2" coordorigin="6235,2749" coordsize="1091,2">
              <v:shape style="position:absolute;left:6235;top:2749;width:1091;height:2" coordorigin="6235,2749" coordsize="1091,0" path="m6235,2749l7325,2749e" filled="false" stroked="true" strokeweight="1.5pt" strokecolor="#000000">
                <v:path arrowok="t"/>
              </v:shape>
              <v:shape style="position:absolute;left:7306;top:2234;width:48;height:518" type="#_x0000_t75" stroked="false">
                <v:imagedata r:id="rId42" o:title=""/>
              </v:shape>
            </v:group>
            <v:group style="position:absolute;left:7325;top:2749;width:1151;height:2" coordorigin="7325,2749" coordsize="1151,2">
              <v:shape style="position:absolute;left:7325;top:2749;width:1151;height:2" coordorigin="7325,2749" coordsize="1151,0" path="m7325,2749l8476,2749e" filled="false" stroked="true" strokeweight="1.5pt" strokecolor="#000000">
                <v:path arrowok="t"/>
              </v:shape>
              <v:shape style="position:absolute;left:8457;top:2234;width:48;height:518" type="#_x0000_t75" stroked="false">
                <v:imagedata r:id="rId43" o:title=""/>
              </v:shape>
            </v:group>
            <v:group style="position:absolute;left:8476;top:2749;width:777;height:2" coordorigin="8476,2749" coordsize="777,2">
              <v:shape style="position:absolute;left:8476;top:2749;width:777;height:2" coordorigin="8476,2749" coordsize="777,0" path="m8476,2749l9253,2749e" filled="false" stroked="true" strokeweight="1.5pt" strokecolor="#000000">
                <v:path arrowok="t"/>
              </v:shape>
              <v:shape style="position:absolute;left:9233;top:2234;width:48;height:518" type="#_x0000_t75" stroked="false">
                <v:imagedata r:id="rId42" o:title=""/>
              </v:shape>
            </v:group>
            <v:group style="position:absolute;left:9253;top:2749;width:971;height:2" coordorigin="9253,2749" coordsize="971,2">
              <v:shape style="position:absolute;left:9253;top:2749;width:971;height:2" coordorigin="9253,2749" coordsize="971,0" path="m9253,2749l10223,2749e" filled="false" stroked="true" strokeweight="1.5pt" strokecolor="#000000">
                <v:path arrowok="t"/>
              </v:shape>
              <v:shape style="position:absolute;left:778;top:312;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txbxContent>
                </v:textbox>
                <w10:wrap type="none"/>
              </v:shape>
              <v:shape style="position:absolute;left:3016;top:137;width:720;height:53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年末资产</w:t>
                      </w:r>
                    </w:p>
                    <w:p>
                      <w:pPr>
                        <w:spacing w:before="116"/>
                        <w:ind w:left="0" w:right="0" w:firstLine="0"/>
                        <w:jc w:val="center"/>
                        <w:rPr>
                          <w:rFonts w:ascii="宋体" w:hAnsi="宋体" w:cs="宋体" w:eastAsia="宋体" w:hint="default"/>
                          <w:sz w:val="18"/>
                          <w:szCs w:val="18"/>
                        </w:rPr>
                      </w:pPr>
                      <w:r>
                        <w:rPr>
                          <w:rFonts w:ascii="宋体" w:hAnsi="宋体" w:cs="宋体" w:eastAsia="宋体" w:hint="default"/>
                          <w:sz w:val="18"/>
                          <w:szCs w:val="18"/>
                        </w:rPr>
                        <w:t>总额</w:t>
                      </w:r>
                    </w:p>
                  </w:txbxContent>
                </v:textbox>
                <w10:wrap type="none"/>
              </v:shape>
              <v:shape style="position:absolute;left:4062;top:156;width:317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年末负债总  年末净资产总</w:t>
                      </w:r>
                      <w:r>
                        <w:rPr>
                          <w:rFonts w:ascii="宋体" w:hAnsi="宋体" w:cs="宋体" w:eastAsia="宋体" w:hint="default"/>
                          <w:spacing w:val="21"/>
                          <w:sz w:val="18"/>
                          <w:szCs w:val="18"/>
                        </w:rPr>
                        <w:t> </w:t>
                      </w:r>
                      <w:r>
                        <w:rPr>
                          <w:rFonts w:ascii="宋体" w:hAnsi="宋体" w:cs="宋体" w:eastAsia="宋体" w:hint="default"/>
                          <w:sz w:val="18"/>
                          <w:szCs w:val="18"/>
                        </w:rPr>
                        <w:t>本年营业收</w:t>
                      </w:r>
                    </w:p>
                  </w:txbxContent>
                </v:textbox>
                <w10:wrap type="none"/>
              </v:shape>
              <v:shape style="position:absolute;left:7455;top:312;width:17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pacing w:val="63"/>
                          <w:sz w:val="18"/>
                          <w:szCs w:val="18"/>
                        </w:rPr>
                        <w:t> </w:t>
                      </w:r>
                      <w:r>
                        <w:rPr>
                          <w:rFonts w:ascii="宋体" w:hAnsi="宋体" w:cs="宋体" w:eastAsia="宋体" w:hint="default"/>
                          <w:sz w:val="18"/>
                          <w:szCs w:val="18"/>
                        </w:rPr>
                        <w:t>关联关系</w:t>
                      </w:r>
                    </w:p>
                  </w:txbxContent>
                </v:textbox>
                <w10:wrap type="none"/>
              </v:shape>
              <v:shape style="position:absolute;left:4422;top:46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5559;top:46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6514;top:46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入总额</w:t>
                      </w:r>
                    </w:p>
                  </w:txbxContent>
                </v:textbox>
                <w10:wrap type="none"/>
              </v:shape>
              <v:shape style="position:absolute;left:9290;top:156;width:900;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组织机构代</w:t>
                      </w:r>
                    </w:p>
                    <w:p>
                      <w:pPr>
                        <w:spacing w:before="76"/>
                        <w:ind w:left="0" w:right="0" w:firstLine="0"/>
                        <w:jc w:val="center"/>
                        <w:rPr>
                          <w:rFonts w:ascii="宋体" w:hAnsi="宋体" w:cs="宋体" w:eastAsia="宋体" w:hint="default"/>
                          <w:sz w:val="18"/>
                          <w:szCs w:val="18"/>
                        </w:rPr>
                      </w:pPr>
                      <w:r>
                        <w:rPr>
                          <w:rFonts w:ascii="宋体" w:hAnsi="宋体" w:cs="宋体" w:eastAsia="宋体" w:hint="default"/>
                          <w:sz w:val="18"/>
                          <w:szCs w:val="18"/>
                        </w:rPr>
                        <w:t>码</w:t>
                      </w:r>
                    </w:p>
                  </w:txbxContent>
                </v:textbox>
                <w10:wrap type="none"/>
              </v:shape>
              <v:shape style="position:absolute;left:58;top:934;width:10116;height:247" type="#_x0000_t202" filled="false" stroked="false">
                <v:textbox inset="0,0,0,0">
                  <w:txbxContent>
                    <w:p>
                      <w:pPr>
                        <w:spacing w:line="246"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阿尔诺维根斯晨鸣特种纸有限公司  </w:t>
                      </w:r>
                      <w:r>
                        <w:rPr>
                          <w:rFonts w:ascii="Times New Roman" w:hAnsi="Times New Roman" w:cs="Times New Roman" w:eastAsia="Times New Roman" w:hint="default"/>
                          <w:sz w:val="18"/>
                          <w:szCs w:val="18"/>
                        </w:rPr>
                        <w:t>24,942,125.97 49,305,023.17  -24,362,897.20   2,047,165.57 -88,980,567.78 </w:t>
                      </w:r>
                      <w:r>
                        <w:rPr>
                          <w:rFonts w:ascii="宋体" w:hAnsi="宋体" w:cs="宋体" w:eastAsia="宋体" w:hint="default"/>
                          <w:position w:val="6"/>
                          <w:sz w:val="18"/>
                          <w:szCs w:val="18"/>
                        </w:rPr>
                        <w:t>联营企业</w:t>
                      </w:r>
                      <w:r>
                        <w:rPr>
                          <w:rFonts w:ascii="宋体" w:hAnsi="宋体" w:cs="宋体" w:eastAsia="宋体" w:hint="default"/>
                          <w:spacing w:val="-23"/>
                          <w:position w:val="6"/>
                          <w:sz w:val="18"/>
                          <w:szCs w:val="18"/>
                        </w:rPr>
                        <w:t> </w:t>
                      </w:r>
                      <w:r>
                        <w:rPr>
                          <w:rFonts w:ascii="Times New Roman" w:hAnsi="Times New Roman" w:cs="Times New Roman" w:eastAsia="Times New Roman" w:hint="default"/>
                          <w:position w:val="6"/>
                          <w:sz w:val="18"/>
                          <w:szCs w:val="18"/>
                        </w:rPr>
                        <w:t>78233868-9</w:t>
                      </w:r>
                      <w:r>
                        <w:rPr>
                          <w:rFonts w:ascii="Times New Roman" w:hAnsi="Times New Roman" w:cs="Times New Roman" w:eastAsia="Times New Roman" w:hint="default"/>
                          <w:sz w:val="18"/>
                          <w:szCs w:val="18"/>
                        </w:rPr>
                      </w:r>
                    </w:p>
                  </w:txbxContent>
                </v:textbox>
                <w10:wrap type="none"/>
              </v:shape>
              <v:shape style="position:absolute;left:58;top:1480;width:27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xbxContent>
                </v:textbox>
                <w10:wrap type="none"/>
              </v:shape>
              <v:shape style="position:absolute;left:4012;top:1480;width:32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经营不善，以前年度已全额计提减值准备</w:t>
                      </w:r>
                    </w:p>
                  </w:txbxContent>
                </v:textbox>
                <w10:wrap type="none"/>
              </v:shape>
              <v:shape style="position:absolute;left:8509;top:1423;width:1666;height:188" type="#_x0000_t202" filled="false" stroked="false">
                <v:textbox inset="0,0,0,0">
                  <w:txbxContent>
                    <w:p>
                      <w:pPr>
                        <w:spacing w:line="188"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16937769-8</w:t>
                      </w:r>
                    </w:p>
                  </w:txbxContent>
                </v:textbox>
                <w10:wrap type="none"/>
              </v:shape>
              <v:shape style="position:absolute;left:58;top:1969;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xbxContent>
                </v:textbox>
                <w10:wrap type="none"/>
              </v:shape>
              <v:shape style="position:absolute;left:2903;top:1979;width:439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39,192,081.49 16,542,388.08   22,649,693.41</w:t>
                      </w:r>
                      <w:r>
                        <w:rPr>
                          <w:rFonts w:ascii="Times New Roman"/>
                          <w:spacing w:val="23"/>
                          <w:sz w:val="18"/>
                        </w:rPr>
                        <w:t> </w:t>
                      </w:r>
                      <w:r>
                        <w:rPr>
                          <w:rFonts w:ascii="Times New Roman"/>
                          <w:sz w:val="18"/>
                        </w:rPr>
                        <w:t>16,132,274.94</w:t>
                      </w:r>
                    </w:p>
                  </w:txbxContent>
                </v:textbox>
                <w10:wrap type="none"/>
              </v:shape>
              <v:shape style="position:absolute;left:7732;top:1913;width:2464;height:247" type="#_x0000_t202" filled="false" stroked="false">
                <v:textbox inset="0,0,0,0">
                  <w:txbxContent>
                    <w:p>
                      <w:pPr>
                        <w:spacing w:line="246"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5"/>
                          <w:sz w:val="18"/>
                          <w:szCs w:val="18"/>
                        </w:rPr>
                        <w:t>10,077.37 </w:t>
                      </w:r>
                      <w:r>
                        <w:rPr>
                          <w:rFonts w:ascii="宋体" w:hAnsi="宋体" w:cs="宋体" w:eastAsia="宋体" w:hint="default"/>
                          <w:sz w:val="18"/>
                          <w:szCs w:val="18"/>
                        </w:rPr>
                        <w:t>联营企业</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79479506-X</w:t>
                      </w:r>
                    </w:p>
                  </w:txbxContent>
                </v:textbox>
                <w10:wrap type="none"/>
              </v:shape>
              <v:shape style="position:absolute;left:58;top:2460;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上海安舟新能源有限公司</w:t>
                      </w:r>
                    </w:p>
                  </w:txbxContent>
                </v:textbox>
                <w10:wrap type="none"/>
              </v:shape>
              <v:shape style="position:absolute;left:2815;top:2470;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528,743,677.13</w:t>
                      </w:r>
                    </w:p>
                  </w:txbxContent>
                </v:textbox>
                <w10:wrap type="none"/>
              </v:shape>
              <v:shape style="position:absolute;left:5087;top:2460;width:5108;height:190" type="#_x0000_t202" filled="false" stroked="false">
                <v:textbox inset="0,0,0,0">
                  <w:txbxContent>
                    <w:p>
                      <w:pPr>
                        <w:spacing w:line="190" w:lineRule="exact" w:before="0"/>
                        <w:ind w:left="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528,743,677.13 22,500,000.00   18,743,677.13 </w:t>
                      </w:r>
                      <w:r>
                        <w:rPr>
                          <w:rFonts w:ascii="宋体" w:hAnsi="宋体" w:cs="宋体" w:eastAsia="宋体" w:hint="default"/>
                          <w:sz w:val="18"/>
                          <w:szCs w:val="18"/>
                        </w:rPr>
                        <w:t>联营企业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55426653-X</w:t>
                      </w:r>
                    </w:p>
                  </w:txbxContent>
                </v:textbox>
                <w10:wrap type="none"/>
              </v:shape>
            </v:group>
          </v:group>
        </w:pict>
      </w:r>
      <w:r>
        <w:rPr>
          <w:rFonts w:ascii="宋体" w:hAnsi="宋体" w:cs="宋体" w:eastAsia="宋体" w:hint="default"/>
          <w:position w:val="-54"/>
          <w:sz w:val="20"/>
          <w:szCs w:val="20"/>
        </w:rPr>
      </w:r>
    </w:p>
    <w:p>
      <w:pPr>
        <w:spacing w:line="240" w:lineRule="auto" w:before="3"/>
        <w:rPr>
          <w:rFonts w:ascii="宋体" w:hAnsi="宋体" w:cs="宋体" w:eastAsia="宋体" w:hint="default"/>
          <w:sz w:val="19"/>
          <w:szCs w:val="19"/>
        </w:rPr>
      </w:pPr>
    </w:p>
    <w:p>
      <w:pPr>
        <w:pStyle w:val="Heading3"/>
        <w:spacing w:line="240" w:lineRule="auto" w:before="35"/>
        <w:ind w:left="414" w:right="0"/>
        <w:jc w:val="left"/>
        <w:rPr>
          <w:b w:val="0"/>
          <w:bCs w:val="0"/>
        </w:rPr>
      </w:pPr>
      <w:r>
        <w:rPr/>
        <w:t>（</w:t>
      </w:r>
      <w:r>
        <w:rPr>
          <w:rFonts w:ascii="Times New Roman" w:hAnsi="Times New Roman" w:cs="Times New Roman" w:eastAsia="Times New Roman" w:hint="default"/>
        </w:rPr>
        <w:t>3</w:t>
      </w:r>
      <w:r>
        <w:rPr/>
        <w:t>）</w:t>
      </w:r>
      <w:r>
        <w:rPr>
          <w:spacing w:val="-10"/>
        </w:rPr>
        <w:t> </w:t>
      </w:r>
      <w:r>
        <w:rPr/>
        <w:t>长期股权投资减值准备明细情况</w:t>
      </w:r>
      <w:r>
        <w:rPr>
          <w:b w:val="0"/>
          <w:bCs w:val="0"/>
        </w:rPr>
      </w:r>
    </w:p>
    <w:p>
      <w:pPr>
        <w:spacing w:line="240" w:lineRule="auto" w:before="9"/>
        <w:rPr>
          <w:rFonts w:ascii="宋体" w:hAnsi="宋体" w:cs="宋体" w:eastAsia="宋体" w:hint="default"/>
          <w:b/>
          <w:bCs/>
          <w:sz w:val="25"/>
          <w:szCs w:val="25"/>
        </w:rPr>
      </w:pPr>
    </w:p>
    <w:tbl>
      <w:tblPr>
        <w:tblW w:w="0" w:type="auto"/>
        <w:jc w:val="left"/>
        <w:tblInd w:w="406" w:type="dxa"/>
        <w:tblLayout w:type="fixed"/>
        <w:tblCellMar>
          <w:top w:w="0" w:type="dxa"/>
          <w:left w:w="0" w:type="dxa"/>
          <w:bottom w:w="0" w:type="dxa"/>
          <w:right w:w="0" w:type="dxa"/>
        </w:tblCellMar>
        <w:tblLook w:val="01E0"/>
      </w:tblPr>
      <w:tblGrid>
        <w:gridCol w:w="2850"/>
        <w:gridCol w:w="1921"/>
        <w:gridCol w:w="1567"/>
        <w:gridCol w:w="1477"/>
        <w:gridCol w:w="1871"/>
      </w:tblGrid>
      <w:tr>
        <w:trPr>
          <w:trHeight w:val="435" w:hRule="exact"/>
        </w:trPr>
        <w:tc>
          <w:tcPr>
            <w:tcW w:w="2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900,000.00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900,000.00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山东纸业集团总公司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济南商友商务有限责任公司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350,000.00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350,000.00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上海林嘉纸电子商务有限公司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1,139,574.47</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1,139,574.47</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2,589,574.47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414"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14"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 元</w:t>
      </w:r>
    </w:p>
    <w:p>
      <w:pPr>
        <w:spacing w:line="240" w:lineRule="auto" w:before="1"/>
        <w:rPr>
          <w:rFonts w:ascii="宋体" w:hAnsi="宋体" w:cs="宋体" w:eastAsia="宋体" w:hint="default"/>
          <w:sz w:val="8"/>
          <w:szCs w:val="8"/>
        </w:rPr>
      </w:pPr>
    </w:p>
    <w:tbl>
      <w:tblPr>
        <w:tblW w:w="0" w:type="auto"/>
        <w:jc w:val="left"/>
        <w:tblInd w:w="392" w:type="dxa"/>
        <w:tblLayout w:type="fixed"/>
        <w:tblCellMar>
          <w:top w:w="0" w:type="dxa"/>
          <w:left w:w="0" w:type="dxa"/>
          <w:bottom w:w="0" w:type="dxa"/>
          <w:right w:w="0" w:type="dxa"/>
        </w:tblCellMar>
        <w:tblLook w:val="01E0"/>
      </w:tblPr>
      <w:tblGrid>
        <w:gridCol w:w="3296"/>
        <w:gridCol w:w="1749"/>
        <w:gridCol w:w="1638"/>
        <w:gridCol w:w="1262"/>
        <w:gridCol w:w="1736"/>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7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720" w:right="72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92"/>
        <w:gridCol w:w="1765"/>
        <w:gridCol w:w="1638"/>
        <w:gridCol w:w="1262"/>
        <w:gridCol w:w="1736"/>
      </w:tblGrid>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15,341,439.67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17,079,695.71</w:t>
            </w:r>
          </w:p>
        </w:tc>
      </w:tr>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15,341,439.67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17,079,695.71</w:t>
            </w:r>
          </w:p>
        </w:tc>
      </w:tr>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r>
        <w:trPr>
          <w:trHeight w:val="402" w:hRule="exact"/>
        </w:trPr>
        <w:tc>
          <w:tcPr>
            <w:tcW w:w="3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76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22,949,956.03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-1,738,256.04</w:t>
            </w:r>
          </w:p>
        </w:tc>
        <w:tc>
          <w:tcPr>
            <w:tcW w:w="126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81"/>
        <w:gridCol w:w="1607"/>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31,201,018,906.91</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0" w:right="0"/>
              <w:jc w:val="left"/>
              <w:rPr>
                <w:rFonts w:ascii="Times New Roman" w:hAnsi="Times New Roman" w:cs="Times New Roman" w:eastAsia="Times New Roman" w:hint="default"/>
                <w:sz w:val="18"/>
                <w:szCs w:val="18"/>
              </w:rPr>
            </w:pPr>
            <w:r>
              <w:rPr>
                <w:rFonts w:ascii="Times New Roman"/>
                <w:sz w:val="18"/>
              </w:rPr>
              <w:t>811,764,735.76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3,599,860,627.83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28,412,923,014.84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5,032,859,983.26</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307,410,816.96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800,500,708.90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4,539,770,091.32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25,330,303,624.43</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441,760,864.66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2,732,930,271.63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23,039,134,217.46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223,585,996.49</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8" w:right="0"/>
              <w:jc w:val="left"/>
              <w:rPr>
                <w:rFonts w:ascii="Times New Roman" w:hAnsi="Times New Roman" w:cs="Times New Roman" w:eastAsia="Times New Roman" w:hint="default"/>
                <w:sz w:val="18"/>
                <w:szCs w:val="18"/>
              </w:rPr>
            </w:pPr>
            <w:r>
              <w:rPr>
                <w:rFonts w:ascii="Times New Roman"/>
                <w:sz w:val="18"/>
              </w:rPr>
              <w:t>20,611,976.29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27,354,659.33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216,843,313.45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614,269,302.73</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41,981,077.85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39,074,987.97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617,175,392.61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8,443,871,036.17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1,471,443,592.08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1,266,747,603.32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8,648,567,024.93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859,052,452.86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153,243,611.36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184,487,260.60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827,808,803.62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7,142,181,254.41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1,248,947,709.18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1,036,279,137.53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7,354,849,826.06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86,365,989.64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22,187,248.49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20,269,672.50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88,283,565.63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356,271,339.26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47,065,023.05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25,711,532.69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377,624,829.62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22,757,147,870.74</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19,764,355,989.91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4,173,807,530.40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3,711,961,287.70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18,188,122,370.02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15,684,284,391.40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137,220,006.85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128,559,747.82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257,997,963.47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239,550,562.99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16,243,839.72</w:t>
            </w:r>
          </w:p>
        </w:tc>
        <w:tc>
          <w:tcPr>
            <w:tcW w:w="2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2" w:right="0"/>
              <w:jc w:val="left"/>
              <w:rPr>
                <w:rFonts w:ascii="Times New Roman" w:hAnsi="Times New Roman" w:cs="Times New Roman" w:eastAsia="Times New Roman" w:hint="default"/>
                <w:sz w:val="18"/>
                <w:szCs w:val="18"/>
              </w:rPr>
            </w:pPr>
            <w:r>
              <w:rPr>
                <w:rFonts w:ascii="Times New Roman"/>
                <w:sz w:val="18"/>
              </w:rPr>
              <w:t>11,220,000.00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14,447,840.87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13,015,998.85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00"/>
        <w:gridCol w:w="1490"/>
        <w:gridCol w:w="2894"/>
        <w:gridCol w:w="1621"/>
        <w:gridCol w:w="1462"/>
      </w:tblGrid>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16,243,839.72</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2" w:right="0"/>
              <w:jc w:val="left"/>
              <w:rPr>
                <w:rFonts w:ascii="Times New Roman" w:hAnsi="Times New Roman" w:cs="Times New Roman" w:eastAsia="Times New Roman" w:hint="default"/>
                <w:sz w:val="18"/>
                <w:szCs w:val="18"/>
              </w:rPr>
            </w:pPr>
            <w:r>
              <w:rPr>
                <w:rFonts w:ascii="Times New Roman"/>
                <w:sz w:val="18"/>
              </w:rPr>
              <w:t>11,220,000.00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14,447,840.87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13,015,998.85</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22,740,904,031.02</w:t>
            </w: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19,751,339,991.06</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4,173,807,530.40</w:t>
            </w: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3,711,961,287.70</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18,171,878,530.30</w:t>
            </w: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15,671,268,392.55</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137,220,006.85</w:t>
            </w: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128,559,747.82</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257,997,963.47</w:t>
            </w:r>
          </w:p>
        </w:tc>
        <w:tc>
          <w:tcPr>
            <w:tcW w:w="45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239,550,562.99</w:t>
            </w:r>
          </w:p>
        </w:tc>
      </w:tr>
    </w:tbl>
    <w:p>
      <w:pPr>
        <w:pStyle w:val="BodyText"/>
        <w:spacing w:line="240" w:lineRule="auto" w:before="51"/>
        <w:ind w:left="514" w:right="0"/>
        <w:jc w:val="left"/>
      </w:pPr>
      <w:r>
        <w:rPr/>
        <w:t>注：本年折旧额为</w:t>
      </w:r>
      <w:r>
        <w:rPr>
          <w:rFonts w:ascii="Times New Roman" w:hAnsi="Times New Roman" w:cs="Times New Roman" w:eastAsia="Times New Roman" w:hint="default"/>
        </w:rPr>
        <w:t>1,471,443,592.08</w:t>
      </w:r>
      <w:r>
        <w:rPr/>
        <w:t>元。本年由在建工程转入固定资产原价为</w:t>
      </w:r>
      <w:r>
        <w:rPr>
          <w:rFonts w:ascii="Times New Roman" w:hAnsi="Times New Roman" w:cs="Times New Roman" w:eastAsia="Times New Roman" w:hint="default"/>
        </w:rPr>
        <w:t>777,726,110.96</w:t>
      </w:r>
      <w:r>
        <w:rPr/>
        <w:t>元。</w:t>
      </w:r>
    </w:p>
    <w:p>
      <w:pPr>
        <w:pStyle w:val="BodyText"/>
        <w:spacing w:line="240" w:lineRule="auto" w:before="102"/>
        <w:ind w:left="453" w:right="0"/>
        <w:jc w:val="left"/>
      </w:pPr>
      <w:r>
        <w:rPr>
          <w:spacing w:val="16"/>
        </w:rPr>
        <w:t>本年因出售</w:t>
      </w:r>
      <w:r>
        <w:rPr>
          <w:spacing w:val="-67"/>
        </w:rPr>
        <w:t> </w:t>
      </w:r>
      <w:r>
        <w:rPr/>
        <w:t>子</w:t>
      </w:r>
      <w:r>
        <w:rPr>
          <w:spacing w:val="-67"/>
        </w:rPr>
        <w:t> </w:t>
      </w:r>
      <w:r>
        <w:rPr>
          <w:spacing w:val="16"/>
        </w:rPr>
        <w:t>公司而减少</w:t>
      </w:r>
      <w:r>
        <w:rPr>
          <w:spacing w:val="-67"/>
        </w:rPr>
        <w:t> </w:t>
      </w:r>
      <w:r>
        <w:rPr/>
        <w:t>的</w:t>
      </w:r>
      <w:r>
        <w:rPr>
          <w:spacing w:val="-67"/>
        </w:rPr>
        <w:t> </w:t>
      </w:r>
      <w:r>
        <w:rPr>
          <w:spacing w:val="16"/>
        </w:rPr>
        <w:t>固定资产原</w:t>
      </w:r>
      <w:r>
        <w:rPr>
          <w:spacing w:val="-67"/>
        </w:rPr>
        <w:t> </w:t>
      </w:r>
      <w:r>
        <w:rPr/>
        <w:t>值</w:t>
      </w:r>
      <w:r>
        <w:rPr>
          <w:spacing w:val="-67"/>
        </w:rPr>
        <w:t> </w:t>
      </w:r>
      <w:r>
        <w:rPr/>
        <w:t>为</w:t>
      </w:r>
      <w:r>
        <w:rPr>
          <w:spacing w:val="-68"/>
        </w:rPr>
        <w:t> </w:t>
      </w:r>
      <w:r>
        <w:rPr>
          <w:rFonts w:ascii="Times New Roman" w:hAnsi="Times New Roman" w:cs="Times New Roman" w:eastAsia="Times New Roman" w:hint="default"/>
        </w:rPr>
        <w:t>1,322,775,077.52</w:t>
      </w:r>
      <w:r>
        <w:rPr>
          <w:rFonts w:ascii="Times New Roman" w:hAnsi="Times New Roman" w:cs="Times New Roman" w:eastAsia="Times New Roman" w:hint="default"/>
          <w:spacing w:val="-22"/>
        </w:rPr>
        <w:t> </w:t>
      </w:r>
      <w:r>
        <w:rPr>
          <w:spacing w:val="15"/>
        </w:rPr>
        <w:t>元，本年</w:t>
      </w:r>
      <w:r>
        <w:rPr>
          <w:spacing w:val="-67"/>
        </w:rPr>
        <w:t> </w:t>
      </w:r>
      <w:r>
        <w:rPr>
          <w:spacing w:val="16"/>
        </w:rPr>
        <w:t>因出售子公</w:t>
      </w:r>
      <w:r>
        <w:rPr>
          <w:spacing w:val="-67"/>
        </w:rPr>
        <w:t> </w:t>
      </w:r>
      <w:r>
        <w:rPr/>
        <w:t>司</w:t>
      </w:r>
      <w:r>
        <w:rPr>
          <w:spacing w:val="-67"/>
        </w:rPr>
        <w:t> </w:t>
      </w:r>
      <w:r>
        <w:rPr>
          <w:spacing w:val="16"/>
        </w:rPr>
        <w:t>而减少的固</w:t>
      </w:r>
      <w:r>
        <w:rPr>
          <w:spacing w:val="-67"/>
        </w:rPr>
        <w:t> </w:t>
      </w:r>
      <w:r>
        <w:rPr/>
        <w:t>定</w:t>
      </w:r>
      <w:r>
        <w:rPr>
          <w:spacing w:val="-67"/>
        </w:rPr>
        <w:t> </w:t>
      </w:r>
      <w:r>
        <w:rPr>
          <w:spacing w:val="16"/>
        </w:rPr>
        <w:t>资产折旧为</w:t>
      </w:r>
      <w:r>
        <w:rPr>
          <w:spacing w:val="-69"/>
        </w:rPr>
        <w:t> </w:t>
      </w:r>
      <w:r>
        <w:rPr/>
      </w:r>
    </w:p>
    <w:p>
      <w:pPr>
        <w:pStyle w:val="BodyText"/>
        <w:spacing w:line="240" w:lineRule="auto" w:before="64"/>
        <w:ind w:left="153" w:right="0"/>
        <w:jc w:val="both"/>
      </w:pPr>
      <w:r>
        <w:rPr>
          <w:rFonts w:ascii="Times New Roman" w:hAnsi="Times New Roman" w:cs="Times New Roman" w:eastAsia="Times New Roman" w:hint="default"/>
        </w:rPr>
        <w:t>632,154,302.82</w:t>
      </w:r>
      <w:r>
        <w:rPr/>
        <w:t>元。</w:t>
      </w:r>
    </w:p>
    <w:p>
      <w:pPr>
        <w:pStyle w:val="BodyText"/>
        <w:spacing w:line="300" w:lineRule="auto" w:before="101"/>
        <w:ind w:left="153" w:right="145" w:firstLine="300"/>
        <w:jc w:val="both"/>
      </w:pPr>
      <w:r>
        <w:rPr>
          <w:spacing w:val="-2"/>
        </w:rPr>
        <w:t>本年因吉林晨鸣有限责任公司搬迁，固定资产原值减少</w:t>
      </w:r>
      <w:r>
        <w:rPr>
          <w:rFonts w:ascii="Times New Roman" w:hAnsi="Times New Roman" w:cs="Times New Roman" w:eastAsia="Times New Roman" w:hint="default"/>
          <w:spacing w:val="-2"/>
        </w:rPr>
        <w:t>2,098,119,187.46</w:t>
      </w:r>
      <w:r>
        <w:rPr>
          <w:spacing w:val="-2"/>
        </w:rPr>
        <w:t>元，累计折旧减少</w:t>
      </w:r>
      <w:r>
        <w:rPr>
          <w:rFonts w:ascii="Times New Roman" w:hAnsi="Times New Roman" w:cs="Times New Roman" w:eastAsia="Times New Roman" w:hint="default"/>
          <w:spacing w:val="-2"/>
        </w:rPr>
        <w:t>506,694,324.55</w:t>
      </w:r>
      <w:r>
        <w:rPr>
          <w:spacing w:val="-2"/>
        </w:rPr>
        <w:t>元，固定资产净</w:t>
      </w:r>
      <w:r>
        <w:rPr/>
        <w:t> </w:t>
      </w:r>
      <w:r>
        <w:rPr>
          <w:spacing w:val="3"/>
        </w:rPr>
        <w:t>值减少</w:t>
      </w:r>
      <w:r>
        <w:rPr>
          <w:rFonts w:ascii="Times New Roman" w:hAnsi="Times New Roman" w:cs="Times New Roman" w:eastAsia="Times New Roman" w:hint="default"/>
          <w:spacing w:val="3"/>
        </w:rPr>
        <w:t>1,591,424,862.91</w:t>
      </w:r>
      <w:r>
        <w:rPr>
          <w:spacing w:val="3"/>
        </w:rPr>
        <w:t>元，其中：可利用固定资产净值</w:t>
      </w:r>
      <w:r>
        <w:rPr>
          <w:rFonts w:ascii="Times New Roman" w:hAnsi="Times New Roman" w:cs="Times New Roman" w:eastAsia="Times New Roman" w:hint="default"/>
          <w:spacing w:val="3"/>
        </w:rPr>
        <w:t>716,539,051.34</w:t>
      </w:r>
      <w:r>
        <w:rPr>
          <w:spacing w:val="3"/>
        </w:rPr>
        <w:t>元转入新厂在建工程项目，不能利用固定资产净值</w:t>
      </w:r>
      <w:r>
        <w:rPr>
          <w:spacing w:val="-72"/>
        </w:rPr>
        <w:t> </w:t>
      </w:r>
      <w:r>
        <w:rPr>
          <w:spacing w:val="-72"/>
        </w:rPr>
      </w:r>
      <w:r>
        <w:rPr>
          <w:rFonts w:ascii="Times New Roman" w:hAnsi="Times New Roman" w:cs="Times New Roman" w:eastAsia="Times New Roman" w:hint="default"/>
        </w:rPr>
        <w:t>874,885,811.57</w:t>
      </w:r>
      <w:r>
        <w:rPr/>
        <w:t>元转入固定资产清理。</w:t>
      </w:r>
    </w:p>
    <w:p>
      <w:pPr>
        <w:pStyle w:val="BodyText"/>
        <w:spacing w:line="357" w:lineRule="auto" w:before="53"/>
        <w:ind w:left="453" w:right="0"/>
        <w:jc w:val="left"/>
      </w:pPr>
      <w:r>
        <w:rPr/>
        <w:t>（2）所有权受到限制的固定资产情况 </w:t>
      </w:r>
      <w:r>
        <w:rPr>
          <w:spacing w:val="-1"/>
        </w:rPr>
        <w:t>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日，账面价值约为人民币</w:t>
      </w:r>
      <w:r>
        <w:rPr>
          <w:rFonts w:ascii="Times New Roman" w:hAnsi="Times New Roman" w:cs="Times New Roman" w:eastAsia="Times New Roman" w:hint="default"/>
          <w:spacing w:val="-1"/>
        </w:rPr>
        <w:t>6,351,131,719.77</w:t>
      </w:r>
      <w:r>
        <w:rPr>
          <w:spacing w:val="-1"/>
        </w:rPr>
        <w:t>元（原值为人民币</w:t>
      </w:r>
      <w:r>
        <w:rPr>
          <w:rFonts w:ascii="Times New Roman" w:hAnsi="Times New Roman" w:cs="Times New Roman" w:eastAsia="Times New Roman" w:hint="default"/>
          <w:spacing w:val="-1"/>
        </w:rPr>
        <w:t>6,654,874,429.83</w:t>
      </w:r>
      <w:r>
        <w:rPr>
          <w:spacing w:val="-1"/>
        </w:rPr>
        <w:t>元）的房屋、建筑物及设备</w:t>
      </w:r>
    </w:p>
    <w:p>
      <w:pPr>
        <w:pStyle w:val="BodyText"/>
        <w:spacing w:line="214" w:lineRule="exact"/>
        <w:ind w:right="0"/>
        <w:jc w:val="both"/>
      </w:pPr>
      <w:r>
        <w:rPr/>
        <w:t>（2011年12月31日：账面价值</w:t>
      </w:r>
      <w:r>
        <w:rPr>
          <w:rFonts w:ascii="Times New Roman" w:hAnsi="Times New Roman" w:cs="Times New Roman" w:eastAsia="Times New Roman" w:hint="default"/>
        </w:rPr>
        <w:t>7,601,941,606.98</w:t>
      </w:r>
      <w:r>
        <w:rPr/>
        <w:t>元、原值</w:t>
      </w:r>
      <w:r>
        <w:rPr>
          <w:rFonts w:ascii="Times New Roman" w:hAnsi="Times New Roman" w:cs="Times New Roman" w:eastAsia="Times New Roman" w:hint="default"/>
        </w:rPr>
        <w:t>8,001,160,491.56</w:t>
      </w:r>
      <w:r>
        <w:rPr/>
        <w:t>元）及账面价值人民币</w:t>
      </w:r>
      <w:r>
        <w:rPr>
          <w:rFonts w:ascii="Times New Roman" w:hAnsi="Times New Roman" w:cs="Times New Roman" w:eastAsia="Times New Roman" w:hint="default"/>
        </w:rPr>
        <w:t>330,717,493.46</w:t>
      </w:r>
      <w:r>
        <w:rPr/>
        <w:t>元（2011年12</w:t>
      </w:r>
    </w:p>
    <w:p>
      <w:pPr>
        <w:pStyle w:val="BodyText"/>
        <w:spacing w:line="300" w:lineRule="auto" w:before="62"/>
        <w:ind w:right="148" w:hanging="1"/>
        <w:jc w:val="both"/>
      </w:pPr>
      <w:r>
        <w:rPr>
          <w:spacing w:val="-1"/>
        </w:rPr>
        <w:t>月31日：人民币</w:t>
      </w:r>
      <w:r>
        <w:rPr>
          <w:rFonts w:ascii="Times New Roman" w:hAnsi="Times New Roman" w:cs="Times New Roman" w:eastAsia="Times New Roman" w:hint="default"/>
          <w:spacing w:val="-1"/>
        </w:rPr>
        <w:t>407,560,348.35</w:t>
      </w:r>
      <w:r>
        <w:rPr>
          <w:spacing w:val="-1"/>
        </w:rPr>
        <w:t>元）无形资产-土地使用权所有权受到限制，作为</w:t>
      </w:r>
      <w:r>
        <w:rPr>
          <w:rFonts w:ascii="Times New Roman" w:hAnsi="Times New Roman" w:cs="Times New Roman" w:eastAsia="Times New Roman" w:hint="default"/>
          <w:spacing w:val="-1"/>
        </w:rPr>
        <w:t>3,098,403,800.00</w:t>
      </w:r>
      <w:r>
        <w:rPr>
          <w:spacing w:val="-1"/>
        </w:rPr>
        <w:t>元的长期借款（2011年12月</w:t>
      </w:r>
      <w:r>
        <w:rPr>
          <w:spacing w:val="-63"/>
        </w:rPr>
        <w:t> </w:t>
      </w:r>
      <w:r>
        <w:rPr>
          <w:spacing w:val="-63"/>
        </w:rPr>
      </w:r>
      <w:r>
        <w:rPr/>
        <w:t>31日：</w:t>
      </w:r>
      <w:r>
        <w:rPr>
          <w:rFonts w:ascii="Times New Roman" w:hAnsi="Times New Roman" w:cs="Times New Roman" w:eastAsia="Times New Roman" w:hint="default"/>
        </w:rPr>
        <w:t>3,099,817,990.11</w:t>
      </w:r>
      <w:r>
        <w:rPr/>
        <w:t>元）（附注七、33）和</w:t>
      </w:r>
      <w:r>
        <w:rPr>
          <w:rFonts w:ascii="Times New Roman" w:hAnsi="Times New Roman" w:cs="Times New Roman" w:eastAsia="Times New Roman" w:hint="default"/>
        </w:rPr>
        <w:t>290,625,800.00</w:t>
      </w:r>
      <w:r>
        <w:rPr/>
        <w:t>元的一年内到期的长期借款（2011年12月31日：</w:t>
      </w:r>
      <w:r>
        <w:rPr>
          <w:rFonts w:ascii="Times New Roman" w:hAnsi="Times New Roman" w:cs="Times New Roman" w:eastAsia="Times New Roman" w:hint="default"/>
        </w:rPr>
        <w:t>539,993,458.22 </w:t>
      </w:r>
      <w:r>
        <w:rPr/>
        <w:t>元）（附注七、31）的抵押物。</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3"/>
        <w:gridCol w:w="1606"/>
        <w:gridCol w:w="1595"/>
        <w:gridCol w:w="1594"/>
        <w:gridCol w:w="1594"/>
        <w:gridCol w:w="1595"/>
      </w:tblGrid>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23,058,457.01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1,614,160.18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21,444,296.83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82,392,126.87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14,762,667.61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67,629,459.26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2,582.26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443,968.61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311,566.41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132,402.20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105,897,732.62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16,688,992.07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89,208,740.55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美伦纸业有限公司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固定资产说明</w:t>
      </w:r>
    </w:p>
    <w:p>
      <w:pPr>
        <w:spacing w:after="0" w:line="240" w:lineRule="auto"/>
        <w:jc w:val="left"/>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574" w:right="0"/>
        <w:jc w:val="left"/>
      </w:pPr>
      <w:r>
        <w:rPr/>
        <w:t>本期固定资产减值转销</w:t>
      </w:r>
      <w:r>
        <w:rPr>
          <w:rFonts w:ascii="Times New Roman" w:hAnsi="Times New Roman" w:cs="Times New Roman" w:eastAsia="Times New Roman" w:hint="default"/>
        </w:rPr>
        <w:t>14,447,840.87</w:t>
      </w:r>
      <w:r>
        <w:rPr/>
        <w:t>元，系原属齐河板材计提的固定资产减值，该企业本年度整体出售。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00"/>
        <w:gridCol w:w="1357"/>
        <w:gridCol w:w="916"/>
        <w:gridCol w:w="1373"/>
        <w:gridCol w:w="1392"/>
        <w:gridCol w:w="895"/>
        <w:gridCol w:w="1460"/>
      </w:tblGrid>
      <w:tr>
        <w:trPr>
          <w:trHeight w:val="402" w:hRule="exact"/>
        </w:trPr>
        <w:tc>
          <w:tcPr>
            <w:tcW w:w="23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300" w:type="dxa"/>
            <w:vMerge/>
            <w:tcBorders>
              <w:left w:val="single" w:sz="4" w:space="0" w:color="000000"/>
              <w:bottom w:val="single" w:sz="4" w:space="0" w:color="000000"/>
              <w:right w:val="single" w:sz="4" w:space="0" w:color="000000"/>
            </w:tcBorders>
            <w:shd w:val="clear" w:color="auto" w:fill="D3D3D3"/>
          </w:tcPr>
          <w:p>
            <w:pP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万吨高档铜版纸项目</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114,294,573.34</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114,294,573.34</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万吨生活用纸项目</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45,812,895.20</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45,812,895.20</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黄冈晨鸣林浆一体化项目</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120,872,039.53</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120,872,039.53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54,100,442.98</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54,100,442.98</w:t>
            </w:r>
          </w:p>
        </w:tc>
      </w:tr>
      <w:tr>
        <w:trPr>
          <w:trHeight w:val="71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130t </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75t </w:t>
            </w:r>
            <w:r>
              <w:rPr>
                <w:rFonts w:ascii="宋体" w:hAnsi="宋体" w:cs="宋体" w:eastAsia="宋体" w:hint="default"/>
                <w:spacing w:val="-8"/>
                <w:sz w:val="18"/>
                <w:szCs w:val="18"/>
              </w:rPr>
              <w:t>锅炉脱硫工程（乾</w:t>
            </w:r>
            <w:r>
              <w:rPr>
                <w:rFonts w:ascii="宋体" w:hAnsi="宋体" w:cs="宋体" w:eastAsia="宋体" w:hint="default"/>
                <w:sz w:val="18"/>
                <w:szCs w:val="18"/>
              </w:rPr>
              <w:t> 能）</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10,812,188.35</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10,812,188.35</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吉林迁建</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1,358,160,725.92</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1,358,160,725.92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139,852,111.44</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139,852,111.44</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白卡纸等项目技改</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18,231,971.17</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18,231,971.17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125,241,798.08</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125,241,798.08</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循环水回收（热电）</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21,984,737.22</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21,984,737.22</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弥河景观湿地</w:t>
            </w:r>
            <w:r>
              <w:rPr>
                <w:rFonts w:ascii="Times New Roman" w:hAnsi="Times New Roman" w:cs="Times New Roman" w:eastAsia="Times New Roman" w:hint="default"/>
                <w:sz w:val="18"/>
                <w:szCs w:val="18"/>
              </w:rPr>
              <w:t>(</w:t>
            </w:r>
            <w:r>
              <w:rPr>
                <w:rFonts w:ascii="宋体" w:hAnsi="宋体" w:cs="宋体" w:eastAsia="宋体" w:hint="default"/>
                <w:sz w:val="18"/>
                <w:szCs w:val="18"/>
              </w:rPr>
              <w:t>御景大酒店</w:t>
            </w:r>
            <w:r>
              <w:rPr>
                <w:rFonts w:ascii="Times New Roman" w:hAnsi="Times New Roman" w:cs="Times New Roman" w:eastAsia="Times New Roman"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69,314,704.82</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69,314,704.82</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万吨白牛卡项目（美伦）</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2,488,623,232.74</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2,488,623,232.74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1,557,621,431.73</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1,557,621,431.73</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电厂三期再扩建（本公司）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483,981,213.99</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483,981,213.99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206,777,982.80</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206,777,982.80</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六万方污水处理（本公司）</w:t>
            </w:r>
          </w:p>
        </w:tc>
        <w:tc>
          <w:tcPr>
            <w:tcW w:w="135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47,901,473.19</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47,901,473.19</w:t>
            </w:r>
          </w:p>
        </w:tc>
      </w:tr>
      <w:tr>
        <w:trPr>
          <w:trHeight w:val="71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湛江晨鸣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万吨木浆设备升 级改造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116,258,400.00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116,258,400.00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43,862,858.73</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43,862,858.73</w:t>
            </w: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196,118,936.12</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196,118,936.12</w:t>
            </w:r>
          </w:p>
        </w:tc>
        <w:tc>
          <w:tcPr>
            <w:tcW w:w="139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其他在建工程项目</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235,358,302.12</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235,358,302.12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180,462,426.97</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180,462,426.97</w:t>
            </w:r>
          </w:p>
        </w:tc>
      </w:tr>
      <w:tr>
        <w:trPr>
          <w:trHeight w:val="403" w:hRule="exact"/>
        </w:trPr>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5,017,604,821.59</w:t>
            </w:r>
          </w:p>
        </w:tc>
        <w:tc>
          <w:tcPr>
            <w:tcW w:w="91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5,017,604,821.59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2,618,039,624.85</w:t>
            </w:r>
          </w:p>
        </w:tc>
        <w:tc>
          <w:tcPr>
            <w:tcW w:w="895"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2,618,039,624.85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1"/>
              <w:jc w:val="left"/>
              <w:rPr>
                <w:rFonts w:ascii="宋体" w:hAnsi="宋体" w:cs="宋体" w:eastAsia="宋体" w:hint="default"/>
                <w:sz w:val="18"/>
                <w:szCs w:val="18"/>
              </w:rPr>
            </w:pPr>
            <w:r>
              <w:rPr>
                <w:rFonts w:ascii="宋体" w:hAnsi="宋体" w:cs="宋体" w:eastAsia="宋体" w:hint="default"/>
                <w:sz w:val="18"/>
                <w:szCs w:val="18"/>
              </w:rPr>
              <w:t>高档铜 版纸项</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1"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6"/>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5" w:right="0"/>
              <w:jc w:val="center"/>
              <w:rPr>
                <w:rFonts w:ascii="Times New Roman" w:hAnsi="Times New Roman" w:cs="Times New Roman" w:eastAsia="Times New Roman" w:hint="default"/>
                <w:sz w:val="18"/>
                <w:szCs w:val="18"/>
              </w:rPr>
            </w:pPr>
            <w:r>
              <w:rPr>
                <w:rFonts w:ascii="Times New Roman"/>
                <w:sz w:val="18"/>
              </w:rPr>
              <w:t>114,294,</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573.34</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5" w:right="0"/>
              <w:jc w:val="center"/>
              <w:rPr>
                <w:rFonts w:ascii="Times New Roman" w:hAnsi="Times New Roman" w:cs="Times New Roman" w:eastAsia="Times New Roman" w:hint="default"/>
                <w:sz w:val="18"/>
                <w:szCs w:val="18"/>
              </w:rPr>
            </w:pPr>
            <w:r>
              <w:rPr>
                <w:rFonts w:ascii="Times New Roman"/>
                <w:sz w:val="18"/>
              </w:rPr>
              <w:t>114,294,</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573.34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50" w:right="0"/>
              <w:jc w:val="center"/>
              <w:rPr>
                <w:rFonts w:ascii="Times New Roman" w:hAnsi="Times New Roman" w:cs="Times New Roman" w:eastAsia="Times New Roman" w:hint="default"/>
                <w:sz w:val="18"/>
                <w:szCs w:val="18"/>
              </w:rPr>
            </w:pPr>
            <w:r>
              <w:rPr>
                <w:rFonts w:ascii="Times New Roman"/>
                <w:sz w:val="18"/>
              </w:rPr>
              <w:t>184,775,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491.95</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vMerge/>
            <w:tcBorders>
              <w:left w:val="single" w:sz="4" w:space="0" w:color="000000"/>
              <w:right w:val="single" w:sz="4" w:space="0" w:color="000000"/>
            </w:tcBorders>
          </w:tcPr>
          <w:p>
            <w:pP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生活用 纸项目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580,000,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45,812,8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95.20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45,812,8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95.20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黄冈林</w:t>
            </w: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浆一体 化项目</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54,100,4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42.98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66,771,5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96.55</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120,872,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039.53</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17"/>
              <w:jc w:val="left"/>
              <w:rPr>
                <w:rFonts w:ascii="宋体" w:hAnsi="宋体" w:cs="宋体" w:eastAsia="宋体" w:hint="default"/>
                <w:sz w:val="18"/>
                <w:szCs w:val="18"/>
              </w:rPr>
            </w:pPr>
            <w:r>
              <w:rPr>
                <w:rFonts w:ascii="宋体" w:hAnsi="宋体" w:cs="宋体" w:eastAsia="宋体" w:hint="default"/>
                <w:sz w:val="18"/>
                <w:szCs w:val="18"/>
              </w:rPr>
              <w:t>（黄冈）</w:t>
            </w: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75t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锅炉 脱硫工 程（乾</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10,812,1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88.35</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10,812,1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88.35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能）</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吉林迁 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139,852,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pacing w:val="-3"/>
                <w:sz w:val="18"/>
              </w:rPr>
              <w:t>111.44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1,251,48</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2,860.71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3,674,15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29,500,0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95.61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5,499,99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5,499,99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1,358,16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0,725.92</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白卡纸 等项目 技改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125,241,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58,799,3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05.23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165,809,</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132.14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18,231,9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71.17</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循环水 </w:t>
            </w:r>
            <w:r>
              <w:rPr>
                <w:rFonts w:ascii="宋体" w:hAnsi="宋体" w:cs="宋体" w:eastAsia="宋体" w:hint="default"/>
                <w:spacing w:val="-11"/>
                <w:sz w:val="18"/>
                <w:szCs w:val="18"/>
              </w:rPr>
              <w:t>回收（热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21,984,7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37.22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11,409,2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86.62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33,394,0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23.84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3,794,41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1,764,70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弥河景</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9"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观湿地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御景大</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69,314,7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04.82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30,239,6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75.07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99,554,3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79.89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1,799,75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6.58</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酒店</w:t>
            </w:r>
            <w:r>
              <w:rPr>
                <w:rFonts w:ascii="Times New Roman" w:hAnsi="Times New Roman" w:cs="Times New Roman" w:eastAsia="Times New Roman" w:hint="default"/>
                <w:sz w:val="18"/>
                <w:szCs w:val="18"/>
              </w:rPr>
              <w:t>)</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白牛卡 </w:t>
            </w:r>
            <w:r>
              <w:rPr>
                <w:rFonts w:ascii="宋体" w:hAnsi="宋体" w:cs="宋体" w:eastAsia="宋体" w:hint="default"/>
                <w:spacing w:val="-11"/>
                <w:sz w:val="18"/>
                <w:szCs w:val="18"/>
              </w:rPr>
              <w:t>项目（美</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1" w:right="0"/>
              <w:jc w:val="lef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1" w:right="0"/>
              <w:jc w:val="left"/>
              <w:rPr>
                <w:rFonts w:ascii="Times New Roman" w:hAnsi="Times New Roman" w:cs="Times New Roman" w:eastAsia="Times New Roman" w:hint="default"/>
                <w:sz w:val="18"/>
                <w:szCs w:val="18"/>
              </w:rPr>
            </w:pPr>
            <w:r>
              <w:rPr>
                <w:rFonts w:ascii="Times New Roman"/>
                <w:sz w:val="18"/>
              </w:rPr>
              <w:t>1,557,62</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1,431.73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9" w:right="0"/>
              <w:jc w:val="center"/>
              <w:rPr>
                <w:rFonts w:ascii="Times New Roman" w:hAnsi="Times New Roman" w:cs="Times New Roman" w:eastAsia="Times New Roman" w:hint="default"/>
                <w:sz w:val="18"/>
                <w:szCs w:val="18"/>
              </w:rPr>
            </w:pPr>
            <w:r>
              <w:rPr>
                <w:rFonts w:ascii="Times New Roman"/>
                <w:sz w:val="18"/>
              </w:rPr>
              <w:t>931,001,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801.01</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0" w:right="0"/>
              <w:jc w:val="center"/>
              <w:rPr>
                <w:rFonts w:ascii="Times New Roman" w:hAnsi="Times New Roman" w:cs="Times New Roman" w:eastAsia="Times New Roman" w:hint="default"/>
                <w:sz w:val="18"/>
                <w:szCs w:val="18"/>
              </w:rPr>
            </w:pPr>
            <w:r>
              <w:rPr>
                <w:rFonts w:ascii="Times New Roman"/>
                <w:sz w:val="18"/>
              </w:rPr>
              <w:t>200,669,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260.09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8" w:right="0"/>
              <w:jc w:val="center"/>
              <w:rPr>
                <w:rFonts w:ascii="Times New Roman" w:hAnsi="Times New Roman" w:cs="Times New Roman" w:eastAsia="Times New Roman" w:hint="default"/>
                <w:sz w:val="18"/>
                <w:szCs w:val="18"/>
              </w:rPr>
            </w:pPr>
            <w:r>
              <w:rPr>
                <w:rFonts w:ascii="Times New Roman"/>
                <w:sz w:val="18"/>
              </w:rPr>
              <w:t>115,607,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432.10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4" w:right="0"/>
              <w:jc w:val="left"/>
              <w:rPr>
                <w:rFonts w:ascii="Times New Roman" w:hAnsi="Times New Roman" w:cs="Times New Roman" w:eastAsia="Times New Roman" w:hint="default"/>
                <w:sz w:val="18"/>
                <w:szCs w:val="18"/>
              </w:rPr>
            </w:pPr>
            <w:r>
              <w:rPr>
                <w:rFonts w:ascii="Times New Roman"/>
                <w:sz w:val="18"/>
              </w:rPr>
              <w:t>2,488,62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3,232.74</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伦）</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电厂三</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期再扩 </w:t>
            </w:r>
            <w:r>
              <w:rPr>
                <w:rFonts w:ascii="宋体" w:hAnsi="宋体" w:cs="宋体" w:eastAsia="宋体" w:hint="default"/>
                <w:spacing w:val="-11"/>
                <w:sz w:val="18"/>
                <w:szCs w:val="18"/>
              </w:rPr>
              <w:t>建（本公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Times New Roman"/>
                <w:sz w:val="18"/>
              </w:rPr>
              <w:t>580,000,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206,777,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982.80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Times New Roman"/>
                <w:sz w:val="18"/>
              </w:rPr>
              <w:t>277,203,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231.19</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sz w:val="18"/>
              </w:rPr>
              <w:t>30,111,9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22,099,4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483,981,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213.99</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六万方</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污水处 </w:t>
            </w:r>
            <w:r>
              <w:rPr>
                <w:rFonts w:ascii="宋体" w:hAnsi="宋体" w:cs="宋体" w:eastAsia="宋体" w:hint="default"/>
                <w:spacing w:val="-11"/>
                <w:sz w:val="18"/>
                <w:szCs w:val="18"/>
              </w:rPr>
              <w:t>理（本公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47,901,4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73.19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sz w:val="18"/>
              </w:rPr>
              <w:t>11,001,9</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87.23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58,903,4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60.42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vMerge/>
            <w:tcBorders>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吨木浆 设备升</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43,862,8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58.73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72,395,5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41.27</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50.55%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3,558,42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3,558,42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6.42%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116,258,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级改造</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菱镁矿 开采</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196,118,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936.12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196,118,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936.12</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其他在 建工程 项目</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180,462,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426.97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420,932,</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105.90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245,471,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307.16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120,564,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923.59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210,371,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743.37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1,654,71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235,358,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302.12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2,618,03</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9,624.85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3,327,35</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6,326.90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777,726,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110.96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150,065,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019.20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653,581,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071.75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150,184,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683.35</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5,017,60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4,821.59</w:t>
            </w:r>
          </w:p>
        </w:tc>
      </w:tr>
    </w:tbl>
    <w:p>
      <w:pPr>
        <w:pStyle w:val="BodyText"/>
        <w:spacing w:line="360" w:lineRule="auto" w:before="51"/>
        <w:ind w:left="635" w:right="4069" w:hanging="482"/>
        <w:jc w:val="left"/>
      </w:pPr>
      <w:r>
        <w:rPr/>
        <w:t>在建工程项目变动情况的说明 吉林迁建在建工程其他减少数原因：由于搬迁导致部分资产报废。</w:t>
      </w:r>
    </w:p>
    <w:p>
      <w:pPr>
        <w:pStyle w:val="BodyText"/>
        <w:spacing w:line="240" w:lineRule="auto" w:before="26"/>
        <w:ind w:left="635" w:right="0"/>
        <w:jc w:val="left"/>
      </w:pPr>
      <w:r>
        <w:rPr/>
        <w:t>其他在建工程其他减少数原因：江西晨鸣预付项目款转入其他应收款以及出售子公司股权合并范围变化导致。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2210"/>
        <w:gridCol w:w="416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4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万吨白牛卡项目（美伦）</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电厂三期再扩建改造（本公司）</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万吨木浆设备升级改造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43,961,331.91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15,259,288.96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20,547,952.32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38,672,668.55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17,963,249.94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37,520,107.10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19,101,033.50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36,382,323.54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61,924,581.85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52,779,396.06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39,648,985.82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75,054,992.09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0"/>
        <w:gridCol w:w="1800"/>
        <w:gridCol w:w="1800"/>
        <w:gridCol w:w="2189"/>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吉林晨鸣纸业有限责任公司搬迁清理固定资产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287,015,185.63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294,632.40</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287,309,818.03</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444" w:right="0" w:hanging="291"/>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 </w:t>
      </w:r>
      <w:r>
        <w:rPr>
          <w:spacing w:val="-1"/>
        </w:rPr>
        <w:t>吉林晨鸣纸业有限公司因搬迁固定资产净值</w:t>
      </w:r>
      <w:r>
        <w:rPr>
          <w:rFonts w:ascii="Times New Roman" w:hAnsi="Times New Roman" w:cs="Times New Roman" w:eastAsia="Times New Roman" w:hint="default"/>
          <w:spacing w:val="-1"/>
        </w:rPr>
        <w:t>874,885,811.57</w:t>
      </w:r>
      <w:r>
        <w:rPr>
          <w:spacing w:val="-1"/>
        </w:rPr>
        <w:t>元转入清理，在建工程转入固定资产清理</w:t>
      </w:r>
      <w:r>
        <w:rPr>
          <w:rFonts w:ascii="Times New Roman" w:hAnsi="Times New Roman" w:cs="Times New Roman" w:eastAsia="Times New Roman" w:hint="default"/>
          <w:spacing w:val="-1"/>
        </w:rPr>
        <w:t>29,500,095.61</w:t>
      </w:r>
      <w:r>
        <w:rPr>
          <w:spacing w:val="-1"/>
        </w:rPr>
        <w:t>元，工</w:t>
      </w:r>
    </w:p>
    <w:p>
      <w:pPr>
        <w:pStyle w:val="BodyText"/>
        <w:spacing w:line="230" w:lineRule="exact"/>
        <w:ind w:left="153" w:right="0"/>
        <w:jc w:val="left"/>
      </w:pPr>
      <w:r>
        <w:rPr/>
        <w:t>程物质转入固定资产清理</w:t>
      </w:r>
      <w:r>
        <w:rPr>
          <w:rFonts w:ascii="Times New Roman" w:hAnsi="Times New Roman" w:cs="Times New Roman" w:eastAsia="Times New Roman" w:hint="default"/>
        </w:rPr>
        <w:t>365,025.64</w:t>
      </w:r>
      <w:r>
        <w:rPr/>
        <w:t>元，正在清理资产发生清理费用</w:t>
      </w:r>
      <w:r>
        <w:rPr>
          <w:rFonts w:ascii="Times New Roman" w:hAnsi="Times New Roman" w:cs="Times New Roman" w:eastAsia="Times New Roman" w:hint="default"/>
        </w:rPr>
        <w:t>707,063.86</w:t>
      </w:r>
      <w:r>
        <w:rPr/>
        <w:t>元；已清理资产净值</w:t>
      </w:r>
      <w:r>
        <w:rPr>
          <w:rFonts w:ascii="Times New Roman" w:hAnsi="Times New Roman" w:cs="Times New Roman" w:eastAsia="Times New Roman" w:hint="default"/>
        </w:rPr>
        <w:t>618,442,811.05</w:t>
      </w:r>
      <w:r>
        <w:rPr/>
        <w:t>元。</w:t>
      </w:r>
    </w:p>
    <w:p>
      <w:pPr>
        <w:spacing w:after="0" w:line="230" w:lineRule="exact"/>
        <w:jc w:val="left"/>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、消耗性生物资产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）以公允价值计量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959,061,500.85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216,482,643.02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6,275,089.72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959,061,500.85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216,482,643.02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6,275,089.72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r>
    </w:tbl>
    <w:p>
      <w:pPr>
        <w:pStyle w:val="BodyText"/>
        <w:spacing w:line="357" w:lineRule="auto" w:before="51"/>
        <w:ind w:left="573" w:right="0" w:hanging="420"/>
        <w:jc w:val="left"/>
        <w:rPr>
          <w:rFonts w:ascii="Times New Roman" w:hAnsi="Times New Roman" w:cs="Times New Roman" w:eastAsia="Times New Roman" w:hint="default"/>
        </w:rPr>
      </w:pPr>
      <w:r>
        <w:rPr/>
        <w:t>生产性生物资产的说明 注：（</w:t>
      </w:r>
      <w:r>
        <w:rPr>
          <w:rFonts w:ascii="Times New Roman" w:hAnsi="Times New Roman" w:cs="Times New Roman" w:eastAsia="Times New Roman" w:hint="default"/>
        </w:rPr>
        <w:t>1</w:t>
      </w:r>
      <w:r>
        <w:rPr/>
        <w:t>）以公允价值计量生物资产，林木因购买而增加人民币</w:t>
      </w:r>
      <w:r>
        <w:rPr>
          <w:rFonts w:ascii="Times New Roman" w:hAnsi="Times New Roman" w:cs="Times New Roman" w:eastAsia="Times New Roman" w:hint="default"/>
        </w:rPr>
        <w:t>12,030,651.26</w:t>
      </w:r>
      <w:r>
        <w:rPr/>
        <w:t>元，因繁育而增加人民币</w:t>
      </w:r>
      <w:r>
        <w:rPr>
          <w:rFonts w:ascii="Times New Roman" w:hAnsi="Times New Roman" w:cs="Times New Roman" w:eastAsia="Times New Roman" w:hint="default"/>
        </w:rPr>
        <w:t>156,629,914.89</w:t>
      </w:r>
    </w:p>
    <w:p>
      <w:pPr>
        <w:pStyle w:val="BodyText"/>
        <w:spacing w:line="216" w:lineRule="exact"/>
        <w:ind w:left="153" w:right="0"/>
        <w:jc w:val="left"/>
      </w:pPr>
      <w:r>
        <w:rPr/>
        <w:t>元，因出售而减少人民币</w:t>
      </w:r>
      <w:r>
        <w:rPr>
          <w:rFonts w:ascii="Times New Roman" w:hAnsi="Times New Roman" w:cs="Times New Roman" w:eastAsia="Times New Roman" w:hint="default"/>
        </w:rPr>
        <w:t>6,275,089.72</w:t>
      </w:r>
      <w:r>
        <w:rPr/>
        <w:t>元，因公允价值变动而增加人民币</w:t>
      </w:r>
      <w:r>
        <w:rPr>
          <w:rFonts w:ascii="Times New Roman" w:hAnsi="Times New Roman" w:cs="Times New Roman" w:eastAsia="Times New Roman" w:hint="default"/>
        </w:rPr>
        <w:t>47,822,076.87</w:t>
      </w:r>
      <w:r>
        <w:rPr/>
        <w:t>元。</w:t>
      </w:r>
    </w:p>
    <w:p>
      <w:pPr>
        <w:pStyle w:val="BodyText"/>
        <w:spacing w:line="307" w:lineRule="auto" w:before="102"/>
        <w:ind w:left="153" w:right="149" w:firstLine="420"/>
        <w:jc w:val="both"/>
      </w:pPr>
      <w:r>
        <w:rPr>
          <w:spacing w:val="-1"/>
        </w:rPr>
        <w:t>（</w:t>
      </w: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日止，消耗性生物资产中当年种植的或者是没有形成蓄积量的林木的公允价值和成本之间不存</w:t>
      </w:r>
      <w:r>
        <w:rPr/>
        <w:t> </w:t>
      </w:r>
      <w:r>
        <w:rPr>
          <w:spacing w:val="-2"/>
        </w:rPr>
        <w:t>在重大差异，以账面值作为公允价值，形成蓄积量的林木以公允价值计量，公允价值根据北京国友大正评估有限公司评估值</w:t>
      </w:r>
      <w:r>
        <w:rPr>
          <w:spacing w:val="-66"/>
        </w:rPr>
        <w:t> </w:t>
      </w:r>
      <w:r>
        <w:rPr>
          <w:spacing w:val="-66"/>
        </w:rPr>
      </w:r>
      <w:r>
        <w:rPr/>
        <w:t>确定。以账面值作为公允价值计量的消耗性生物资产为</w:t>
      </w:r>
      <w:r>
        <w:rPr>
          <w:rFonts w:ascii="Times New Roman" w:hAnsi="Times New Roman" w:cs="Times New Roman" w:eastAsia="Times New Roman" w:hint="default"/>
        </w:rPr>
        <w:t>152,293,223.18</w:t>
      </w:r>
      <w:r>
        <w:rPr/>
        <w:t>元，以评估值作为公允价值计量的消耗性生物资产为</w:t>
      </w:r>
      <w:r>
        <w:rPr>
          <w:spacing w:val="-50"/>
        </w:rPr>
        <w:t> </w:t>
      </w:r>
      <w:r>
        <w:rPr>
          <w:spacing w:val="-50"/>
        </w:rPr>
      </w:r>
      <w:r>
        <w:rPr>
          <w:rFonts w:ascii="Times New Roman" w:hAnsi="Times New Roman" w:cs="Times New Roman" w:eastAsia="Times New Roman" w:hint="default"/>
        </w:rPr>
        <w:t>1,016,975830.97</w:t>
      </w:r>
      <w:r>
        <w:rPr/>
        <w:t>元。</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1,690,347,916.95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1,329,270.74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84,005,236.74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1,607,671,950.95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1,672,649,254.38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1,111,920.74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83,255,576.74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1,590,505,598.38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17,698,662.57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217,350.00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749,660.00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17,166,352.57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173,210,715.59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38,461,236.57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20,497,160.43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191,174,791.73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162,800,378.78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36,376,304.04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19,779,300.63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179,397,382.19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10,410,336.81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2,084,932.53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717,859.80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11,777,409.54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1,517,137,201.36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-37,131,965.83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63,508,076.31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1,416,497,159.22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1,509,848,875.60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-36,264,383.30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63,476,276.11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1,411,108,216.19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7,288,325.76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-1,867,582.53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31,800.20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5,388,943.03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1,517,137,201.36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-37,131,965.83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63,508,076.31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1,416,497,159.22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1,509,848,875.60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-36,264,383.30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63,476,276.11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1,411,108,216.19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7,288,325.76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-1,867,582.53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31,800.20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5,388,943.03</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38,461,236.57</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3"/>
        </w:rPr>
        <w:t> </w:t>
      </w:r>
      <w:r>
        <w:rPr/>
        <w:t>无形资产说明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spacing w:val="7"/>
        </w:rPr>
        <w:t>①本年因出售子公司而减少的无形资产原值为</w:t>
      </w:r>
      <w:r>
        <w:rPr>
          <w:rFonts w:ascii="Times New Roman" w:hAnsi="Times New Roman" w:cs="Times New Roman" w:eastAsia="Times New Roman" w:hint="default"/>
          <w:spacing w:val="7"/>
        </w:rPr>
        <w:t>81,375,554.02</w:t>
      </w:r>
      <w:r>
        <w:rPr>
          <w:spacing w:val="7"/>
        </w:rPr>
        <w:t>元，本年因出售子公司而减少的无形资产累计摊销为</w:t>
      </w:r>
    </w:p>
    <w:p>
      <w:pPr>
        <w:pStyle w:val="BodyText"/>
        <w:spacing w:line="240" w:lineRule="auto" w:before="64"/>
        <w:ind w:right="0"/>
        <w:jc w:val="left"/>
      </w:pPr>
      <w:r>
        <w:rPr>
          <w:rFonts w:ascii="Times New Roman" w:hAnsi="Times New Roman" w:cs="Times New Roman" w:eastAsia="Times New Roman" w:hint="default"/>
        </w:rPr>
        <w:t>17,151,118.55</w:t>
      </w:r>
      <w:r>
        <w:rPr/>
        <w:t>元。</w:t>
      </w:r>
    </w:p>
    <w:p>
      <w:pPr>
        <w:pStyle w:val="BodyText"/>
        <w:spacing w:line="300" w:lineRule="auto" w:before="101"/>
        <w:ind w:left="153" w:right="151" w:firstLine="420"/>
        <w:jc w:val="both"/>
      </w:pPr>
      <w:r>
        <w:rPr>
          <w:spacing w:val="-1"/>
        </w:rPr>
        <w:t>②于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日，账面价值人民币</w:t>
      </w:r>
      <w:r>
        <w:rPr>
          <w:rFonts w:ascii="Times New Roman" w:hAnsi="Times New Roman" w:cs="Times New Roman" w:eastAsia="Times New Roman" w:hint="default"/>
          <w:spacing w:val="-1"/>
        </w:rPr>
        <w:t>330,717,493.46</w:t>
      </w:r>
      <w:r>
        <w:rPr>
          <w:spacing w:val="-1"/>
        </w:rPr>
        <w:t>元（</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rFonts w:ascii="Times New Roman" w:hAnsi="Times New Roman" w:cs="Times New Roman" w:eastAsia="Times New Roman" w:hint="default"/>
          <w:spacing w:val="-1"/>
        </w:rPr>
        <w:t>407,560,348.35</w:t>
      </w:r>
      <w:r>
        <w:rPr>
          <w:spacing w:val="-1"/>
        </w:rPr>
        <w:t>元）无形资产所有权</w:t>
      </w:r>
      <w:r>
        <w:rPr/>
        <w:t> 受到限制，系本公司以账面价值为人民币</w:t>
      </w:r>
      <w:r>
        <w:rPr>
          <w:rFonts w:ascii="Times New Roman" w:hAnsi="Times New Roman" w:cs="Times New Roman" w:eastAsia="Times New Roman" w:hint="default"/>
        </w:rPr>
        <w:t>330,717,493.46</w:t>
      </w:r>
      <w:r>
        <w:rPr/>
        <w:t>元的土地使用权及固定资产为抵押，取得长期借款</w:t>
      </w:r>
      <w:r>
        <w:rPr>
          <w:rFonts w:ascii="Times New Roman" w:hAnsi="Times New Roman" w:cs="Times New Roman" w:eastAsia="Times New Roman" w:hint="default"/>
        </w:rPr>
        <w:t>3,098,403,800.00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3,099,817,990.11</w:t>
      </w:r>
      <w:r>
        <w:rPr/>
        <w:t>元）和</w:t>
      </w:r>
      <w:r>
        <w:rPr>
          <w:rFonts w:ascii="Times New Roman" w:hAnsi="Times New Roman" w:cs="Times New Roman" w:eastAsia="Times New Roman" w:hint="default"/>
        </w:rPr>
        <w:t>290,625,800.00</w:t>
      </w:r>
      <w:r>
        <w:rPr/>
        <w:t>元的一年内到期的长期借款（</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39,993,458.22</w:t>
      </w:r>
      <w:r>
        <w:rPr>
          <w:rFonts w:ascii="Times New Roman" w:hAnsi="Times New Roman" w:cs="Times New Roman" w:eastAsia="Times New Roman" w:hint="default"/>
          <w:spacing w:val="30"/>
        </w:rPr>
        <w:t> </w:t>
      </w:r>
      <w:r>
        <w:rPr/>
        <w:t>元）（详见附注七、</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2012</w:t>
      </w:r>
      <w:r>
        <w:rPr/>
        <w:t>年该土地使用权的摊销额为人民币</w:t>
      </w:r>
      <w:r>
        <w:rPr>
          <w:rFonts w:ascii="Times New Roman" w:hAnsi="Times New Roman" w:cs="Times New Roman" w:eastAsia="Times New Roman" w:hint="default"/>
        </w:rPr>
        <w:t>7,215,654.36  </w:t>
      </w:r>
      <w:r>
        <w:rPr/>
        <w:t>元（</w:t>
      </w:r>
      <w:r>
        <w:rPr>
          <w:rFonts w:ascii="Times New Roman" w:hAnsi="Times New Roman" w:cs="Times New Roman" w:eastAsia="Times New Roman" w:hint="default"/>
        </w:rPr>
        <w:t>2011</w:t>
      </w:r>
      <w:r>
        <w:rPr/>
        <w:t>年：人民币</w:t>
      </w:r>
      <w:r>
        <w:rPr>
          <w:rFonts w:ascii="Times New Roman" w:hAnsi="Times New Roman" w:cs="Times New Roman" w:eastAsia="Times New Roman" w:hint="default"/>
        </w:rPr>
        <w:t>8,896,794.04</w:t>
      </w:r>
      <w:r>
        <w:rPr>
          <w:rFonts w:ascii="Times New Roman" w:hAnsi="Times New Roman" w:cs="Times New Roman" w:eastAsia="Times New Roman" w:hint="default"/>
          <w:spacing w:val="4"/>
        </w:rPr>
        <w:t> </w:t>
      </w:r>
      <w:r>
        <w:rPr/>
        <w:t>元）。</w:t>
      </w:r>
    </w:p>
    <w:p>
      <w:pPr>
        <w:pStyle w:val="BodyText"/>
        <w:spacing w:line="240" w:lineRule="auto" w:before="53"/>
        <w:ind w:left="0" w:right="128"/>
        <w:jc w:val="right"/>
      </w:pPr>
      <w:r>
        <w:rPr>
          <w:w w:val="95"/>
        </w:rPr>
        <w:t>③土地使用权系本集团依照中国法律在中国境内取得的国有土地使用权，出让期限自取得土地使用权起为</w:t>
      </w:r>
      <w:r>
        <w:rPr>
          <w:rFonts w:ascii="Times New Roman" w:hAnsi="Times New Roman" w:cs="Times New Roman" w:eastAsia="Times New Roman" w:hint="default"/>
          <w:w w:val="95"/>
        </w:rPr>
        <w:t>40</w:t>
      </w:r>
      <w:r>
        <w:rPr>
          <w:w w:val="95"/>
        </w:rPr>
        <w:t>年</w:t>
      </w:r>
      <w:r>
        <w:rPr>
          <w:rFonts w:ascii="Times New Roman" w:hAnsi="Times New Roman" w:cs="Times New Roman" w:eastAsia="Times New Roman" w:hint="default"/>
          <w:w w:val="95"/>
        </w:rPr>
        <w:t>-50</w:t>
      </w:r>
      <w:r>
        <w:rPr>
          <w:w w:val="95"/>
        </w:rPr>
        <w:t>年。</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14,314,160.60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14,314,160.60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5,969,626.57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5,969,626.57</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20,283,787.17</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571" w:right="4313" w:hanging="418"/>
        <w:jc w:val="left"/>
      </w:pPr>
      <w:r>
        <w:rPr/>
        <w:t>说明商誉的减值测试方法和减值准备计提方法 本公司商誉系本公司于以前年度非同一控制下的企业合并形成。</w:t>
      </w:r>
    </w:p>
    <w:p>
      <w:pPr>
        <w:pStyle w:val="BodyText"/>
        <w:spacing w:line="312" w:lineRule="auto" w:before="25"/>
        <w:ind w:left="257" w:right="148" w:firstLine="314"/>
        <w:jc w:val="both"/>
      </w:pPr>
      <w:r>
        <w:rPr/>
        <w:t>资产负债表日，公司管理层评估产生商誉的现金产出单元的可收回金额，以决定是否对其计提相应的减值准备。现金</w:t>
      </w:r>
      <w:r>
        <w:rPr>
          <w:spacing w:val="1"/>
        </w:rPr>
        <w:t> </w:t>
      </w:r>
      <w:r>
        <w:rPr>
          <w:spacing w:val="10"/>
        </w:rPr>
        <w:t>产出单元的可收回金额按管理层制定的未来五年财务预算中的现金流量预算，使用每年市场预期的行业稳定增长率</w:t>
      </w:r>
      <w:r>
        <w:rPr>
          <w:spacing w:val="-88"/>
        </w:rPr>
        <w:t> </w:t>
      </w:r>
      <w:r>
        <w:rPr>
          <w:spacing w:val="-88"/>
        </w:rPr>
      </w:r>
      <w:r>
        <w:rPr>
          <w:rFonts w:ascii="Times New Roman" w:hAnsi="Times New Roman" w:cs="Times New Roman" w:eastAsia="Times New Roman" w:hint="default"/>
          <w:spacing w:val="-1"/>
        </w:rPr>
        <w:t>5%(2011</w:t>
      </w:r>
      <w:r>
        <w:rPr>
          <w:spacing w:val="-1"/>
        </w:rPr>
        <w:t>年：</w:t>
      </w:r>
      <w:r>
        <w:rPr>
          <w:rFonts w:ascii="Times New Roman" w:hAnsi="Times New Roman" w:cs="Times New Roman" w:eastAsia="Times New Roman" w:hint="default"/>
          <w:spacing w:val="-1"/>
        </w:rPr>
        <w:t>5%)</w:t>
      </w:r>
      <w:r>
        <w:rPr>
          <w:spacing w:val="-1"/>
        </w:rPr>
        <w:t>计算，并按照</w:t>
      </w:r>
      <w:r>
        <w:rPr>
          <w:rFonts w:ascii="Times New Roman" w:hAnsi="Times New Roman" w:cs="Times New Roman" w:eastAsia="Times New Roman" w:hint="default"/>
          <w:spacing w:val="-1"/>
        </w:rPr>
        <w:t>8.32%(2011</w:t>
      </w:r>
      <w:r>
        <w:rPr>
          <w:spacing w:val="-1"/>
        </w:rPr>
        <w:t>年：</w:t>
      </w:r>
      <w:r>
        <w:rPr>
          <w:rFonts w:ascii="Times New Roman" w:hAnsi="Times New Roman" w:cs="Times New Roman" w:eastAsia="Times New Roman" w:hint="default"/>
          <w:spacing w:val="-1"/>
        </w:rPr>
        <w:t>8.32%)</w:t>
      </w:r>
      <w:r>
        <w:rPr>
          <w:spacing w:val="-1"/>
        </w:rPr>
        <w:t>的折现率评估货币之时间价值。公司管理层预计报告期内，商誉无需</w:t>
      </w:r>
      <w:r>
        <w:rPr>
          <w:spacing w:val="-66"/>
        </w:rPr>
        <w:t> </w:t>
      </w:r>
      <w:r>
        <w:rPr>
          <w:spacing w:val="-66"/>
        </w:rPr>
      </w:r>
      <w:r>
        <w:rPr/>
        <w:t>计提减值准备。</w:t>
      </w:r>
    </w:p>
    <w:p>
      <w:pPr>
        <w:pStyle w:val="BodyText"/>
        <w:spacing w:line="240" w:lineRule="auto" w:before="63"/>
        <w:ind w:left="513" w:right="0"/>
        <w:jc w:val="left"/>
      </w:pPr>
      <w:r>
        <w:rPr/>
        <w:t>商誉减值测试方法详见附注（四）、</w:t>
      </w:r>
      <w:r>
        <w:rPr>
          <w:rFonts w:ascii="Times New Roman" w:hAnsi="Times New Roman" w:cs="Times New Roman" w:eastAsia="Times New Roman" w:hint="default"/>
        </w:rPr>
        <w:t>20</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租赁资产改良性 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20,916,986.51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7,398,295.73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1,412,915.31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12,108,612.65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齐河晨鸣于本期 出售</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169,752,657.81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7,907,603.50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7,199,305.57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170,460,955.74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2,247,601.30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46,484.04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2,201,117.26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192,917,245.62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7,910,440.68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14,644,085.34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1,412,915.31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184,770,685.65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已确认的递延所得税资产和递延所得税负债</w:t>
      </w:r>
    </w:p>
    <w:p>
      <w:pPr>
        <w:spacing w:after="0" w:line="240" w:lineRule="auto"/>
        <w:jc w:val="left"/>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76,283,989.46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71,751,853.16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244,104,208.24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49,859,143.71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20,805,987.85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15,739,516.99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17,531,699.23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16,443,903.23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18,212,201.82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20,232,117.18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376,938,086.60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174,026,534.27</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2"/>
        <w:ind w:right="0"/>
        <w:jc w:val="left"/>
      </w:pPr>
      <w:r>
        <w:rPr/>
        <w:t>未确认递延所得税资产明细</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9"/>
        <w:gridCol w:w="2935"/>
        <w:gridCol w:w="2922"/>
      </w:tblGrid>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118,431,196.57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139,486,221.34</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329,374,556.35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548,006,631.56</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447,805,752.92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687,492,852.90</w:t>
            </w:r>
          </w:p>
        </w:tc>
      </w:tr>
    </w:tbl>
    <w:p>
      <w:pPr>
        <w:pStyle w:val="BodyText"/>
        <w:spacing w:line="240" w:lineRule="auto" w:before="51"/>
        <w:ind w:right="0"/>
        <w:jc w:val="left"/>
      </w:pPr>
      <w:r>
        <w:rPr/>
        <w:t>未确认递延所得税资产的可抵扣亏损将于以下年度到期</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14,585,476.04</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74,170.94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72,648,810.53</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38,442,223.21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69,020,481.95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67,208,911.93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129,791,262.25</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70,887,235.48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261,960,600.79</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152,762,014.79</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329,374,556.35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548,006,631.56</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应纳税差异和可抵扣差异项目明细</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322,820,452.56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314,787,643.19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83,223,951.42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63,204,734.93</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95,609,060.53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101,004,317.87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86,010,898.97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91,467,775.41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976,416,833.00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199,436,574.84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1,564,081,196.48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769,901,046.24</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20</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15"/>
        <w:gridCol w:w="1307"/>
        <w:gridCol w:w="1219"/>
        <w:gridCol w:w="1219"/>
        <w:gridCol w:w="1218"/>
        <w:gridCol w:w="1092"/>
        <w:gridCol w:w="1412"/>
      </w:tblGrid>
      <w:tr>
        <w:trPr>
          <w:trHeight w:val="200" w:hRule="exact"/>
        </w:trPr>
        <w:tc>
          <w:tcPr>
            <w:tcW w:w="22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tcBorders>
              <w:top w:val="single" w:sz="4" w:space="0" w:color="000000"/>
              <w:left w:val="single" w:sz="4" w:space="0" w:color="000000"/>
              <w:bottom w:val="nil" w:sz="6" w:space="0" w:color="auto"/>
              <w:right w:val="single" w:sz="4" w:space="0" w:color="000000"/>
            </w:tcBorders>
            <w:shd w:val="clear" w:color="auto" w:fill="D3D3D3"/>
          </w:tcPr>
          <w:p>
            <w:pPr/>
          </w:p>
        </w:tc>
        <w:tc>
          <w:tcPr>
            <w:tcW w:w="352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2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529" w:type="dxa"/>
            <w:gridSpan w:val="3"/>
            <w:vMerge/>
            <w:tcBorders>
              <w:left w:val="single" w:sz="4" w:space="0" w:color="000000"/>
              <w:bottom w:val="single" w:sz="4" w:space="0" w:color="000000"/>
              <w:right w:val="single" w:sz="4" w:space="0" w:color="000000"/>
            </w:tcBorders>
            <w:shd w:val="clear" w:color="auto" w:fill="D3D3D3"/>
          </w:tcPr>
          <w:p>
            <w:pPr/>
          </w:p>
        </w:tc>
        <w:tc>
          <w:tcPr>
            <w:tcW w:w="14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0" w:hRule="exact"/>
        </w:trPr>
        <w:tc>
          <w:tcPr>
            <w:tcW w:w="2215" w:type="dxa"/>
            <w:vMerge/>
            <w:tcBorders>
              <w:left w:val="single" w:sz="4" w:space="0" w:color="000000"/>
              <w:bottom w:val="nil" w:sz="6" w:space="0" w:color="auto"/>
              <w:right w:val="single" w:sz="4" w:space="0" w:color="000000"/>
            </w:tcBorders>
            <w:shd w:val="clear" w:color="auto" w:fill="D3D3D3"/>
          </w:tcPr>
          <w:p>
            <w:pPr/>
          </w:p>
        </w:tc>
        <w:tc>
          <w:tcPr>
            <w:tcW w:w="1307"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22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218"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141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308,289,383.25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54,111,708.52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9,500,672.76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793,968.19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21,004,227.00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331,102,223.82</w:t>
            </w:r>
          </w:p>
        </w:tc>
      </w:tr>
      <w:tr>
        <w:trPr>
          <w:trHeight w:val="402" w:hRule="exact"/>
        </w:trPr>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56,658,503.68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14,419,123.18</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56,072,051.72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552,446.69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r>
      <w:tr>
        <w:trPr>
          <w:trHeight w:val="402" w:hRule="exact"/>
        </w:trPr>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2,589,574.47</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2,589,574.47</w:t>
            </w:r>
          </w:p>
        </w:tc>
      </w:tr>
      <w:tr>
        <w:trPr>
          <w:trHeight w:val="402" w:hRule="exact"/>
        </w:trPr>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16,243,839.72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11,220,000.00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14,447,840.87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13,015,998.85</w:t>
            </w:r>
          </w:p>
        </w:tc>
      </w:tr>
      <w:tr>
        <w:trPr>
          <w:trHeight w:val="402" w:hRule="exact"/>
        </w:trPr>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383,781,301.12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79,750,831.70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9,500,672.76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56,866,019.91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36,004,514.56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361,160,925.59</w:t>
            </w:r>
          </w:p>
        </w:tc>
      </w:tr>
    </w:tbl>
    <w:p>
      <w:pPr>
        <w:pStyle w:val="BodyText"/>
        <w:spacing w:line="357" w:lineRule="auto" w:before="51"/>
        <w:ind w:left="444" w:right="3220" w:hanging="291"/>
        <w:jc w:val="left"/>
      </w:pPr>
      <w:r>
        <w:rPr/>
        <w:t>资产减值明细情况的说明 资产减值准备其他减少系本期处置子公司鄄城晨鸣、齐河晨鸣、齐河板材导致。</w:t>
      </w:r>
    </w:p>
    <w:p>
      <w:pPr>
        <w:spacing w:line="240" w:lineRule="auto" w:before="2"/>
        <w:rPr>
          <w:rFonts w:ascii="宋体" w:hAnsi="宋体" w:cs="宋体" w:eastAsia="宋体" w:hint="default"/>
          <w:sz w:val="20"/>
          <w:szCs w:val="20"/>
        </w:rPr>
      </w:pPr>
    </w:p>
    <w:p>
      <w:pPr>
        <w:pStyle w:val="Heading3"/>
        <w:spacing w:line="240" w:lineRule="auto"/>
        <w:ind w:right="181"/>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0"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360" w:lineRule="auto" w:before="51"/>
        <w:ind w:left="444" w:right="1420" w:hanging="291"/>
        <w:jc w:val="left"/>
      </w:pPr>
      <w:r>
        <w:rPr/>
        <w:t>其他非流动资产的说明 本年年末数比年初数减少，其主要原因为公司参股公司潍坊新业资本投资有限公司投资转入股权投资。</w:t>
      </w:r>
    </w:p>
    <w:p>
      <w:pPr>
        <w:spacing w:line="240" w:lineRule="auto" w:before="11"/>
        <w:rPr>
          <w:rFonts w:ascii="宋体" w:hAnsi="宋体" w:cs="宋体" w:eastAsia="宋体" w:hint="default"/>
          <w:sz w:val="19"/>
          <w:szCs w:val="19"/>
        </w:rPr>
      </w:pPr>
    </w:p>
    <w:p>
      <w:pPr>
        <w:pStyle w:val="Heading3"/>
        <w:spacing w:line="240" w:lineRule="auto"/>
        <w:ind w:right="181"/>
        <w:jc w:val="left"/>
        <w:rPr>
          <w:b w:val="0"/>
          <w:bCs w:val="0"/>
        </w:rPr>
      </w:pPr>
      <w:r>
        <w:rPr>
          <w:rFonts w:ascii="Times New Roman" w:hAnsi="Times New Roman" w:cs="Times New Roman" w:eastAsia="Times New Roman" w:hint="default"/>
        </w:rPr>
        <w:t>22</w:t>
      </w:r>
      <w:r>
        <w:rPr/>
        <w:t>、</w:t>
      </w:r>
      <w:r>
        <w:rPr>
          <w:spacing w:val="-9"/>
        </w:rPr>
        <w:t> </w:t>
      </w:r>
      <w:r>
        <w:rPr/>
        <w:t>所有权或使用权受限制的资产</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38"/>
        <w:gridCol w:w="1906"/>
        <w:gridCol w:w="4742"/>
      </w:tblGrid>
      <w:tr>
        <w:trPr>
          <w:trHeight w:val="435" w:hRule="exact"/>
        </w:trPr>
        <w:tc>
          <w:tcPr>
            <w:tcW w:w="3038" w:type="dxa"/>
            <w:tcBorders>
              <w:top w:val="single" w:sz="6" w:space="0" w:color="000000"/>
              <w:left w:val="single" w:sz="6" w:space="0" w:color="000000"/>
              <w:bottom w:val="single" w:sz="12" w:space="0" w:color="000000"/>
              <w:right w:val="single" w:sz="6" w:space="0" w:color="000000"/>
            </w:tcBorders>
          </w:tcPr>
          <w:p>
            <w:pPr>
              <w:pStyle w:val="TableParagraph"/>
              <w:tabs>
                <w:tab w:pos="614"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7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受限制的原因</w:t>
            </w: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用于担保的资产小计：</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6,836,817,095.88</w:t>
            </w:r>
          </w:p>
        </w:tc>
        <w:tc>
          <w:tcPr>
            <w:tcW w:w="4742"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sz w:val="18"/>
                <w:szCs w:val="18"/>
              </w:rPr>
              <w:t>土地（湛江晨鸣）</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330,717,493.46</w:t>
            </w:r>
          </w:p>
        </w:tc>
        <w:tc>
          <w:tcPr>
            <w:tcW w:w="4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固定资产（湛江晨鸣）</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6,351,131,719.77</w:t>
            </w:r>
          </w:p>
        </w:tc>
        <w:tc>
          <w:tcPr>
            <w:tcW w:w="4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应收票据(寿光美伦)</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154,967,882.65</w:t>
            </w:r>
          </w:p>
        </w:tc>
        <w:tc>
          <w:tcPr>
            <w:tcW w:w="4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作为应付票据的质押物</w:t>
            </w:r>
          </w:p>
        </w:tc>
      </w:tr>
      <w:tr>
        <w:trPr>
          <w:trHeight w:val="744"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39"/>
              <w:jc w:val="left"/>
              <w:rPr>
                <w:rFonts w:ascii="宋体" w:hAnsi="宋体" w:cs="宋体" w:eastAsia="宋体" w:hint="default"/>
                <w:sz w:val="18"/>
                <w:szCs w:val="18"/>
              </w:rPr>
            </w:pPr>
            <w:r>
              <w:rPr>
                <w:rFonts w:ascii="宋体" w:hAnsi="宋体" w:cs="宋体" w:eastAsia="宋体" w:hint="default"/>
                <w:sz w:val="18"/>
                <w:szCs w:val="18"/>
              </w:rPr>
              <w:t>其他原因造成所有权或使用权受限制 的资产小计：</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2,112,667,177.41</w:t>
            </w:r>
          </w:p>
        </w:tc>
        <w:tc>
          <w:tcPr>
            <w:tcW w:w="4742"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2,112,667,177.41</w:t>
            </w:r>
          </w:p>
        </w:tc>
        <w:tc>
          <w:tcPr>
            <w:tcW w:w="4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银行借款的质押、银行承兑票据和信用证的保证金</w:t>
            </w:r>
          </w:p>
        </w:tc>
      </w:tr>
      <w:tr>
        <w:trPr>
          <w:trHeight w:val="432"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8,949,484,273.29</w:t>
            </w:r>
          </w:p>
        </w:tc>
        <w:tc>
          <w:tcPr>
            <w:tcW w:w="474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0"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6"/>
        <w:ind w:right="0"/>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0"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176,133,062.41</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3,893,489,091.48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2,223,510,136.38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5,925,909,403.68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7,957,531,746.95</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1,729,809,660.95</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12,876,398,495.16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12,086,984,606.69</w:t>
            </w:r>
          </w:p>
        </w:tc>
      </w:tr>
    </w:tbl>
    <w:p>
      <w:pPr>
        <w:pStyle w:val="BodyText"/>
        <w:spacing w:line="240" w:lineRule="auto" w:before="51"/>
        <w:ind w:right="0"/>
        <w:jc w:val="left"/>
      </w:pPr>
      <w:r>
        <w:rPr/>
        <w:t>短期借款分类的说明</w:t>
      </w:r>
    </w:p>
    <w:p>
      <w:pPr>
        <w:pStyle w:val="BodyText"/>
        <w:spacing w:line="240" w:lineRule="auto" w:before="116"/>
        <w:ind w:left="469" w:right="0"/>
        <w:jc w:val="left"/>
      </w:pPr>
      <w:r>
        <w:rPr/>
        <w:t>①保证借款系本公司作为子公司的担保人，由子公司向金融机构取得的借款；</w:t>
      </w:r>
    </w:p>
    <w:p>
      <w:pPr>
        <w:pStyle w:val="BodyText"/>
        <w:spacing w:line="240" w:lineRule="auto" w:before="117"/>
        <w:ind w:left="371" w:right="0"/>
        <w:jc w:val="left"/>
      </w:pPr>
      <w:r>
        <w:rPr/>
        <w:t>②贴现借款系用银行承兑汇票贴现，本集团作为短期借款核算。</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1,285,627,762.07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615,327,402.85</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1,285,627,762.07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615,327,402.85</w:t>
            </w:r>
          </w:p>
        </w:tc>
      </w:tr>
    </w:tbl>
    <w:p>
      <w:pPr>
        <w:pStyle w:val="BodyText"/>
        <w:spacing w:line="338" w:lineRule="auto" w:before="51"/>
        <w:ind w:right="5906" w:hanging="1"/>
        <w:jc w:val="left"/>
      </w:pPr>
      <w:r>
        <w:rPr/>
        <w:t>下一会计期间将到期的金额</w:t>
      </w:r>
      <w:r>
        <w:rPr>
          <w:spacing w:val="-47"/>
        </w:rPr>
        <w:t> </w:t>
      </w:r>
      <w:r>
        <w:rPr>
          <w:rFonts w:ascii="Times New Roman" w:hAnsi="Times New Roman" w:cs="Times New Roman" w:eastAsia="Times New Roman" w:hint="default"/>
        </w:rPr>
        <w:t>1,285,627,762.07</w:t>
      </w:r>
      <w:r>
        <w:rPr>
          <w:rFonts w:ascii="Times New Roman" w:hAnsi="Times New Roman" w:cs="Times New Roman" w:eastAsia="Times New Roman" w:hint="default"/>
          <w:spacing w:val="-3"/>
        </w:rPr>
        <w:t> </w:t>
      </w:r>
      <w:r>
        <w:rPr/>
        <w:t>元。 应付票据的说明</w:t>
      </w:r>
    </w:p>
    <w:p>
      <w:pPr>
        <w:pStyle w:val="BodyText"/>
        <w:spacing w:line="240" w:lineRule="auto" w:before="42"/>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2,937,983,262.67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4,420,184,816.30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158,572,722.64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117,265,142.92</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49,693,420.80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67,792,980.94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93,532,318.70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80,343,057.44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3,239,781,724.81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4,685,585,997.60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370"/>
        <w:jc w:val="left"/>
        <w:rPr>
          <w:b w:val="0"/>
          <w:bCs w:val="0"/>
        </w:rPr>
      </w:pPr>
      <w:r>
        <w:rPr/>
        <w:t>（</w:t>
      </w:r>
      <w:r>
        <w:rPr>
          <w:rFonts w:ascii="Times New Roman" w:hAnsi="Times New Roman" w:cs="Times New Roman" w:eastAsia="Times New Roman" w:hint="default"/>
        </w:rPr>
        <w:t>2</w:t>
      </w:r>
      <w:r>
        <w:rPr/>
        <w:t>）本报告期应付账款中无持有公司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7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848"/>
        <w:gridCol w:w="2072"/>
        <w:gridCol w:w="1795"/>
        <w:gridCol w:w="1970"/>
      </w:tblGrid>
      <w:tr>
        <w:trPr>
          <w:trHeight w:val="435" w:hRule="exact"/>
        </w:trPr>
        <w:tc>
          <w:tcPr>
            <w:tcW w:w="3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19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Artemis Forestry Co., Ltd</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21,879,231.84</w:t>
            </w:r>
          </w:p>
        </w:tc>
        <w:tc>
          <w:tcPr>
            <w:tcW w:w="1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BTG Eclepens</w:t>
            </w:r>
            <w:r>
              <w:rPr>
                <w:rFonts w:ascii="Times New Roman"/>
                <w:spacing w:val="-2"/>
                <w:sz w:val="18"/>
              </w:rPr>
              <w:t> </w:t>
            </w:r>
            <w:r>
              <w:rPr>
                <w:rFonts w:ascii="Times New Roman"/>
                <w:sz w:val="18"/>
              </w:rPr>
              <w:t>S.A</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4,920,487.56</w:t>
            </w:r>
          </w:p>
        </w:tc>
        <w:tc>
          <w:tcPr>
            <w:tcW w:w="1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山东思源水业工程有限公司</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4,377,011.99</w:t>
            </w:r>
          </w:p>
        </w:tc>
        <w:tc>
          <w:tcPr>
            <w:tcW w:w="1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河南开封高压阀门有限公司</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3,600,220.34</w:t>
            </w:r>
          </w:p>
        </w:tc>
        <w:tc>
          <w:tcPr>
            <w:tcW w:w="1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Times New Roman"/>
                <w:sz w:val="18"/>
              </w:rPr>
              <w:t>PASABAN,S.A</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3,299,587.45</w:t>
            </w:r>
          </w:p>
        </w:tc>
        <w:tc>
          <w:tcPr>
            <w:tcW w:w="17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3848" w:type="dxa"/>
            <w:tcBorders>
              <w:top w:val="single" w:sz="12"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38,076,539.18</w:t>
            </w:r>
          </w:p>
        </w:tc>
        <w:tc>
          <w:tcPr>
            <w:tcW w:w="1795" w:type="dxa"/>
            <w:tcBorders>
              <w:top w:val="single" w:sz="12" w:space="0" w:color="000000"/>
              <w:left w:val="single" w:sz="6" w:space="0" w:color="000000"/>
              <w:bottom w:val="single" w:sz="12" w:space="0" w:color="000000"/>
              <w:right w:val="single" w:sz="6" w:space="0" w:color="000000"/>
            </w:tcBorders>
          </w:tcPr>
          <w:p>
            <w:pPr/>
          </w:p>
        </w:tc>
        <w:tc>
          <w:tcPr>
            <w:tcW w:w="197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370"/>
        <w:jc w:val="left"/>
        <w:rPr>
          <w:b w:val="0"/>
          <w:bCs w:val="0"/>
        </w:rPr>
      </w:pPr>
      <w:r>
        <w:rPr/>
        <w:t>（</w:t>
      </w:r>
      <w:r>
        <w:rPr>
          <w:rFonts w:ascii="Times New Roman" w:hAnsi="Times New Roman" w:cs="Times New Roman" w:eastAsia="Times New Roman" w:hint="default"/>
        </w:rPr>
        <w:t>4</w:t>
      </w:r>
      <w:r>
        <w:rPr/>
        <w:t>）</w:t>
      </w:r>
      <w:r>
        <w:rPr>
          <w:spacing w:val="-11"/>
        </w:rPr>
        <w:t> </w:t>
      </w:r>
      <w:r>
        <w:rPr/>
        <w:t>应付账款中包括外币余额如下</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986"/>
        <w:gridCol w:w="1798"/>
        <w:gridCol w:w="846"/>
        <w:gridCol w:w="1852"/>
        <w:gridCol w:w="1612"/>
        <w:gridCol w:w="899"/>
        <w:gridCol w:w="1694"/>
      </w:tblGrid>
      <w:tr>
        <w:trPr>
          <w:trHeight w:val="435" w:hRule="exact"/>
        </w:trPr>
        <w:tc>
          <w:tcPr>
            <w:tcW w:w="986" w:type="dxa"/>
            <w:vMerge w:val="restart"/>
            <w:tcBorders>
              <w:top w:val="single" w:sz="6" w:space="0" w:color="000000"/>
              <w:left w:val="single" w:sz="6" w:space="0" w:color="000000"/>
              <w:right w:val="single" w:sz="6" w:space="0" w:color="000000"/>
            </w:tcBorders>
          </w:tcPr>
          <w:p>
            <w:pPr>
              <w:pStyle w:val="TableParagraph"/>
              <w:spacing w:line="240" w:lineRule="auto" w:before="62"/>
              <w:ind w:left="26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449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20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986" w:type="dxa"/>
            <w:vMerge/>
            <w:tcBorders>
              <w:left w:val="single" w:sz="6" w:space="0" w:color="000000"/>
              <w:bottom w:val="single" w:sz="12" w:space="0" w:color="000000"/>
              <w:right w:val="single" w:sz="6" w:space="0" w:color="000000"/>
            </w:tcBorders>
          </w:tcPr>
          <w:p>
            <w:pP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234"/>
              <w:jc w:val="right"/>
              <w:rPr>
                <w:rFonts w:ascii="宋体" w:hAnsi="宋体" w:cs="宋体" w:eastAsia="宋体" w:hint="default"/>
                <w:sz w:val="18"/>
                <w:szCs w:val="18"/>
              </w:rPr>
            </w:pPr>
            <w:r>
              <w:rPr>
                <w:rFonts w:ascii="宋体" w:hAnsi="宋体" w:cs="宋体" w:eastAsia="宋体" w:hint="default"/>
                <w:sz w:val="18"/>
                <w:szCs w:val="18"/>
              </w:rPr>
              <w:t>汇率</w:t>
            </w:r>
          </w:p>
        </w:tc>
        <w:tc>
          <w:tcPr>
            <w:tcW w:w="1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汇率</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32" w:hRule="exact"/>
        </w:trPr>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95,627,910.37</w:t>
            </w:r>
          </w:p>
        </w:tc>
        <w:tc>
          <w:tcPr>
            <w:tcW w:w="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67"/>
              <w:jc w:val="right"/>
              <w:rPr>
                <w:rFonts w:ascii="Times New Roman" w:hAnsi="Times New Roman" w:cs="Times New Roman" w:eastAsia="Times New Roman" w:hint="default"/>
                <w:sz w:val="18"/>
                <w:szCs w:val="18"/>
              </w:rPr>
            </w:pPr>
            <w:r>
              <w:rPr>
                <w:rFonts w:ascii="Times New Roman"/>
                <w:sz w:val="18"/>
              </w:rPr>
              <w:t>6.2855</w:t>
            </w:r>
          </w:p>
        </w:tc>
        <w:tc>
          <w:tcPr>
            <w:tcW w:w="1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601,069,230.63</w:t>
            </w:r>
          </w:p>
        </w:tc>
        <w:tc>
          <w:tcPr>
            <w:tcW w:w="1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109,789,379.20</w:t>
            </w:r>
          </w:p>
        </w:tc>
        <w:tc>
          <w:tcPr>
            <w:tcW w:w="8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6.3009</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pacing w:val="-1"/>
                <w:sz w:val="18"/>
              </w:rPr>
              <w:t>691,771,899.52</w:t>
            </w:r>
          </w:p>
        </w:tc>
      </w:tr>
      <w:tr>
        <w:trPr>
          <w:trHeight w:val="432" w:hRule="exact"/>
        </w:trPr>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19,125.00</w:t>
            </w:r>
          </w:p>
        </w:tc>
        <w:tc>
          <w:tcPr>
            <w:tcW w:w="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sz w:val="18"/>
              </w:rPr>
              <w:t>10.1611</w:t>
            </w:r>
          </w:p>
        </w:tc>
        <w:tc>
          <w:tcPr>
            <w:tcW w:w="1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194,331.04</w:t>
            </w:r>
          </w:p>
        </w:tc>
        <w:tc>
          <w:tcPr>
            <w:tcW w:w="1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19,125.00</w:t>
            </w:r>
          </w:p>
        </w:tc>
        <w:tc>
          <w:tcPr>
            <w:tcW w:w="8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9.7116</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185,734.35</w:t>
            </w:r>
          </w:p>
        </w:tc>
      </w:tr>
      <w:tr>
        <w:trPr>
          <w:trHeight w:val="432" w:hRule="exact"/>
        </w:trPr>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1,574,136.46</w:t>
            </w:r>
          </w:p>
        </w:tc>
        <w:tc>
          <w:tcPr>
            <w:tcW w:w="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67"/>
              <w:jc w:val="right"/>
              <w:rPr>
                <w:rFonts w:ascii="Times New Roman" w:hAnsi="Times New Roman" w:cs="Times New Roman" w:eastAsia="Times New Roman" w:hint="default"/>
                <w:sz w:val="18"/>
                <w:szCs w:val="18"/>
              </w:rPr>
            </w:pPr>
            <w:r>
              <w:rPr>
                <w:rFonts w:ascii="Times New Roman"/>
                <w:sz w:val="18"/>
              </w:rPr>
              <w:t>8.3176</w:t>
            </w:r>
          </w:p>
        </w:tc>
        <w:tc>
          <w:tcPr>
            <w:tcW w:w="1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13,093,037.42</w:t>
            </w:r>
          </w:p>
        </w:tc>
        <w:tc>
          <w:tcPr>
            <w:tcW w:w="16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3,802,570.02</w:t>
            </w:r>
          </w:p>
        </w:tc>
        <w:tc>
          <w:tcPr>
            <w:tcW w:w="8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8.1625</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31,038,477.79</w:t>
            </w:r>
          </w:p>
        </w:tc>
      </w:tr>
      <w:tr>
        <w:trPr>
          <w:trHeight w:val="432" w:hRule="exact"/>
        </w:trPr>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798" w:type="dxa"/>
            <w:tcBorders>
              <w:top w:val="single" w:sz="12" w:space="0" w:color="000000"/>
              <w:left w:val="single" w:sz="6" w:space="0" w:color="000000"/>
              <w:bottom w:val="single" w:sz="12" w:space="0" w:color="000000"/>
              <w:right w:val="single" w:sz="6" w:space="0" w:color="000000"/>
            </w:tcBorders>
          </w:tcPr>
          <w:p>
            <w:pPr/>
          </w:p>
        </w:tc>
        <w:tc>
          <w:tcPr>
            <w:tcW w:w="846" w:type="dxa"/>
            <w:tcBorders>
              <w:top w:val="single" w:sz="12" w:space="0" w:color="000000"/>
              <w:left w:val="single" w:sz="6" w:space="0" w:color="000000"/>
              <w:bottom w:val="single" w:sz="12" w:space="0" w:color="000000"/>
              <w:right w:val="single" w:sz="6" w:space="0" w:color="000000"/>
            </w:tcBorders>
          </w:tcPr>
          <w:p>
            <w:pPr/>
          </w:p>
        </w:tc>
        <w:tc>
          <w:tcPr>
            <w:tcW w:w="1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614,356,599.09</w:t>
            </w:r>
          </w:p>
        </w:tc>
        <w:tc>
          <w:tcPr>
            <w:tcW w:w="1612" w:type="dxa"/>
            <w:tcBorders>
              <w:top w:val="single" w:sz="12" w:space="0" w:color="000000"/>
              <w:left w:val="single" w:sz="6" w:space="0" w:color="000000"/>
              <w:bottom w:val="single" w:sz="12" w:space="0" w:color="000000"/>
              <w:right w:val="single" w:sz="6" w:space="0" w:color="000000"/>
            </w:tcBorders>
          </w:tcPr>
          <w:p>
            <w:pPr/>
          </w:p>
        </w:tc>
        <w:tc>
          <w:tcPr>
            <w:tcW w:w="899"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722,996,111.66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370"/>
        <w:jc w:val="left"/>
        <w:rPr>
          <w:b w:val="0"/>
          <w:bCs w:val="0"/>
        </w:rPr>
      </w:pPr>
      <w:r>
        <w:rPr>
          <w:rFonts w:ascii="Times New Roman" w:hAnsi="Times New Roman" w:cs="Times New Roman" w:eastAsia="Times New Roman" w:hint="default"/>
        </w:rPr>
        <w:t>26</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7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340,139,089.13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211,879,347.81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7,696,711.74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19,548,665.64</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347,835,800.87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231,428,013.45</w:t>
            </w:r>
          </w:p>
        </w:tc>
      </w:tr>
    </w:tbl>
    <w:p>
      <w:pPr>
        <w:spacing w:line="240" w:lineRule="auto" w:before="2"/>
        <w:rPr>
          <w:rFonts w:ascii="宋体" w:hAnsi="宋体" w:cs="宋体" w:eastAsia="宋体" w:hint="default"/>
          <w:sz w:val="19"/>
          <w:szCs w:val="19"/>
        </w:rPr>
      </w:pPr>
    </w:p>
    <w:p>
      <w:pPr>
        <w:pStyle w:val="Heading3"/>
        <w:spacing w:line="240" w:lineRule="auto" w:before="35"/>
        <w:ind w:right="370"/>
        <w:jc w:val="left"/>
        <w:rPr>
          <w:b w:val="0"/>
          <w:bCs w:val="0"/>
        </w:rPr>
      </w:pPr>
      <w:r>
        <w:rPr/>
        <w:t>（</w:t>
      </w:r>
      <w:r>
        <w:rPr>
          <w:rFonts w:ascii="Times New Roman" w:hAnsi="Times New Roman" w:cs="Times New Roman" w:eastAsia="Times New Roman" w:hint="default"/>
        </w:rPr>
        <w:t>2</w:t>
      </w:r>
      <w:r>
        <w:rPr/>
        <w:t>）本报告期预收账款中无持有公司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7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862"/>
        <w:gridCol w:w="2802"/>
        <w:gridCol w:w="3184"/>
      </w:tblGrid>
      <w:tr>
        <w:trPr>
          <w:trHeight w:val="435" w:hRule="exact"/>
        </w:trPr>
        <w:tc>
          <w:tcPr>
            <w:tcW w:w="3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047" w:right="0"/>
              <w:jc w:val="left"/>
              <w:rPr>
                <w:rFonts w:ascii="宋体" w:hAnsi="宋体" w:cs="宋体" w:eastAsia="宋体" w:hint="default"/>
                <w:sz w:val="18"/>
                <w:szCs w:val="18"/>
              </w:rPr>
            </w:pPr>
            <w:r>
              <w:rPr>
                <w:rFonts w:ascii="宋体" w:hAnsi="宋体" w:cs="宋体" w:eastAsia="宋体" w:hint="default"/>
                <w:sz w:val="18"/>
                <w:szCs w:val="18"/>
              </w:rPr>
              <w:t>未结转的原因</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7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862"/>
        <w:gridCol w:w="2802"/>
        <w:gridCol w:w="3184"/>
      </w:tblGrid>
      <w:tr>
        <w:trPr>
          <w:trHeight w:val="435" w:hRule="exact"/>
        </w:trPr>
        <w:tc>
          <w:tcPr>
            <w:tcW w:w="3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山东凯隆纸业科技有限公司</w:t>
            </w:r>
          </w:p>
        </w:tc>
        <w:tc>
          <w:tcPr>
            <w:tcW w:w="2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1,082,000.00</w:t>
            </w:r>
          </w:p>
        </w:tc>
        <w:tc>
          <w:tcPr>
            <w:tcW w:w="3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956"/>
              <w:jc w:val="righ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32" w:hRule="exact"/>
        </w:trPr>
        <w:tc>
          <w:tcPr>
            <w:tcW w:w="3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无锡市亿发纸业有限公司</w:t>
            </w:r>
          </w:p>
        </w:tc>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492,297.30</w:t>
            </w:r>
          </w:p>
        </w:tc>
        <w:tc>
          <w:tcPr>
            <w:tcW w:w="31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956"/>
              <w:jc w:val="righ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32" w:hRule="exact"/>
        </w:trPr>
        <w:tc>
          <w:tcPr>
            <w:tcW w:w="3862" w:type="dxa"/>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1,574,297.30</w:t>
            </w:r>
          </w:p>
        </w:tc>
        <w:tc>
          <w:tcPr>
            <w:tcW w:w="318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370"/>
        <w:jc w:val="left"/>
        <w:rPr>
          <w:b w:val="0"/>
          <w:bCs w:val="0"/>
        </w:rPr>
      </w:pPr>
      <w:r>
        <w:rPr/>
        <w:t>（</w:t>
      </w:r>
      <w:r>
        <w:rPr>
          <w:rFonts w:ascii="Times New Roman" w:hAnsi="Times New Roman" w:cs="Times New Roman" w:eastAsia="Times New Roman" w:hint="default"/>
        </w:rPr>
        <w:t>4</w:t>
      </w:r>
      <w:r>
        <w:rPr/>
        <w:t>）</w:t>
      </w:r>
      <w:r>
        <w:rPr>
          <w:spacing w:val="-11"/>
        </w:rPr>
        <w:t> </w:t>
      </w:r>
      <w:r>
        <w:rPr/>
        <w:t>预收款项中包括外币余额如下</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997"/>
        <w:gridCol w:w="1808"/>
        <w:gridCol w:w="858"/>
        <w:gridCol w:w="1862"/>
        <w:gridCol w:w="1621"/>
        <w:gridCol w:w="940"/>
        <w:gridCol w:w="1600"/>
      </w:tblGrid>
      <w:tr>
        <w:trPr>
          <w:trHeight w:val="435" w:hRule="exact"/>
        </w:trPr>
        <w:tc>
          <w:tcPr>
            <w:tcW w:w="997" w:type="dxa"/>
            <w:vMerge w:val="restart"/>
            <w:tcBorders>
              <w:top w:val="single" w:sz="6" w:space="0" w:color="000000"/>
              <w:left w:val="single" w:sz="6" w:space="0" w:color="000000"/>
              <w:right w:val="single" w:sz="6" w:space="0" w:color="000000"/>
            </w:tcBorders>
          </w:tcPr>
          <w:p>
            <w:pPr>
              <w:pStyle w:val="TableParagraph"/>
              <w:spacing w:line="240" w:lineRule="auto" w:before="62"/>
              <w:ind w:left="27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452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6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997" w:type="dxa"/>
            <w:vMerge/>
            <w:tcBorders>
              <w:left w:val="single" w:sz="6" w:space="0" w:color="000000"/>
              <w:bottom w:val="single" w:sz="12" w:space="0" w:color="000000"/>
              <w:right w:val="single" w:sz="6" w:space="0" w:color="000000"/>
            </w:tcBorders>
          </w:tcPr>
          <w:p>
            <w:pP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32" w:hRule="exact"/>
        </w:trPr>
        <w:tc>
          <w:tcPr>
            <w:tcW w:w="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30,582,379.55</w:t>
            </w:r>
          </w:p>
        </w:tc>
        <w:tc>
          <w:tcPr>
            <w:tcW w:w="8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6.2855</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192,225,546.66</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18,133,899.02</w:t>
            </w:r>
          </w:p>
        </w:tc>
        <w:tc>
          <w:tcPr>
            <w:tcW w:w="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6.3009</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114,259,884.34</w:t>
            </w:r>
          </w:p>
        </w:tc>
      </w:tr>
      <w:tr>
        <w:trPr>
          <w:trHeight w:val="432" w:hRule="exact"/>
        </w:trPr>
        <w:tc>
          <w:tcPr>
            <w:tcW w:w="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858" w:type="dxa"/>
            <w:tcBorders>
              <w:top w:val="single" w:sz="12" w:space="0" w:color="000000"/>
              <w:left w:val="single" w:sz="6" w:space="0" w:color="000000"/>
              <w:bottom w:val="single" w:sz="12" w:space="0" w:color="000000"/>
              <w:right w:val="single" w:sz="6" w:space="0" w:color="000000"/>
            </w:tcBorders>
          </w:tcPr>
          <w:p>
            <w:pPr/>
          </w:p>
        </w:tc>
        <w:tc>
          <w:tcPr>
            <w:tcW w:w="1862" w:type="dxa"/>
            <w:tcBorders>
              <w:top w:val="single" w:sz="12" w:space="0" w:color="000000"/>
              <w:left w:val="single" w:sz="6" w:space="0" w:color="000000"/>
              <w:bottom w:val="single" w:sz="12" w:space="0" w:color="000000"/>
              <w:right w:val="single" w:sz="6" w:space="0" w:color="000000"/>
            </w:tcBorders>
          </w:tcPr>
          <w:p>
            <w:pP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1,117,098.18</w:t>
            </w:r>
          </w:p>
        </w:tc>
        <w:tc>
          <w:tcPr>
            <w:tcW w:w="9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8.1625</w:t>
            </w: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9,118,313.89</w:t>
            </w:r>
          </w:p>
        </w:tc>
      </w:tr>
      <w:tr>
        <w:trPr>
          <w:trHeight w:val="432" w:hRule="exact"/>
        </w:trPr>
        <w:tc>
          <w:tcPr>
            <w:tcW w:w="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858" w:type="dxa"/>
            <w:tcBorders>
              <w:top w:val="single" w:sz="12" w:space="0" w:color="000000"/>
              <w:left w:val="single" w:sz="6" w:space="0" w:color="000000"/>
              <w:bottom w:val="single" w:sz="12" w:space="0" w:color="000000"/>
              <w:right w:val="single" w:sz="6" w:space="0" w:color="000000"/>
            </w:tcBorders>
          </w:tcPr>
          <w:p>
            <w:pP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192,225,546.66</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940" w:type="dxa"/>
            <w:tcBorders>
              <w:top w:val="single" w:sz="12" w:space="0" w:color="000000"/>
              <w:left w:val="single" w:sz="6" w:space="0" w:color="000000"/>
              <w:bottom w:val="single" w:sz="12" w:space="0" w:color="000000"/>
              <w:right w:val="single" w:sz="6" w:space="0" w:color="000000"/>
            </w:tcBorders>
          </w:tcPr>
          <w:p>
            <w:pPr/>
          </w:p>
        </w:tc>
        <w:tc>
          <w:tcPr>
            <w:tcW w:w="1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123,378,198.23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370"/>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89,914,662.03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744,194,481.52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721,047,583.60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113,061,559.95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433,903.26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52,636,544.02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53,070,447.28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12,495,889.17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162,471,605.26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162,657,710.46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12,309,783.97</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8,683,901.99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34,600,609.76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35,470,189.69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7,814,322.06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2,249,723.97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108,797,475.92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107,917,101.49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3,130,098.40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154,033.86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10,236,978.69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10,355,773.80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35,238.75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27,545.09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5,109,619.30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5,073,242.25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63,922.14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1,380,684.26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3,726,921.59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3,841,403.23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1,266,202.62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7,489,616.55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55,646,975.36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53,116,398.35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10,020,193.56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1,770,435.66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1,767,351.69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3,083.97</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18,804,595.54</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18,804,595.54</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七、工会经费和职工</w:t>
            </w:r>
            <w:r>
              <w:rPr>
                <w:rFonts w:ascii="宋体" w:hAnsi="宋体" w:cs="宋体" w:eastAsia="宋体" w:hint="default"/>
                <w:sz w:val="18"/>
                <w:szCs w:val="18"/>
              </w:rPr>
              <w:t> 教育经费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17,925,225.10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18,560,363.45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12,837,035.83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23,648,552.72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147,063,891.65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1,035,280,405.27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1,004,496,527.21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177,847,769.71</w:t>
            </w:r>
          </w:p>
        </w:tc>
      </w:tr>
    </w:tbl>
    <w:p>
      <w:pPr>
        <w:pStyle w:val="BodyText"/>
        <w:spacing w:line="240" w:lineRule="auto" w:before="51"/>
        <w:ind w:right="37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370"/>
        <w:jc w:val="left"/>
      </w:pPr>
      <w:r>
        <w:rPr/>
        <w:t>工会经费和职工教育经费金额</w:t>
      </w:r>
      <w:r>
        <w:rPr>
          <w:spacing w:val="-47"/>
        </w:rPr>
        <w:t> </w:t>
      </w:r>
      <w:r>
        <w:rPr>
          <w:rFonts w:ascii="Times New Roman" w:hAnsi="Times New Roman" w:cs="Times New Roman" w:eastAsia="Times New Roman" w:hint="default"/>
        </w:rPr>
        <w:t>23,648,552.72</w:t>
      </w:r>
      <w:r>
        <w:rPr>
          <w:rFonts w:ascii="Times New Roman" w:hAnsi="Times New Roman" w:cs="Times New Roman" w:eastAsia="Times New Roman" w:hint="default"/>
          <w:spacing w:val="-2"/>
        </w:rPr>
        <w:t>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元，因解除劳动关系给予补偿</w:t>
      </w:r>
      <w:r>
        <w:rPr>
          <w:spacing w:val="-47"/>
        </w:rPr>
        <w:t> </w:t>
      </w:r>
      <w:r>
        <w:rPr>
          <w:rFonts w:ascii="Times New Roman" w:hAnsi="Times New Roman" w:cs="Times New Roman" w:eastAsia="Times New Roman" w:hint="default"/>
        </w:rPr>
        <w:t>3,083.97</w:t>
      </w:r>
      <w:r>
        <w:rPr>
          <w:rFonts w:ascii="Times New Roman" w:hAnsi="Times New Roman" w:cs="Times New Roman" w:eastAsia="Times New Roman" w:hint="default"/>
          <w:spacing w:val="-2"/>
        </w:rPr>
        <w:t> </w:t>
      </w:r>
      <w:r>
        <w:rPr/>
        <w:t>元。</w:t>
      </w:r>
    </w:p>
    <w:p>
      <w:pPr>
        <w:spacing w:after="0" w:line="240" w:lineRule="auto"/>
        <w:jc w:val="left"/>
        <w:sectPr>
          <w:pgSz w:w="11910" w:h="16840"/>
          <w:pgMar w:header="0" w:footer="982" w:top="1060" w:bottom="1180" w:left="980" w:right="7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39,231,100.57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8,847,121.90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962,094.33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6,510,523.22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42,565,684.15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21,030,687.55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170,709.08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5,201,988.58</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2,792,836.34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2,669,994.50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8,114,849.29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14,021,262.09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8,224,888.15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5,382,575.62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教育税附加及其他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2,678,529.97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2,775,009.93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2,075,721.99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1,800,842.52</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106,816,413.87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68,240,005.91</w:t>
            </w:r>
          </w:p>
        </w:tc>
      </w:tr>
    </w:tbl>
    <w:p>
      <w:pPr>
        <w:pStyle w:val="BodyText"/>
        <w:spacing w:line="357" w:lineRule="auto" w:before="51"/>
        <w:ind w:left="153" w:right="1491"/>
        <w:jc w:val="left"/>
      </w:pPr>
      <w:r>
        <w:rPr/>
        <w:t>应交税费说明，所在地税务机关同意各分公司、分厂之间应纳税所得额相互调剂的，应说明税款计算过程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65,900,289.97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62,113,952.74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67,145,833.34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44,740,750.00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133,046,123.31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106,854,702.74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310,080,861.84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525,381,372.20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58,740,745.82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176,020,931.91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16,748,468.93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20,604,081.20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50,202,212.39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41,615,153.64</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435,772,288.98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763,621,538.95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2</w:t>
      </w:r>
      <w:r>
        <w:rPr/>
        <w:t>）本报告期其他应付款中无持有公司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036"/>
        <w:gridCol w:w="1567"/>
        <w:gridCol w:w="1764"/>
        <w:gridCol w:w="2320"/>
      </w:tblGrid>
      <w:tr>
        <w:trPr>
          <w:trHeight w:val="435" w:hRule="exact"/>
        </w:trPr>
        <w:tc>
          <w:tcPr>
            <w:tcW w:w="4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23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3"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8,800,000.00</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23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福建省工业设备安装有限公司三明分公司</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23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孟峰（保证金）</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688,411.30</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23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山东思源水业工程有限公司</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540,000.00</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23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寿光市鸿运汽车运输有限公司</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505,326.50</w:t>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23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2" w:hRule="exact"/>
        </w:trPr>
        <w:tc>
          <w:tcPr>
            <w:tcW w:w="4036" w:type="dxa"/>
            <w:tcBorders>
              <w:top w:val="single" w:sz="12" w:space="0" w:color="000000"/>
              <w:left w:val="single" w:sz="6" w:space="0" w:color="000000"/>
              <w:bottom w:val="single" w:sz="12" w:space="0" w:color="000000"/>
              <w:right w:val="single" w:sz="6" w:space="0" w:color="000000"/>
            </w:tcBorders>
          </w:tcPr>
          <w:p>
            <w:pPr>
              <w:pStyle w:val="TableParagraph"/>
              <w:tabs>
                <w:tab w:pos="615" w:val="left" w:leader="none"/>
              </w:tabs>
              <w:spacing w:line="240" w:lineRule="auto" w:before="51"/>
              <w:ind w:left="7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11,533,737.80</w:t>
            </w:r>
          </w:p>
        </w:tc>
        <w:tc>
          <w:tcPr>
            <w:tcW w:w="1764" w:type="dxa"/>
            <w:tcBorders>
              <w:top w:val="single" w:sz="12" w:space="0" w:color="000000"/>
              <w:left w:val="single" w:sz="6" w:space="0" w:color="000000"/>
              <w:bottom w:val="single" w:sz="12" w:space="0" w:color="000000"/>
              <w:right w:val="single" w:sz="6" w:space="0" w:color="000000"/>
            </w:tcBorders>
          </w:tcPr>
          <w:p>
            <w:pPr/>
          </w:p>
        </w:tc>
        <w:tc>
          <w:tcPr>
            <w:tcW w:w="232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760"/>
        <w:gridCol w:w="2832"/>
        <w:gridCol w:w="3095"/>
      </w:tblGrid>
      <w:tr>
        <w:trPr>
          <w:trHeight w:val="435" w:hRule="exact"/>
        </w:trPr>
        <w:tc>
          <w:tcPr>
            <w:tcW w:w="3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8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0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华德力集团湛江润宝发展有限公司</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0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0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山东富地环境工程有限公司</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9,600,000.00</w:t>
            </w:r>
          </w:p>
        </w:tc>
        <w:tc>
          <w:tcPr>
            <w:tcW w:w="30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8,800,000.00</w:t>
            </w:r>
          </w:p>
        </w:tc>
        <w:tc>
          <w:tcPr>
            <w:tcW w:w="30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湖北中建昊华环保有限公司</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4,420,000.00</w:t>
            </w:r>
          </w:p>
        </w:tc>
        <w:tc>
          <w:tcPr>
            <w:tcW w:w="30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32" w:hRule="exact"/>
        </w:trPr>
        <w:tc>
          <w:tcPr>
            <w:tcW w:w="3760" w:type="dxa"/>
            <w:tcBorders>
              <w:top w:val="single" w:sz="12" w:space="0" w:color="000000"/>
              <w:left w:val="single" w:sz="6" w:space="0" w:color="000000"/>
              <w:bottom w:val="single" w:sz="12" w:space="0" w:color="000000"/>
              <w:right w:val="single" w:sz="6" w:space="0" w:color="000000"/>
            </w:tcBorders>
          </w:tcPr>
          <w:p>
            <w:pPr>
              <w:pStyle w:val="TableParagraph"/>
              <w:tabs>
                <w:tab w:pos="542"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92,820,000.00</w:t>
            </w:r>
          </w:p>
        </w:tc>
        <w:tc>
          <w:tcPr>
            <w:tcW w:w="309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31</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1,368,108,800.00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1,203,616,858.22</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1,368,108,800.00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1,203,616,858.22</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81"/>
        <w:jc w:val="left"/>
      </w:pPr>
      <w:r>
        <w:rPr/>
        <w:t>一年内到期的长期借款</w:t>
      </w:r>
    </w:p>
    <w:p>
      <w:pPr>
        <w:pStyle w:val="BodyText"/>
        <w:spacing w:line="240" w:lineRule="auto" w:before="116"/>
        <w:ind w:left="7767" w:right="189"/>
        <w:jc w:val="right"/>
      </w:pPr>
      <w:r>
        <w:rPr/>
        <w:t>单位： 元</w:t>
      </w:r>
    </w:p>
    <w:p>
      <w:pPr>
        <w:spacing w:after="0" w:line="240" w:lineRule="auto"/>
        <w:jc w:val="right"/>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290,625,800.00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39,993,458.22</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562,640,000.00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389,133,000.00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643,823,400.00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1,368,108,800.00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1,203,616,858.22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pStyle w:val="BodyText"/>
        <w:spacing w:line="340" w:lineRule="auto" w:before="51"/>
        <w:ind w:left="153" w:right="-18"/>
        <w:jc w:val="left"/>
      </w:pPr>
      <w:r>
        <w:rPr/>
        <w:t>一年内到期的长期借款中属于逾期借款获得展期的金额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5239" w:space="3589"/>
            <w:col w:w="1122"/>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73"/>
        <w:gridCol w:w="978"/>
        <w:gridCol w:w="977"/>
        <w:gridCol w:w="974"/>
        <w:gridCol w:w="976"/>
        <w:gridCol w:w="1092"/>
        <w:gridCol w:w="1315"/>
        <w:gridCol w:w="1092"/>
        <w:gridCol w:w="1316"/>
      </w:tblGrid>
      <w:tr>
        <w:trPr>
          <w:trHeight w:val="402" w:hRule="exact"/>
        </w:trPr>
        <w:tc>
          <w:tcPr>
            <w:tcW w:w="9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9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73" w:type="dxa"/>
            <w:vMerge/>
            <w:tcBorders>
              <w:left w:val="single" w:sz="4" w:space="0" w:color="000000"/>
              <w:bottom w:val="single" w:sz="4" w:space="0" w:color="000000"/>
              <w:right w:val="single" w:sz="4" w:space="0" w:color="000000"/>
            </w:tcBorders>
            <w:shd w:val="clear" w:color="auto" w:fill="D3D3D3"/>
          </w:tcPr>
          <w:p>
            <w:pPr/>
          </w:p>
        </w:tc>
        <w:tc>
          <w:tcPr>
            <w:tcW w:w="978" w:type="dxa"/>
            <w:vMerge/>
            <w:tcBorders>
              <w:left w:val="single" w:sz="4" w:space="0" w:color="000000"/>
              <w:bottom w:val="single" w:sz="4" w:space="0" w:color="000000"/>
              <w:right w:val="single" w:sz="4" w:space="0" w:color="000000"/>
            </w:tcBorders>
            <w:shd w:val="clear" w:color="auto" w:fill="D3D3D3"/>
          </w:tcPr>
          <w:p>
            <w:pPr/>
          </w:p>
        </w:tc>
        <w:tc>
          <w:tcPr>
            <w:tcW w:w="977" w:type="dxa"/>
            <w:vMerge/>
            <w:tcBorders>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shd w:val="clear" w:color="auto" w:fill="D3D3D3"/>
          </w:tcPr>
          <w:p>
            <w:pPr/>
          </w:p>
        </w:tc>
        <w:tc>
          <w:tcPr>
            <w:tcW w:w="976" w:type="dxa"/>
            <w:vMerge/>
            <w:tcBorders>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三井住友银 行（中国） 有限公司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64,000,000.00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402,272,000.00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中国进出口 银行青岛分 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226,278,000.00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国家开发银 广东省分行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188,565,000.00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102,060,800.00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中国农业银 行寿光支行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三井住友银 行（中国） 有限公司</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100,814,400.00</w:t>
            </w: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中国进出口 银行南昌分 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1026"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中国进出口 银行青岛分 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中国建设银 行寿光支行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63,009,000.00</w:t>
            </w: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1,019,175,800.00</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1,063,823,400.00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一年内到期的长期借款中的逾期借款：无。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68"/>
        <w:gridCol w:w="2520"/>
        <w:gridCol w:w="2340"/>
        <w:gridCol w:w="2466"/>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将于一年内摊销的递延收益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17,659,498.56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10,227,001.60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4" w:space="0" w:color="000000"/>
              <w:left w:val="single" w:sz="9" w:space="0" w:color="D3D3D3"/>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17,659,498.56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10,227,001.60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126,018,000.00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3,389,029,600.00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120,891,118.33</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895,292,000.00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5,034,728,300.00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891,245,035.94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1,065,046,935.94</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1,368,108,800.00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1,203,616,858.22</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3,933,167,835.94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5,143,067,496.05</w:t>
            </w:r>
          </w:p>
        </w:tc>
      </w:tr>
    </w:tbl>
    <w:p>
      <w:pPr>
        <w:pStyle w:val="BodyText"/>
        <w:spacing w:line="348" w:lineRule="auto" w:before="51"/>
        <w:ind w:left="573" w:right="4806" w:hanging="420"/>
        <w:jc w:val="left"/>
      </w:pPr>
      <w:r>
        <w:rPr/>
        <w:t>长期借款分类的说明 抵押借款的抵押资产类别以及金额</w:t>
      </w:r>
      <w:r>
        <w:rPr>
          <w:rFonts w:ascii="Times New Roman" w:hAnsi="Times New Roman" w:cs="Times New Roman" w:eastAsia="Times New Roman" w:hint="default"/>
        </w:rPr>
        <w:t>,</w:t>
      </w:r>
      <w:r>
        <w:rPr/>
        <w:t>参见附注（七）、</w:t>
      </w:r>
      <w:r>
        <w:rPr>
          <w:rFonts w:ascii="Times New Roman" w:hAnsi="Times New Roman" w:cs="Times New Roman" w:eastAsia="Times New Roman" w:hint="default"/>
        </w:rPr>
        <w:t>1</w:t>
      </w:r>
      <w:r>
        <w:rPr/>
        <w:t>。 质押借款的抵押资产类别以及金额</w:t>
      </w:r>
      <w:r>
        <w:rPr>
          <w:rFonts w:ascii="Times New Roman" w:hAnsi="Times New Roman" w:cs="Times New Roman" w:eastAsia="Times New Roman" w:hint="default"/>
        </w:rPr>
        <w:t>,</w:t>
      </w:r>
      <w:r>
        <w:rPr/>
        <w:t>参见附注（七）、</w:t>
      </w:r>
      <w:r>
        <w:rPr>
          <w:rFonts w:ascii="Times New Roman" w:hAnsi="Times New Roman" w:cs="Times New Roman" w:eastAsia="Times New Roman" w:hint="default"/>
        </w:rPr>
        <w:t>11</w:t>
      </w:r>
      <w:r>
        <w:rPr/>
        <w:t>。</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937"/>
        <w:gridCol w:w="941"/>
        <w:gridCol w:w="940"/>
        <w:gridCol w:w="941"/>
        <w:gridCol w:w="941"/>
        <w:gridCol w:w="1182"/>
        <w:gridCol w:w="1315"/>
        <w:gridCol w:w="1181"/>
        <w:gridCol w:w="1316"/>
      </w:tblGrid>
      <w:tr>
        <w:trPr>
          <w:trHeight w:val="402" w:hRule="exact"/>
        </w:trPr>
        <w:tc>
          <w:tcPr>
            <w:tcW w:w="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75" w:right="103" w:hanging="270"/>
              <w:jc w:val="left"/>
              <w:rPr>
                <w:rFonts w:ascii="宋体" w:hAnsi="宋体" w:cs="宋体" w:eastAsia="宋体" w:hint="default"/>
                <w:sz w:val="18"/>
                <w:szCs w:val="18"/>
              </w:rPr>
            </w:pPr>
            <w:r>
              <w:rPr>
                <w:rFonts w:ascii="宋体" w:hAnsi="宋体" w:cs="宋体" w:eastAsia="宋体" w:hint="default"/>
                <w:sz w:val="18"/>
                <w:szCs w:val="18"/>
              </w:rPr>
              <w:t>借款起始 日</w:t>
            </w:r>
          </w:p>
        </w:tc>
        <w:tc>
          <w:tcPr>
            <w:tcW w:w="9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74" w:right="103" w:hanging="270"/>
              <w:jc w:val="left"/>
              <w:rPr>
                <w:rFonts w:ascii="宋体" w:hAnsi="宋体" w:cs="宋体" w:eastAsia="宋体" w:hint="default"/>
                <w:sz w:val="18"/>
                <w:szCs w:val="18"/>
              </w:rPr>
            </w:pPr>
            <w:r>
              <w:rPr>
                <w:rFonts w:ascii="宋体" w:hAnsi="宋体" w:cs="宋体" w:eastAsia="宋体" w:hint="default"/>
                <w:sz w:val="18"/>
                <w:szCs w:val="18"/>
              </w:rPr>
              <w:t>借款终止 日</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37" w:type="dxa"/>
            <w:vMerge/>
            <w:tcBorders>
              <w:left w:val="single" w:sz="4" w:space="0" w:color="000000"/>
              <w:bottom w:val="single" w:sz="4" w:space="0" w:color="000000"/>
              <w:right w:val="single" w:sz="4" w:space="0" w:color="000000"/>
            </w:tcBorders>
            <w:shd w:val="clear" w:color="auto" w:fill="D3D3D3"/>
          </w:tcPr>
          <w:p>
            <w:pPr/>
          </w:p>
        </w:tc>
        <w:tc>
          <w:tcPr>
            <w:tcW w:w="941" w:type="dxa"/>
            <w:vMerge/>
            <w:tcBorders>
              <w:left w:val="single" w:sz="4" w:space="0" w:color="000000"/>
              <w:bottom w:val="single" w:sz="4" w:space="0" w:color="000000"/>
              <w:right w:val="single" w:sz="4" w:space="0" w:color="000000"/>
            </w:tcBorders>
            <w:shd w:val="clear" w:color="auto" w:fill="D3D3D3"/>
          </w:tcPr>
          <w:p>
            <w:pPr/>
          </w:p>
        </w:tc>
        <w:tc>
          <w:tcPr>
            <w:tcW w:w="940" w:type="dxa"/>
            <w:vMerge/>
            <w:tcBorders>
              <w:left w:val="single" w:sz="4" w:space="0" w:color="000000"/>
              <w:bottom w:val="single" w:sz="4" w:space="0" w:color="000000"/>
              <w:right w:val="single" w:sz="4" w:space="0" w:color="000000"/>
            </w:tcBorders>
            <w:shd w:val="clear" w:color="auto" w:fill="D3D3D3"/>
          </w:tcPr>
          <w:p>
            <w:pPr/>
          </w:p>
        </w:tc>
        <w:tc>
          <w:tcPr>
            <w:tcW w:w="941" w:type="dxa"/>
            <w:vMerge/>
            <w:tcBorders>
              <w:left w:val="single" w:sz="4" w:space="0" w:color="000000"/>
              <w:bottom w:val="single" w:sz="4" w:space="0" w:color="000000"/>
              <w:right w:val="single" w:sz="4" w:space="0" w:color="000000"/>
            </w:tcBorders>
            <w:shd w:val="clear" w:color="auto" w:fill="D3D3D3"/>
          </w:tcPr>
          <w:p>
            <w:pPr/>
          </w:p>
        </w:tc>
        <w:tc>
          <w:tcPr>
            <w:tcW w:w="941"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国家开发 银行广东 省分行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2,011,360,000.00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国家开发 银行广东 省分行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1,087,043,800.00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三井住友 银行（中 </w:t>
            </w:r>
            <w:r>
              <w:rPr>
                <w:rFonts w:ascii="宋体" w:hAnsi="宋体" w:cs="宋体" w:eastAsia="宋体" w:hint="default"/>
                <w:spacing w:val="-4"/>
                <w:sz w:val="18"/>
                <w:szCs w:val="18"/>
              </w:rPr>
              <w:t>国）有限公</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2.98%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36" w:right="0"/>
              <w:jc w:val="center"/>
              <w:rPr>
                <w:rFonts w:ascii="Times New Roman" w:hAnsi="Times New Roman" w:cs="Times New Roman" w:eastAsia="Times New Roman" w:hint="default"/>
                <w:sz w:val="18"/>
                <w:szCs w:val="18"/>
              </w:rPr>
            </w:pPr>
            <w:r>
              <w:rPr>
                <w:rFonts w:ascii="Times New Roman"/>
                <w:sz w:val="18"/>
              </w:rPr>
              <w:t>251,420,000.00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37"/>
        <w:gridCol w:w="941"/>
        <w:gridCol w:w="940"/>
        <w:gridCol w:w="941"/>
        <w:gridCol w:w="941"/>
        <w:gridCol w:w="1182"/>
        <w:gridCol w:w="1315"/>
        <w:gridCol w:w="1181"/>
        <w:gridCol w:w="1316"/>
      </w:tblGrid>
      <w:tr>
        <w:trPr>
          <w:trHeight w:val="362"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41"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三井银团 贷款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39,909,633.28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250,852,000.00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中国进出 口银行青 岛分行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100,000,000.00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国家开发 银行广东 省分行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2,394,342,000.00</w:t>
            </w: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国家开发 银行广东 省分行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1,124,578,300.00</w:t>
            </w:r>
          </w:p>
        </w:tc>
      </w:tr>
      <w:tr>
        <w:trPr>
          <w:trHeight w:val="357" w:hRule="exact"/>
        </w:trPr>
        <w:tc>
          <w:tcPr>
            <w:tcW w:w="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三井住友</w:t>
            </w:r>
          </w:p>
        </w:tc>
        <w:tc>
          <w:tcPr>
            <w:tcW w:w="941"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1315"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银行（中 </w:t>
            </w:r>
            <w:r>
              <w:rPr>
                <w:rFonts w:ascii="宋体" w:hAnsi="宋体" w:cs="宋体" w:eastAsia="宋体" w:hint="default"/>
                <w:spacing w:val="-4"/>
                <w:sz w:val="18"/>
                <w:szCs w:val="18"/>
              </w:rPr>
              <w:t>国）有限公</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1182"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104,000,000.00</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655,293,600.00</w:t>
            </w:r>
          </w:p>
        </w:tc>
      </w:tr>
      <w:tr>
        <w:trPr>
          <w:trHeight w:val="351" w:hRule="exact"/>
        </w:trPr>
        <w:tc>
          <w:tcPr>
            <w:tcW w:w="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41"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摩根大通 银行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126,018,000.00</w:t>
            </w:r>
          </w:p>
        </w:tc>
      </w:tr>
      <w:tr>
        <w:trPr>
          <w:trHeight w:val="102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中国进出 口银行青 岛分行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11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226,832,400.00</w:t>
            </w:r>
          </w:p>
        </w:tc>
      </w:tr>
      <w:tr>
        <w:trPr>
          <w:trHeight w:val="402" w:hRule="exact"/>
        </w:trPr>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3,700,675,800.00</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4,527,064,300.00</w:t>
            </w:r>
          </w:p>
        </w:tc>
      </w:tr>
    </w:tbl>
    <w:p>
      <w:pPr>
        <w:pStyle w:val="BodyText"/>
        <w:spacing w:line="357" w:lineRule="auto" w:before="51"/>
        <w:ind w:left="153" w:right="1171"/>
        <w:jc w:val="left"/>
      </w:pPr>
      <w:r>
        <w:rPr/>
        <w:t>长期借款说明，因逾期借款获得展期形成的长期借款，应说明获得展期的条件、本金、利息、预计还款安排等 无</w:t>
      </w:r>
    </w:p>
    <w:p>
      <w:pPr>
        <w:spacing w:line="240" w:lineRule="auto" w:before="2"/>
        <w:rPr>
          <w:rFonts w:ascii="宋体" w:hAnsi="宋体" w:cs="宋体" w:eastAsia="宋体" w:hint="default"/>
          <w:sz w:val="20"/>
          <w:szCs w:val="20"/>
        </w:rPr>
      </w:pPr>
    </w:p>
    <w:p>
      <w:pPr>
        <w:pStyle w:val="Heading3"/>
        <w:spacing w:line="240" w:lineRule="auto"/>
        <w:ind w:right="181"/>
        <w:jc w:val="left"/>
        <w:rPr>
          <w:b w:val="0"/>
          <w:bCs w:val="0"/>
        </w:rPr>
      </w:pPr>
      <w:r>
        <w:rPr>
          <w:rFonts w:ascii="Times New Roman" w:hAnsi="Times New Roman" w:cs="Times New Roman" w:eastAsia="Times New Roman" w:hint="default"/>
        </w:rPr>
        <w:t>34</w:t>
      </w:r>
      <w:r>
        <w:rPr/>
        <w:t>、</w:t>
      </w:r>
      <w:r>
        <w:rPr>
          <w:spacing w:val="-5"/>
        </w:rPr>
        <w:t> </w:t>
      </w:r>
      <w:r>
        <w:rPr/>
        <w:t>应付债券</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410"/>
        <w:gridCol w:w="1496"/>
        <w:gridCol w:w="976"/>
        <w:gridCol w:w="547"/>
        <w:gridCol w:w="1496"/>
        <w:gridCol w:w="1136"/>
        <w:gridCol w:w="1136"/>
        <w:gridCol w:w="1488"/>
      </w:tblGrid>
      <w:tr>
        <w:trPr>
          <w:trHeight w:val="787" w:hRule="exact"/>
        </w:trPr>
        <w:tc>
          <w:tcPr>
            <w:tcW w:w="1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37"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976"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62"/>
              <w:ind w:left="300" w:right="299"/>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547"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62"/>
              <w:ind w:left="85" w:right="85"/>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80"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2"/>
              <w:ind w:left="471" w:right="18" w:hanging="450"/>
              <w:jc w:val="left"/>
              <w:rPr>
                <w:rFonts w:ascii="宋体" w:hAnsi="宋体" w:cs="宋体" w:eastAsia="宋体" w:hint="default"/>
                <w:sz w:val="18"/>
                <w:szCs w:val="18"/>
              </w:rPr>
            </w:pPr>
            <w:r>
              <w:rPr>
                <w:rFonts w:ascii="宋体" w:hAnsi="宋体" w:cs="宋体" w:eastAsia="宋体" w:hint="default"/>
                <w:sz w:val="18"/>
                <w:szCs w:val="18"/>
              </w:rPr>
              <w:t>期初摊销发行 费</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2"/>
              <w:ind w:left="470" w:right="19" w:hanging="450"/>
              <w:jc w:val="left"/>
              <w:rPr>
                <w:rFonts w:ascii="宋体" w:hAnsi="宋体" w:cs="宋体" w:eastAsia="宋体" w:hint="default"/>
                <w:sz w:val="18"/>
                <w:szCs w:val="18"/>
              </w:rPr>
            </w:pPr>
            <w:r>
              <w:rPr>
                <w:rFonts w:ascii="宋体" w:hAnsi="宋体" w:cs="宋体" w:eastAsia="宋体" w:hint="default"/>
                <w:sz w:val="18"/>
                <w:szCs w:val="18"/>
              </w:rPr>
              <w:t>本年摊销发行 费</w:t>
            </w: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380"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32" w:hRule="exact"/>
        </w:trPr>
        <w:tc>
          <w:tcPr>
            <w:tcW w:w="1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晨鸣债</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2,000,000,000.00</w:t>
            </w:r>
          </w:p>
        </w:tc>
        <w:tc>
          <w:tcPr>
            <w:tcW w:w="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2011.07.06</w:t>
            </w:r>
          </w:p>
        </w:tc>
        <w:tc>
          <w:tcPr>
            <w:tcW w:w="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1,982,000,000.00</w:t>
            </w:r>
          </w:p>
        </w:tc>
        <w:tc>
          <w:tcPr>
            <w:tcW w:w="113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1,986,721,639.42</w:t>
            </w:r>
          </w:p>
        </w:tc>
      </w:tr>
      <w:tr>
        <w:trPr>
          <w:trHeight w:val="432" w:hRule="exact"/>
        </w:trPr>
        <w:tc>
          <w:tcPr>
            <w:tcW w:w="1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晨鸣债</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3,800,000,000.00</w:t>
            </w:r>
          </w:p>
        </w:tc>
        <w:tc>
          <w:tcPr>
            <w:tcW w:w="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2012.12.26</w:t>
            </w:r>
          </w:p>
        </w:tc>
        <w:tc>
          <w:tcPr>
            <w:tcW w:w="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3,773,400,000.00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1,425,123.62</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3,296,515.80</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3,773,478,936.51</w:t>
            </w:r>
          </w:p>
        </w:tc>
      </w:tr>
      <w:tr>
        <w:trPr>
          <w:trHeight w:val="432" w:hRule="exact"/>
        </w:trPr>
        <w:tc>
          <w:tcPr>
            <w:tcW w:w="1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香港晨鸣债</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500,000,000.00</w:t>
            </w:r>
          </w:p>
        </w:tc>
        <w:tc>
          <w:tcPr>
            <w:tcW w:w="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2011.04.13</w:t>
            </w:r>
          </w:p>
        </w:tc>
        <w:tc>
          <w:tcPr>
            <w:tcW w:w="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491,750,000.00</w:t>
            </w:r>
          </w:p>
        </w:tc>
        <w:tc>
          <w:tcPr>
            <w:tcW w:w="1136" w:type="dxa"/>
            <w:tcBorders>
              <w:top w:val="single" w:sz="12" w:space="0" w:color="000000"/>
              <w:left w:val="single" w:sz="6" w:space="0" w:color="000000"/>
              <w:bottom w:val="single" w:sz="12" w:space="0" w:color="000000"/>
              <w:right w:val="single" w:sz="6" w:space="0" w:color="000000"/>
            </w:tcBorders>
          </w:tcPr>
          <w:p>
            <w:pP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78,936.51</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496,062,661.07</w:t>
            </w:r>
          </w:p>
        </w:tc>
      </w:tr>
      <w:tr>
        <w:trPr>
          <w:trHeight w:val="432" w:hRule="exact"/>
        </w:trPr>
        <w:tc>
          <w:tcPr>
            <w:tcW w:w="1410" w:type="dxa"/>
            <w:tcBorders>
              <w:top w:val="single" w:sz="12" w:space="0" w:color="000000"/>
              <w:left w:val="single" w:sz="6" w:space="0" w:color="000000"/>
              <w:bottom w:val="single" w:sz="12" w:space="0" w:color="000000"/>
              <w:right w:val="single" w:sz="6" w:space="0" w:color="000000"/>
            </w:tcBorders>
          </w:tcPr>
          <w:p>
            <w:pPr>
              <w:pStyle w:val="TableParagraph"/>
              <w:tabs>
                <w:tab w:pos="544" w:val="left" w:leader="none"/>
              </w:tabs>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6,300,000,000.00</w:t>
            </w:r>
          </w:p>
        </w:tc>
        <w:tc>
          <w:tcPr>
            <w:tcW w:w="976" w:type="dxa"/>
            <w:tcBorders>
              <w:top w:val="single" w:sz="12" w:space="0" w:color="000000"/>
              <w:left w:val="single" w:sz="6" w:space="0" w:color="000000"/>
              <w:bottom w:val="single" w:sz="12" w:space="0" w:color="000000"/>
              <w:right w:val="single" w:sz="6" w:space="0" w:color="000000"/>
            </w:tcBorders>
          </w:tcPr>
          <w:p>
            <w:pPr/>
          </w:p>
        </w:tc>
        <w:tc>
          <w:tcPr>
            <w:tcW w:w="547" w:type="dxa"/>
            <w:tcBorders>
              <w:top w:val="single" w:sz="12" w:space="0" w:color="000000"/>
              <w:left w:val="single" w:sz="6" w:space="0" w:color="000000"/>
              <w:bottom w:val="single" w:sz="12" w:space="0" w:color="000000"/>
              <w:right w:val="single" w:sz="6" w:space="0" w:color="000000"/>
            </w:tcBorders>
          </w:tcPr>
          <w:p>
            <w:pP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6,247,150,000.00</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1,425,123.62</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3,375,452.31</w:t>
            </w:r>
          </w:p>
        </w:tc>
        <w:tc>
          <w:tcPr>
            <w:tcW w:w="14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6,256,263,237.00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35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吉林晨鸣环保迁建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697,713,127.30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641,526,872.70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697,713,127.30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641,526,872.70</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444" w:right="181" w:hanging="291"/>
        <w:jc w:val="left"/>
      </w:pPr>
      <w:r>
        <w:rPr/>
        <w:t>专项应付款说明 </w:t>
      </w:r>
      <w:r>
        <w:rPr>
          <w:spacing w:val="-2"/>
        </w:rPr>
        <w:t>本年度，按照与国开吉林有限公司签署搬迁补偿协议，本公司收到搬迁补偿款</w:t>
      </w:r>
      <w:r>
        <w:rPr>
          <w:rFonts w:ascii="Times New Roman" w:hAnsi="Times New Roman" w:cs="Times New Roman" w:eastAsia="Times New Roman" w:hint="default"/>
          <w:spacing w:val="-2"/>
        </w:rPr>
        <w:t>6.6</w:t>
      </w:r>
      <w:r>
        <w:rPr>
          <w:spacing w:val="-2"/>
        </w:rPr>
        <w:t>亿元，收到吉林市财政局拨付财政部淘</w:t>
      </w:r>
    </w:p>
    <w:p>
      <w:pPr>
        <w:pStyle w:val="BodyText"/>
        <w:spacing w:line="214" w:lineRule="exact"/>
        <w:ind w:left="153" w:right="181"/>
        <w:jc w:val="left"/>
        <w:rPr>
          <w:rFonts w:ascii="Times New Roman" w:hAnsi="Times New Roman" w:cs="Times New Roman" w:eastAsia="Times New Roman" w:hint="default"/>
        </w:rPr>
      </w:pPr>
      <w:r>
        <w:rPr/>
        <w:t>汰落后产能补偿资金</w:t>
      </w:r>
      <w:r>
        <w:rPr>
          <w:rFonts w:ascii="Times New Roman" w:hAnsi="Times New Roman" w:cs="Times New Roman" w:eastAsia="Times New Roman" w:hint="default"/>
        </w:rPr>
        <w:t>1924</w:t>
      </w:r>
      <w:r>
        <w:rPr/>
        <w:t>万元。本年度用搬迁补偿款补偿固定资产清理损失</w:t>
      </w:r>
      <w:r>
        <w:rPr>
          <w:rFonts w:ascii="Times New Roman" w:hAnsi="Times New Roman" w:cs="Times New Roman" w:eastAsia="Times New Roman" w:hint="default"/>
        </w:rPr>
        <w:t>601,736,059.60</w:t>
      </w:r>
      <w:r>
        <w:rPr/>
        <w:t>元，补偿停产损失</w:t>
      </w:r>
      <w:r>
        <w:rPr>
          <w:rFonts w:ascii="Times New Roman" w:hAnsi="Times New Roman" w:cs="Times New Roman" w:eastAsia="Times New Roman" w:hint="default"/>
        </w:rPr>
        <w:t>95,977,067.70</w:t>
      </w:r>
    </w:p>
    <w:p>
      <w:pPr>
        <w:pStyle w:val="BodyText"/>
        <w:spacing w:line="240" w:lineRule="auto" w:before="62"/>
        <w:ind w:left="153" w:right="181"/>
        <w:jc w:val="left"/>
      </w:pPr>
      <w:r>
        <w:rPr/>
        <w:t>元。</w:t>
      </w:r>
    </w:p>
    <w:p>
      <w:pPr>
        <w:spacing w:line="240" w:lineRule="auto" w:before="12"/>
        <w:rPr>
          <w:rFonts w:ascii="宋体" w:hAnsi="宋体" w:cs="宋体" w:eastAsia="宋体" w:hint="default"/>
          <w:sz w:val="26"/>
          <w:szCs w:val="26"/>
        </w:rPr>
      </w:pPr>
    </w:p>
    <w:p>
      <w:pPr>
        <w:pStyle w:val="Heading3"/>
        <w:spacing w:line="240" w:lineRule="auto"/>
        <w:ind w:right="181"/>
        <w:jc w:val="left"/>
        <w:rPr>
          <w:b w:val="0"/>
          <w:bCs w:val="0"/>
        </w:rPr>
      </w:pPr>
      <w:r>
        <w:rPr>
          <w:rFonts w:ascii="Times New Roman" w:hAnsi="Times New Roman" w:cs="Times New Roman" w:eastAsia="Times New Roman" w:hint="default"/>
        </w:rPr>
        <w:t>36</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375,881,264.56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151,733,337.22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2,184,270,106.80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2,292,360,559.92</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2,560,151,371.36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2,444,093,897.14</w:t>
            </w:r>
          </w:p>
        </w:tc>
      </w:tr>
    </w:tbl>
    <w:p>
      <w:pPr>
        <w:pStyle w:val="BodyText"/>
        <w:spacing w:line="357" w:lineRule="auto" w:before="51"/>
        <w:ind w:left="573" w:right="2071" w:hanging="420"/>
        <w:jc w:val="left"/>
      </w:pPr>
      <w:r>
        <w:rPr/>
        <w:t>其他非流动负债说明，包括本报告期取得的各类与资产相关、与收益相关的政府补助及其期末金额 递延收益明细如下：</w:t>
      </w:r>
    </w:p>
    <w:tbl>
      <w:tblPr>
        <w:tblW w:w="0" w:type="auto"/>
        <w:jc w:val="left"/>
        <w:tblInd w:w="146" w:type="dxa"/>
        <w:tblLayout w:type="fixed"/>
        <w:tblCellMar>
          <w:top w:w="0" w:type="dxa"/>
          <w:left w:w="0" w:type="dxa"/>
          <w:bottom w:w="0" w:type="dxa"/>
          <w:right w:w="0" w:type="dxa"/>
        </w:tblCellMar>
        <w:tblLook w:val="01E0"/>
      </w:tblPr>
      <w:tblGrid>
        <w:gridCol w:w="3688"/>
        <w:gridCol w:w="2898"/>
        <w:gridCol w:w="3101"/>
      </w:tblGrid>
      <w:tr>
        <w:trPr>
          <w:trHeight w:val="435" w:hRule="exact"/>
        </w:trPr>
        <w:tc>
          <w:tcPr>
            <w:tcW w:w="3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1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898" w:type="dxa"/>
            <w:tcBorders>
              <w:top w:val="single" w:sz="12" w:space="0" w:color="000000"/>
              <w:left w:val="single" w:sz="6" w:space="0" w:color="000000"/>
              <w:bottom w:val="single" w:sz="12" w:space="0" w:color="000000"/>
              <w:right w:val="single" w:sz="6" w:space="0" w:color="000000"/>
            </w:tcBorders>
          </w:tcPr>
          <w:p>
            <w:pPr/>
          </w:p>
        </w:tc>
        <w:tc>
          <w:tcPr>
            <w:tcW w:w="31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环境保护专项资金补助</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63,922,883.01</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43,981,654.62</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国家科技支撑计划课题经费</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7,605,425.00</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2,770,125.00</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松花江环保项目专项经费</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27,790,829.88</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29,354,246.60</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碱回收系统改造</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4,883,749.85</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5,070,416.57</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大气污染防治补助资金</w:t>
            </w:r>
          </w:p>
        </w:tc>
        <w:tc>
          <w:tcPr>
            <w:tcW w:w="2898" w:type="dxa"/>
            <w:tcBorders>
              <w:top w:val="single" w:sz="12" w:space="0" w:color="000000"/>
              <w:left w:val="single" w:sz="6" w:space="0" w:color="000000"/>
              <w:bottom w:val="single" w:sz="12" w:space="0" w:color="000000"/>
              <w:right w:val="single" w:sz="6" w:space="0" w:color="000000"/>
            </w:tcBorders>
          </w:tcPr>
          <w:p>
            <w:pP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800,000.00</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污水处理及节水改造项目</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12,899,569.87</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22,562,488.46</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1,972,781.97</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2,771,015.05</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273,472,850.82</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53,633,800.00</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992,672.72</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1,016,592.52</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减：将于</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年内摊销的递延收益</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17,659,498.56</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10,227,001.60</w:t>
            </w:r>
          </w:p>
        </w:tc>
      </w:tr>
      <w:tr>
        <w:trPr>
          <w:trHeight w:val="432" w:hRule="exact"/>
        </w:trPr>
        <w:tc>
          <w:tcPr>
            <w:tcW w:w="3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375,881,264.56</w:t>
            </w:r>
          </w:p>
        </w:tc>
        <w:tc>
          <w:tcPr>
            <w:tcW w:w="31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151,733,337.22</w:t>
            </w:r>
          </w:p>
        </w:tc>
      </w:tr>
    </w:tbl>
    <w:p>
      <w:pPr>
        <w:pStyle w:val="BodyText"/>
        <w:spacing w:line="300" w:lineRule="auto" w:before="68"/>
        <w:ind w:left="153" w:right="175" w:firstLine="210"/>
        <w:jc w:val="left"/>
      </w:pPr>
      <w:r>
        <w:rPr/>
        <w:t>注</w:t>
      </w:r>
      <w:r>
        <w:rPr>
          <w:rFonts w:ascii="Times New Roman" w:hAnsi="Times New Roman" w:cs="Times New Roman" w:eastAsia="Times New Roman" w:hint="default"/>
        </w:rPr>
        <w:t>:</w:t>
      </w:r>
      <w:r>
        <w:rPr/>
        <w:t>本期收到的递延收益为</w:t>
      </w:r>
      <w:r>
        <w:rPr>
          <w:rFonts w:ascii="Times New Roman" w:hAnsi="Times New Roman" w:cs="Times New Roman" w:eastAsia="Times New Roman" w:hint="default"/>
        </w:rPr>
        <w:t>261,754,257.18</w:t>
      </w:r>
      <w:r>
        <w:rPr/>
        <w:t>元，本期递延收益摊销计入损益的为</w:t>
      </w:r>
      <w:r>
        <w:rPr>
          <w:rFonts w:ascii="Times New Roman" w:hAnsi="Times New Roman" w:cs="Times New Roman" w:eastAsia="Times New Roman" w:hint="default"/>
        </w:rPr>
        <w:t>19,148,832.88</w:t>
      </w:r>
      <w:r>
        <w:rPr>
          <w:rFonts w:ascii="Times New Roman" w:hAnsi="Times New Roman" w:cs="Times New Roman" w:eastAsia="Times New Roman" w:hint="default"/>
          <w:spacing w:val="10"/>
        </w:rPr>
        <w:t> </w:t>
      </w:r>
      <w:r>
        <w:rPr>
          <w:spacing w:val="-3"/>
        </w:rPr>
        <w:t>元，本期因出售子公司而减少</w:t>
      </w:r>
      <w:r>
        <w:rPr/>
        <w:t> 的递延收益为</w:t>
      </w:r>
      <w:r>
        <w:rPr>
          <w:rFonts w:ascii="Times New Roman" w:hAnsi="Times New Roman" w:cs="Times New Roman" w:eastAsia="Times New Roman" w:hint="default"/>
        </w:rPr>
        <w:t>11,025,000.00</w:t>
      </w:r>
      <w:r>
        <w:rPr>
          <w:rFonts w:ascii="Times New Roman" w:hAnsi="Times New Roman" w:cs="Times New Roman" w:eastAsia="Times New Roman" w:hint="default"/>
          <w:spacing w:val="2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181"/>
        <w:jc w:val="left"/>
        <w:rPr>
          <w:b w:val="0"/>
          <w:bCs w:val="0"/>
        </w:rPr>
      </w:pPr>
      <w:r>
        <w:rPr>
          <w:rFonts w:ascii="Times New Roman" w:hAnsi="Times New Roman" w:cs="Times New Roman" w:eastAsia="Times New Roman" w:hint="default"/>
        </w:rPr>
        <w:t>37</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单位：元</w:t>
      </w:r>
    </w:p>
    <w:p>
      <w:pPr>
        <w:spacing w:after="0" w:line="240" w:lineRule="auto"/>
        <w:jc w:val="right"/>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5"/>
        <w:gridCol w:w="1324"/>
        <w:gridCol w:w="1068"/>
        <w:gridCol w:w="1196"/>
        <w:gridCol w:w="1195"/>
        <w:gridCol w:w="1196"/>
        <w:gridCol w:w="912"/>
        <w:gridCol w:w="1480"/>
      </w:tblGrid>
      <w:tr>
        <w:trPr>
          <w:trHeight w:val="201"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55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93"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4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3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568" w:type="dxa"/>
            <w:gridSpan w:val="5"/>
            <w:vMerge/>
            <w:tcBorders>
              <w:left w:val="single" w:sz="4" w:space="0" w:color="000000"/>
              <w:bottom w:val="single" w:sz="4" w:space="0" w:color="000000"/>
              <w:right w:val="single" w:sz="4" w:space="0" w:color="000000"/>
            </w:tcBorders>
            <w:shd w:val="clear" w:color="auto" w:fill="D3D3D3"/>
          </w:tcPr>
          <w:p>
            <w:pPr/>
          </w:p>
        </w:tc>
        <w:tc>
          <w:tcPr>
            <w:tcW w:w="14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1"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324" w:type="dxa"/>
            <w:vMerge/>
            <w:tcBorders>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0"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912" w:type="dxa"/>
            <w:vMerge/>
            <w:tcBorders>
              <w:left w:val="single" w:sz="4" w:space="0" w:color="000000"/>
              <w:bottom w:val="single" w:sz="4" w:space="0" w:color="000000"/>
              <w:right w:val="single" w:sz="4" w:space="0" w:color="000000"/>
            </w:tcBorders>
            <w:shd w:val="clear" w:color="auto" w:fill="D3D3D3"/>
          </w:tcPr>
          <w:p>
            <w:pPr/>
          </w:p>
        </w:tc>
        <w:tc>
          <w:tcPr>
            <w:tcW w:w="14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2,062,045,941.00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2,062,045,941.00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4"/>
        <w:ind w:left="153" w:right="0"/>
        <w:jc w:val="left"/>
      </w:pPr>
      <w:r>
        <w:rPr/>
        <w:t>年的股份有限公司，设立前的年份只需说明净资产情况；有限责任公司整体变更为股份公司应说明公司设立时的验资情况</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676"/>
        <w:gridCol w:w="1492"/>
        <w:gridCol w:w="666"/>
        <w:gridCol w:w="254"/>
        <w:gridCol w:w="256"/>
        <w:gridCol w:w="254"/>
        <w:gridCol w:w="1444"/>
        <w:gridCol w:w="1442"/>
        <w:gridCol w:w="1492"/>
        <w:gridCol w:w="674"/>
      </w:tblGrid>
      <w:tr>
        <w:trPr>
          <w:trHeight w:val="435" w:hRule="exact"/>
        </w:trPr>
        <w:tc>
          <w:tcPr>
            <w:tcW w:w="1676" w:type="dxa"/>
            <w:vMerge w:val="restart"/>
            <w:tcBorders>
              <w:top w:val="single" w:sz="6" w:space="0" w:color="000000"/>
              <w:left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5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3650" w:type="dxa"/>
            <w:gridSpan w:val="5"/>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944"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1720" w:hRule="exact"/>
        </w:trPr>
        <w:tc>
          <w:tcPr>
            <w:tcW w:w="1676" w:type="dxa"/>
            <w:vMerge/>
            <w:tcBorders>
              <w:left w:val="single" w:sz="6" w:space="0" w:color="000000"/>
              <w:bottom w:val="single" w:sz="12" w:space="0" w:color="000000"/>
              <w:right w:val="single" w:sz="6" w:space="0" w:color="000000"/>
            </w:tcBorders>
          </w:tcPr>
          <w:p>
            <w:pP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54" w:type="dxa"/>
            <w:tcBorders>
              <w:top w:val="single" w:sz="12" w:space="0" w:color="000000"/>
              <w:left w:val="single" w:sz="6" w:space="0" w:color="000000"/>
              <w:bottom w:val="single" w:sz="12" w:space="0" w:color="000000"/>
              <w:right w:val="single" w:sz="6" w:space="0" w:color="000000"/>
            </w:tcBorders>
          </w:tcPr>
          <w:p>
            <w:pPr>
              <w:pStyle w:val="TableParagraph"/>
              <w:spacing w:line="338" w:lineRule="auto" w:before="51"/>
              <w:ind w:left="29" w:right="28"/>
              <w:jc w:val="both"/>
              <w:rPr>
                <w:rFonts w:ascii="宋体" w:hAnsi="宋体" w:cs="宋体" w:eastAsia="宋体" w:hint="default"/>
                <w:sz w:val="18"/>
                <w:szCs w:val="18"/>
              </w:rPr>
            </w:pPr>
            <w:r>
              <w:rPr>
                <w:rFonts w:ascii="宋体" w:hAnsi="宋体" w:cs="宋体" w:eastAsia="宋体" w:hint="default"/>
                <w:sz w:val="18"/>
                <w:szCs w:val="18"/>
              </w:rPr>
              <w:t>发 行 新</w:t>
            </w:r>
          </w:p>
          <w:p>
            <w:pPr>
              <w:pStyle w:val="TableParagraph"/>
              <w:spacing w:line="240" w:lineRule="auto" w:before="4"/>
              <w:ind w:left="2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2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31" w:right="28"/>
              <w:jc w:val="left"/>
              <w:rPr>
                <w:rFonts w:ascii="宋体" w:hAnsi="宋体" w:cs="宋体" w:eastAsia="宋体" w:hint="default"/>
                <w:sz w:val="18"/>
                <w:szCs w:val="18"/>
              </w:rPr>
            </w:pPr>
            <w:r>
              <w:rPr>
                <w:rFonts w:ascii="宋体" w:hAnsi="宋体" w:cs="宋体" w:eastAsia="宋体" w:hint="default"/>
                <w:sz w:val="18"/>
                <w:szCs w:val="18"/>
              </w:rPr>
              <w:t>送 股</w:t>
            </w:r>
          </w:p>
        </w:tc>
        <w:tc>
          <w:tcPr>
            <w:tcW w:w="25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9" w:right="28"/>
              <w:jc w:val="both"/>
              <w:rPr>
                <w:rFonts w:ascii="宋体" w:hAnsi="宋体" w:cs="宋体" w:eastAsia="宋体" w:hint="default"/>
                <w:sz w:val="18"/>
                <w:szCs w:val="18"/>
              </w:rPr>
            </w:pPr>
            <w:r>
              <w:rPr>
                <w:rFonts w:ascii="宋体" w:hAnsi="宋体" w:cs="宋体" w:eastAsia="宋体" w:hint="default"/>
                <w:sz w:val="18"/>
                <w:szCs w:val="18"/>
              </w:rPr>
              <w:t>公 积 金</w:t>
            </w:r>
          </w:p>
          <w:p>
            <w:pPr>
              <w:pStyle w:val="TableParagraph"/>
              <w:spacing w:line="319" w:lineRule="auto" w:before="57"/>
              <w:ind w:left="29" w:right="28"/>
              <w:jc w:val="both"/>
              <w:rPr>
                <w:rFonts w:ascii="宋体" w:hAnsi="宋体" w:cs="宋体" w:eastAsia="宋体" w:hint="default"/>
                <w:sz w:val="18"/>
                <w:szCs w:val="18"/>
              </w:rPr>
            </w:pPr>
            <w:r>
              <w:rPr>
                <w:rFonts w:ascii="宋体" w:hAnsi="宋体" w:cs="宋体" w:eastAsia="宋体" w:hint="default"/>
                <w:sz w:val="18"/>
                <w:szCs w:val="18"/>
              </w:rPr>
              <w:t>转 股</w:t>
            </w: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302,211,557.00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14.66%</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-292,875,153.00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-292,875,153.00</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9,336,404.00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95" w:right="0"/>
              <w:jc w:val="center"/>
              <w:rPr>
                <w:rFonts w:ascii="Times New Roman" w:hAnsi="Times New Roman" w:cs="Times New Roman" w:eastAsia="Times New Roman" w:hint="default"/>
                <w:sz w:val="18"/>
                <w:szCs w:val="18"/>
              </w:rPr>
            </w:pPr>
            <w:r>
              <w:rPr>
                <w:rFonts w:ascii="Times New Roman"/>
                <w:sz w:val="18"/>
              </w:rPr>
              <w:t>0.45%</w:t>
            </w: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293,003,657.00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14.21%</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-293,003,657.00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-293,003,657.00</w:t>
            </w:r>
          </w:p>
        </w:tc>
        <w:tc>
          <w:tcPr>
            <w:tcW w:w="1492" w:type="dxa"/>
            <w:tcBorders>
              <w:top w:val="single" w:sz="12" w:space="0" w:color="000000"/>
              <w:left w:val="single" w:sz="6" w:space="0" w:color="000000"/>
              <w:bottom w:val="single" w:sz="12" w:space="0" w:color="000000"/>
              <w:right w:val="single" w:sz="6" w:space="0" w:color="000000"/>
            </w:tcBorders>
          </w:tcPr>
          <w:p>
            <w:pPr/>
          </w:p>
        </w:tc>
        <w:tc>
          <w:tcPr>
            <w:tcW w:w="67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高管持股</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9,207,900.00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0.45%</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128,504.00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128,504.00</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9,336,404.00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0.45%</w:t>
            </w: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1,759,834,384.00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85.34%</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292,875,153.00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292,875,153.00</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2,052,709,537.00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99.55%</w:t>
            </w: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811,066,899.00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39.33%</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292,875,153.00</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292,875,153.00</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1,103,942,052.00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53.54%</w:t>
            </w:r>
          </w:p>
        </w:tc>
      </w:tr>
      <w:tr>
        <w:trPr>
          <w:trHeight w:val="744"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51"/>
              <w:ind w:left="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557,497,485.00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27.04%</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single" w:sz="6" w:space="0" w:color="000000"/>
            </w:tcBorders>
          </w:tcPr>
          <w:p>
            <w:pP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557,497,485.00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27.04%</w:t>
            </w:r>
          </w:p>
        </w:tc>
      </w:tr>
      <w:tr>
        <w:trPr>
          <w:trHeight w:val="744"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51"/>
              <w:ind w:left="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391,270,000.00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18.97%</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single" w:sz="6" w:space="0" w:color="000000"/>
            </w:tcBorders>
          </w:tcPr>
          <w:p>
            <w:pP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391,270,000.00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18.97%</w:t>
            </w:r>
          </w:p>
        </w:tc>
      </w:tr>
      <w:tr>
        <w:trPr>
          <w:trHeight w:val="432" w:hRule="exact"/>
        </w:trPr>
        <w:tc>
          <w:tcPr>
            <w:tcW w:w="16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2,062,045,941.00</w:t>
            </w:r>
          </w:p>
        </w:tc>
        <w:tc>
          <w:tcPr>
            <w:tcW w:w="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254" w:type="dxa"/>
            <w:tcBorders>
              <w:top w:val="single" w:sz="12" w:space="0" w:color="000000"/>
              <w:left w:val="single" w:sz="6" w:space="0" w:color="000000"/>
              <w:bottom w:val="single" w:sz="12" w:space="0" w:color="000000"/>
              <w:right w:val="single" w:sz="6" w:space="0" w:color="000000"/>
            </w:tcBorders>
          </w:tcPr>
          <w:p>
            <w:pPr/>
          </w:p>
        </w:tc>
        <w:tc>
          <w:tcPr>
            <w:tcW w:w="256" w:type="dxa"/>
            <w:tcBorders>
              <w:top w:val="single" w:sz="12" w:space="0" w:color="000000"/>
              <w:left w:val="single" w:sz="6" w:space="0" w:color="000000"/>
              <w:bottom w:val="single" w:sz="12" w:space="0" w:color="000000"/>
              <w:right w:val="single" w:sz="6" w:space="0" w:color="000000"/>
            </w:tcBorders>
          </w:tcPr>
          <w:p>
            <w:pPr/>
          </w:p>
        </w:tc>
        <w:tc>
          <w:tcPr>
            <w:tcW w:w="254" w:type="dxa"/>
            <w:tcBorders>
              <w:top w:val="single" w:sz="12" w:space="0" w:color="000000"/>
              <w:left w:val="single" w:sz="6" w:space="0" w:color="000000"/>
              <w:bottom w:val="single" w:sz="12" w:space="0" w:color="000000"/>
              <w:right w:val="single" w:sz="6" w:space="0" w:color="000000"/>
            </w:tcBorders>
          </w:tcPr>
          <w:p>
            <w:pPr/>
          </w:p>
        </w:tc>
        <w:tc>
          <w:tcPr>
            <w:tcW w:w="1444" w:type="dxa"/>
            <w:tcBorders>
              <w:top w:val="single" w:sz="12" w:space="0" w:color="000000"/>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single" w:sz="6" w:space="0" w:color="000000"/>
            </w:tcBorders>
          </w:tcPr>
          <w:p>
            <w:pPr/>
          </w:p>
        </w:tc>
        <w:tc>
          <w:tcPr>
            <w:tcW w:w="1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2,062,045,941.00</w:t>
            </w:r>
          </w:p>
        </w:tc>
        <w:tc>
          <w:tcPr>
            <w:tcW w:w="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right="0"/>
        <w:jc w:val="left"/>
        <w:rPr>
          <w:rFonts w:ascii="宋体" w:hAnsi="宋体" w:cs="宋体" w:eastAsia="宋体" w:hint="default"/>
        </w:rPr>
      </w:pPr>
      <w:r>
        <w:rPr/>
        <w:t>上述股本已经中瑞岳华会计师事务所验证，并出具了编号为中瑞岳华验字</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2189</w:t>
      </w:r>
      <w:r>
        <w:rPr/>
        <w:t>号的验资报告</w:t>
      </w:r>
      <w:r>
        <w:rPr>
          <w:rFonts w:ascii="宋体" w:hAnsi="宋体" w:cs="宋体" w:eastAsia="宋体" w:hint="default"/>
          <w:b/>
          <w:bCs/>
        </w:rPr>
        <w:t>。</w:t>
      </w:r>
      <w:r>
        <w:rPr>
          <w:rFonts w:ascii="宋体" w:hAnsi="宋体" w:cs="宋体" w:eastAsia="宋体" w:hint="default"/>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38</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424"/>
        <w:gridCol w:w="1633"/>
        <w:gridCol w:w="1621"/>
        <w:gridCol w:w="1390"/>
        <w:gridCol w:w="1615"/>
      </w:tblGrid>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5,396,253,001.55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316,895,729.78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5,713,148,731.33</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其中：投资者投入的资本</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3,373,256,665.49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3,373,256,665.49</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可转换公司债券行使转换权</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2,018,215,301.98</w:t>
            </w:r>
          </w:p>
        </w:tc>
        <w:tc>
          <w:tcPr>
            <w:tcW w:w="162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2,018,215,301.98</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4,781,034.08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316,895,729.78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321,676,763.86</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702,011,834.45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701,744,268.20</w:t>
            </w: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其中：原制度资本公积转入</w:t>
            </w:r>
          </w:p>
        </w:tc>
        <w:tc>
          <w:tcPr>
            <w:tcW w:w="16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702,011,834.45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701,744,268.20</w:t>
            </w:r>
          </w:p>
        </w:tc>
      </w:tr>
      <w:tr>
        <w:trPr>
          <w:trHeight w:val="754"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直接计入所有者权益的利得和损失</w:t>
            </w:r>
          </w:p>
        </w:tc>
        <w:tc>
          <w:tcPr>
            <w:tcW w:w="1633"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6,098,264,836.00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316,895,729.78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6,414,892,999.53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资本公积说明</w:t>
      </w:r>
    </w:p>
    <w:p>
      <w:pPr>
        <w:pStyle w:val="BodyText"/>
        <w:spacing w:line="319" w:lineRule="auto" w:before="115"/>
        <w:ind w:left="153" w:right="141" w:firstLine="390"/>
        <w:jc w:val="left"/>
      </w:pPr>
      <w:r>
        <w:rPr/>
        <w:t>公司2012年11月5日召开的2012年第二次临时股东大会审议通过了《关于收购SAPPI所持江西晨鸣股权的议案》，公司 全资子公司晨鸣（香港）有限公司分别与SAPPI、国际金融公司和茂林制纸签订了《股权转让协议》，分别收购其所持江西 </w:t>
      </w:r>
      <w:r>
        <w:rPr>
          <w:spacing w:val="-2"/>
        </w:rPr>
        <w:t>晨鸣34%、7.5%和7.5%的股权，收购价格合计80,870,000.00美元，折合人民币509,039,794.00元，收购日，江西晨鸣纸业的</w:t>
      </w:r>
      <w:r>
        <w:rPr>
          <w:spacing w:val="-29"/>
        </w:rPr>
        <w:t> </w:t>
      </w:r>
      <w:r>
        <w:rPr>
          <w:spacing w:val="-29"/>
        </w:rPr>
      </w:r>
      <w:r>
        <w:rPr/>
        <w:t>净资产1,685,582,701.59元，49%股权对应净资产825,935,523.78元，支付对价与享有净资产的差额316,895,729.78元计入 本集团合并报表资本公积； 2012年12月公司出售齐河晨鸣、鄄城晨鸣，原计入本公司享有的资本公积267,566.25元转为当 期投资收益。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bl>
    <w:p>
      <w:pPr>
        <w:pStyle w:val="BodyText"/>
        <w:spacing w:line="357" w:lineRule="auto" w:before="51"/>
        <w:ind w:left="573" w:right="0" w:hanging="420"/>
        <w:jc w:val="left"/>
        <w:rPr>
          <w:rFonts w:ascii="Times New Roman" w:hAnsi="Times New Roman" w:cs="Times New Roman" w:eastAsia="Times New Roman" w:hint="default"/>
        </w:rPr>
      </w:pPr>
      <w:r>
        <w:rPr/>
        <w:t>盈余公积说明，用盈余公积转增股本、弥补亏损、分派股利的，应说明有关决议 根据公司法、章程的规定，本集团按净利润的</w:t>
      </w:r>
      <w:r>
        <w:rPr>
          <w:rFonts w:ascii="Times New Roman" w:hAnsi="Times New Roman" w:cs="Times New Roman" w:eastAsia="Times New Roman" w:hint="default"/>
        </w:rPr>
        <w:t>10%</w:t>
      </w:r>
      <w:r>
        <w:rPr/>
        <w:t>提取法定盈余公积金。法定盈余公积累计额为本公司注册资本</w:t>
      </w:r>
      <w:r>
        <w:rPr>
          <w:rFonts w:ascii="Times New Roman" w:hAnsi="Times New Roman" w:cs="Times New Roman" w:eastAsia="Times New Roman" w:hint="default"/>
        </w:rPr>
        <w:t>50%</w:t>
      </w:r>
    </w:p>
    <w:p>
      <w:pPr>
        <w:pStyle w:val="BodyText"/>
        <w:spacing w:line="202" w:lineRule="exact"/>
        <w:ind w:left="153" w:right="0"/>
        <w:jc w:val="left"/>
      </w:pPr>
      <w:r>
        <w:rPr/>
        <w:t>以上的，可不再提取。</w:t>
      </w:r>
    </w:p>
    <w:p>
      <w:pPr>
        <w:pStyle w:val="BodyText"/>
        <w:spacing w:line="319" w:lineRule="auto" w:before="115"/>
        <w:ind w:left="153" w:right="0" w:firstLine="419"/>
        <w:jc w:val="left"/>
      </w:pPr>
      <w:r>
        <w:rPr/>
        <w:t>本集团在提取法定盈余公积金后，可提取任意盈余公积金。经批准，任意盈余公积金可用于弥补以前年度亏损或增加</w:t>
      </w:r>
      <w:r>
        <w:rPr>
          <w:spacing w:val="1"/>
        </w:rPr>
        <w:t> </w:t>
      </w:r>
      <w:r>
        <w:rPr/>
        <w:t>股本。</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4,237,783,996.54</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4,237,783,996.54</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221,034,822.54</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309,306,891.20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4,149,511,927.88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调整年初未分配利润明细：</w:t>
      </w:r>
    </w:p>
    <w:p>
      <w:pPr>
        <w:pStyle w:val="BodyText"/>
        <w:spacing w:line="240" w:lineRule="auto" w:before="116"/>
        <w:ind w:left="15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left="514" w:right="0" w:hanging="36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w:t>
      </w:r>
    </w:p>
    <w:p>
      <w:pPr>
        <w:pStyle w:val="BodyText"/>
        <w:spacing w:line="319" w:lineRule="auto" w:before="2"/>
        <w:ind w:right="0"/>
        <w:jc w:val="left"/>
      </w:pPr>
      <w:r>
        <w:rPr>
          <w:spacing w:val="-2"/>
        </w:rPr>
        <w:t>予以说明；如果发行前的滚存利润经股东大会决议在发行前进行分配并由老股东享有，公司应明确披露应付股利中老股东享</w:t>
      </w:r>
      <w:r>
        <w:rPr>
          <w:spacing w:val="-64"/>
        </w:rPr>
        <w:t> </w:t>
      </w:r>
      <w:r>
        <w:rPr>
          <w:spacing w:val="-64"/>
        </w:rPr>
      </w:r>
      <w:r>
        <w:rPr/>
        <w:t>有的经审计的利润数。</w:t>
      </w:r>
    </w:p>
    <w:p>
      <w:pPr>
        <w:pStyle w:val="BodyText"/>
        <w:spacing w:line="300" w:lineRule="auto" w:before="55"/>
        <w:ind w:right="140" w:firstLine="419"/>
        <w:jc w:val="left"/>
      </w:pPr>
      <w:r>
        <w:rPr>
          <w:spacing w:val="-1"/>
        </w:rPr>
        <w:t>利润分配情况的说明：根据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29</w:t>
      </w:r>
      <w:r>
        <w:rPr>
          <w:spacing w:val="-1"/>
        </w:rPr>
        <w:t>日经本公司</w:t>
      </w:r>
      <w:r>
        <w:rPr>
          <w:rFonts w:ascii="Times New Roman" w:hAnsi="Times New Roman" w:cs="Times New Roman" w:eastAsia="Times New Roman" w:hint="default"/>
          <w:spacing w:val="-1"/>
        </w:rPr>
        <w:t>2012</w:t>
      </w:r>
      <w:r>
        <w:rPr>
          <w:spacing w:val="-1"/>
        </w:rPr>
        <w:t>年度股东大会批准的《公司</w:t>
      </w:r>
      <w:r>
        <w:rPr>
          <w:rFonts w:ascii="Times New Roman" w:hAnsi="Times New Roman" w:cs="Times New Roman" w:eastAsia="Times New Roman" w:hint="default"/>
          <w:spacing w:val="-1"/>
        </w:rPr>
        <w:t>2011</w:t>
      </w:r>
      <w:r>
        <w:rPr>
          <w:spacing w:val="-1"/>
        </w:rPr>
        <w:t>年度利润分配方案》，本公司</w:t>
      </w:r>
      <w:r>
        <w:rPr/>
        <w:t> </w:t>
      </w:r>
      <w:r>
        <w:rPr>
          <w:spacing w:val="7"/>
        </w:rPr>
        <w:t>向全体股东派发现金股利，每股人民币</w:t>
      </w:r>
      <w:r>
        <w:rPr>
          <w:rFonts w:ascii="Times New Roman" w:hAnsi="Times New Roman" w:cs="Times New Roman" w:eastAsia="Times New Roman" w:hint="default"/>
          <w:spacing w:val="7"/>
        </w:rPr>
        <w:t>0.15</w:t>
      </w:r>
      <w:r>
        <w:rPr>
          <w:spacing w:val="7"/>
        </w:rPr>
        <w:t>元（</w:t>
      </w:r>
      <w:r>
        <w:rPr>
          <w:rFonts w:ascii="Times New Roman" w:hAnsi="Times New Roman" w:cs="Times New Roman" w:eastAsia="Times New Roman" w:hint="default"/>
          <w:spacing w:val="7"/>
        </w:rPr>
        <w:t>2011</w:t>
      </w:r>
      <w:r>
        <w:rPr>
          <w:spacing w:val="7"/>
        </w:rPr>
        <w:t>年人民币</w:t>
      </w:r>
      <w:r>
        <w:rPr>
          <w:rFonts w:ascii="Times New Roman" w:hAnsi="Times New Roman" w:cs="Times New Roman" w:eastAsia="Times New Roman" w:hint="default"/>
          <w:spacing w:val="7"/>
        </w:rPr>
        <w:t>0.3</w:t>
      </w:r>
      <w:r>
        <w:rPr>
          <w:spacing w:val="7"/>
        </w:rPr>
        <w:t>元），按照已发行股份数</w:t>
      </w:r>
      <w:r>
        <w:rPr>
          <w:rFonts w:ascii="Times New Roman" w:hAnsi="Times New Roman" w:cs="Times New Roman" w:eastAsia="Times New Roman" w:hint="default"/>
          <w:spacing w:val="7"/>
        </w:rPr>
        <w:t>2,062,045,941</w:t>
      </w:r>
      <w:r>
        <w:rPr>
          <w:spacing w:val="7"/>
        </w:rPr>
        <w:t>股计算，共计</w:t>
      </w:r>
    </w:p>
    <w:p>
      <w:pPr>
        <w:spacing w:after="0" w:line="300" w:lineRule="auto"/>
        <w:jc w:val="left"/>
        <w:sectPr>
          <w:pgSz w:w="11910" w:h="16840"/>
          <w:pgMar w:header="0" w:footer="982" w:top="1060" w:bottom="1180" w:left="980" w:right="980"/>
        </w:sectPr>
      </w:pPr>
    </w:p>
    <w:p>
      <w:pPr>
        <w:spacing w:line="240" w:lineRule="auto" w:before="13"/>
        <w:rPr>
          <w:rFonts w:ascii="宋体" w:hAnsi="宋体" w:cs="宋体" w:eastAsia="宋体" w:hint="default"/>
          <w:sz w:val="25"/>
          <w:szCs w:val="25"/>
        </w:rPr>
      </w:pPr>
    </w:p>
    <w:p>
      <w:pPr>
        <w:pStyle w:val="BodyText"/>
        <w:spacing w:line="343" w:lineRule="auto" w:before="44"/>
        <w:ind w:left="573" w:right="171" w:hanging="420"/>
        <w:jc w:val="left"/>
        <w:rPr>
          <w:rFonts w:ascii="宋体" w:hAnsi="宋体" w:cs="宋体" w:eastAsia="宋体" w:hint="default"/>
          <w:sz w:val="19"/>
          <w:szCs w:val="19"/>
        </w:rPr>
      </w:pPr>
      <w:r>
        <w:rPr>
          <w:rFonts w:ascii="Times New Roman" w:hAnsi="Times New Roman" w:cs="Times New Roman" w:eastAsia="Times New Roman" w:hint="default"/>
        </w:rPr>
        <w:t>309,306,891.20</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618,613,782.30</w:t>
      </w:r>
      <w:r>
        <w:rPr/>
        <w:t>元）。根据中国税法规定，本集团向非中国居民企业股东分配时代扣</w:t>
      </w:r>
      <w:r>
        <w:rPr>
          <w:rFonts w:ascii="Times New Roman" w:hAnsi="Times New Roman" w:cs="Times New Roman" w:eastAsia="Times New Roman" w:hint="default"/>
        </w:rPr>
        <w:t>10%</w:t>
      </w:r>
      <w:r>
        <w:rPr/>
        <w:t>所得税。 子公司报告期内提取盈余公积的情况 子公司于</w:t>
      </w:r>
      <w:r>
        <w:rPr>
          <w:rFonts w:ascii="Times New Roman" w:hAnsi="Times New Roman" w:cs="Times New Roman" w:eastAsia="Times New Roman" w:hint="default"/>
        </w:rPr>
        <w:t>2012</w:t>
      </w:r>
      <w:r>
        <w:rPr/>
        <w:t>年度提取盈余公积</w:t>
      </w:r>
      <w:r>
        <w:rPr>
          <w:rFonts w:ascii="Times New Roman" w:hAnsi="Times New Roman" w:cs="Times New Roman" w:eastAsia="Times New Roman" w:hint="default"/>
        </w:rPr>
        <w:t>38,320,636.05</w:t>
      </w:r>
      <w:r>
        <w:rPr/>
        <w:t>元，其中归属于母公司的金额为</w:t>
      </w:r>
      <w:r>
        <w:rPr>
          <w:rFonts w:ascii="Times New Roman" w:hAnsi="Times New Roman" w:cs="Times New Roman" w:eastAsia="Times New Roman" w:hint="default"/>
        </w:rPr>
        <w:t>38,117,847.60</w:t>
      </w:r>
      <w:r>
        <w:rPr/>
        <w:t>元</w:t>
      </w:r>
      <w:r>
        <w:rPr>
          <w:rFonts w:ascii="宋体" w:hAnsi="宋体" w:cs="宋体" w:eastAsia="宋体" w:hint="default"/>
          <w:i/>
          <w:sz w:val="19"/>
          <w:szCs w:val="19"/>
        </w:rPr>
        <w:t>。</w:t>
      </w:r>
      <w:r>
        <w:rPr>
          <w:rFonts w:ascii="宋体" w:hAnsi="宋体" w:cs="宋体" w:eastAsia="宋体" w:hint="default"/>
          <w:sz w:val="19"/>
          <w:szCs w:val="19"/>
        </w:rPr>
      </w:r>
    </w:p>
    <w:p>
      <w:pPr>
        <w:spacing w:line="240" w:lineRule="auto" w:before="1"/>
        <w:rPr>
          <w:rFonts w:ascii="宋体" w:hAnsi="宋体" w:cs="宋体" w:eastAsia="宋体" w:hint="default"/>
          <w:i/>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41</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17,535,452,305.79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343,293,784.64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212,037,595.08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16,693,768,322.36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14,931,153,175.89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18,148,184,354.47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15,448,210,584.92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16,340,097,056.12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13,874,585,926.00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660,177,424.83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601,127,173.53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376,995,349.10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285,692,731.80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63,109,642.95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99,210,362.32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70,836,680.37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48,334,822.55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49,052,205.69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12,908,369.30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13,647,487.73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9,919,907.73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6,191,630.80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16,422,792,780.07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17,535,452,305.79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14,851,342,511.80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1,170,332,533.70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1,039,609,451.91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1,296,169,432.28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1,160,515,979.84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2,893,040,859.96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2,486,129,792.61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2,318,131,944.85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2,053,539,848.41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278,621,119.55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265,618,292.24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355,489,878.40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322,189,663.33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4,039,555,866.49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3,763,791,638.91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3,742,387,476.91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3,202,258,169.25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1,774,456,795.28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1,253,184,006.48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1,654,548,819.60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1,411,325,174.47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527,059,863.45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513,468,478.94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631,485,120.83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602,856,008.97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2,009,960,531.99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1,646,210,297.10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2,274,400,313.52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1,788,912,191.36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1,590,707,172.04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1,225,698,307.75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127,629,116.56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98,661,574.49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3,864,449,612.01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3,254,500,318.98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3,939,854,953.17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3,234,327,315.88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660,177,424.83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601,127,173.53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376,995,349.10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285,692,731.80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63,109,642.95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99,210,362.32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70,836,680.37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48,334,822.55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49,052,205.69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12,908,369.30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13,647,487.73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9,919,907.73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6,191,630.80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16,422,792,780.07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17,535,452,305.79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14,851,342,511.80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16,652,392,812.02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13,832,363,392.83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14,914,975,252.92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12,367,843,355.92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2,765,992,633.39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2,590,429,387.24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2,620,477,052.87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2,483,499,155.88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16,422,792,780.07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17,535,452,305.79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14,851,342,511.80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809,133,619.82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890,211,819.38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12,913,487.64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12,305,486.90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36,055,424.89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35,808,598.04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25,503,982.87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24,867,037.20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4,217,095.54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2,736,406.45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78,689,990.94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75,717,528.59</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444" w:right="4980" w:hanging="291"/>
        <w:jc w:val="left"/>
      </w:pPr>
      <w:r>
        <w:rPr/>
        <w:t>营业税金及附加的说明 各项营业税金及附加的计缴标准详见附注（五）、税项。</w:t>
      </w:r>
    </w:p>
    <w:p>
      <w:pPr>
        <w:spacing w:after="0" w:line="357" w:lineRule="auto"/>
        <w:jc w:val="left"/>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106,775,704.85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84,658,343.14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21,819,218.81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22,043,153.21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6,794,411.68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6,534,007.49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27,239,405.77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20,858,605.78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6,406,566.86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18,463,822.73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708,273,839.04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600,151,151.50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25,234,845.39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23,099,320.30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6,865,846.36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9,774,884.93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75,188,472.21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52,740,766.77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11,896,779.46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6,949,464.88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147,994,155.61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87,611,097.24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1,144,489,246.04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932,884,617.97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191,908,796.59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187,205,292.88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22,478,619.26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40,437,750.27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20,136,048.25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13,309,458.08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14,829,959.11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22,790,160.49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60,751,168.63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46,807,425.17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28,983,197.70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35,237,867.15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34,413,765.89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18,003,123.82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23,835,110.94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24,921,269.65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293,698,298.28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272,863,115.77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36,156,445.61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59,844,542.52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74,297,144.39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81,583,041.97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308,758,348.10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211,491,560.73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1,110,246,902.75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1,014,494,608.50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1,434,634,633.92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986,692,433.15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167,001,504.37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50,427,710.99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212,844,904.48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469,735,941.14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-11,933,355.58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-81,877,446.18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49,905,145.55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47,370,693.00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1,092,760,015.04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432,022,027.84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按公允价值计量的生物资产</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47,822,076.87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48,173,926.26</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47,822,076.87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48,173,926.26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47</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-637,227.71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-3,246,150.00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-34,887,733.04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10,859,460.82</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258,109.35</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-35,524,960.75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7,871,420.17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-19,385,301.17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-2,266,198.68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4,396.33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-149,675.19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寿光丽奔制纸有限公司</w:t>
            </w: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-830,276.13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上海安舟新能源有限公司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18,743,677.13</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-637,227.71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-3,246,150.00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1671"/>
        <w:jc w:val="left"/>
      </w:pPr>
      <w:r>
        <w:rPr/>
        <w:t>投资收益的说明，若投资收益汇回有重大限制的，应予以说明。若不存在此类重大限制，也应做出说明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44,611,035.76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-15,527,024.37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14,419,123.18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56,072,051.72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671,422.24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70,250,158.94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41,216,449.59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49</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1"/>
        <w:gridCol w:w="1967"/>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0"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30,576,886.51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21,181,499.17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30,576,886.51</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30,576,886.51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21,181,499.17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30,576,886.51</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11,256,702.04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1,726,083.28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11,256,702.04</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258,711,984.00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249,703,804.50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235,157,521.57</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67"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44,188,866.15</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吉林停产补偿专项应付款转入</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95,977,067.70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95,977,067.70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25,005,706.31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48,026,667.21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25,005,706.31</w:t>
            </w: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421,528,346.56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364,826,920.31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397,973,884.13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60"/>
        <w:gridCol w:w="2160"/>
        <w:gridCol w:w="1980"/>
        <w:gridCol w:w="3268"/>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发展资助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235,157,521.57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236,198,625.29</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递延收益摊销 </w:t>
            </w:r>
            <w:r>
              <w:rPr>
                <w:rFonts w:ascii="Times New Roman" w:hAnsi="Times New Roman" w:cs="Times New Roman" w:eastAsia="Times New Roman" w:hint="default"/>
                <w:sz w:val="18"/>
                <w:szCs w:val="18"/>
              </w:rPr>
              <w:t>19,148,832.88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元，与收益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相关的发展资助 </w:t>
            </w:r>
            <w:r>
              <w:rPr>
                <w:rFonts w:ascii="Times New Roman" w:hAnsi="Times New Roman" w:cs="Times New Roman" w:eastAsia="Times New Roman" w:hint="default"/>
                <w:sz w:val="18"/>
                <w:szCs w:val="18"/>
              </w:rPr>
              <w:t>216,008,688.69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23,554,462.43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13,505,179.21</w:t>
            </w:r>
          </w:p>
        </w:tc>
        <w:tc>
          <w:tcPr>
            <w:tcW w:w="3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258,711,984.00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249,703,804.50</w:t>
            </w:r>
          </w:p>
        </w:tc>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174" w:right="90"/>
        <w:jc w:val="left"/>
        <w:rPr>
          <w:b w:val="0"/>
          <w:bCs w:val="0"/>
        </w:rPr>
      </w:pPr>
      <w:r>
        <w:rPr>
          <w:rFonts w:ascii="Times New Roman" w:hAnsi="Times New Roman" w:cs="Times New Roman" w:eastAsia="Times New Roman" w:hint="default"/>
        </w:rPr>
        <w:t>50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708"/>
        <w:gridCol w:w="2033"/>
        <w:gridCol w:w="1914"/>
        <w:gridCol w:w="1914"/>
      </w:tblGrid>
      <w:tr>
        <w:trPr>
          <w:trHeight w:val="160" w:hRule="exact"/>
        </w:trPr>
        <w:tc>
          <w:tcPr>
            <w:tcW w:w="3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5,791,866.58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4,484,098.29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5,791,866.58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4,484,098.29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10,315,257.61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19,905,972.60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10,315,257.61</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6,640,682.20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16,186,023.35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6,640,682.20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21,440,038.10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41,883,862.53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21,440,038.10</w:t>
            </w:r>
          </w:p>
        </w:tc>
      </w:tr>
    </w:tbl>
    <w:p>
      <w:pPr>
        <w:spacing w:line="240" w:lineRule="auto" w:before="2"/>
        <w:rPr>
          <w:rFonts w:ascii="宋体" w:hAnsi="宋体" w:cs="宋体" w:eastAsia="宋体" w:hint="default"/>
          <w:sz w:val="19"/>
          <w:szCs w:val="19"/>
        </w:rPr>
      </w:pPr>
    </w:p>
    <w:p>
      <w:pPr>
        <w:pStyle w:val="Heading3"/>
        <w:spacing w:line="240" w:lineRule="auto" w:before="35"/>
        <w:ind w:left="174" w:right="90"/>
        <w:jc w:val="left"/>
        <w:rPr>
          <w:b w:val="0"/>
          <w:bCs w:val="0"/>
        </w:rPr>
      </w:pPr>
      <w:r>
        <w:rPr>
          <w:rFonts w:ascii="Times New Roman" w:hAnsi="Times New Roman" w:cs="Times New Roman" w:eastAsia="Times New Roman" w:hint="default"/>
        </w:rPr>
        <w:t>51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90"/>
        <w:jc w:val="left"/>
        <w:rPr>
          <w:b w:val="0"/>
          <w:bCs w:val="0"/>
        </w:rPr>
      </w:pPr>
      <w:r>
        <w:rPr/>
        <w:t>（</w:t>
      </w:r>
      <w:r>
        <w:rPr>
          <w:rFonts w:ascii="Times New Roman" w:hAnsi="Times New Roman" w:cs="Times New Roman" w:eastAsia="Times New Roman" w:hint="default"/>
        </w:rPr>
        <w:t>1</w:t>
      </w:r>
      <w:r>
        <w:rPr/>
        <w:t>）所得税费用明细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156,822,377.11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138,729,714.22</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-219,648,615.62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-28,466,600.34</w:t>
            </w:r>
          </w:p>
        </w:tc>
      </w:tr>
      <w:tr>
        <w:trPr>
          <w:trHeight w:val="403"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-62,826,238.51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110,263,113.88</w:t>
            </w:r>
          </w:p>
        </w:tc>
      </w:tr>
    </w:tbl>
    <w:p>
      <w:pPr>
        <w:spacing w:line="240" w:lineRule="auto" w:before="2"/>
        <w:rPr>
          <w:rFonts w:ascii="宋体" w:hAnsi="宋体" w:cs="宋体" w:eastAsia="宋体" w:hint="default"/>
          <w:sz w:val="19"/>
          <w:szCs w:val="19"/>
        </w:rPr>
      </w:pPr>
    </w:p>
    <w:p>
      <w:pPr>
        <w:pStyle w:val="Heading3"/>
        <w:spacing w:line="240" w:lineRule="auto" w:before="35"/>
        <w:ind w:left="174" w:right="90"/>
        <w:jc w:val="left"/>
        <w:rPr>
          <w:b w:val="0"/>
          <w:bCs w:val="0"/>
        </w:rPr>
      </w:pPr>
      <w:r>
        <w:rPr/>
        <w:pict>
          <v:group style="position:absolute;margin-left:53.849998pt;margin-top:33.093983pt;width:486.9pt;height:176.5pt;mso-position-horizontal-relative:page;mso-position-vertical-relative:paragraph;z-index:-1369432" coordorigin="1077,662" coordsize="9738,3530">
            <v:group style="position:absolute;left:1106;top:677;width:5481;height:2" coordorigin="1106,677" coordsize="5481,2">
              <v:shape style="position:absolute;left:1106;top:677;width:5481;height:2" coordorigin="1106,677" coordsize="5481,0" path="m1106,677l6587,677e" filled="false" stroked="true" strokeweight="1.5pt" strokecolor="#000000">
                <v:path arrowok="t"/>
              </v:shape>
            </v:group>
            <v:group style="position:absolute;left:6587;top:677;width:2067;height:2" coordorigin="6587,677" coordsize="2067,2">
              <v:shape style="position:absolute;left:6587;top:677;width:2067;height:2" coordorigin="6587,677" coordsize="2067,0" path="m6587,677l8653,677e" filled="false" stroked="true" strokeweight="1.5pt" strokecolor="#000000">
                <v:path arrowok="t"/>
              </v:shape>
            </v:group>
            <v:group style="position:absolute;left:8653;top:677;width:2140;height:2" coordorigin="8653,677" coordsize="2140,2">
              <v:shape style="position:absolute;left:8653;top:677;width:2140;height:2" coordorigin="8653,677" coordsize="2140,0" path="m8653,677l10793,677e" filled="false" stroked="true" strokeweight="1.5pt" strokecolor="#000000">
                <v:path arrowok="t"/>
              </v:shape>
              <v:shape style="position:absolute;left:6538;top:673;width:2144;height:518" type="#_x0000_t75" stroked="false">
                <v:imagedata r:id="rId44" o:title=""/>
              </v:shape>
            </v:group>
            <v:group style="position:absolute;left:1092;top:4176;width:5465;height:2" coordorigin="1092,4176" coordsize="5465,2">
              <v:shape style="position:absolute;left:1092;top:4176;width:5465;height:2" coordorigin="1092,4176" coordsize="5465,0" path="m1092,4176l6557,4176e" filled="false" stroked="true" strokeweight="1.5pt" strokecolor="#000000">
                <v:path arrowok="t"/>
              </v:shape>
              <v:shape style="position:absolute;left:1087;top:1153;width:9726;height:3028" type="#_x0000_t75" stroked="false">
                <v:imagedata r:id="rId45" o:title=""/>
              </v:shape>
            </v:group>
            <v:group style="position:absolute;left:6557;top:4176;width:30;height:2" coordorigin="6557,4176" coordsize="30,2">
              <v:shape style="position:absolute;left:6557;top:4176;width:30;height:2" coordorigin="6557,4176" coordsize="30,0" path="m6557,4176l6587,4176e" filled="false" stroked="true" strokeweight="1.5pt" strokecolor="#000000">
                <v:path arrowok="t"/>
              </v:shape>
            </v:group>
            <v:group style="position:absolute;left:6587;top:4176;width:2067;height:2" coordorigin="6587,4176" coordsize="2067,2">
              <v:shape style="position:absolute;left:6587;top:4176;width:2067;height:2" coordorigin="6587,4176" coordsize="2067,0" path="m6587,4176l8653,4176e" filled="false" stroked="true" strokeweight="1.5pt" strokecolor="#000000">
                <v:path arrowok="t"/>
              </v:shape>
              <v:shape style="position:absolute;left:8634;top:3662;width:48;height:518" type="#_x0000_t75" stroked="false">
                <v:imagedata r:id="rId46" o:title=""/>
              </v:shape>
            </v:group>
            <v:group style="position:absolute;left:8653;top:4176;width:2147;height:2" coordorigin="8653,4176" coordsize="2147,2">
              <v:shape style="position:absolute;left:8653;top:4176;width:2147;height:2" coordorigin="8653,4176" coordsize="2147,0" path="m8653,4176l10800,4176e" filled="false" stroked="true" strokeweight="1.5pt" strokecolor="#000000">
                <v:path arrowok="t"/>
              </v:shape>
              <v:shape style="position:absolute;left:3518;top:898;width:630;height:180" type="#_x0000_t202" filled="false" stroked="false">
                <v:textbox inset="0,0,0,0">
                  <w:txbxContent>
                    <w:p>
                      <w:pPr>
                        <w:tabs>
                          <w:tab w:pos="44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7160;top:89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本年发生数</w:t>
                      </w:r>
                    </w:p>
                  </w:txbxContent>
                </v:textbox>
                <w10:wrap type="none"/>
              </v:shape>
              <v:shape style="position:absolute;left:9278;top:89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上年发生数</w:t>
                      </w:r>
                    </w:p>
                  </w:txbxContent>
                </v:textbox>
                <w10:wrap type="none"/>
              </v:shape>
              <v:shape style="position:absolute;left:1134;top:138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税前利润</w:t>
                      </w:r>
                    </w:p>
                  </w:txbxContent>
                </v:textbox>
                <w10:wrap type="none"/>
              </v:shape>
              <v:shape style="position:absolute;left:7535;top:1339;width:10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-16,139,981.44</w:t>
                      </w:r>
                    </w:p>
                  </w:txbxContent>
                </v:textbox>
                <w10:wrap type="none"/>
              </v:shape>
              <v:shape style="position:absolute;left:9645;top:1339;width:112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698,989,896.70</w:t>
                      </w:r>
                    </w:p>
                  </w:txbxContent>
                </v:textbox>
                <w10:wrap type="none"/>
              </v:shape>
              <v:shape style="position:absolute;left:1134;top:388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所得税费用</w:t>
                      </w:r>
                    </w:p>
                  </w:txbxContent>
                </v:textbox>
                <w10:wrap type="none"/>
              </v:shape>
              <v:shape style="position:absolute;left:7535;top:3839;width:10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-62,826,238.51</w:t>
                      </w:r>
                    </w:p>
                  </w:txbxContent>
                </v:textbox>
                <w10:wrap type="none"/>
              </v:shape>
              <v:shape style="position:absolute;left:9659;top:3839;width:11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110,263,113.88</w:t>
                      </w:r>
                    </w:p>
                  </w:txbxContent>
                </v:textbox>
                <w10:wrap type="none"/>
              </v:shape>
            </v:group>
            <w10:wrap type="none"/>
          </v:group>
        </w:pict>
      </w:r>
      <w:r>
        <w:rPr/>
        <w:t>（</w:t>
      </w:r>
      <w:r>
        <w:rPr>
          <w:rFonts w:ascii="Times New Roman" w:hAnsi="Times New Roman" w:cs="Times New Roman" w:eastAsia="Times New Roman" w:hint="default"/>
        </w:rPr>
        <w:t>2</w:t>
      </w:r>
      <w:r>
        <w:rPr/>
        <w:t>）所得税费用与利润总额的关系列示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38" w:type="dxa"/>
        <w:tblLayout w:type="fixed"/>
        <w:tblCellMar>
          <w:top w:w="0" w:type="dxa"/>
          <w:left w:w="0" w:type="dxa"/>
          <w:bottom w:w="0" w:type="dxa"/>
          <w:right w:w="0" w:type="dxa"/>
        </w:tblCellMar>
        <w:tblLook w:val="01E0"/>
      </w:tblPr>
      <w:tblGrid>
        <w:gridCol w:w="5965"/>
        <w:gridCol w:w="2073"/>
        <w:gridCol w:w="1668"/>
      </w:tblGrid>
      <w:tr>
        <w:trPr>
          <w:trHeight w:val="395" w:hRule="exact"/>
        </w:trPr>
        <w:tc>
          <w:tcPr>
            <w:tcW w:w="59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按法定税率计算的所得税</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05"/>
              <w:jc w:val="right"/>
              <w:rPr>
                <w:rFonts w:ascii="Times New Roman" w:hAnsi="Times New Roman" w:cs="Times New Roman" w:eastAsia="Times New Roman" w:hint="default"/>
                <w:sz w:val="18"/>
                <w:szCs w:val="18"/>
              </w:rPr>
            </w:pPr>
            <w:r>
              <w:rPr>
                <w:rFonts w:ascii="Times New Roman"/>
                <w:spacing w:val="-1"/>
                <w:sz w:val="18"/>
              </w:rPr>
              <w:t>-4,034,995.36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174,747,474.18</w:t>
            </w:r>
          </w:p>
        </w:tc>
      </w:tr>
      <w:tr>
        <w:trPr>
          <w:trHeight w:val="402" w:hRule="exact"/>
        </w:trPr>
        <w:tc>
          <w:tcPr>
            <w:tcW w:w="59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加：不得扣除的成本、费用和损失的影响</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pacing w:val="-1"/>
                <w:sz w:val="18"/>
              </w:rPr>
              <w:t>43,947,272.95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41,288,716.07</w:t>
            </w:r>
          </w:p>
        </w:tc>
      </w:tr>
      <w:tr>
        <w:trPr>
          <w:trHeight w:val="402" w:hRule="exact"/>
        </w:trPr>
        <w:tc>
          <w:tcPr>
            <w:tcW w:w="59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减：税收减免影响</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pacing w:val="-1"/>
                <w:sz w:val="18"/>
              </w:rPr>
              <w:t>59,472,189.81</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133,431,268.73</w:t>
            </w:r>
          </w:p>
        </w:tc>
      </w:tr>
      <w:tr>
        <w:trPr>
          <w:trHeight w:val="402" w:hRule="exact"/>
        </w:trPr>
        <w:tc>
          <w:tcPr>
            <w:tcW w:w="59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减：利用以前年度未确认可抵扣亏损和可抵扣暂时性差异的纳税影响</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pacing w:val="-1"/>
                <w:sz w:val="18"/>
              </w:rPr>
              <w:t>60,826,791.73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9,975,239.81</w:t>
            </w:r>
          </w:p>
        </w:tc>
      </w:tr>
      <w:tr>
        <w:trPr>
          <w:trHeight w:val="395" w:hRule="exact"/>
        </w:trPr>
        <w:tc>
          <w:tcPr>
            <w:tcW w:w="596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加：当期未确认可抵扣亏损和可抵扣暂时性差异的影响</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pacing w:val="-1"/>
                <w:sz w:val="18"/>
              </w:rPr>
              <w:t>17,560,465.44</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37,633,432.17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Heading3"/>
        <w:spacing w:line="240" w:lineRule="auto" w:before="35"/>
        <w:ind w:left="174" w:right="90"/>
        <w:jc w:val="left"/>
        <w:rPr>
          <w:b w:val="0"/>
          <w:bCs w:val="0"/>
        </w:rPr>
      </w:pPr>
      <w:r>
        <w:rPr>
          <w:rFonts w:ascii="Times New Roman" w:hAnsi="Times New Roman" w:cs="Times New Roman" w:eastAsia="Times New Roman" w:hint="default"/>
        </w:rPr>
        <w:t>52</w:t>
      </w:r>
      <w:r>
        <w:rPr/>
        <w:t>、基本每股收益和稀释每股收益的计算过程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74" w:right="90" w:firstLine="419"/>
        <w:jc w:val="left"/>
      </w:pPr>
      <w:r>
        <w:rPr/>
        <w:t>基本每股收益按照归属于本公司普通股股东的当期净利润，除已发行在外普通股的加权平均数计算。新发行普通股股</w:t>
      </w:r>
      <w:r>
        <w:rPr>
          <w:spacing w:val="1"/>
        </w:rPr>
        <w:t> </w:t>
      </w:r>
      <w:r>
        <w:rPr/>
        <w:t>数，根据发行合同的具体条款，从应收对价之日（一般为股票发行日）起计算确定。</w:t>
      </w:r>
    </w:p>
    <w:p>
      <w:pPr>
        <w:pStyle w:val="BodyText"/>
        <w:spacing w:line="240" w:lineRule="auto" w:before="55"/>
        <w:ind w:left="593" w:right="0"/>
        <w:jc w:val="left"/>
      </w:pPr>
      <w:r>
        <w:rPr/>
        <w:t>稀释每股收益的分子以归属于本公司普通股股东的当期净利润，调整下述因素后确定：（</w:t>
      </w:r>
      <w:r>
        <w:rPr>
          <w:rFonts w:ascii="Times New Roman" w:hAnsi="Times New Roman" w:cs="Times New Roman" w:eastAsia="Times New Roman" w:hint="default"/>
        </w:rPr>
        <w:t>1</w:t>
      </w:r>
      <w:r>
        <w:rPr/>
        <w:t>）当期已确认为费用的稀释</w:t>
      </w:r>
    </w:p>
    <w:p>
      <w:pPr>
        <w:spacing w:after="0" w:line="240" w:lineRule="auto"/>
        <w:jc w:val="left"/>
        <w:sectPr>
          <w:pgSz w:w="11910" w:h="16840"/>
          <w:pgMar w:header="0" w:footer="982" w:top="1060" w:bottom="1180" w:left="960" w:right="980"/>
        </w:sectPr>
      </w:pPr>
    </w:p>
    <w:p>
      <w:pPr>
        <w:spacing w:line="240" w:lineRule="auto" w:before="13"/>
        <w:rPr>
          <w:rFonts w:ascii="宋体" w:hAnsi="宋体" w:cs="宋体" w:eastAsia="宋体" w:hint="default"/>
          <w:sz w:val="25"/>
          <w:szCs w:val="25"/>
        </w:rPr>
      </w:pPr>
    </w:p>
    <w:p>
      <w:pPr>
        <w:pStyle w:val="BodyText"/>
        <w:spacing w:line="338" w:lineRule="auto" w:before="44"/>
        <w:ind w:left="573" w:right="181" w:hanging="420"/>
        <w:jc w:val="left"/>
      </w:pPr>
      <w:r>
        <w:rPr/>
        <w:t>性潜在普通股的利息；（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 稀释每股收益的分母等于下列两项之和：（</w:t>
      </w:r>
      <w:r>
        <w:rPr>
          <w:rFonts w:ascii="Times New Roman" w:hAnsi="Times New Roman" w:cs="Times New Roman" w:eastAsia="Times New Roman" w:hint="default"/>
        </w:rPr>
        <w:t>1</w:t>
      </w:r>
      <w:r>
        <w:rPr/>
        <w:t>）基本每股收益中母公司已发行普通股的加权平均数；及（</w:t>
      </w:r>
      <w:r>
        <w:rPr>
          <w:rFonts w:ascii="Times New Roman" w:hAnsi="Times New Roman" w:cs="Times New Roman" w:eastAsia="Times New Roman" w:hint="default"/>
        </w:rPr>
        <w:t>2</w:t>
      </w:r>
      <w:r>
        <w:rPr/>
        <w:t>）假定稀释</w:t>
      </w:r>
    </w:p>
    <w:p>
      <w:pPr>
        <w:pStyle w:val="BodyText"/>
        <w:spacing w:line="218" w:lineRule="exact"/>
        <w:ind w:right="181"/>
        <w:jc w:val="left"/>
      </w:pPr>
      <w:r>
        <w:rPr/>
        <w:t>性潜在普通股转换为普通股而增加的普通股的加权平均数。</w:t>
      </w:r>
    </w:p>
    <w:p>
      <w:pPr>
        <w:pStyle w:val="BodyText"/>
        <w:spacing w:line="319" w:lineRule="auto" w:before="116"/>
        <w:ind w:right="181" w:firstLine="419"/>
        <w:jc w:val="left"/>
      </w:pPr>
      <w:r>
        <w:rPr/>
        <w:t>在计算稀释性潜在普通股转换为已发行普通股而增加的普通股股数的加权平均数时，以前期间发行的稀释性潜在普通</w:t>
      </w:r>
      <w:r>
        <w:rPr>
          <w:spacing w:val="1"/>
        </w:rPr>
        <w:t> </w:t>
      </w:r>
      <w:r>
        <w:rPr/>
        <w:t>股，假设在当年年初转换；当年发行的稀释性潜在普通股，假设在发行日转换。</w:t>
      </w:r>
    </w:p>
    <w:p>
      <w:pPr>
        <w:pStyle w:val="BodyText"/>
        <w:spacing w:line="240" w:lineRule="auto" w:before="56"/>
        <w:ind w:left="634" w:right="181"/>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329"/>
        <w:gridCol w:w="1544"/>
        <w:gridCol w:w="1962"/>
        <w:gridCol w:w="1703"/>
        <w:gridCol w:w="2148"/>
      </w:tblGrid>
      <w:tr>
        <w:trPr>
          <w:trHeight w:val="435" w:hRule="exact"/>
        </w:trPr>
        <w:tc>
          <w:tcPr>
            <w:tcW w:w="2329" w:type="dxa"/>
            <w:vMerge w:val="restart"/>
            <w:tcBorders>
              <w:top w:val="single" w:sz="6" w:space="0" w:color="000000"/>
              <w:left w:val="single" w:sz="6" w:space="0" w:color="000000"/>
              <w:right w:val="single" w:sz="6" w:space="0" w:color="000000"/>
            </w:tcBorders>
          </w:tcPr>
          <w:p>
            <w:pPr>
              <w:pStyle w:val="TableParagraph"/>
              <w:spacing w:line="240" w:lineRule="auto" w:before="62"/>
              <w:ind w:left="70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0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85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32" w:hRule="exact"/>
        </w:trPr>
        <w:tc>
          <w:tcPr>
            <w:tcW w:w="2329" w:type="dxa"/>
            <w:vMerge/>
            <w:tcBorders>
              <w:left w:val="single" w:sz="6" w:space="0" w:color="000000"/>
              <w:bottom w:val="single" w:sz="12" w:space="0" w:color="000000"/>
              <w:right w:val="single" w:sz="6" w:space="0" w:color="000000"/>
            </w:tcBorders>
          </w:tcPr>
          <w:p>
            <w:pP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744" w:hRule="exact"/>
        </w:trPr>
        <w:tc>
          <w:tcPr>
            <w:tcW w:w="23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50"/>
              <w:jc w:val="left"/>
              <w:rPr>
                <w:rFonts w:ascii="宋体" w:hAnsi="宋体" w:cs="宋体" w:eastAsia="宋体" w:hint="default"/>
                <w:sz w:val="18"/>
                <w:szCs w:val="18"/>
              </w:rPr>
            </w:pPr>
            <w:r>
              <w:rPr>
                <w:rFonts w:ascii="宋体" w:hAnsi="宋体" w:cs="宋体" w:eastAsia="宋体" w:hint="default"/>
                <w:sz w:val="18"/>
                <w:szCs w:val="18"/>
              </w:rPr>
              <w:t>归属于公司普通股股东的净 利润</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0.11</w:t>
            </w:r>
          </w:p>
        </w:tc>
        <w:tc>
          <w:tcPr>
            <w:tcW w:w="1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0.11</w:t>
            </w:r>
          </w:p>
        </w:tc>
        <w:tc>
          <w:tcPr>
            <w:tcW w:w="1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0.29</w:t>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0.29</w:t>
            </w:r>
          </w:p>
        </w:tc>
      </w:tr>
      <w:tr>
        <w:trPr>
          <w:trHeight w:val="744" w:hRule="exact"/>
        </w:trPr>
        <w:tc>
          <w:tcPr>
            <w:tcW w:w="23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50"/>
              <w:jc w:val="left"/>
              <w:rPr>
                <w:rFonts w:ascii="宋体" w:hAnsi="宋体" w:cs="宋体" w:eastAsia="宋体" w:hint="default"/>
                <w:sz w:val="18"/>
                <w:szCs w:val="18"/>
              </w:rPr>
            </w:pPr>
            <w:r>
              <w:rPr>
                <w:rFonts w:ascii="宋体" w:hAnsi="宋体" w:cs="宋体" w:eastAsia="宋体" w:hint="default"/>
                <w:sz w:val="18"/>
                <w:szCs w:val="18"/>
              </w:rPr>
              <w:t>扣除非经常性损益后归属于 公司普通股股东的净利润</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-0.08</w:t>
            </w:r>
          </w:p>
        </w:tc>
        <w:tc>
          <w:tcPr>
            <w:tcW w:w="1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-0.08</w:t>
            </w:r>
          </w:p>
        </w:tc>
        <w:tc>
          <w:tcPr>
            <w:tcW w:w="17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0.14</w:t>
            </w:r>
          </w:p>
        </w:tc>
        <w:tc>
          <w:tcPr>
            <w:tcW w:w="21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0.14</w:t>
            </w:r>
          </w:p>
        </w:tc>
      </w:tr>
    </w:tbl>
    <w:p>
      <w:pPr>
        <w:pStyle w:val="BodyText"/>
        <w:spacing w:line="340" w:lineRule="auto" w:before="51"/>
        <w:ind w:left="573" w:right="1831"/>
        <w:jc w:val="left"/>
      </w:pPr>
      <w:r>
        <w:rPr/>
        <w:t>（</w:t>
      </w:r>
      <w:r>
        <w:rPr>
          <w:rFonts w:ascii="Times New Roman" w:hAnsi="Times New Roman" w:cs="Times New Roman" w:eastAsia="Times New Roman" w:hint="default"/>
        </w:rPr>
        <w:t>2</w:t>
      </w:r>
      <w:r>
        <w:rPr/>
        <w:t>）每股收益和稀释每股收益的计算过程 于报告期内，本公司不存在具有稀释性的潜在普通股，因此，稀释每股收益等于基本每股收益。</w:t>
      </w:r>
    </w:p>
    <w:p>
      <w:pPr>
        <w:pStyle w:val="BodyText"/>
        <w:spacing w:line="240" w:lineRule="auto" w:before="40"/>
        <w:ind w:left="573" w:right="181"/>
        <w:jc w:val="left"/>
      </w:pPr>
      <w:r>
        <w:rPr/>
        <w:t>①</w:t>
      </w:r>
      <w:r>
        <w:rPr>
          <w:spacing w:val="-19"/>
        </w:rPr>
        <w:t> </w:t>
      </w:r>
      <w:r>
        <w:rPr/>
        <w:t>计算基本每股收益时，归属于普通股股东的当期净利润为：</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636"/>
        <w:gridCol w:w="2572"/>
        <w:gridCol w:w="2443"/>
      </w:tblGrid>
      <w:tr>
        <w:trPr>
          <w:trHeight w:val="435" w:hRule="exact"/>
        </w:trPr>
        <w:tc>
          <w:tcPr>
            <w:tcW w:w="46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28"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4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67"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32" w:hRule="exact"/>
        </w:trPr>
        <w:tc>
          <w:tcPr>
            <w:tcW w:w="46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221,034,822.54</w:t>
            </w:r>
          </w:p>
        </w:tc>
        <w:tc>
          <w:tcPr>
            <w:tcW w:w="24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608,271,256.29</w:t>
            </w:r>
          </w:p>
        </w:tc>
      </w:tr>
      <w:tr>
        <w:trPr>
          <w:trHeight w:val="432" w:hRule="exact"/>
        </w:trPr>
        <w:tc>
          <w:tcPr>
            <w:tcW w:w="46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5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-159,717,900.37</w:t>
            </w:r>
          </w:p>
        </w:tc>
        <w:tc>
          <w:tcPr>
            <w:tcW w:w="24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285,121,911.63</w:t>
            </w:r>
          </w:p>
        </w:tc>
      </w:tr>
    </w:tbl>
    <w:p>
      <w:pPr>
        <w:pStyle w:val="Heading4"/>
        <w:spacing w:line="240" w:lineRule="auto" w:before="26"/>
        <w:ind w:right="181"/>
        <w:jc w:val="left"/>
      </w:pPr>
      <w:r>
        <w:rPr/>
        <w:t>②计算基本每股收益时，分母为发行在外普通股加权平均数，计算过程如下：</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753"/>
        <w:gridCol w:w="2543"/>
        <w:gridCol w:w="2354"/>
      </w:tblGrid>
      <w:tr>
        <w:trPr>
          <w:trHeight w:val="435" w:hRule="exact"/>
        </w:trPr>
        <w:tc>
          <w:tcPr>
            <w:tcW w:w="47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814"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723"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32" w:hRule="exact"/>
        </w:trPr>
        <w:tc>
          <w:tcPr>
            <w:tcW w:w="4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2,062,045,941</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2,062,045,941</w:t>
            </w:r>
          </w:p>
        </w:tc>
      </w:tr>
      <w:tr>
        <w:trPr>
          <w:trHeight w:val="432" w:hRule="exact"/>
        </w:trPr>
        <w:tc>
          <w:tcPr>
            <w:tcW w:w="4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543" w:type="dxa"/>
            <w:tcBorders>
              <w:top w:val="single" w:sz="12" w:space="0" w:color="000000"/>
              <w:left w:val="single" w:sz="6" w:space="0" w:color="000000"/>
              <w:bottom w:val="single" w:sz="12" w:space="0" w:color="000000"/>
              <w:right w:val="single" w:sz="6" w:space="0" w:color="000000"/>
            </w:tcBorders>
          </w:tcPr>
          <w:p>
            <w:pPr/>
          </w:p>
        </w:tc>
        <w:tc>
          <w:tcPr>
            <w:tcW w:w="235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543" w:type="dxa"/>
            <w:tcBorders>
              <w:top w:val="single" w:sz="12" w:space="0" w:color="000000"/>
              <w:left w:val="single" w:sz="6" w:space="0" w:color="000000"/>
              <w:bottom w:val="single" w:sz="12" w:space="0" w:color="000000"/>
              <w:right w:val="single" w:sz="6" w:space="0" w:color="000000"/>
            </w:tcBorders>
          </w:tcPr>
          <w:p>
            <w:pPr/>
          </w:p>
        </w:tc>
        <w:tc>
          <w:tcPr>
            <w:tcW w:w="235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2,062,045,941</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2,062,045,941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53</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690"/>
        <w:gridCol w:w="2569"/>
        <w:gridCol w:w="2424"/>
      </w:tblGrid>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25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2,517,765.07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-1,592,779.91</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69" w:type="dxa"/>
            <w:tcBorders>
              <w:top w:val="single" w:sz="4" w:space="0" w:color="000000"/>
              <w:left w:val="single" w:sz="13" w:space="0" w:color="D3D3D3"/>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2,517,765.07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-1,592,779.91</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569" w:type="dxa"/>
            <w:tcBorders>
              <w:top w:val="single" w:sz="4" w:space="0" w:color="000000"/>
              <w:left w:val="single" w:sz="13" w:space="0" w:color="D3D3D3"/>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69" w:type="dxa"/>
            <w:tcBorders>
              <w:top w:val="single" w:sz="4" w:space="0" w:color="000000"/>
              <w:left w:val="single" w:sz="13" w:space="0" w:color="D3D3D3"/>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5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712"/>
        <w:gridCol w:w="2557"/>
        <w:gridCol w:w="2424"/>
      </w:tblGrid>
      <w:tr>
        <w:trPr>
          <w:trHeight w:val="402" w:hRule="exact"/>
        </w:trPr>
        <w:tc>
          <w:tcPr>
            <w:tcW w:w="4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2,250,198.82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4" w:right="0"/>
              <w:jc w:val="left"/>
              <w:rPr>
                <w:rFonts w:ascii="Times New Roman" w:hAnsi="Times New Roman" w:cs="Times New Roman" w:eastAsia="Times New Roman" w:hint="default"/>
                <w:sz w:val="18"/>
                <w:szCs w:val="18"/>
              </w:rPr>
            </w:pPr>
            <w:r>
              <w:rPr>
                <w:rFonts w:ascii="Times New Roman"/>
                <w:sz w:val="18"/>
              </w:rPr>
              <w:t>-1,592,779.91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216,008,688.69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167,001,504.37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违约金及罚款收入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6,205,112.74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88,842,593.57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478,057,899.37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762,494,590.62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111,439,584.29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17,583,308.43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34,592,279.76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14,818,776.19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28,983,197.70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18,830,180.15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18,103,034.84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1,934,818.20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3,979,348.07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49,905,145.55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支付其他费用及往来款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469,886,496.42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1,532,550,760.22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3" coordorigin="10,5" coordsize="2,413">
              <v:shape style="position:absolute;left:10;top:5;width:2;height:413" coordorigin="10,5" coordsize="0,413" path="m10,5l10,418e" filled="false" stroked="true" strokeweight=".48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收到专项资金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61,754,257.18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收拆迁补偿款项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预收出售土地款</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淘汰落后产能政府补助资金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收到上期股权转让款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84,150,229.50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825,144,486.68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发行中期票据</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1,083,500,000.00</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限制性银行存款本期增加</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899,777,585.47</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899,777,585.47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46,686,257.07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588,726,782.82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69,456,190.75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41,216,449.59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1,473,181,848.12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1,206,175,316.98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38,461,236.57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34,988,533.32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14,644,085.34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7,057,269.94</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-26,092,788.22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-15,389,632.59</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-47,822,076.87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-48,173,926.26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1,229,226,170.56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527,560,633.17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35,524,960.75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-7,871,420.17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-219,648,615.62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-26,516,055.04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1,340,281.66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1,216,128,795.92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-2,588,229,997.88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-162,385,476.43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-184,145,006.15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-1,006,510,462.52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-1,572,607,592.36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-703,983,647.43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1,598,405,352.08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1,956,866,477.99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-437,463,010.89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2,317,048,619.53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2,317,048,619.53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1,855,235,979.80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26,501,565.92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461,812,639.73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131,555,073.05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79,951,123.62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5,474,107.49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51,603,949.43</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257,951,123.62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60,039,220.31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257,951,123.62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53,282,686.08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22,523,482.20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15,766,947.97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396,850,000.00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179,479,961.00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处置子公司及其他营业单位收到的现金和现金等价物</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91,989,981.50</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10,771,766.96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6,156,119.85</w:t>
            </w:r>
          </w:p>
        </w:tc>
      </w:tr>
      <w:tr>
        <w:trPr>
          <w:trHeight w:val="401"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114,228,233.04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85,833,861.65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432,005,299.29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328,562,383.64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563,633,079.26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293,510,418.91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875,610,612.06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402,088,992.19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991,181,707.26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360,977,493.90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16,056,684.77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6,059,533.56</w:t>
            </w:r>
          </w:p>
        </w:tc>
      </w:tr>
    </w:tbl>
    <w:p>
      <w:pPr>
        <w:spacing w:line="240" w:lineRule="auto" w:before="2"/>
        <w:rPr>
          <w:rFonts w:ascii="宋体" w:hAnsi="宋体" w:cs="宋体" w:eastAsia="宋体" w:hint="default"/>
          <w:sz w:val="19"/>
          <w:szCs w:val="19"/>
        </w:rPr>
      </w:pPr>
    </w:p>
    <w:p>
      <w:pPr>
        <w:pStyle w:val="Heading3"/>
        <w:spacing w:line="240" w:lineRule="auto" w:before="35"/>
        <w:ind w:right="271"/>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2,317,048,619.53</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1,398,324.17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1,908,702.31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2,342,151,861.28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2,315,139,917.22</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2,317,048,619.53</w:t>
            </w:r>
          </w:p>
        </w:tc>
      </w:tr>
    </w:tbl>
    <w:p>
      <w:pPr>
        <w:pStyle w:val="BodyText"/>
        <w:spacing w:line="357" w:lineRule="auto" w:before="52"/>
        <w:ind w:left="444" w:right="4620" w:hanging="291"/>
        <w:jc w:val="left"/>
      </w:pPr>
      <w:r>
        <w:rPr/>
        <w:t>现金流量表补充资料的说明 现金和现金等价物不含本集团使用受限制的现金和现金等价物。</w:t>
      </w:r>
    </w:p>
    <w:p>
      <w:pPr>
        <w:spacing w:line="240" w:lineRule="auto" w:before="2"/>
        <w:rPr>
          <w:rFonts w:ascii="宋体" w:hAnsi="宋体" w:cs="宋体" w:eastAsia="宋体" w:hint="default"/>
          <w:sz w:val="20"/>
          <w:szCs w:val="20"/>
        </w:rPr>
      </w:pPr>
    </w:p>
    <w:p>
      <w:pPr>
        <w:pStyle w:val="Heading3"/>
        <w:spacing w:line="240" w:lineRule="auto"/>
        <w:ind w:right="271"/>
        <w:jc w:val="left"/>
        <w:rPr>
          <w:b w:val="0"/>
          <w:bCs w:val="0"/>
        </w:rPr>
      </w:pPr>
      <w:r>
        <w:rPr/>
        <w:t>八、</w:t>
      </w:r>
      <w:r>
        <w:rPr>
          <w:spacing w:val="-3"/>
        </w:rPr>
        <w:t> </w:t>
      </w:r>
      <w:r>
        <w:rPr/>
        <w:t>分部报告</w:t>
      </w:r>
      <w:r>
        <w:rPr>
          <w:b w:val="0"/>
          <w:bCs w:val="0"/>
        </w:rPr>
      </w:r>
    </w:p>
    <w:p>
      <w:pPr>
        <w:spacing w:line="240" w:lineRule="auto" w:before="9"/>
        <w:rPr>
          <w:rFonts w:ascii="宋体" w:hAnsi="宋体" w:cs="宋体" w:eastAsia="宋体" w:hint="default"/>
          <w:b/>
          <w:bCs/>
          <w:sz w:val="27"/>
          <w:szCs w:val="27"/>
        </w:rPr>
      </w:pPr>
    </w:p>
    <w:p>
      <w:pPr>
        <w:pStyle w:val="BodyText"/>
        <w:spacing w:line="302" w:lineRule="auto"/>
        <w:ind w:right="398" w:firstLine="419"/>
        <w:jc w:val="both"/>
      </w:pPr>
      <w:r>
        <w:rPr/>
        <w:t>本公司</w:t>
      </w:r>
      <w:r>
        <w:rPr>
          <w:rFonts w:ascii="Times New Roman" w:hAnsi="Times New Roman" w:cs="Times New Roman" w:eastAsia="Times New Roman" w:hint="default"/>
        </w:rPr>
        <w:t>2010</w:t>
      </w:r>
      <w:r>
        <w:rPr/>
        <w:t>年按《企业会计准则解释第</w:t>
      </w:r>
      <w:r>
        <w:rPr>
          <w:rFonts w:ascii="Times New Roman" w:hAnsi="Times New Roman" w:cs="Times New Roman" w:eastAsia="Times New Roman" w:hint="default"/>
        </w:rPr>
        <w:t>3</w:t>
      </w:r>
      <w:r>
        <w:rPr/>
        <w:t>号》的规定确定报告分部并披露分部信息，不再执行《企业会计准则第</w:t>
      </w:r>
      <w:r>
        <w:rPr>
          <w:rFonts w:ascii="Times New Roman" w:hAnsi="Times New Roman" w:cs="Times New Roman" w:eastAsia="Times New Roman" w:hint="default"/>
        </w:rPr>
        <w:t>35</w:t>
      </w:r>
      <w:r>
        <w:rPr/>
        <w:t>号</w:t>
      </w:r>
      <w:r>
        <w:rPr>
          <w:rFonts w:ascii="Times New Roman" w:hAnsi="Times New Roman" w:cs="Times New Roman" w:eastAsia="Times New Roman" w:hint="default"/>
        </w:rPr>
        <w:t>- </w:t>
      </w:r>
      <w:r>
        <w:rPr/>
        <w:t>分部报告》关于确定地区分部和业务分部以及按照主要报告形式、次要报告形式披露分部信息的规定。</w:t>
      </w:r>
    </w:p>
    <w:p>
      <w:pPr>
        <w:pStyle w:val="BodyText"/>
        <w:spacing w:line="309" w:lineRule="auto" w:before="68"/>
        <w:ind w:left="240" w:right="329" w:firstLine="314"/>
        <w:jc w:val="both"/>
      </w:pPr>
      <w:r>
        <w:rPr>
          <w:spacing w:val="-1"/>
        </w:rPr>
        <w:t>根据本公司的内部组织结构、管理要求及内部报告制度，本公司的经营业务划分为</w:t>
      </w:r>
      <w:r>
        <w:rPr>
          <w:rFonts w:ascii="Times New Roman" w:hAnsi="Times New Roman" w:cs="Times New Roman" w:eastAsia="Times New Roman" w:hint="default"/>
          <w:spacing w:val="-1"/>
        </w:rPr>
        <w:t>4</w:t>
      </w:r>
      <w:r>
        <w:rPr>
          <w:spacing w:val="-1"/>
        </w:rPr>
        <w:t>个报告分部，这些报告分部是以主</w:t>
      </w:r>
      <w:r>
        <w:rPr/>
        <w:t> 要产品类型为基础确定的。集团的管理层定期评价这些报告分部的经营成果，以决定向其分配资源及评价其业绩。本公司 各个报告分部提供的主要产品及劳务分别为机制纸、建筑材料、电及汽及其他。</w:t>
      </w:r>
    </w:p>
    <w:p>
      <w:pPr>
        <w:pStyle w:val="BodyText"/>
        <w:spacing w:line="319" w:lineRule="auto" w:before="62"/>
        <w:ind w:left="240" w:right="387" w:firstLine="314"/>
        <w:jc w:val="both"/>
      </w:pPr>
      <w:r>
        <w:rPr/>
        <w:t>分部报告信息根据各分部向管理层报告时采用的会计政策及计量标准披露，这些计量基础与编制财务报表时的会计与 计量基础保持一致。</w:t>
      </w:r>
    </w:p>
    <w:p>
      <w:pPr>
        <w:pStyle w:val="BodyText"/>
        <w:spacing w:line="240" w:lineRule="auto" w:before="56"/>
        <w:ind w:left="614" w:right="271"/>
        <w:jc w:val="left"/>
      </w:pPr>
      <w:r>
        <w:rPr/>
        <w:t>1.  分部收益</w:t>
      </w:r>
    </w:p>
    <w:p>
      <w:pPr>
        <w:pStyle w:val="BodyText"/>
        <w:spacing w:line="240" w:lineRule="auto" w:before="117"/>
        <w:ind w:left="0" w:right="329"/>
        <w:jc w:val="right"/>
      </w:pPr>
      <w:r>
        <w:rPr>
          <w:spacing w:val="-1"/>
        </w:rPr>
        <w:t>金额单位：万元</w:t>
      </w:r>
    </w:p>
    <w:p>
      <w:pPr>
        <w:pStyle w:val="Heading5"/>
        <w:tabs>
          <w:tab w:pos="5742" w:val="left" w:leader="none"/>
          <w:tab w:pos="8418" w:val="left" w:leader="none"/>
        </w:tabs>
        <w:spacing w:line="240" w:lineRule="auto" w:before="149"/>
        <w:ind w:left="3187" w:right="271"/>
        <w:jc w:val="left"/>
      </w:pPr>
      <w:r>
        <w:rPr/>
        <w:t>机制纸</w:t>
        <w:tab/>
        <w:t>建筑材料</w:t>
        <w:tab/>
        <w:t>电及汽</w:t>
      </w:r>
    </w:p>
    <w:p>
      <w:pPr>
        <w:pStyle w:val="Heading5"/>
        <w:tabs>
          <w:tab w:pos="2605" w:val="left" w:leader="none"/>
          <w:tab w:pos="3970" w:val="left" w:leader="none"/>
          <w:tab w:pos="5335" w:val="left" w:leader="none"/>
          <w:tab w:pos="6623" w:val="left" w:leader="none"/>
          <w:tab w:pos="7835" w:val="left" w:leader="none"/>
          <w:tab w:pos="9124" w:val="left" w:leader="none"/>
        </w:tabs>
        <w:spacing w:line="240" w:lineRule="auto" w:before="91"/>
        <w:ind w:left="937" w:right="271"/>
        <w:jc w:val="left"/>
      </w:pPr>
      <w:r>
        <w:rPr/>
        <w:pict>
          <v:group style="position:absolute;margin-left:154.860001pt;margin-top:6.036741pt;width:394.2pt;height:.1pt;mso-position-horizontal-relative:page;mso-position-vertical-relative:paragraph;z-index:-1369312" coordorigin="3097,121" coordsize="7884,2">
            <v:shape style="position:absolute;left:3097;top:121;width:7884;height:2" coordorigin="3097,121" coordsize="7884,0" path="m3097,121l10981,121e" filled="false" stroked="true" strokeweight="1.5pt" strokecolor="#000000">
              <v:path arrowok="t"/>
            </v:shape>
            <w10:wrap type="none"/>
          </v:group>
        </w:pict>
      </w:r>
      <w:r>
        <w:rPr>
          <w:position w:val="8"/>
        </w:rPr>
        <w:t>项目</w:t>
        <w:tab/>
      </w:r>
      <w:r>
        <w:rPr/>
        <w:t>本年</w:t>
        <w:tab/>
        <w:t>上年</w:t>
        <w:tab/>
        <w:t>本年</w:t>
        <w:tab/>
        <w:t>上年</w:t>
        <w:tab/>
        <w:t>本年</w:t>
        <w:tab/>
        <w:t>上年</w:t>
      </w:r>
    </w:p>
    <w:p>
      <w:pPr>
        <w:spacing w:line="240" w:lineRule="auto" w:before="0"/>
        <w:rPr>
          <w:rFonts w:ascii="宋体" w:hAnsi="宋体" w:cs="宋体" w:eastAsia="宋体" w:hint="default"/>
          <w:sz w:val="8"/>
          <w:szCs w:val="8"/>
        </w:rPr>
      </w:pPr>
    </w:p>
    <w:p>
      <w:pPr>
        <w:spacing w:line="30" w:lineRule="exact"/>
        <w:ind w:left="14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5pt;height:1.5pt;mso-position-horizontal-relative:char;mso-position-vertical-relative:line" coordorigin="0,0" coordsize="9870,30">
            <v:group style="position:absolute;left:15;top:15;width:9840;height:2" coordorigin="15,15" coordsize="9840,2">
              <v:shape style="position:absolute;left:15;top:15;width:9840;height:2" coordorigin="15,15" coordsize="9840,0" path="m15,15l9855,15e" filled="false" stroked="true" strokeweight="1.5pt" strokecolor="#000000">
                <v:path arrowok="t"/>
              </v:shape>
            </v:group>
          </v:group>
        </w:pict>
      </w:r>
      <w:r>
        <w:rPr>
          <w:rFonts w:ascii="宋体" w:hAnsi="宋体" w:cs="宋体" w:eastAsia="宋体" w:hint="default"/>
          <w:position w:val="0"/>
          <w:sz w:val="3"/>
          <w:szCs w:val="3"/>
        </w:rPr>
      </w:r>
    </w:p>
    <w:tbl>
      <w:tblPr>
        <w:tblW w:w="0" w:type="auto"/>
        <w:jc w:val="left"/>
        <w:tblInd w:w="118" w:type="dxa"/>
        <w:tblLayout w:type="fixed"/>
        <w:tblCellMar>
          <w:top w:w="0" w:type="dxa"/>
          <w:left w:w="0" w:type="dxa"/>
          <w:bottom w:w="0" w:type="dxa"/>
          <w:right w:w="0" w:type="dxa"/>
        </w:tblCellMar>
        <w:tblLook w:val="01E0"/>
      </w:tblPr>
      <w:tblGrid>
        <w:gridCol w:w="1949"/>
        <w:gridCol w:w="1621"/>
        <w:gridCol w:w="1477"/>
        <w:gridCol w:w="1290"/>
        <w:gridCol w:w="1168"/>
        <w:gridCol w:w="1287"/>
        <w:gridCol w:w="1091"/>
      </w:tblGrid>
      <w:tr>
        <w:trPr>
          <w:trHeight w:val="410" w:hRule="exact"/>
        </w:trPr>
        <w:tc>
          <w:tcPr>
            <w:tcW w:w="194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62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09"/>
              <w:jc w:val="right"/>
              <w:rPr>
                <w:rFonts w:ascii="Times New Roman" w:hAnsi="Times New Roman" w:cs="Times New Roman" w:eastAsia="Times New Roman" w:hint="default"/>
                <w:sz w:val="18"/>
                <w:szCs w:val="18"/>
              </w:rPr>
            </w:pPr>
            <w:r>
              <w:rPr>
                <w:rFonts w:ascii="Times New Roman"/>
                <w:spacing w:val="-1"/>
                <w:sz w:val="18"/>
              </w:rPr>
              <w:t>1,814,818.44</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319"/>
              <w:jc w:val="right"/>
              <w:rPr>
                <w:rFonts w:ascii="Times New Roman" w:hAnsi="Times New Roman" w:cs="Times New Roman" w:eastAsia="Times New Roman" w:hint="default"/>
                <w:sz w:val="18"/>
                <w:szCs w:val="18"/>
              </w:rPr>
            </w:pPr>
            <w:r>
              <w:rPr>
                <w:rFonts w:ascii="Times New Roman"/>
                <w:spacing w:val="-1"/>
                <w:sz w:val="18"/>
              </w:rPr>
              <w:t>1,634,009.71</w:t>
            </w:r>
          </w:p>
        </w:tc>
        <w:tc>
          <w:tcPr>
            <w:tcW w:w="1290"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43"/>
              <w:jc w:val="right"/>
              <w:rPr>
                <w:rFonts w:ascii="Times New Roman" w:hAnsi="Times New Roman" w:cs="Times New Roman" w:eastAsia="Times New Roman" w:hint="default"/>
                <w:sz w:val="18"/>
                <w:szCs w:val="18"/>
              </w:rPr>
            </w:pPr>
            <w:r>
              <w:rPr>
                <w:rFonts w:ascii="Times New Roman"/>
                <w:sz w:val="18"/>
              </w:rPr>
              <w:t>34,477.81</w:t>
            </w:r>
          </w:p>
        </w:tc>
        <w:tc>
          <w:tcPr>
            <w:tcW w:w="1168"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45" w:right="0"/>
              <w:jc w:val="center"/>
              <w:rPr>
                <w:rFonts w:ascii="Times New Roman" w:hAnsi="Times New Roman" w:cs="Times New Roman" w:eastAsia="Times New Roman" w:hint="default"/>
                <w:sz w:val="18"/>
                <w:szCs w:val="18"/>
              </w:rPr>
            </w:pPr>
            <w:r>
              <w:rPr>
                <w:rFonts w:ascii="Times New Roman"/>
                <w:sz w:val="18"/>
              </w:rPr>
              <w:t>37,699.53</w:t>
            </w:r>
          </w:p>
        </w:tc>
        <w:tc>
          <w:tcPr>
            <w:tcW w:w="1287"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74"/>
              <w:jc w:val="right"/>
              <w:rPr>
                <w:rFonts w:ascii="Times New Roman" w:hAnsi="Times New Roman" w:cs="Times New Roman" w:eastAsia="Times New Roman" w:hint="default"/>
                <w:sz w:val="18"/>
                <w:szCs w:val="18"/>
              </w:rPr>
            </w:pPr>
            <w:r>
              <w:rPr>
                <w:rFonts w:ascii="Times New Roman"/>
                <w:sz w:val="18"/>
              </w:rPr>
              <w:t>80,033.10</w:t>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z w:val="18"/>
              </w:rPr>
              <w:t>66,017.74</w:t>
            </w:r>
          </w:p>
        </w:tc>
      </w:tr>
      <w:tr>
        <w:trPr>
          <w:trHeight w:val="432" w:hRule="exact"/>
        </w:trPr>
        <w:tc>
          <w:tcPr>
            <w:tcW w:w="19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21" w:type="dxa"/>
            <w:tcBorders>
              <w:top w:val="single" w:sz="12" w:space="0" w:color="000000"/>
              <w:left w:val="nil" w:sz="6" w:space="0" w:color="auto"/>
              <w:bottom w:val="single" w:sz="12" w:space="0" w:color="000000"/>
              <w:right w:val="nil" w:sz="6" w:space="0" w:color="auto"/>
            </w:tcBorders>
          </w:tcPr>
          <w:p>
            <w:pPr/>
          </w:p>
        </w:tc>
        <w:tc>
          <w:tcPr>
            <w:tcW w:w="1477" w:type="dxa"/>
            <w:tcBorders>
              <w:top w:val="single" w:sz="12" w:space="0" w:color="000000"/>
              <w:left w:val="nil" w:sz="6" w:space="0" w:color="auto"/>
              <w:bottom w:val="single" w:sz="12" w:space="0" w:color="000000"/>
              <w:right w:val="nil" w:sz="6" w:space="0" w:color="auto"/>
            </w:tcBorders>
          </w:tcPr>
          <w:p>
            <w:pPr/>
          </w:p>
        </w:tc>
        <w:tc>
          <w:tcPr>
            <w:tcW w:w="12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4"/>
              <w:jc w:val="right"/>
              <w:rPr>
                <w:rFonts w:ascii="Times New Roman" w:hAnsi="Times New Roman" w:cs="Times New Roman" w:eastAsia="Times New Roman" w:hint="default"/>
                <w:sz w:val="18"/>
                <w:szCs w:val="18"/>
              </w:rPr>
            </w:pPr>
            <w:r>
              <w:rPr>
                <w:rFonts w:ascii="Times New Roman"/>
                <w:sz w:val="18"/>
              </w:rPr>
              <w:t>6,512.70</w:t>
            </w:r>
          </w:p>
        </w:tc>
        <w:tc>
          <w:tcPr>
            <w:tcW w:w="11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137" w:right="0"/>
              <w:jc w:val="center"/>
              <w:rPr>
                <w:rFonts w:ascii="Times New Roman" w:hAnsi="Times New Roman" w:cs="Times New Roman" w:eastAsia="Times New Roman" w:hint="default"/>
                <w:sz w:val="18"/>
                <w:szCs w:val="18"/>
              </w:rPr>
            </w:pPr>
            <w:r>
              <w:rPr>
                <w:rFonts w:ascii="Times New Roman"/>
                <w:sz w:val="18"/>
              </w:rPr>
              <w:t>7,512.95</w:t>
            </w:r>
          </w:p>
        </w:tc>
        <w:tc>
          <w:tcPr>
            <w:tcW w:w="12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74"/>
              <w:jc w:val="right"/>
              <w:rPr>
                <w:rFonts w:ascii="Times New Roman" w:hAnsi="Times New Roman" w:cs="Times New Roman" w:eastAsia="Times New Roman" w:hint="default"/>
                <w:sz w:val="18"/>
                <w:szCs w:val="18"/>
              </w:rPr>
            </w:pPr>
            <w:r>
              <w:rPr>
                <w:rFonts w:ascii="Times New Roman"/>
                <w:sz w:val="18"/>
              </w:rPr>
              <w:t>70,568.56</w:t>
            </w:r>
          </w:p>
        </w:tc>
        <w:tc>
          <w:tcPr>
            <w:tcW w:w="10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59,401.97</w:t>
            </w:r>
          </w:p>
        </w:tc>
      </w:tr>
      <w:tr>
        <w:trPr>
          <w:trHeight w:val="432" w:hRule="exact"/>
        </w:trPr>
        <w:tc>
          <w:tcPr>
            <w:tcW w:w="19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6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pacing w:val="-1"/>
                <w:sz w:val="18"/>
              </w:rPr>
              <w:t>1,814,818.44</w:t>
            </w:r>
          </w:p>
        </w:tc>
        <w:tc>
          <w:tcPr>
            <w:tcW w:w="14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pacing w:val="-1"/>
                <w:sz w:val="18"/>
              </w:rPr>
              <w:t>1,634,009.71</w:t>
            </w:r>
          </w:p>
        </w:tc>
        <w:tc>
          <w:tcPr>
            <w:tcW w:w="12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3"/>
              <w:jc w:val="right"/>
              <w:rPr>
                <w:rFonts w:ascii="Times New Roman" w:hAnsi="Times New Roman" w:cs="Times New Roman" w:eastAsia="Times New Roman" w:hint="default"/>
                <w:sz w:val="18"/>
                <w:szCs w:val="18"/>
              </w:rPr>
            </w:pPr>
            <w:r>
              <w:rPr>
                <w:rFonts w:ascii="Times New Roman"/>
                <w:sz w:val="18"/>
              </w:rPr>
              <w:t>40,990.51</w:t>
            </w:r>
          </w:p>
        </w:tc>
        <w:tc>
          <w:tcPr>
            <w:tcW w:w="11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45,212.48</w:t>
            </w:r>
          </w:p>
        </w:tc>
        <w:tc>
          <w:tcPr>
            <w:tcW w:w="12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73"/>
              <w:jc w:val="right"/>
              <w:rPr>
                <w:rFonts w:ascii="Times New Roman" w:hAnsi="Times New Roman" w:cs="Times New Roman" w:eastAsia="Times New Roman" w:hint="default"/>
                <w:sz w:val="18"/>
                <w:szCs w:val="18"/>
              </w:rPr>
            </w:pPr>
            <w:r>
              <w:rPr>
                <w:rFonts w:ascii="Times New Roman"/>
                <w:sz w:val="18"/>
              </w:rPr>
              <w:t>150,601.66</w:t>
            </w:r>
          </w:p>
        </w:tc>
        <w:tc>
          <w:tcPr>
            <w:tcW w:w="10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125,419.71</w:t>
            </w:r>
          </w:p>
        </w:tc>
      </w:tr>
      <w:tr>
        <w:trPr>
          <w:trHeight w:val="432" w:hRule="exact"/>
        </w:trPr>
        <w:tc>
          <w:tcPr>
            <w:tcW w:w="19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pacing w:val="-1"/>
                <w:sz w:val="18"/>
              </w:rPr>
              <w:t>1,668,138.63</w:t>
            </w:r>
          </w:p>
        </w:tc>
        <w:tc>
          <w:tcPr>
            <w:tcW w:w="14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pacing w:val="-1"/>
                <w:sz w:val="18"/>
              </w:rPr>
              <w:t>1,485,475.14</w:t>
            </w:r>
          </w:p>
        </w:tc>
        <w:tc>
          <w:tcPr>
            <w:tcW w:w="12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3"/>
              <w:jc w:val="right"/>
              <w:rPr>
                <w:rFonts w:ascii="Times New Roman" w:hAnsi="Times New Roman" w:cs="Times New Roman" w:eastAsia="Times New Roman" w:hint="default"/>
                <w:sz w:val="18"/>
                <w:szCs w:val="18"/>
              </w:rPr>
            </w:pPr>
            <w:r>
              <w:rPr>
                <w:rFonts w:ascii="Times New Roman"/>
                <w:sz w:val="18"/>
              </w:rPr>
              <w:t>40,129.05</w:t>
            </w:r>
          </w:p>
        </w:tc>
        <w:tc>
          <w:tcPr>
            <w:tcW w:w="11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44,727.45</w:t>
            </w:r>
          </w:p>
        </w:tc>
        <w:tc>
          <w:tcPr>
            <w:tcW w:w="12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73"/>
              <w:jc w:val="right"/>
              <w:rPr>
                <w:rFonts w:ascii="Times New Roman" w:hAnsi="Times New Roman" w:cs="Times New Roman" w:eastAsia="Times New Roman" w:hint="default"/>
                <w:sz w:val="18"/>
                <w:szCs w:val="18"/>
              </w:rPr>
            </w:pPr>
            <w:r>
              <w:rPr>
                <w:rFonts w:ascii="Times New Roman"/>
                <w:sz w:val="18"/>
              </w:rPr>
              <w:t>132,503.75</w:t>
            </w:r>
          </w:p>
        </w:tc>
        <w:tc>
          <w:tcPr>
            <w:tcW w:w="10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121,815.38</w:t>
            </w:r>
          </w:p>
        </w:tc>
      </w:tr>
      <w:tr>
        <w:trPr>
          <w:trHeight w:val="432" w:hRule="exact"/>
        </w:trPr>
        <w:tc>
          <w:tcPr>
            <w:tcW w:w="19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6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z w:val="18"/>
              </w:rPr>
              <w:t>146,679.81</w:t>
            </w:r>
          </w:p>
        </w:tc>
        <w:tc>
          <w:tcPr>
            <w:tcW w:w="14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148,534.57</w:t>
            </w:r>
          </w:p>
        </w:tc>
        <w:tc>
          <w:tcPr>
            <w:tcW w:w="12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5"/>
              <w:jc w:val="right"/>
              <w:rPr>
                <w:rFonts w:ascii="Times New Roman" w:hAnsi="Times New Roman" w:cs="Times New Roman" w:eastAsia="Times New Roman" w:hint="default"/>
                <w:sz w:val="18"/>
                <w:szCs w:val="18"/>
              </w:rPr>
            </w:pPr>
            <w:r>
              <w:rPr>
                <w:rFonts w:ascii="Times New Roman"/>
                <w:sz w:val="18"/>
              </w:rPr>
              <w:t>861.46</w:t>
            </w:r>
          </w:p>
        </w:tc>
        <w:tc>
          <w:tcPr>
            <w:tcW w:w="11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270" w:right="0"/>
              <w:jc w:val="center"/>
              <w:rPr>
                <w:rFonts w:ascii="Times New Roman" w:hAnsi="Times New Roman" w:cs="Times New Roman" w:eastAsia="Times New Roman" w:hint="default"/>
                <w:sz w:val="18"/>
                <w:szCs w:val="18"/>
              </w:rPr>
            </w:pPr>
            <w:r>
              <w:rPr>
                <w:rFonts w:ascii="Times New Roman"/>
                <w:sz w:val="18"/>
              </w:rPr>
              <w:t>485.03</w:t>
            </w:r>
          </w:p>
        </w:tc>
        <w:tc>
          <w:tcPr>
            <w:tcW w:w="12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74"/>
              <w:jc w:val="right"/>
              <w:rPr>
                <w:rFonts w:ascii="Times New Roman" w:hAnsi="Times New Roman" w:cs="Times New Roman" w:eastAsia="Times New Roman" w:hint="default"/>
                <w:sz w:val="18"/>
                <w:szCs w:val="18"/>
              </w:rPr>
            </w:pPr>
            <w:r>
              <w:rPr>
                <w:rFonts w:ascii="Times New Roman"/>
                <w:sz w:val="18"/>
              </w:rPr>
              <w:t>18,097.91</w:t>
            </w:r>
          </w:p>
        </w:tc>
        <w:tc>
          <w:tcPr>
            <w:tcW w:w="10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3,604.33</w:t>
            </w:r>
          </w:p>
        </w:tc>
      </w:tr>
      <w:tr>
        <w:trPr>
          <w:trHeight w:val="412" w:hRule="exact"/>
        </w:trPr>
        <w:tc>
          <w:tcPr>
            <w:tcW w:w="1949"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p>
        </w:tc>
        <w:tc>
          <w:tcPr>
            <w:tcW w:w="1621" w:type="dxa"/>
            <w:tcBorders>
              <w:top w:val="single" w:sz="12" w:space="0" w:color="000000"/>
              <w:left w:val="nil" w:sz="6" w:space="0" w:color="auto"/>
              <w:bottom w:val="nil" w:sz="6" w:space="0" w:color="auto"/>
              <w:right w:val="nil" w:sz="6" w:space="0" w:color="auto"/>
            </w:tcBorders>
          </w:tcPr>
          <w:p>
            <w:pPr/>
          </w:p>
        </w:tc>
        <w:tc>
          <w:tcPr>
            <w:tcW w:w="1477" w:type="dxa"/>
            <w:tcBorders>
              <w:top w:val="single" w:sz="12" w:space="0" w:color="000000"/>
              <w:left w:val="nil" w:sz="6" w:space="0" w:color="auto"/>
              <w:bottom w:val="nil" w:sz="6" w:space="0" w:color="auto"/>
              <w:right w:val="nil" w:sz="6" w:space="0" w:color="auto"/>
            </w:tcBorders>
          </w:tcPr>
          <w:p>
            <w:pPr/>
          </w:p>
        </w:tc>
        <w:tc>
          <w:tcPr>
            <w:tcW w:w="1290" w:type="dxa"/>
            <w:tcBorders>
              <w:top w:val="single" w:sz="12" w:space="0" w:color="000000"/>
              <w:left w:val="nil" w:sz="6" w:space="0" w:color="auto"/>
              <w:bottom w:val="nil" w:sz="6" w:space="0" w:color="auto"/>
              <w:right w:val="nil" w:sz="6" w:space="0" w:color="auto"/>
            </w:tcBorders>
          </w:tcPr>
          <w:p>
            <w:pPr/>
          </w:p>
        </w:tc>
        <w:tc>
          <w:tcPr>
            <w:tcW w:w="1168" w:type="dxa"/>
            <w:tcBorders>
              <w:top w:val="single" w:sz="12" w:space="0" w:color="000000"/>
              <w:left w:val="nil" w:sz="6" w:space="0" w:color="auto"/>
              <w:bottom w:val="nil" w:sz="6" w:space="0" w:color="auto"/>
              <w:right w:val="nil" w:sz="6" w:space="0" w:color="auto"/>
            </w:tcBorders>
          </w:tcPr>
          <w:p>
            <w:pPr/>
          </w:p>
        </w:tc>
        <w:tc>
          <w:tcPr>
            <w:tcW w:w="1287" w:type="dxa"/>
            <w:tcBorders>
              <w:top w:val="single" w:sz="12" w:space="0" w:color="000000"/>
              <w:left w:val="nil" w:sz="6" w:space="0" w:color="auto"/>
              <w:bottom w:val="nil" w:sz="6" w:space="0" w:color="auto"/>
              <w:right w:val="nil" w:sz="6" w:space="0" w:color="auto"/>
            </w:tcBorders>
          </w:tcPr>
          <w:p>
            <w:pPr/>
          </w:p>
        </w:tc>
        <w:tc>
          <w:tcPr>
            <w:tcW w:w="1091" w:type="dxa"/>
            <w:tcBorders>
              <w:top w:val="single" w:sz="12" w:space="0" w:color="000000"/>
              <w:left w:val="nil" w:sz="6" w:space="0" w:color="auto"/>
              <w:bottom w:val="nil" w:sz="6" w:space="0" w:color="auto"/>
              <w:right w:val="nil" w:sz="6" w:space="0" w:color="auto"/>
            </w:tcBorders>
          </w:tcPr>
          <w:p>
            <w:pPr/>
          </w:p>
        </w:tc>
      </w:tr>
    </w:tbl>
    <w:p>
      <w:pPr>
        <w:pStyle w:val="BodyText"/>
        <w:spacing w:line="240" w:lineRule="auto" w:before="13"/>
        <w:ind w:left="0" w:right="330"/>
        <w:jc w:val="right"/>
      </w:pPr>
      <w:r>
        <w:rPr>
          <w:spacing w:val="-1"/>
        </w:rPr>
        <w:t>金额单位：万元</w:t>
      </w:r>
    </w:p>
    <w:p>
      <w:pPr>
        <w:spacing w:after="0" w:line="240" w:lineRule="auto"/>
        <w:jc w:val="right"/>
        <w:sectPr>
          <w:pgSz w:w="11910" w:h="16840"/>
          <w:pgMar w:header="0" w:footer="982" w:top="1060" w:bottom="1180" w:left="980" w:right="800"/>
        </w:sectPr>
      </w:pPr>
    </w:p>
    <w:p>
      <w:pPr>
        <w:spacing w:line="240" w:lineRule="auto" w:before="13"/>
        <w:rPr>
          <w:rFonts w:ascii="宋体" w:hAnsi="宋体" w:cs="宋体" w:eastAsia="宋体" w:hint="default"/>
          <w:sz w:val="28"/>
          <w:szCs w:val="28"/>
        </w:rPr>
      </w:pPr>
    </w:p>
    <w:p>
      <w:pPr>
        <w:pStyle w:val="Heading5"/>
        <w:tabs>
          <w:tab w:pos="5133" w:val="left" w:leader="none"/>
          <w:tab w:pos="8296" w:val="left" w:leader="none"/>
        </w:tabs>
        <w:spacing w:line="240" w:lineRule="auto" w:before="38"/>
        <w:ind w:left="3275" w:right="271"/>
        <w:jc w:val="left"/>
      </w:pPr>
      <w:r>
        <w:rPr/>
        <w:t>其他</w:t>
        <w:tab/>
      </w:r>
      <w:r>
        <w:rPr>
          <w:spacing w:val="-1"/>
        </w:rPr>
        <w:t>分部间相互抵减</w:t>
        <w:tab/>
      </w:r>
      <w:r>
        <w:rPr/>
        <w:t>合计</w:t>
      </w:r>
    </w:p>
    <w:p>
      <w:pPr>
        <w:pStyle w:val="Heading5"/>
        <w:tabs>
          <w:tab w:pos="2671" w:val="left" w:leader="none"/>
          <w:tab w:pos="3879" w:val="left" w:leader="none"/>
          <w:tab w:pos="5086" w:val="left" w:leader="none"/>
          <w:tab w:pos="6237" w:val="left" w:leader="none"/>
          <w:tab w:pos="7540" w:val="left" w:leader="none"/>
          <w:tab w:pos="9052" w:val="left" w:leader="none"/>
        </w:tabs>
        <w:spacing w:line="240" w:lineRule="auto"/>
        <w:ind w:left="1009" w:right="271"/>
        <w:jc w:val="left"/>
      </w:pPr>
      <w:r>
        <w:rPr/>
        <w:pict>
          <v:group style="position:absolute;margin-left:162.059998pt;margin-top:5.98686pt;width:387pt;height:.1pt;mso-position-horizontal-relative:page;mso-position-vertical-relative:paragraph;z-index:-1369240" coordorigin="3241,120" coordsize="7740,2">
            <v:shape style="position:absolute;left:3241;top:120;width:7740;height:2" coordorigin="3241,120" coordsize="7740,0" path="m3241,120l10981,120e" filled="false" stroked="true" strokeweight="1.5pt" strokecolor="#000000">
              <v:path arrowok="t"/>
            </v:shape>
            <w10:wrap type="none"/>
          </v:group>
        </w:pict>
      </w:r>
      <w:r>
        <w:rPr>
          <w:position w:val="8"/>
        </w:rPr>
        <w:t>项目</w:t>
        <w:tab/>
      </w:r>
      <w:r>
        <w:rPr/>
        <w:t>本年</w:t>
        <w:tab/>
        <w:t>上年</w:t>
        <w:tab/>
        <w:t>本年</w:t>
        <w:tab/>
        <w:t>上年</w:t>
        <w:tab/>
        <w:t>本年</w:t>
        <w:tab/>
        <w:t>上年</w:t>
      </w:r>
    </w:p>
    <w:p>
      <w:pPr>
        <w:spacing w:line="240" w:lineRule="auto" w:before="0"/>
        <w:rPr>
          <w:rFonts w:ascii="宋体" w:hAnsi="宋体" w:cs="宋体" w:eastAsia="宋体" w:hint="default"/>
          <w:sz w:val="8"/>
          <w:szCs w:val="8"/>
        </w:rPr>
      </w:pPr>
    </w:p>
    <w:p>
      <w:pPr>
        <w:spacing w:line="30" w:lineRule="exact"/>
        <w:ind w:left="14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5pt;height:1.5pt;mso-position-horizontal-relative:char;mso-position-vertical-relative:line" coordorigin="0,0" coordsize="9870,30">
            <v:group style="position:absolute;left:15;top:15;width:9840;height:2" coordorigin="15,15" coordsize="9840,2">
              <v:shape style="position:absolute;left:15;top:15;width:9840;height:2" coordorigin="15,15" coordsize="9840,0" path="m15,15l9855,15e" filled="false" stroked="true" strokeweight="1.5pt" strokecolor="#000000">
                <v:path arrowok="t"/>
              </v:shape>
            </v:group>
          </v:group>
        </w:pict>
      </w:r>
      <w:r>
        <w:rPr>
          <w:rFonts w:ascii="宋体" w:hAnsi="宋体" w:cs="宋体" w:eastAsia="宋体" w:hint="default"/>
          <w:position w:val="0"/>
          <w:sz w:val="3"/>
          <w:szCs w:val="3"/>
        </w:rPr>
      </w:r>
    </w:p>
    <w:tbl>
      <w:tblPr>
        <w:tblW w:w="0" w:type="auto"/>
        <w:jc w:val="left"/>
        <w:tblInd w:w="161" w:type="dxa"/>
        <w:tblLayout w:type="fixed"/>
        <w:tblCellMar>
          <w:top w:w="0" w:type="dxa"/>
          <w:left w:w="0" w:type="dxa"/>
          <w:bottom w:w="0" w:type="dxa"/>
          <w:right w:w="0" w:type="dxa"/>
        </w:tblCellMar>
        <w:tblLook w:val="01E0"/>
      </w:tblPr>
      <w:tblGrid>
        <w:gridCol w:w="2284"/>
        <w:gridCol w:w="1265"/>
        <w:gridCol w:w="1163"/>
        <w:gridCol w:w="1196"/>
        <w:gridCol w:w="1191"/>
        <w:gridCol w:w="1252"/>
        <w:gridCol w:w="1490"/>
      </w:tblGrid>
      <w:tr>
        <w:trPr>
          <w:trHeight w:val="410" w:hRule="exact"/>
        </w:trPr>
        <w:tc>
          <w:tcPr>
            <w:tcW w:w="2284"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265"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41"/>
              <w:jc w:val="right"/>
              <w:rPr>
                <w:rFonts w:ascii="Times New Roman" w:hAnsi="Times New Roman" w:cs="Times New Roman" w:eastAsia="Times New Roman" w:hint="default"/>
                <w:sz w:val="18"/>
                <w:szCs w:val="18"/>
              </w:rPr>
            </w:pPr>
            <w:r>
              <w:rPr>
                <w:rFonts w:ascii="Times New Roman"/>
                <w:sz w:val="18"/>
              </w:rPr>
              <w:t>46,838.57</w:t>
            </w:r>
          </w:p>
        </w:tc>
        <w:tc>
          <w:tcPr>
            <w:tcW w:w="1163"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95"/>
              <w:jc w:val="right"/>
              <w:rPr>
                <w:rFonts w:ascii="Times New Roman" w:hAnsi="Times New Roman" w:cs="Times New Roman" w:eastAsia="Times New Roman" w:hint="default"/>
                <w:sz w:val="18"/>
                <w:szCs w:val="18"/>
              </w:rPr>
            </w:pPr>
            <w:r>
              <w:rPr>
                <w:rFonts w:ascii="Times New Roman"/>
                <w:sz w:val="18"/>
              </w:rPr>
              <w:t>37,022.01</w:t>
            </w:r>
          </w:p>
        </w:tc>
        <w:tc>
          <w:tcPr>
            <w:tcW w:w="1196" w:type="dxa"/>
            <w:tcBorders>
              <w:top w:val="nil" w:sz="6" w:space="0" w:color="auto"/>
              <w:left w:val="nil" w:sz="6" w:space="0" w:color="auto"/>
              <w:bottom w:val="single" w:sz="12" w:space="0" w:color="000000"/>
              <w:right w:val="nil" w:sz="6" w:space="0" w:color="auto"/>
            </w:tcBorders>
          </w:tcPr>
          <w:p>
            <w:pPr/>
          </w:p>
        </w:tc>
        <w:tc>
          <w:tcPr>
            <w:tcW w:w="1191" w:type="dxa"/>
            <w:tcBorders>
              <w:top w:val="nil" w:sz="6" w:space="0" w:color="auto"/>
              <w:left w:val="nil" w:sz="6" w:space="0" w:color="auto"/>
              <w:bottom w:val="single" w:sz="12" w:space="0" w:color="000000"/>
              <w:right w:val="nil" w:sz="6" w:space="0" w:color="auto"/>
            </w:tcBorders>
          </w:tcPr>
          <w:p>
            <w:pPr/>
          </w:p>
        </w:tc>
        <w:tc>
          <w:tcPr>
            <w:tcW w:w="1252"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1,976,167.92</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1,774,748.99</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1"/>
              <w:jc w:val="right"/>
              <w:rPr>
                <w:rFonts w:ascii="Times New Roman" w:hAnsi="Times New Roman" w:cs="Times New Roman" w:eastAsia="Times New Roman" w:hint="default"/>
                <w:sz w:val="18"/>
                <w:szCs w:val="18"/>
              </w:rPr>
            </w:pPr>
            <w:r>
              <w:rPr>
                <w:rFonts w:ascii="Times New Roman"/>
                <w:sz w:val="18"/>
              </w:rPr>
              <w:t>169,880.38</w:t>
            </w:r>
          </w:p>
        </w:tc>
        <w:tc>
          <w:tcPr>
            <w:tcW w:w="11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22,530.35</w:t>
            </w:r>
          </w:p>
        </w:tc>
        <w:tc>
          <w:tcPr>
            <w:tcW w:w="11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z w:val="18"/>
              </w:rPr>
              <w:t>246,961.64</w:t>
            </w:r>
          </w:p>
        </w:tc>
        <w:tc>
          <w:tcPr>
            <w:tcW w:w="11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89,445.27</w:t>
            </w:r>
          </w:p>
        </w:tc>
        <w:tc>
          <w:tcPr>
            <w:tcW w:w="1252"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1"/>
              <w:jc w:val="right"/>
              <w:rPr>
                <w:rFonts w:ascii="Times New Roman" w:hAnsi="Times New Roman" w:cs="Times New Roman" w:eastAsia="Times New Roman" w:hint="default"/>
                <w:sz w:val="18"/>
                <w:szCs w:val="18"/>
              </w:rPr>
            </w:pPr>
            <w:r>
              <w:rPr>
                <w:rFonts w:ascii="Times New Roman"/>
                <w:sz w:val="18"/>
              </w:rPr>
              <w:t>216,718.95</w:t>
            </w:r>
          </w:p>
        </w:tc>
        <w:tc>
          <w:tcPr>
            <w:tcW w:w="11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59,552.36</w:t>
            </w:r>
          </w:p>
        </w:tc>
        <w:tc>
          <w:tcPr>
            <w:tcW w:w="11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z w:val="18"/>
              </w:rPr>
              <w:t>246,961.64</w:t>
            </w:r>
          </w:p>
        </w:tc>
        <w:tc>
          <w:tcPr>
            <w:tcW w:w="11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89,445.27</w:t>
            </w: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1,976,167.92</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1,774,748.99</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1"/>
              <w:jc w:val="right"/>
              <w:rPr>
                <w:rFonts w:ascii="Times New Roman" w:hAnsi="Times New Roman" w:cs="Times New Roman" w:eastAsia="Times New Roman" w:hint="default"/>
                <w:sz w:val="18"/>
                <w:szCs w:val="18"/>
              </w:rPr>
            </w:pPr>
            <w:r>
              <w:rPr>
                <w:rFonts w:ascii="Times New Roman"/>
                <w:sz w:val="18"/>
              </w:rPr>
              <w:t>209,867.01</w:t>
            </w:r>
          </w:p>
        </w:tc>
        <w:tc>
          <w:tcPr>
            <w:tcW w:w="11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z w:val="18"/>
              </w:rPr>
              <w:t>47,082.32</w:t>
            </w:r>
          </w:p>
        </w:tc>
        <w:tc>
          <w:tcPr>
            <w:tcW w:w="11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z w:val="18"/>
              </w:rPr>
              <w:t>246,961.64</w:t>
            </w:r>
          </w:p>
        </w:tc>
        <w:tc>
          <w:tcPr>
            <w:tcW w:w="11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89,445.27</w:t>
            </w: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1,803,676.80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1,609,655.02</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1"/>
              <w:jc w:val="right"/>
              <w:rPr>
                <w:rFonts w:ascii="Times New Roman" w:hAnsi="Times New Roman" w:cs="Times New Roman" w:eastAsia="Times New Roman" w:hint="default"/>
                <w:sz w:val="18"/>
                <w:szCs w:val="18"/>
              </w:rPr>
            </w:pPr>
            <w:r>
              <w:rPr>
                <w:rFonts w:ascii="Times New Roman"/>
                <w:sz w:val="18"/>
              </w:rPr>
              <w:t>6,851.94</w:t>
            </w:r>
          </w:p>
        </w:tc>
        <w:tc>
          <w:tcPr>
            <w:tcW w:w="11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95"/>
              <w:jc w:val="right"/>
              <w:rPr>
                <w:rFonts w:ascii="Times New Roman" w:hAnsi="Times New Roman" w:cs="Times New Roman" w:eastAsia="Times New Roman" w:hint="default"/>
                <w:sz w:val="18"/>
                <w:szCs w:val="18"/>
              </w:rPr>
            </w:pPr>
            <w:r>
              <w:rPr>
                <w:rFonts w:ascii="Times New Roman"/>
                <w:sz w:val="18"/>
              </w:rPr>
              <w:t>12,470.04</w:t>
            </w: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172,491.12</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165,093.97</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调节项目</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
        </w:tc>
        <w:tc>
          <w:tcPr>
            <w:tcW w:w="1490" w:type="dxa"/>
            <w:tcBorders>
              <w:top w:val="single" w:sz="12" w:space="0" w:color="000000"/>
              <w:left w:val="nil" w:sz="6" w:space="0" w:color="auto"/>
              <w:bottom w:val="single" w:sz="12" w:space="0" w:color="000000"/>
              <w:right w:val="nil" w:sz="6" w:space="0" w:color="auto"/>
            </w:tcBorders>
          </w:tcPr>
          <w:p>
            <w:pP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53,155.86</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49,103.88</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122,178.97</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51,695.65</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-4,782.21</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-4,817.39</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3,552.50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-787.14</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-1,614.00</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69,898.99</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-6,282.62</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11,026.31</w:t>
            </w:r>
          </w:p>
        </w:tc>
      </w:tr>
      <w:tr>
        <w:trPr>
          <w:trHeight w:val="432" w:hRule="exact"/>
        </w:trPr>
        <w:tc>
          <w:tcPr>
            <w:tcW w:w="2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5" w:type="dxa"/>
            <w:tcBorders>
              <w:top w:val="single" w:sz="12" w:space="0" w:color="000000"/>
              <w:left w:val="nil" w:sz="6" w:space="0" w:color="auto"/>
              <w:bottom w:val="single" w:sz="12" w:space="0" w:color="000000"/>
              <w:right w:val="nil" w:sz="6" w:space="0" w:color="auto"/>
            </w:tcBorders>
          </w:tcPr>
          <w:p>
            <w:pPr/>
          </w:p>
        </w:tc>
        <w:tc>
          <w:tcPr>
            <w:tcW w:w="1163" w:type="dxa"/>
            <w:tcBorders>
              <w:top w:val="single" w:sz="12" w:space="0" w:color="000000"/>
              <w:left w:val="nil" w:sz="6" w:space="0" w:color="auto"/>
              <w:bottom w:val="single" w:sz="12" w:space="0" w:color="000000"/>
              <w:right w:val="nil" w:sz="6" w:space="0" w:color="auto"/>
            </w:tcBorders>
          </w:tcPr>
          <w:p>
            <w:pPr/>
          </w:p>
        </w:tc>
        <w:tc>
          <w:tcPr>
            <w:tcW w:w="1196" w:type="dxa"/>
            <w:tcBorders>
              <w:top w:val="single" w:sz="12" w:space="0" w:color="000000"/>
              <w:left w:val="nil" w:sz="6" w:space="0" w:color="auto"/>
              <w:bottom w:val="single" w:sz="12" w:space="0" w:color="000000"/>
              <w:right w:val="nil" w:sz="6" w:space="0" w:color="auto"/>
            </w:tcBorders>
          </w:tcPr>
          <w:p>
            <w:pPr/>
          </w:p>
        </w:tc>
        <w:tc>
          <w:tcPr>
            <w:tcW w:w="1191" w:type="dxa"/>
            <w:tcBorders>
              <w:top w:val="single" w:sz="12" w:space="0" w:color="000000"/>
              <w:left w:val="nil" w:sz="6" w:space="0" w:color="auto"/>
              <w:bottom w:val="single" w:sz="12" w:space="0" w:color="000000"/>
              <w:right w:val="nil" w:sz="6" w:space="0" w:color="auto"/>
            </w:tcBorders>
          </w:tcPr>
          <w:p>
            <w:pPr/>
          </w:p>
        </w:tc>
        <w:tc>
          <w:tcPr>
            <w:tcW w:w="125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4,668.62</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58,872.68</w:t>
            </w:r>
          </w:p>
        </w:tc>
      </w:tr>
      <w:tr>
        <w:trPr>
          <w:trHeight w:val="714" w:hRule="exact"/>
        </w:trPr>
        <w:tc>
          <w:tcPr>
            <w:tcW w:w="228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1.  分部资产与负债</w:t>
            </w:r>
          </w:p>
        </w:tc>
        <w:tc>
          <w:tcPr>
            <w:tcW w:w="1265" w:type="dxa"/>
            <w:tcBorders>
              <w:top w:val="single" w:sz="12" w:space="0" w:color="000000"/>
              <w:left w:val="nil" w:sz="6" w:space="0" w:color="auto"/>
              <w:bottom w:val="nil" w:sz="6" w:space="0" w:color="auto"/>
              <w:right w:val="nil" w:sz="6" w:space="0" w:color="auto"/>
            </w:tcBorders>
          </w:tcPr>
          <w:p>
            <w:pPr/>
          </w:p>
        </w:tc>
        <w:tc>
          <w:tcPr>
            <w:tcW w:w="1163" w:type="dxa"/>
            <w:tcBorders>
              <w:top w:val="single" w:sz="12" w:space="0" w:color="000000"/>
              <w:left w:val="nil" w:sz="6" w:space="0" w:color="auto"/>
              <w:bottom w:val="nil" w:sz="6" w:space="0" w:color="auto"/>
              <w:right w:val="nil" w:sz="6" w:space="0" w:color="auto"/>
            </w:tcBorders>
          </w:tcPr>
          <w:p>
            <w:pPr/>
          </w:p>
        </w:tc>
        <w:tc>
          <w:tcPr>
            <w:tcW w:w="1196" w:type="dxa"/>
            <w:tcBorders>
              <w:top w:val="single" w:sz="12" w:space="0" w:color="000000"/>
              <w:left w:val="nil" w:sz="6" w:space="0" w:color="auto"/>
              <w:bottom w:val="nil" w:sz="6" w:space="0" w:color="auto"/>
              <w:right w:val="nil" w:sz="6" w:space="0" w:color="auto"/>
            </w:tcBorders>
          </w:tcPr>
          <w:p>
            <w:pPr/>
          </w:p>
        </w:tc>
        <w:tc>
          <w:tcPr>
            <w:tcW w:w="1191" w:type="dxa"/>
            <w:tcBorders>
              <w:top w:val="single" w:sz="12" w:space="0" w:color="000000"/>
              <w:left w:val="nil" w:sz="6" w:space="0" w:color="auto"/>
              <w:bottom w:val="nil" w:sz="6" w:space="0" w:color="auto"/>
              <w:right w:val="nil" w:sz="6" w:space="0" w:color="auto"/>
            </w:tcBorders>
          </w:tcPr>
          <w:p>
            <w:pPr/>
          </w:p>
        </w:tc>
        <w:tc>
          <w:tcPr>
            <w:tcW w:w="1252" w:type="dxa"/>
            <w:tcBorders>
              <w:top w:val="single" w:sz="12" w:space="0" w:color="000000"/>
              <w:left w:val="nil" w:sz="6" w:space="0" w:color="auto"/>
              <w:bottom w:val="nil" w:sz="6" w:space="0" w:color="auto"/>
              <w:right w:val="nil" w:sz="6" w:space="0" w:color="auto"/>
            </w:tcBorders>
          </w:tcPr>
          <w:p>
            <w:pPr/>
          </w:p>
        </w:tc>
        <w:tc>
          <w:tcPr>
            <w:tcW w:w="1490"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金额单位：万元</w:t>
            </w:r>
          </w:p>
        </w:tc>
      </w:tr>
    </w:tbl>
    <w:p>
      <w:pPr>
        <w:pStyle w:val="Heading5"/>
        <w:tabs>
          <w:tab w:pos="5304" w:val="left" w:leader="none"/>
          <w:tab w:pos="8196" w:val="left" w:leader="none"/>
        </w:tabs>
        <w:spacing w:line="240" w:lineRule="auto" w:before="57"/>
        <w:ind w:left="2741" w:right="271"/>
        <w:jc w:val="left"/>
      </w:pPr>
      <w:r>
        <w:rPr/>
        <w:t>机制纸</w:t>
        <w:tab/>
        <w:t>建筑材料</w:t>
        <w:tab/>
        <w:t>电及汽</w:t>
      </w:r>
    </w:p>
    <w:p>
      <w:pPr>
        <w:pStyle w:val="Heading5"/>
        <w:tabs>
          <w:tab w:pos="2151" w:val="left" w:leader="none"/>
          <w:tab w:pos="3530" w:val="left" w:leader="none"/>
          <w:tab w:pos="4825" w:val="left" w:leader="none"/>
          <w:tab w:pos="6108" w:val="left" w:leader="none"/>
          <w:tab w:pos="7542" w:val="left" w:leader="none"/>
          <w:tab w:pos="9053" w:val="left" w:leader="none"/>
        </w:tabs>
        <w:spacing w:line="240" w:lineRule="auto"/>
        <w:ind w:right="271"/>
        <w:jc w:val="left"/>
      </w:pPr>
      <w:r>
        <w:rPr/>
        <w:pict>
          <v:group style="position:absolute;margin-left:131.820007pt;margin-top:5.986879pt;width:417.25pt;height:.1pt;mso-position-horizontal-relative:page;mso-position-vertical-relative:paragraph;z-index:-1369216" coordorigin="2636,120" coordsize="8345,2">
            <v:shape style="position:absolute;left:2636;top:120;width:8345;height:2" coordorigin="2636,120" coordsize="8345,0" path="m2636,120l10981,120e" filled="false" stroked="true" strokeweight="1.5pt" strokecolor="#000000">
              <v:path arrowok="t"/>
            </v:shape>
            <w10:wrap type="none"/>
          </v:group>
        </w:pict>
      </w:r>
      <w:r>
        <w:rPr>
          <w:position w:val="8"/>
        </w:rPr>
        <w:t>项目</w:t>
        <w:tab/>
      </w:r>
      <w:r>
        <w:rPr/>
        <w:t>本年</w:t>
        <w:tab/>
        <w:t>上年</w:t>
        <w:tab/>
        <w:t>本年</w:t>
        <w:tab/>
        <w:t>上年</w:t>
        <w:tab/>
        <w:t>本年</w:t>
        <w:tab/>
        <w:t>上年</w:t>
      </w:r>
    </w:p>
    <w:p>
      <w:pPr>
        <w:spacing w:line="240" w:lineRule="auto" w:before="2"/>
        <w:rPr>
          <w:rFonts w:ascii="宋体" w:hAnsi="宋体" w:cs="宋体" w:eastAsia="宋体" w:hint="default"/>
          <w:sz w:val="9"/>
          <w:szCs w:val="9"/>
        </w:rPr>
      </w:pPr>
    </w:p>
    <w:tbl>
      <w:tblPr>
        <w:tblW w:w="0" w:type="auto"/>
        <w:jc w:val="left"/>
        <w:tblInd w:w="161" w:type="dxa"/>
        <w:tblLayout w:type="fixed"/>
        <w:tblCellMar>
          <w:top w:w="0" w:type="dxa"/>
          <w:left w:w="0" w:type="dxa"/>
          <w:bottom w:w="0" w:type="dxa"/>
          <w:right w:w="0" w:type="dxa"/>
        </w:tblCellMar>
        <w:tblLook w:val="01E0"/>
      </w:tblPr>
      <w:tblGrid>
        <w:gridCol w:w="1364"/>
        <w:gridCol w:w="1723"/>
        <w:gridCol w:w="1407"/>
        <w:gridCol w:w="1284"/>
        <w:gridCol w:w="1389"/>
        <w:gridCol w:w="1183"/>
        <w:gridCol w:w="1490"/>
      </w:tblGrid>
      <w:tr>
        <w:trPr>
          <w:trHeight w:val="432" w:hRule="exact"/>
        </w:trPr>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分部资产</w:t>
            </w:r>
          </w:p>
        </w:tc>
        <w:tc>
          <w:tcPr>
            <w:tcW w:w="17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pacing w:val="-1"/>
                <w:sz w:val="18"/>
              </w:rPr>
              <w:t>4,441,797.61</w:t>
            </w:r>
          </w:p>
        </w:tc>
        <w:tc>
          <w:tcPr>
            <w:tcW w:w="14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
              <w:jc w:val="center"/>
              <w:rPr>
                <w:rFonts w:ascii="Times New Roman" w:hAnsi="Times New Roman" w:cs="Times New Roman" w:eastAsia="Times New Roman" w:hint="default"/>
                <w:sz w:val="18"/>
                <w:szCs w:val="18"/>
              </w:rPr>
            </w:pPr>
            <w:r>
              <w:rPr>
                <w:rFonts w:ascii="Times New Roman"/>
                <w:sz w:val="18"/>
              </w:rPr>
              <w:t>4,304,279.47</w:t>
            </w:r>
          </w:p>
        </w:tc>
        <w:tc>
          <w:tcPr>
            <w:tcW w:w="1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71"/>
              <w:jc w:val="center"/>
              <w:rPr>
                <w:rFonts w:ascii="Times New Roman" w:hAnsi="Times New Roman" w:cs="Times New Roman" w:eastAsia="Times New Roman" w:hint="default"/>
                <w:sz w:val="18"/>
                <w:szCs w:val="18"/>
              </w:rPr>
            </w:pPr>
            <w:r>
              <w:rPr>
                <w:rFonts w:ascii="Times New Roman"/>
                <w:sz w:val="18"/>
              </w:rPr>
              <w:t>23,011.10</w:t>
            </w:r>
          </w:p>
        </w:tc>
        <w:tc>
          <w:tcPr>
            <w:tcW w:w="13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42,577.44</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252,032.41</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188,429.90</w:t>
            </w:r>
          </w:p>
        </w:tc>
      </w:tr>
      <w:tr>
        <w:trPr>
          <w:trHeight w:val="432" w:hRule="exact"/>
        </w:trPr>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分部负债</w:t>
            </w:r>
          </w:p>
        </w:tc>
        <w:tc>
          <w:tcPr>
            <w:tcW w:w="17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pacing w:val="-1"/>
                <w:sz w:val="18"/>
              </w:rPr>
              <w:t>3,298,322.54</w:t>
            </w:r>
          </w:p>
        </w:tc>
        <w:tc>
          <w:tcPr>
            <w:tcW w:w="14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
              <w:jc w:val="center"/>
              <w:rPr>
                <w:rFonts w:ascii="Times New Roman" w:hAnsi="Times New Roman" w:cs="Times New Roman" w:eastAsia="Times New Roman" w:hint="default"/>
                <w:sz w:val="18"/>
                <w:szCs w:val="18"/>
              </w:rPr>
            </w:pPr>
            <w:r>
              <w:rPr>
                <w:rFonts w:ascii="Times New Roman"/>
                <w:sz w:val="18"/>
              </w:rPr>
              <w:t>3,021,404.40</w:t>
            </w:r>
          </w:p>
        </w:tc>
        <w:tc>
          <w:tcPr>
            <w:tcW w:w="12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71"/>
              <w:jc w:val="center"/>
              <w:rPr>
                <w:rFonts w:ascii="Times New Roman" w:hAnsi="Times New Roman" w:cs="Times New Roman" w:eastAsia="Times New Roman" w:hint="default"/>
                <w:sz w:val="18"/>
                <w:szCs w:val="18"/>
              </w:rPr>
            </w:pPr>
            <w:r>
              <w:rPr>
                <w:rFonts w:ascii="Times New Roman"/>
                <w:sz w:val="18"/>
              </w:rPr>
              <w:t>11,974.84</w:t>
            </w:r>
          </w:p>
        </w:tc>
        <w:tc>
          <w:tcPr>
            <w:tcW w:w="13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31,505.57</w:t>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21,122.71</w:t>
            </w:r>
          </w:p>
        </w:tc>
        <w:tc>
          <w:tcPr>
            <w:tcW w:w="14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23,852.82</w:t>
            </w:r>
          </w:p>
        </w:tc>
      </w:tr>
      <w:tr>
        <w:trPr>
          <w:trHeight w:val="755" w:hRule="exact"/>
        </w:trPr>
        <w:tc>
          <w:tcPr>
            <w:tcW w:w="1364"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6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p>
        </w:tc>
        <w:tc>
          <w:tcPr>
            <w:tcW w:w="1723" w:type="dxa"/>
            <w:tcBorders>
              <w:top w:val="single" w:sz="12" w:space="0" w:color="000000"/>
              <w:left w:val="nil" w:sz="6" w:space="0" w:color="auto"/>
              <w:bottom w:val="nil" w:sz="6" w:space="0" w:color="auto"/>
              <w:right w:val="nil" w:sz="6" w:space="0" w:color="auto"/>
            </w:tcBorders>
          </w:tcPr>
          <w:p>
            <w:pPr/>
          </w:p>
        </w:tc>
        <w:tc>
          <w:tcPr>
            <w:tcW w:w="1407" w:type="dxa"/>
            <w:tcBorders>
              <w:top w:val="single" w:sz="12" w:space="0" w:color="000000"/>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c>
          <w:tcPr>
            <w:tcW w:w="1389" w:type="dxa"/>
            <w:tcBorders>
              <w:top w:val="single" w:sz="12" w:space="0" w:color="000000"/>
              <w:left w:val="nil" w:sz="6" w:space="0" w:color="auto"/>
              <w:bottom w:val="nil" w:sz="6" w:space="0" w:color="auto"/>
              <w:right w:val="nil" w:sz="6" w:space="0" w:color="auto"/>
            </w:tcBorders>
          </w:tcPr>
          <w:p>
            <w:pPr/>
          </w:p>
        </w:tc>
        <w:tc>
          <w:tcPr>
            <w:tcW w:w="1183" w:type="dxa"/>
            <w:tcBorders>
              <w:top w:val="single" w:sz="12" w:space="0" w:color="000000"/>
              <w:left w:val="nil" w:sz="6" w:space="0" w:color="auto"/>
              <w:bottom w:val="nil" w:sz="6" w:space="0" w:color="auto"/>
              <w:right w:val="nil" w:sz="6" w:space="0" w:color="auto"/>
            </w:tcBorders>
          </w:tcPr>
          <w:p>
            <w:pPr/>
          </w:p>
        </w:tc>
        <w:tc>
          <w:tcPr>
            <w:tcW w:w="1490"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金额单位：万元</w:t>
            </w:r>
          </w:p>
        </w:tc>
      </w:tr>
    </w:tbl>
    <w:p>
      <w:pPr>
        <w:pStyle w:val="Heading5"/>
        <w:tabs>
          <w:tab w:pos="1832" w:val="left" w:leader="none"/>
          <w:tab w:pos="3044" w:val="left" w:leader="none"/>
          <w:tab w:pos="4259" w:val="left" w:leader="none"/>
          <w:tab w:pos="4837" w:val="left" w:leader="none"/>
          <w:tab w:pos="5471" w:val="left" w:leader="none"/>
          <w:tab w:pos="6836" w:val="left" w:leader="none"/>
          <w:tab w:pos="8216" w:val="left" w:leader="none"/>
        </w:tabs>
        <w:spacing w:line="324" w:lineRule="auto" w:before="49"/>
        <w:ind w:left="787" w:right="1369" w:firstLine="2047"/>
        <w:jc w:val="left"/>
      </w:pPr>
      <w:r>
        <w:rPr/>
        <w:pict>
          <v:group style="position:absolute;margin-left:139.050003pt;margin-top:20.850103pt;width:410.8pt;height:1.5pt;mso-position-horizontal-relative:page;mso-position-vertical-relative:paragraph;z-index:-1369192" coordorigin="2781,417" coordsize="8216,30">
            <v:group style="position:absolute;left:2796;top:432;width:5034;height:2" coordorigin="2796,432" coordsize="5034,2">
              <v:shape style="position:absolute;left:2796;top:432;width:5034;height:2" coordorigin="2796,432" coordsize="5034,0" path="m2796,432l7830,432e" filled="false" stroked="true" strokeweight="1.5pt" strokecolor="#000000">
                <v:path arrowok="t"/>
              </v:shape>
            </v:group>
            <v:group style="position:absolute;left:7830;top:432;width:1486;height:2" coordorigin="7830,432" coordsize="1486,2">
              <v:shape style="position:absolute;left:7830;top:432;width:1486;height:2" coordorigin="7830,432" coordsize="1486,0" path="m7830,432l9316,432e" filled="false" stroked="true" strokeweight="1.5pt" strokecolor="#000000">
                <v:path arrowok="t"/>
              </v:shape>
            </v:group>
            <v:group style="position:absolute;left:9316;top:432;width:1666;height:2" coordorigin="9316,432" coordsize="1666,2">
              <v:shape style="position:absolute;left:9316;top:432;width:1666;height:2" coordorigin="9316,432" coordsize="1666,0" path="m9316,432l10981,432e" filled="false" stroked="true" strokeweight="1.5pt" strokecolor="#000000">
                <v:path arrowok="t"/>
              </v:shape>
            </v:group>
            <w10:wrap type="none"/>
          </v:group>
        </w:pict>
      </w:r>
      <w:r>
        <w:rPr/>
        <w:t>其他</w:t>
        <w:tab/>
        <w:tab/>
      </w:r>
      <w:r>
        <w:rPr>
          <w:spacing w:val="-1"/>
        </w:rPr>
        <w:t>分部间相互抵减</w:t>
        <w:tab/>
        <w:tab/>
      </w:r>
      <w:r>
        <w:rPr/>
        <w:t>合计</w:t>
      </w:r>
      <w:r>
        <w:rPr>
          <w:w w:val="100"/>
        </w:rPr>
        <w:t> </w:t>
      </w:r>
      <w:r>
        <w:rPr>
          <w:position w:val="8"/>
        </w:rPr>
        <w:t>项目</w:t>
        <w:tab/>
      </w:r>
      <w:r>
        <w:rPr/>
        <w:t>本年</w:t>
        <w:tab/>
        <w:t>上年</w:t>
        <w:tab/>
        <w:t>本年</w:t>
        <w:tab/>
        <w:tab/>
        <w:t>上年</w:t>
        <w:tab/>
        <w:t>本年</w:t>
        <w:tab/>
        <w:t>上年</w:t>
      </w:r>
    </w:p>
    <w:tbl>
      <w:tblPr>
        <w:tblW w:w="0" w:type="auto"/>
        <w:jc w:val="left"/>
        <w:tblInd w:w="161" w:type="dxa"/>
        <w:tblLayout w:type="fixed"/>
        <w:tblCellMar>
          <w:top w:w="0" w:type="dxa"/>
          <w:left w:w="0" w:type="dxa"/>
          <w:bottom w:w="0" w:type="dxa"/>
          <w:right w:w="0" w:type="dxa"/>
        </w:tblCellMar>
        <w:tblLook w:val="01E0"/>
      </w:tblPr>
      <w:tblGrid>
        <w:gridCol w:w="1429"/>
        <w:gridCol w:w="1682"/>
        <w:gridCol w:w="1212"/>
        <w:gridCol w:w="1289"/>
        <w:gridCol w:w="1330"/>
        <w:gridCol w:w="1590"/>
        <w:gridCol w:w="1308"/>
      </w:tblGrid>
      <w:tr>
        <w:trPr>
          <w:trHeight w:val="432" w:hRule="exact"/>
        </w:trPr>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分部资产</w:t>
            </w:r>
          </w:p>
        </w:tc>
        <w:tc>
          <w:tcPr>
            <w:tcW w:w="16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43"/>
              <w:jc w:val="right"/>
              <w:rPr>
                <w:rFonts w:ascii="Times New Roman" w:hAnsi="Times New Roman" w:cs="Times New Roman" w:eastAsia="Times New Roman" w:hint="default"/>
                <w:sz w:val="18"/>
                <w:szCs w:val="18"/>
              </w:rPr>
            </w:pPr>
            <w:r>
              <w:rPr>
                <w:rFonts w:ascii="Times New Roman"/>
                <w:sz w:val="18"/>
              </w:rPr>
              <w:t>114,936.41</w:t>
            </w:r>
          </w:p>
        </w:tc>
        <w:tc>
          <w:tcPr>
            <w:tcW w:w="1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92,986.72</w:t>
            </w:r>
          </w:p>
        </w:tc>
        <w:tc>
          <w:tcPr>
            <w:tcW w:w="12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245" w:right="0"/>
              <w:jc w:val="left"/>
              <w:rPr>
                <w:rFonts w:ascii="Times New Roman" w:hAnsi="Times New Roman" w:cs="Times New Roman" w:eastAsia="Times New Roman" w:hint="default"/>
                <w:sz w:val="18"/>
                <w:szCs w:val="18"/>
              </w:rPr>
            </w:pPr>
            <w:r>
              <w:rPr>
                <w:rFonts w:ascii="Times New Roman"/>
                <w:sz w:val="18"/>
              </w:rPr>
              <w:t>59,235.34</w:t>
            </w:r>
          </w:p>
        </w:tc>
        <w:tc>
          <w:tcPr>
            <w:tcW w:w="1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65,190.63</w:t>
            </w:r>
          </w:p>
        </w:tc>
        <w:tc>
          <w:tcPr>
            <w:tcW w:w="159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4,772,542.19</w:t>
            </w:r>
          </w:p>
        </w:tc>
        <w:tc>
          <w:tcPr>
            <w:tcW w:w="13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4,563,082.90</w:t>
            </w:r>
          </w:p>
        </w:tc>
      </w:tr>
      <w:tr>
        <w:trPr>
          <w:trHeight w:val="412" w:hRule="exact"/>
        </w:trPr>
        <w:tc>
          <w:tcPr>
            <w:tcW w:w="1429" w:type="dxa"/>
            <w:tcBorders>
              <w:top w:val="single" w:sz="12" w:space="0" w:color="000000"/>
              <w:left w:val="nil" w:sz="6" w:space="0" w:color="auto"/>
              <w:bottom w:val="nil" w:sz="6" w:space="0" w:color="auto"/>
              <w:right w:val="nil" w:sz="6" w:space="0" w:color="auto"/>
            </w:tcBorders>
          </w:tcPr>
          <w:p>
            <w:pPr>
              <w:pStyle w:val="TableParagraph"/>
              <w:spacing w:line="240" w:lineRule="auto" w:before="35"/>
              <w:ind w:left="2" w:right="0"/>
              <w:jc w:val="left"/>
              <w:rPr>
                <w:rFonts w:ascii="宋体" w:hAnsi="宋体" w:cs="宋体" w:eastAsia="宋体" w:hint="default"/>
                <w:sz w:val="20"/>
                <w:szCs w:val="20"/>
              </w:rPr>
            </w:pPr>
            <w:r>
              <w:rPr>
                <w:rFonts w:ascii="宋体" w:hAnsi="宋体" w:cs="宋体" w:eastAsia="宋体" w:hint="default"/>
                <w:sz w:val="20"/>
                <w:szCs w:val="20"/>
              </w:rPr>
              <w:t>分部负债</w:t>
            </w:r>
          </w:p>
        </w:tc>
        <w:tc>
          <w:tcPr>
            <w:tcW w:w="1682"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244"/>
              <w:jc w:val="right"/>
              <w:rPr>
                <w:rFonts w:ascii="Times New Roman" w:hAnsi="Times New Roman" w:cs="Times New Roman" w:eastAsia="Times New Roman" w:hint="default"/>
                <w:sz w:val="18"/>
                <w:szCs w:val="18"/>
              </w:rPr>
            </w:pPr>
            <w:r>
              <w:rPr>
                <w:rFonts w:ascii="Times New Roman"/>
                <w:sz w:val="18"/>
              </w:rPr>
              <w:t>65,815.65</w:t>
            </w:r>
          </w:p>
        </w:tc>
        <w:tc>
          <w:tcPr>
            <w:tcW w:w="1212"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52,733.25</w:t>
            </w:r>
          </w:p>
        </w:tc>
        <w:tc>
          <w:tcPr>
            <w:tcW w:w="1289"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left="245" w:right="0"/>
              <w:jc w:val="left"/>
              <w:rPr>
                <w:rFonts w:ascii="Times New Roman" w:hAnsi="Times New Roman" w:cs="Times New Roman" w:eastAsia="Times New Roman" w:hint="default"/>
                <w:sz w:val="18"/>
                <w:szCs w:val="18"/>
              </w:rPr>
            </w:pPr>
            <w:r>
              <w:rPr>
                <w:rFonts w:ascii="Times New Roman"/>
                <w:sz w:val="18"/>
              </w:rPr>
              <w:t>59,235.34</w:t>
            </w:r>
          </w:p>
        </w:tc>
        <w:tc>
          <w:tcPr>
            <w:tcW w:w="1330"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65,190.63</w:t>
            </w:r>
          </w:p>
        </w:tc>
        <w:tc>
          <w:tcPr>
            <w:tcW w:w="1590"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3,338,000.40</w:t>
            </w:r>
          </w:p>
        </w:tc>
        <w:tc>
          <w:tcPr>
            <w:tcW w:w="1308"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3,064,305.41</w:t>
            </w:r>
          </w:p>
        </w:tc>
      </w:tr>
    </w:tbl>
    <w:p>
      <w:pPr>
        <w:spacing w:line="240" w:lineRule="auto" w:before="1"/>
        <w:rPr>
          <w:rFonts w:ascii="宋体" w:hAnsi="宋体" w:cs="宋体" w:eastAsia="宋体" w:hint="default"/>
          <w:sz w:val="2"/>
          <w:szCs w:val="2"/>
        </w:rPr>
      </w:pPr>
    </w:p>
    <w:p>
      <w:pPr>
        <w:spacing w:line="30" w:lineRule="exact"/>
        <w:ind w:left="14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5pt;height:1.5pt;mso-position-horizontal-relative:char;mso-position-vertical-relative:line" coordorigin="0,0" coordsize="9870,30">
            <v:group style="position:absolute;left:15;top:15;width:1655;height:2" coordorigin="15,15" coordsize="1655,2">
              <v:shape style="position:absolute;left:15;top:15;width:1655;height:2" coordorigin="15,15" coordsize="1655,0" path="m15,15l1670,15e" filled="false" stroked="true" strokeweight="1.5pt" strokecolor="#000000">
                <v:path arrowok="t"/>
              </v:shape>
            </v:group>
            <v:group style="position:absolute;left:1684;top:15;width:1198;height:2" coordorigin="1684,15" coordsize="1198,2">
              <v:shape style="position:absolute;left:1684;top:15;width:1198;height:2" coordorigin="1684,15" coordsize="1198,0" path="m1684,15l2882,15e" filled="false" stroked="true" strokeweight="1.5pt" strokecolor="#000000">
                <v:path arrowok="t"/>
              </v:shape>
            </v:group>
            <v:group style="position:absolute;left:2896;top:15;width:1200;height:2" coordorigin="2896,15" coordsize="1200,2">
              <v:shape style="position:absolute;left:2896;top:15;width:1200;height:2" coordorigin="2896,15" coordsize="1200,0" path="m2896,15l4096,15e" filled="false" stroked="true" strokeweight="1.5pt" strokecolor="#000000">
                <v:path arrowok="t"/>
              </v:shape>
            </v:group>
            <v:group style="position:absolute;left:4111;top:15;width:1198;height:2" coordorigin="4111,15" coordsize="1198,2">
              <v:shape style="position:absolute;left:4111;top:15;width:1198;height:2" coordorigin="4111,15" coordsize="1198,0" path="m4111,15l5308,15e" filled="false" stroked="true" strokeweight="1.5pt" strokecolor="#000000">
                <v:path arrowok="t"/>
              </v:shape>
            </v:group>
            <v:group style="position:absolute;left:5323;top:15;width:1352;height:2" coordorigin="5323,15" coordsize="1352,2">
              <v:shape style="position:absolute;left:5323;top:15;width:1352;height:2" coordorigin="5323,15" coordsize="1352,0" path="m5323,15l6674,15e" filled="false" stroked="true" strokeweight="1.5pt" strokecolor="#000000">
                <v:path arrowok="t"/>
              </v:shape>
            </v:group>
            <v:group style="position:absolute;left:6688;top:15;width:1502;height:2" coordorigin="6688,15" coordsize="1502,2">
              <v:shape style="position:absolute;left:6688;top:15;width:1502;height:2" coordorigin="6688,15" coordsize="1502,0" path="m6688,15l8189,15e" filled="false" stroked="true" strokeweight="1.5pt" strokecolor="#000000">
                <v:path arrowok="t"/>
              </v:shape>
            </v:group>
            <v:group style="position:absolute;left:8204;top:15;width:1652;height:2" coordorigin="8204,15" coordsize="1652,2">
              <v:shape style="position:absolute;left:8204;top:15;width:1652;height:2" coordorigin="8204,15" coordsize="1652,0" path="m8204,15l985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2"/>
        <w:rPr>
          <w:rFonts w:ascii="宋体" w:hAnsi="宋体" w:cs="宋体" w:eastAsia="宋体" w:hint="default"/>
          <w:sz w:val="18"/>
          <w:szCs w:val="18"/>
        </w:rPr>
      </w:pPr>
    </w:p>
    <w:p>
      <w:pPr>
        <w:pStyle w:val="Heading2"/>
        <w:spacing w:line="240" w:lineRule="auto" w:before="26"/>
        <w:ind w:right="271"/>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7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62"/>
        <w:gridCol w:w="870"/>
        <w:gridCol w:w="870"/>
        <w:gridCol w:w="870"/>
        <w:gridCol w:w="870"/>
        <w:gridCol w:w="870"/>
        <w:gridCol w:w="870"/>
        <w:gridCol w:w="870"/>
        <w:gridCol w:w="870"/>
        <w:gridCol w:w="807"/>
        <w:gridCol w:w="1014"/>
      </w:tblGrid>
      <w:tr>
        <w:trPr>
          <w:trHeight w:val="392" w:hRule="exact"/>
        </w:trPr>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9" w:right="0"/>
              <w:jc w:val="left"/>
              <w:rPr>
                <w:rFonts w:ascii="宋体" w:hAnsi="宋体" w:cs="宋体" w:eastAsia="宋体" w:hint="default"/>
                <w:sz w:val="18"/>
                <w:szCs w:val="18"/>
              </w:rPr>
            </w:pPr>
            <w:r>
              <w:rPr>
                <w:rFonts w:ascii="宋体" w:hAnsi="宋体" w:cs="宋体" w:eastAsia="宋体" w:hint="default"/>
                <w:sz w:val="18"/>
                <w:szCs w:val="18"/>
              </w:rPr>
              <w:t>母公司名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法定代表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母公司对</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39" w:right="0"/>
              <w:jc w:val="left"/>
              <w:rPr>
                <w:rFonts w:ascii="宋体" w:hAnsi="宋体" w:cs="宋体" w:eastAsia="宋体" w:hint="default"/>
                <w:sz w:val="18"/>
                <w:szCs w:val="18"/>
              </w:rPr>
            </w:pPr>
            <w:r>
              <w:rPr>
                <w:rFonts w:ascii="宋体" w:hAnsi="宋体" w:cs="宋体" w:eastAsia="宋体" w:hint="default"/>
                <w:sz w:val="18"/>
                <w:szCs w:val="18"/>
              </w:rPr>
              <w:t>本企业最</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57" w:right="0"/>
              <w:jc w:val="left"/>
              <w:rPr>
                <w:rFonts w:ascii="宋体" w:hAnsi="宋体" w:cs="宋体" w:eastAsia="宋体" w:hint="default"/>
                <w:sz w:val="18"/>
                <w:szCs w:val="18"/>
              </w:rPr>
            </w:pPr>
            <w:r>
              <w:rPr>
                <w:rFonts w:ascii="宋体" w:hAnsi="宋体" w:cs="宋体" w:eastAsia="宋体" w:hint="default"/>
                <w:sz w:val="18"/>
                <w:szCs w:val="18"/>
              </w:rPr>
              <w:t>组织机构代</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06"/>
        <w:gridCol w:w="1026"/>
      </w:tblGrid>
      <w:tr>
        <w:trPr>
          <w:trHeight w:val="986"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338"/>
              <w:jc w:val="right"/>
              <w:rPr>
                <w:rFonts w:ascii="宋体" w:hAnsi="宋体" w:cs="宋体" w:eastAsia="宋体" w:hint="default"/>
                <w:sz w:val="18"/>
                <w:szCs w:val="18"/>
              </w:rPr>
            </w:pPr>
            <w:r>
              <w:rPr>
                <w:rFonts w:ascii="宋体" w:hAnsi="宋体" w:cs="宋体" w:eastAsia="宋体" w:hint="default"/>
                <w:sz w:val="18"/>
                <w:szCs w:val="18"/>
              </w:rPr>
              <w:t>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10"/>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本企业的 持股比例 </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本企业的 表决权比 例</w:t>
            </w:r>
            <w:r>
              <w:rPr>
                <w:rFonts w:ascii="Times New Roman" w:hAnsi="Times New Roman" w:cs="Times New Roman" w:eastAsia="Times New Roman" w:hint="default"/>
                <w:sz w:val="18"/>
                <w:szCs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终控制方</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133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陈洪国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对造纸，电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力，热力 林业项目 投资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168,542.00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14.21%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14.21%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78348518-9</w:t>
            </w:r>
          </w:p>
        </w:tc>
      </w:tr>
    </w:tbl>
    <w:p>
      <w:pPr>
        <w:pStyle w:val="BodyText"/>
        <w:spacing w:line="240" w:lineRule="auto" w:before="51"/>
        <w:ind w:right="0"/>
        <w:jc w:val="left"/>
      </w:pPr>
      <w:r>
        <w:rPr/>
        <w:pict>
          <v:group style="position:absolute;margin-left:318.119995pt;margin-top:-66.918007pt;width:43.05pt;height:43.6pt;mso-position-horizontal-relative:page;mso-position-vertical-relative:paragraph;z-index:-1369168" coordorigin="6362,-1338" coordsize="861,872">
            <v:group style="position:absolute;left:6374;top:-870;width:2;height:392" coordorigin="6374,-870" coordsize="2,392">
              <v:shape style="position:absolute;left:6374;top:-870;width:2;height:392" coordorigin="6374,-870" coordsize="0,392" path="m6374,-870l6374,-478e" filled="false" stroked="true" strokeweight="1.140pt" strokecolor="#ffffff">
                <v:path arrowok="t"/>
              </v:shape>
            </v:group>
            <v:group style="position:absolute;left:6362;top:-1338;width:861;height:468" coordorigin="6362,-1338" coordsize="861,468">
              <v:shape style="position:absolute;left:6362;top:-1338;width:861;height:468" coordorigin="6362,-1338" coordsize="861,468" path="m6362,-870l7223,-870,7223,-1338,6362,-1338,6362,-870xe" filled="true" fillcolor="#ffffff" stroked="false">
                <v:path arrowok="t"/>
                <v:fill type="solid"/>
              </v:shape>
            </v:group>
            <v:group style="position:absolute;left:6385;top:-870;width:814;height:392" coordorigin="6385,-870" coordsize="814,392">
              <v:shape style="position:absolute;left:6385;top:-870;width:814;height:392" coordorigin="6385,-870" coordsize="814,392" path="m6385,-479l7199,-479,7199,-870,6385,-870,6385,-479xe" filled="true" fillcolor="#ffffff" stroked="false">
                <v:path arrowok="t"/>
                <v:fill type="solid"/>
              </v:shape>
            </v:group>
            <w10:wrap type="none"/>
          </v:group>
        </w:pict>
      </w:r>
      <w:r>
        <w:rPr/>
        <w:t>本企业的母公司情况的说明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3"/>
        </w:rPr>
        <w:t> </w:t>
      </w:r>
      <w:r>
        <w:rPr/>
        <w:t>本公司的子公司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详见附注（六）、</w:t>
      </w:r>
      <w:r>
        <w:rPr>
          <w:rFonts w:ascii="Times New Roman" w:hAnsi="Times New Roman" w:cs="Times New Roman" w:eastAsia="Times New Roman" w:hint="default"/>
        </w:rPr>
        <w:t>1</w:t>
      </w:r>
      <w:r>
        <w:rPr/>
        <w:t>、子公司情况。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w:t>
      </w:r>
      <w:r>
        <w:rPr>
          <w:spacing w:val="-9"/>
        </w:rPr>
        <w:t> </w:t>
      </w:r>
      <w:r>
        <w:rPr/>
        <w:t>本集团的合营和联营企业情况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63" w:right="0"/>
        <w:jc w:val="left"/>
      </w:pPr>
      <w:r>
        <w:rPr/>
        <w:t>详见附注（七）、</w:t>
      </w:r>
      <w:r>
        <w:rPr>
          <w:rFonts w:ascii="Times New Roman" w:hAnsi="Times New Roman" w:cs="Times New Roman" w:eastAsia="Times New Roman" w:hint="default"/>
        </w:rPr>
        <w:t>9</w:t>
      </w:r>
      <w:r>
        <w:rPr/>
        <w:t>、长期股权投资（</w:t>
      </w:r>
      <w:r>
        <w:rPr>
          <w:rFonts w:ascii="Times New Roman" w:hAnsi="Times New Roman" w:cs="Times New Roman" w:eastAsia="Times New Roman" w:hint="default"/>
        </w:rPr>
        <w:t>5</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出售商品、提供劳务情况表</w:t>
      </w:r>
    </w:p>
    <w:p>
      <w:pPr>
        <w:pStyle w:val="BodyText"/>
        <w:spacing w:line="240" w:lineRule="auto" w:before="116"/>
        <w:ind w:left="0" w:right="149"/>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207893pt;width:479.1pt;height:112.1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984"/>
                    <w:gridCol w:w="1716"/>
                    <w:gridCol w:w="1339"/>
                    <w:gridCol w:w="797"/>
                    <w:gridCol w:w="1594"/>
                    <w:gridCol w:w="798"/>
                  </w:tblGrid>
                  <w:tr>
                    <w:trPr>
                      <w:trHeight w:val="402" w:hRule="exact"/>
                    </w:trPr>
                    <w:tc>
                      <w:tcPr>
                        <w:tcW w:w="23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7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492" w:right="42" w:hanging="450"/>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1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2340" w:type="dxa"/>
                        <w:vMerge/>
                        <w:tcBorders>
                          <w:left w:val="single" w:sz="4" w:space="0" w:color="000000"/>
                          <w:bottom w:val="single" w:sz="4" w:space="0" w:color="000000"/>
                          <w:right w:val="single" w:sz="4" w:space="0" w:color="000000"/>
                        </w:tcBorders>
                        <w:shd w:val="clear" w:color="auto" w:fill="D3D3D3"/>
                      </w:tcPr>
                      <w:p>
                        <w:pPr/>
                      </w:p>
                    </w:tc>
                    <w:tc>
                      <w:tcPr>
                        <w:tcW w:w="984" w:type="dxa"/>
                        <w:vMerge/>
                        <w:tcBorders>
                          <w:left w:val="single" w:sz="4" w:space="0" w:color="000000"/>
                          <w:bottom w:val="single" w:sz="4" w:space="0" w:color="000000"/>
                          <w:right w:val="single" w:sz="4" w:space="0" w:color="000000"/>
                        </w:tcBorders>
                        <w:shd w:val="clear" w:color="auto" w:fill="D3D3D3"/>
                      </w:tcPr>
                      <w:p>
                        <w:pPr/>
                      </w:p>
                    </w:tc>
                    <w:tc>
                      <w:tcPr>
                        <w:tcW w:w="1716" w:type="dxa"/>
                        <w:vMerge/>
                        <w:tcBorders>
                          <w:left w:val="single" w:sz="4" w:space="0" w:color="000000"/>
                          <w:bottom w:val="single" w:sz="4" w:space="0" w:color="000000"/>
                          <w:right w:val="single" w:sz="4" w:space="0" w:color="000000"/>
                        </w:tcBorders>
                        <w:shd w:val="clear" w:color="auto" w:fill="D3D3D3"/>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市场价格董事会授权</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78,374,277.12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954,360.44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市场价格董事会授权</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18,484.62</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1,497,390.00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00"/>
        <w:gridCol w:w="2700"/>
        <w:gridCol w:w="1440"/>
        <w:gridCol w:w="1800"/>
        <w:gridCol w:w="1618"/>
        <w:gridCol w:w="1105"/>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7" w:right="96"/>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402,272,000.00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00"/>
        <w:gridCol w:w="2700"/>
        <w:gridCol w:w="1440"/>
        <w:gridCol w:w="1800"/>
        <w:gridCol w:w="1618"/>
        <w:gridCol w:w="1105"/>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20,150,526.56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62,855,000.00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188,554,505.37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104,355,195.17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392,623,352.40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359,950,511.98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spacing w:line="506" w:lineRule="auto" w:before="35"/>
        <w:ind w:left="574" w:right="6870" w:hanging="421"/>
        <w:jc w:val="left"/>
        <w:rPr>
          <w:rFonts w:ascii="宋体" w:hAnsi="宋体" w:cs="宋体" w:eastAsia="宋体" w:hint="default"/>
          <w:sz w:val="21"/>
          <w:szCs w:val="21"/>
        </w:rPr>
      </w:pPr>
      <w:r>
        <w:rPr/>
        <w:pict>
          <v:shape style="position:absolute;margin-left:56.34pt;margin-top:50.733978pt;width:486.55pt;height:87.7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1"/>
                    <w:gridCol w:w="1640"/>
                    <w:gridCol w:w="1342"/>
                    <w:gridCol w:w="1392"/>
                    <w:gridCol w:w="2512"/>
                  </w:tblGrid>
                  <w:tr>
                    <w:trPr>
                      <w:trHeight w:val="435" w:hRule="exact"/>
                    </w:trPr>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5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9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5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说</w:t>
                        </w:r>
                        <w:r>
                          <w:rPr>
                            <w:rFonts w:ascii="宋体" w:hAnsi="宋体" w:cs="宋体" w:eastAsia="宋体" w:hint="default"/>
                            <w:spacing w:val="55"/>
                            <w:sz w:val="18"/>
                            <w:szCs w:val="18"/>
                          </w:rPr>
                          <w:t> </w:t>
                        </w:r>
                        <w:r>
                          <w:rPr>
                            <w:rFonts w:ascii="宋体" w:hAnsi="宋体" w:cs="宋体" w:eastAsia="宋体" w:hint="default"/>
                            <w:sz w:val="18"/>
                            <w:szCs w:val="18"/>
                          </w:rPr>
                          <w:t>明</w:t>
                        </w:r>
                      </w:p>
                    </w:tc>
                  </w:tr>
                  <w:tr>
                    <w:trPr>
                      <w:trHeight w:val="432"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6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190,000,000.00</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2007.5.24</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2017.5.24</w:t>
                        </w:r>
                      </w:p>
                    </w:tc>
                    <w:tc>
                      <w:tcPr>
                        <w:tcW w:w="2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委托贷款</w:t>
                        </w:r>
                      </w:p>
                    </w:tc>
                  </w:tr>
                  <w:tr>
                    <w:trPr>
                      <w:trHeight w:val="432"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6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110,000,000.00</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2007.5.25</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2017.5.25</w:t>
                        </w:r>
                      </w:p>
                    </w:tc>
                    <w:tc>
                      <w:tcPr>
                        <w:tcW w:w="2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委托贷款</w:t>
                        </w:r>
                      </w:p>
                    </w:tc>
                  </w:tr>
                  <w:tr>
                    <w:trPr>
                      <w:trHeight w:val="432"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6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99" w:right="0"/>
                          <w:jc w:val="left"/>
                          <w:rPr>
                            <w:rFonts w:ascii="Times New Roman" w:hAnsi="Times New Roman" w:cs="Times New Roman" w:eastAsia="Times New Roman" w:hint="default"/>
                            <w:sz w:val="18"/>
                            <w:szCs w:val="18"/>
                          </w:rPr>
                        </w:pPr>
                        <w:r>
                          <w:rPr>
                            <w:rFonts w:ascii="Times New Roman"/>
                            <w:sz w:val="18"/>
                          </w:rPr>
                          <w:t>200,000,000.00</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2010.4.19</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2013.4.18</w:t>
                        </w:r>
                      </w:p>
                    </w:tc>
                    <w:tc>
                      <w:tcPr>
                        <w:tcW w:w="25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委托贷款</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本公司对子公司的委托贷款</w:t>
      </w:r>
    </w:p>
    <w:p>
      <w:pPr>
        <w:spacing w:after="0" w:line="506" w:lineRule="auto"/>
        <w:jc w:val="left"/>
        <w:rPr>
          <w:rFonts w:ascii="宋体" w:hAnsi="宋体" w:cs="宋体" w:eastAsia="宋体" w:hint="default"/>
          <w:sz w:val="21"/>
          <w:szCs w:val="21"/>
        </w:rPr>
        <w:sectPr>
          <w:pgSz w:w="11910" w:h="16840"/>
          <w:pgMar w:header="0"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4</w:t>
      </w:r>
      <w:r>
        <w:rPr/>
        <w:t>）</w:t>
      </w:r>
      <w:r>
        <w:rPr>
          <w:spacing w:val="-8"/>
        </w:rPr>
        <w:t> </w:t>
      </w:r>
      <w:r>
        <w:rPr/>
        <w:t>关键管理人员报酬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pPr>
      <w:r>
        <w:rPr/>
        <w:t>①关键管理人员报酬分布区间</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798"/>
        <w:gridCol w:w="2456"/>
        <w:gridCol w:w="2437"/>
      </w:tblGrid>
      <w:tr>
        <w:trPr>
          <w:trHeight w:val="435" w:hRule="exact"/>
        </w:trPr>
        <w:tc>
          <w:tcPr>
            <w:tcW w:w="4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7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2,115.87</w:t>
            </w:r>
            <w:r>
              <w:rPr>
                <w:rFonts w:ascii="宋体" w:hAnsi="宋体" w:cs="宋体" w:eastAsia="宋体" w:hint="default"/>
                <w:spacing w:val="-1"/>
                <w:sz w:val="18"/>
                <w:szCs w:val="18"/>
              </w:rPr>
              <w:t>万元</w:t>
            </w: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2,429.10</w:t>
            </w:r>
            <w:r>
              <w:rPr>
                <w:rFonts w:ascii="宋体" w:hAnsi="宋体" w:cs="宋体" w:eastAsia="宋体" w:hint="default"/>
                <w:sz w:val="18"/>
                <w:szCs w:val="18"/>
              </w:rPr>
              <w:t>万元</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56" w:type="dxa"/>
            <w:tcBorders>
              <w:top w:val="single" w:sz="12" w:space="0" w:color="000000"/>
              <w:left w:val="single" w:sz="6" w:space="0" w:color="000000"/>
              <w:bottom w:val="single" w:sz="12" w:space="0" w:color="000000"/>
              <w:right w:val="single" w:sz="6" w:space="0" w:color="000000"/>
            </w:tcBorders>
          </w:tcPr>
          <w:p>
            <w:pPr/>
          </w:p>
        </w:tc>
        <w:tc>
          <w:tcPr>
            <w:tcW w:w="2437"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1</w:t>
            </w:r>
          </w:p>
        </w:tc>
        <w:tc>
          <w:tcPr>
            <w:tcW w:w="2437"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
        </w:tc>
        <w:tc>
          <w:tcPr>
            <w:tcW w:w="2437"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1</w:t>
            </w:r>
          </w:p>
        </w:tc>
        <w:tc>
          <w:tcPr>
            <w:tcW w:w="2437"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1</w:t>
            </w: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1</w:t>
            </w: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8</w:t>
            </w: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w:t>
            </w:r>
          </w:p>
        </w:tc>
      </w:tr>
      <w:tr>
        <w:trPr>
          <w:trHeight w:val="432" w:hRule="exact"/>
        </w:trPr>
        <w:tc>
          <w:tcPr>
            <w:tcW w:w="47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w:t>
            </w:r>
          </w:p>
        </w:tc>
        <w:tc>
          <w:tcPr>
            <w:tcW w:w="24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w:t>
            </w:r>
          </w:p>
        </w:tc>
      </w:tr>
    </w:tbl>
    <w:p>
      <w:pPr>
        <w:pStyle w:val="Heading4"/>
        <w:spacing w:line="240" w:lineRule="auto" w:before="46"/>
        <w:ind w:left="679" w:right="181"/>
        <w:jc w:val="left"/>
      </w:pPr>
      <w:r>
        <w:rPr/>
        <w:t>②关键管理人员报酬明细</w:t>
      </w:r>
    </w:p>
    <w:p>
      <w:pPr>
        <w:pStyle w:val="Heading4"/>
        <w:spacing w:line="240" w:lineRule="auto" w:before="97"/>
        <w:ind w:left="7767" w:right="190"/>
        <w:jc w:val="right"/>
      </w:pPr>
      <w:r>
        <w:rPr/>
        <w:t>单位：万元</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328"/>
        <w:gridCol w:w="1838"/>
        <w:gridCol w:w="1964"/>
        <w:gridCol w:w="1980"/>
        <w:gridCol w:w="1547"/>
      </w:tblGrid>
      <w:tr>
        <w:trPr>
          <w:trHeight w:val="424" w:hRule="exact"/>
        </w:trPr>
        <w:tc>
          <w:tcPr>
            <w:tcW w:w="232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5783" w:type="dxa"/>
            <w:gridSpan w:val="3"/>
            <w:tcBorders>
              <w:top w:val="single" w:sz="6" w:space="0" w:color="000000"/>
              <w:left w:val="single" w:sz="6"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547" w:type="dxa"/>
            <w:vMerge w:val="restart"/>
            <w:tcBorders>
              <w:top w:val="single" w:sz="6"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0" w:hRule="exact"/>
        </w:trPr>
        <w:tc>
          <w:tcPr>
            <w:tcW w:w="2328" w:type="dxa"/>
            <w:vMerge/>
            <w:tcBorders>
              <w:left w:val="single" w:sz="6" w:space="0" w:color="000000"/>
              <w:bottom w:val="single" w:sz="6" w:space="0" w:color="000000"/>
              <w:right w:val="single" w:sz="6" w:space="0" w:color="000000"/>
            </w:tcBorders>
          </w:tcPr>
          <w:p>
            <w:pPr/>
          </w:p>
        </w:tc>
        <w:tc>
          <w:tcPr>
            <w:tcW w:w="18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7"/>
              <w:ind w:right="74"/>
              <w:jc w:val="center"/>
              <w:rPr>
                <w:rFonts w:ascii="宋体" w:hAnsi="宋体" w:cs="宋体" w:eastAsia="宋体" w:hint="default"/>
                <w:sz w:val="18"/>
                <w:szCs w:val="18"/>
              </w:rPr>
            </w:pPr>
            <w:r>
              <w:rPr>
                <w:rFonts w:ascii="宋体" w:hAnsi="宋体" w:cs="宋体" w:eastAsia="宋体" w:hint="default"/>
                <w:sz w:val="18"/>
                <w:szCs w:val="18"/>
              </w:rPr>
              <w:t>年薪</w:t>
            </w:r>
          </w:p>
        </w:tc>
        <w:tc>
          <w:tcPr>
            <w:tcW w:w="196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7"/>
              <w:ind w:left="615"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98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7"/>
              <w:ind w:left="531"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47" w:type="dxa"/>
            <w:vMerge/>
            <w:tcBorders>
              <w:left w:val="single" w:sz="4" w:space="0" w:color="000000"/>
              <w:bottom w:val="single" w:sz="6" w:space="0" w:color="000000"/>
              <w:right w:val="single" w:sz="4" w:space="0" w:color="000000"/>
            </w:tcBorders>
          </w:tcPr>
          <w:p>
            <w:pPr/>
          </w:p>
        </w:tc>
      </w:tr>
      <w:tr>
        <w:trPr>
          <w:trHeight w:val="435" w:hRule="exact"/>
        </w:trPr>
        <w:tc>
          <w:tcPr>
            <w:tcW w:w="2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6" w:space="0" w:color="000000"/>
              <w:left w:val="single" w:sz="6" w:space="0" w:color="000000"/>
              <w:bottom w:val="single" w:sz="12" w:space="0" w:color="000000"/>
              <w:right w:val="single" w:sz="6" w:space="0" w:color="000000"/>
            </w:tcBorders>
          </w:tcPr>
          <w:p>
            <w:pPr/>
          </w:p>
        </w:tc>
        <w:tc>
          <w:tcPr>
            <w:tcW w:w="1980" w:type="dxa"/>
            <w:tcBorders>
              <w:top w:val="single" w:sz="6" w:space="0" w:color="000000"/>
              <w:left w:val="single" w:sz="6" w:space="0" w:color="000000"/>
              <w:bottom w:val="single" w:sz="12" w:space="0" w:color="000000"/>
              <w:right w:val="single" w:sz="6" w:space="0" w:color="000000"/>
            </w:tcBorders>
          </w:tcPr>
          <w:p>
            <w:pPr/>
          </w:p>
        </w:tc>
        <w:tc>
          <w:tcPr>
            <w:tcW w:w="154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2"/>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32.5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32.5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非执行董事小计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394.92</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399.20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263.92</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268.20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95.90</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100.18</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87.51</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91.79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328"/>
        <w:gridCol w:w="1838"/>
        <w:gridCol w:w="1964"/>
        <w:gridCol w:w="1980"/>
        <w:gridCol w:w="1547"/>
      </w:tblGrid>
      <w:tr>
        <w:trPr>
          <w:trHeight w:val="435" w:hRule="exact"/>
        </w:trPr>
        <w:tc>
          <w:tcPr>
            <w:tcW w:w="2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pacing w:val="-2"/>
                <w:sz w:val="18"/>
              </w:rPr>
              <w:t>119.01</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6"/>
              <w:jc w:val="right"/>
              <w:rPr>
                <w:rFonts w:ascii="Times New Roman" w:hAnsi="Times New Roman" w:cs="Times New Roman" w:eastAsia="Times New Roman" w:hint="default"/>
                <w:sz w:val="18"/>
                <w:szCs w:val="18"/>
              </w:rPr>
            </w:pPr>
            <w:r>
              <w:rPr>
                <w:rFonts w:ascii="Times New Roman"/>
                <w:sz w:val="18"/>
              </w:rPr>
              <w:t>0.65</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z w:val="18"/>
              </w:rPr>
              <w:t>0.23</w:t>
            </w:r>
          </w:p>
        </w:tc>
        <w:tc>
          <w:tcPr>
            <w:tcW w:w="154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2"/>
              <w:ind w:right="80"/>
              <w:jc w:val="right"/>
              <w:rPr>
                <w:rFonts w:ascii="Times New Roman" w:hAnsi="Times New Roman" w:cs="Times New Roman" w:eastAsia="Times New Roman" w:hint="default"/>
                <w:sz w:val="18"/>
                <w:szCs w:val="18"/>
              </w:rPr>
            </w:pPr>
            <w:r>
              <w:rPr>
                <w:rFonts w:ascii="Times New Roman"/>
                <w:spacing w:val="-2"/>
                <w:sz w:val="18"/>
              </w:rPr>
              <w:t>119.89</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pacing w:val="-2"/>
                <w:sz w:val="18"/>
              </w:rPr>
              <w:t>117.18</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121.46</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55.74</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60.02</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1,134.18</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18.53</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8.03</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1,160.74</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45.72</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50.00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王菊</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13.72</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2.98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18.00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12.37</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2.88</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1.30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16.55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监事合计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76.81</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8.84</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3.90</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89.55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781.37</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25.89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10.82</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818.08</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2,039.86</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53.26</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22.75</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w w:val="95"/>
                <w:sz w:val="18"/>
              </w:rPr>
              <w:t>2,115.87</w:t>
            </w:r>
          </w:p>
        </w:tc>
      </w:tr>
    </w:tbl>
    <w:p>
      <w:pPr>
        <w:pStyle w:val="BodyText"/>
        <w:spacing w:line="240" w:lineRule="auto" w:before="51"/>
        <w:ind w:right="0"/>
        <w:jc w:val="left"/>
      </w:pPr>
      <w:r>
        <w:rPr/>
        <w:t>续</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328"/>
        <w:gridCol w:w="1838"/>
        <w:gridCol w:w="1964"/>
        <w:gridCol w:w="1980"/>
        <w:gridCol w:w="1547"/>
      </w:tblGrid>
      <w:tr>
        <w:trPr>
          <w:trHeight w:val="422" w:hRule="exact"/>
        </w:trPr>
        <w:tc>
          <w:tcPr>
            <w:tcW w:w="2328"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5783" w:type="dxa"/>
            <w:gridSpan w:val="3"/>
            <w:tcBorders>
              <w:top w:val="single" w:sz="12" w:space="0" w:color="000000"/>
              <w:left w:val="single" w:sz="6"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547" w:type="dxa"/>
            <w:vMerge w:val="restart"/>
            <w:tcBorders>
              <w:top w:val="single" w:sz="12"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328" w:type="dxa"/>
            <w:vMerge/>
            <w:tcBorders>
              <w:left w:val="single" w:sz="6" w:space="0" w:color="000000"/>
              <w:bottom w:val="single" w:sz="4" w:space="0" w:color="000000"/>
              <w:right w:val="single" w:sz="6" w:space="0" w:color="000000"/>
            </w:tcBorders>
          </w:tcPr>
          <w:p>
            <w:pPr/>
          </w:p>
        </w:tc>
        <w:tc>
          <w:tcPr>
            <w:tcW w:w="183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7"/>
              <w:ind w:right="74"/>
              <w:jc w:val="center"/>
              <w:rPr>
                <w:rFonts w:ascii="宋体" w:hAnsi="宋体" w:cs="宋体" w:eastAsia="宋体" w:hint="default"/>
                <w:sz w:val="18"/>
                <w:szCs w:val="18"/>
              </w:rPr>
            </w:pPr>
            <w:r>
              <w:rPr>
                <w:rFonts w:ascii="宋体" w:hAnsi="宋体" w:cs="宋体" w:eastAsia="宋体" w:hint="default"/>
                <w:sz w:val="18"/>
                <w:szCs w:val="18"/>
              </w:rPr>
              <w:t>年薪</w:t>
            </w:r>
          </w:p>
        </w:tc>
        <w:tc>
          <w:tcPr>
            <w:tcW w:w="196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7"/>
              <w:ind w:left="615"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9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7"/>
              <w:ind w:left="531"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47" w:type="dxa"/>
            <w:vMerge/>
            <w:tcBorders>
              <w:left w:val="single" w:sz="4" w:space="0" w:color="000000"/>
              <w:bottom w:val="single" w:sz="4" w:space="0" w:color="000000"/>
              <w:right w:val="single" w:sz="6" w:space="0" w:color="000000"/>
            </w:tcBorders>
          </w:tcPr>
          <w:p>
            <w:pPr/>
          </w:p>
        </w:tc>
      </w:tr>
      <w:tr>
        <w:trPr>
          <w:trHeight w:val="431" w:hRule="exact"/>
        </w:trPr>
        <w:tc>
          <w:tcPr>
            <w:tcW w:w="232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83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4" w:space="0" w:color="000000"/>
              <w:left w:val="single" w:sz="6" w:space="0" w:color="000000"/>
              <w:bottom w:val="single" w:sz="12" w:space="0" w:color="000000"/>
              <w:right w:val="single" w:sz="6" w:space="0" w:color="000000"/>
            </w:tcBorders>
          </w:tcPr>
          <w:p>
            <w:pPr/>
          </w:p>
        </w:tc>
        <w:tc>
          <w:tcPr>
            <w:tcW w:w="1980" w:type="dxa"/>
            <w:tcBorders>
              <w:top w:val="single" w:sz="4" w:space="0" w:color="000000"/>
              <w:left w:val="single" w:sz="6" w:space="0" w:color="000000"/>
              <w:bottom w:val="single" w:sz="12" w:space="0" w:color="000000"/>
              <w:right w:val="single" w:sz="6" w:space="0" w:color="000000"/>
            </w:tcBorders>
          </w:tcPr>
          <w:p>
            <w:pPr/>
          </w:p>
        </w:tc>
        <w:tc>
          <w:tcPr>
            <w:tcW w:w="1547"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102"/>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32.50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非执行董事小计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15</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15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499.00</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503.07</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298.00</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302.07</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105.45</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109.52</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78.61</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82.68</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126.20</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0.57</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0.22</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126.99</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127.85</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131.92</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41.49</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45.56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328"/>
        <w:gridCol w:w="1838"/>
        <w:gridCol w:w="1964"/>
        <w:gridCol w:w="1980"/>
        <w:gridCol w:w="1547"/>
      </w:tblGrid>
      <w:tr>
        <w:trPr>
          <w:trHeight w:val="435" w:hRule="exact"/>
        </w:trPr>
        <w:tc>
          <w:tcPr>
            <w:tcW w:w="2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执行董事小计</w:t>
            </w:r>
          </w:p>
        </w:tc>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z w:val="18"/>
              </w:rPr>
              <w:t>1,276.60</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6"/>
              <w:jc w:val="right"/>
              <w:rPr>
                <w:rFonts w:ascii="Times New Roman" w:hAnsi="Times New Roman" w:cs="Times New Roman" w:eastAsia="Times New Roman" w:hint="default"/>
                <w:sz w:val="18"/>
                <w:szCs w:val="18"/>
              </w:rPr>
            </w:pPr>
            <w:r>
              <w:rPr>
                <w:rFonts w:ascii="Times New Roman"/>
                <w:sz w:val="18"/>
              </w:rPr>
              <w:t>17.91</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77"/>
              <w:jc w:val="right"/>
              <w:rPr>
                <w:rFonts w:ascii="Times New Roman" w:hAnsi="Times New Roman" w:cs="Times New Roman" w:eastAsia="Times New Roman" w:hint="default"/>
                <w:sz w:val="18"/>
                <w:szCs w:val="18"/>
              </w:rPr>
            </w:pPr>
            <w:r>
              <w:rPr>
                <w:rFonts w:ascii="Times New Roman"/>
                <w:sz w:val="18"/>
              </w:rPr>
              <w:t>7.30</w:t>
            </w:r>
          </w:p>
        </w:tc>
        <w:tc>
          <w:tcPr>
            <w:tcW w:w="154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2"/>
              <w:ind w:right="80"/>
              <w:jc w:val="right"/>
              <w:rPr>
                <w:rFonts w:ascii="Times New Roman" w:hAnsi="Times New Roman" w:cs="Times New Roman" w:eastAsia="Times New Roman" w:hint="default"/>
                <w:sz w:val="18"/>
                <w:szCs w:val="18"/>
              </w:rPr>
            </w:pPr>
            <w:r>
              <w:rPr>
                <w:rFonts w:ascii="Times New Roman"/>
                <w:sz w:val="18"/>
              </w:rPr>
              <w:t>1301.81</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40.00</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44.07</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王菊</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19.43</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2.80</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1.15</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23.38</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16.69</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2.56</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1.05</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20.30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2.50</w:t>
            </w:r>
          </w:p>
        </w:tc>
        <w:tc>
          <w:tcPr>
            <w:tcW w:w="1964" w:type="dxa"/>
            <w:tcBorders>
              <w:top w:val="single" w:sz="12" w:space="0" w:color="000000"/>
              <w:left w:val="single" w:sz="6" w:space="0" w:color="000000"/>
              <w:bottom w:val="single" w:sz="12" w:space="0" w:color="000000"/>
              <w:right w:val="single" w:sz="6" w:space="0" w:color="000000"/>
            </w:tcBorders>
          </w:tcPr>
          <w:p>
            <w:pPr/>
          </w:p>
        </w:tc>
        <w:tc>
          <w:tcPr>
            <w:tcW w:w="1980" w:type="dxa"/>
            <w:tcBorders>
              <w:top w:val="single" w:sz="12" w:space="0" w:color="000000"/>
              <w:left w:val="single" w:sz="6" w:space="0" w:color="000000"/>
              <w:bottom w:val="single" w:sz="12" w:space="0" w:color="000000"/>
              <w:right w:val="single" w:sz="6" w:space="0" w:color="000000"/>
            </w:tcBorders>
          </w:tcPr>
          <w:p>
            <w:pP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2.50</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监事合计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81.12</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8.25</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3.38</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92.75</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950.41</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25.99</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10.64</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z w:val="18"/>
              </w:rPr>
              <w:t>987.04</w:t>
            </w:r>
          </w:p>
        </w:tc>
      </w:tr>
      <w:tr>
        <w:trPr>
          <w:trHeight w:val="432" w:hRule="exact"/>
        </w:trPr>
        <w:tc>
          <w:tcPr>
            <w:tcW w:w="23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2,355.63</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6"/>
              <w:jc w:val="right"/>
              <w:rPr>
                <w:rFonts w:ascii="Times New Roman" w:hAnsi="Times New Roman" w:cs="Times New Roman" w:eastAsia="Times New Roman" w:hint="default"/>
                <w:sz w:val="18"/>
                <w:szCs w:val="18"/>
              </w:rPr>
            </w:pPr>
            <w:r>
              <w:rPr>
                <w:rFonts w:ascii="Times New Roman"/>
                <w:sz w:val="18"/>
              </w:rPr>
              <w:t>52.15</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7"/>
              <w:jc w:val="right"/>
              <w:rPr>
                <w:rFonts w:ascii="Times New Roman" w:hAnsi="Times New Roman" w:cs="Times New Roman" w:eastAsia="Times New Roman" w:hint="default"/>
                <w:sz w:val="18"/>
                <w:szCs w:val="18"/>
              </w:rPr>
            </w:pPr>
            <w:r>
              <w:rPr>
                <w:rFonts w:ascii="Times New Roman"/>
                <w:sz w:val="18"/>
              </w:rPr>
              <w:t>21.32</w:t>
            </w:r>
          </w:p>
        </w:tc>
        <w:tc>
          <w:tcPr>
            <w:tcW w:w="154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91"/>
              <w:ind w:right="80"/>
              <w:jc w:val="right"/>
              <w:rPr>
                <w:rFonts w:ascii="Times New Roman" w:hAnsi="Times New Roman" w:cs="Times New Roman" w:eastAsia="Times New Roman" w:hint="default"/>
                <w:sz w:val="18"/>
                <w:szCs w:val="18"/>
              </w:rPr>
            </w:pPr>
            <w:r>
              <w:rPr>
                <w:rFonts w:ascii="Times New Roman"/>
                <w:sz w:val="18"/>
              </w:rPr>
              <w:t>2,429.10</w:t>
            </w:r>
          </w:p>
        </w:tc>
      </w:tr>
    </w:tbl>
    <w:p>
      <w:pPr>
        <w:pStyle w:val="BodyText"/>
        <w:spacing w:line="240" w:lineRule="auto" w:before="71"/>
        <w:ind w:left="574" w:right="0"/>
        <w:jc w:val="left"/>
      </w:pPr>
      <w:r>
        <w:rPr/>
        <w:t>注：激励款参照本集团规定、董事个人表现而定，并经薪酬委员会批准。</w:t>
      </w:r>
    </w:p>
    <w:p>
      <w:pPr>
        <w:pStyle w:val="BodyText"/>
        <w:spacing w:line="240" w:lineRule="auto" w:before="135"/>
        <w:ind w:left="573" w:right="0"/>
        <w:jc w:val="left"/>
      </w:pPr>
      <w:r>
        <w:rPr/>
        <w:t>③本集团年内前</w:t>
      </w:r>
      <w:r>
        <w:rPr>
          <w:rFonts w:ascii="Times New Roman" w:hAnsi="Times New Roman" w:cs="Times New Roman" w:eastAsia="Times New Roman" w:hint="default"/>
        </w:rPr>
        <w:t>5</w:t>
      </w:r>
      <w:r>
        <w:rPr/>
        <w:t>名最高薪酬委员是本公司董事。</w:t>
      </w:r>
    </w:p>
    <w:p>
      <w:pPr>
        <w:pStyle w:val="BodyText"/>
        <w:spacing w:line="302" w:lineRule="auto" w:before="123"/>
        <w:ind w:left="153" w:right="0" w:firstLine="420"/>
        <w:jc w:val="left"/>
      </w:pPr>
      <w:r>
        <w:rPr>
          <w:spacing w:val="-2"/>
        </w:rPr>
        <w:t>④年内，本集团并无向本公司董事及前</w:t>
      </w:r>
      <w:r>
        <w:rPr>
          <w:rFonts w:ascii="Times New Roman" w:hAnsi="Times New Roman" w:cs="Times New Roman" w:eastAsia="Times New Roman" w:hint="default"/>
          <w:spacing w:val="-2"/>
        </w:rPr>
        <w:t>5</w:t>
      </w:r>
      <w:r>
        <w:rPr>
          <w:spacing w:val="-2"/>
        </w:rPr>
        <w:t>名最高薪酬个人支付任何吸引他们加入本集团之薪金，又或在他们加入本集团</w:t>
      </w:r>
      <w:r>
        <w:rPr/>
        <w:t> 后支付薪金作为激励，亦无因失去职位支付他们补偿金，年内无董事放弃任何薪金。</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上市公司应收关联方款项</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53"/>
        <w:gridCol w:w="2809"/>
        <w:gridCol w:w="1466"/>
        <w:gridCol w:w="1441"/>
        <w:gridCol w:w="1441"/>
        <w:gridCol w:w="1382"/>
      </w:tblGrid>
      <w:tr>
        <w:trPr>
          <w:trHeight w:val="402" w:hRule="exact"/>
        </w:trPr>
        <w:tc>
          <w:tcPr>
            <w:tcW w:w="11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153" w:type="dxa"/>
            <w:vMerge/>
            <w:tcBorders>
              <w:left w:val="single" w:sz="4" w:space="0" w:color="000000"/>
              <w:bottom w:val="single" w:sz="4" w:space="0" w:color="000000"/>
              <w:right w:val="single" w:sz="4" w:space="0" w:color="000000"/>
            </w:tcBorders>
            <w:shd w:val="clear" w:color="auto" w:fill="D3D3D3"/>
          </w:tcPr>
          <w:p>
            <w:pPr/>
          </w:p>
        </w:tc>
        <w:tc>
          <w:tcPr>
            <w:tcW w:w="2809" w:type="dxa"/>
            <w:vMerge/>
            <w:tcBorders>
              <w:left w:val="single" w:sz="4" w:space="0" w:color="000000"/>
              <w:bottom w:val="single" w:sz="4" w:space="0" w:color="000000"/>
              <w:right w:val="single" w:sz="4" w:space="0" w:color="000000"/>
            </w:tcBorders>
            <w:shd w:val="clear" w:color="auto" w:fill="D3D3D3"/>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15,739,073.73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786,953.69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819,534.42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40,976.71</w:t>
            </w:r>
          </w:p>
        </w:tc>
      </w:tr>
      <w:tr>
        <w:trPr>
          <w:trHeight w:val="402"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21,627.00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1,081.35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847,390.00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42,369.50</w:t>
            </w:r>
          </w:p>
        </w:tc>
      </w:tr>
      <w:tr>
        <w:trPr>
          <w:trHeight w:val="402"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1,290,901.12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1,290,901.12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258,180.22</w:t>
            </w:r>
          </w:p>
        </w:tc>
      </w:tr>
    </w:tbl>
    <w:p>
      <w:pPr>
        <w:pStyle w:val="BodyText"/>
        <w:spacing w:line="240" w:lineRule="auto" w:before="51"/>
        <w:ind w:right="0"/>
        <w:jc w:val="left"/>
      </w:pPr>
      <w:r>
        <w:rPr/>
        <w:t>上市公司应付关联方款项</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9" w:right="0"/>
              <w:jc w:val="left"/>
              <w:rPr>
                <w:rFonts w:ascii="Times New Roman" w:hAnsi="Times New Roman" w:cs="Times New Roman" w:eastAsia="Times New Roman" w:hint="default"/>
                <w:sz w:val="18"/>
                <w:szCs w:val="18"/>
              </w:rPr>
            </w:pPr>
            <w:r>
              <w:rPr>
                <w:rFonts w:ascii="Times New Roman"/>
                <w:sz w:val="18"/>
              </w:rPr>
              <w:t>30,000,000.00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十、</w:t>
      </w:r>
      <w:r>
        <w:rPr>
          <w:spacing w:val="-3"/>
        </w:rPr>
        <w:t> </w:t>
      </w:r>
      <w:r>
        <w:rPr/>
        <w:t>或有事项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692"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日，本集团无需要披露的重大或有事项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十一、承诺事项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82" w:top="1060" w:bottom="1180" w:left="980" w:right="980"/>
        </w:sectPr>
      </w:pPr>
    </w:p>
    <w:p>
      <w:pPr>
        <w:pStyle w:val="Heading4"/>
        <w:spacing w:line="240" w:lineRule="auto" w:before="35"/>
        <w:ind w:left="692" w:right="-20"/>
        <w:jc w:val="left"/>
      </w:pPr>
      <w:r>
        <w:rPr/>
        <w:t>（</w:t>
      </w:r>
      <w:r>
        <w:rPr>
          <w:rFonts w:ascii="Times New Roman" w:hAnsi="Times New Roman" w:cs="Times New Roman" w:eastAsia="Times New Roman" w:hint="default"/>
        </w:rPr>
        <w:t>1</w:t>
      </w: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692" w:right="0"/>
        <w:jc w:val="left"/>
      </w:pPr>
      <w:r>
        <w:rPr/>
        <w:t>人民币元</w:t>
      </w:r>
    </w:p>
    <w:p>
      <w:pPr>
        <w:spacing w:after="0" w:line="240" w:lineRule="auto"/>
        <w:jc w:val="left"/>
        <w:sectPr>
          <w:type w:val="continuous"/>
          <w:pgSz w:w="11910" w:h="16840"/>
          <w:pgMar w:top="1060" w:bottom="1180" w:left="980" w:right="980"/>
          <w:cols w:num="2" w:equalWidth="0">
            <w:col w:w="2058" w:space="6322"/>
            <w:col w:w="1570"/>
          </w:cols>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494"/>
        <w:gridCol w:w="2497"/>
        <w:gridCol w:w="2695"/>
      </w:tblGrid>
      <w:tr>
        <w:trPr>
          <w:trHeight w:val="435" w:hRule="exact"/>
        </w:trPr>
        <w:tc>
          <w:tcPr>
            <w:tcW w:w="4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w:t>
            </w:r>
          </w:p>
        </w:tc>
        <w:tc>
          <w:tcPr>
            <w:tcW w:w="2497" w:type="dxa"/>
            <w:tcBorders>
              <w:top w:val="single" w:sz="12" w:space="0" w:color="000000"/>
              <w:left w:val="single" w:sz="6" w:space="0" w:color="000000"/>
              <w:bottom w:val="single" w:sz="12" w:space="0" w:color="000000"/>
              <w:right w:val="single" w:sz="6" w:space="0" w:color="000000"/>
            </w:tcBorders>
          </w:tcPr>
          <w:p>
            <w:pPr/>
          </w:p>
        </w:tc>
        <w:tc>
          <w:tcPr>
            <w:tcW w:w="2695"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购建长期资产承诺</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3,492,740,126.70</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3,367,499,794.06</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3,492,740,126.70</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3,367,499,794.06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pStyle w:val="BodyText"/>
        <w:spacing w:line="338" w:lineRule="auto" w:before="51"/>
        <w:ind w:left="573" w:right="-20" w:firstLine="62"/>
        <w:jc w:val="left"/>
      </w:pPr>
      <w:r>
        <w:rPr/>
        <w:t>（</w:t>
      </w:r>
      <w:r>
        <w:rPr>
          <w:rFonts w:ascii="Times New Roman" w:hAnsi="Times New Roman" w:cs="Times New Roman" w:eastAsia="Times New Roman" w:hint="default"/>
        </w:rPr>
        <w:t>2</w:t>
      </w:r>
      <w:r>
        <w:rPr/>
        <w:t>）经营租赁承诺 至资产负债表日止，本集团对外签订的不可撤销的经营租赁合约情况如下：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573" w:right="0"/>
        <w:jc w:val="left"/>
      </w:pPr>
      <w:r>
        <w:rPr/>
        <w:t>人民币元</w:t>
      </w:r>
    </w:p>
    <w:p>
      <w:pPr>
        <w:spacing w:after="0" w:line="240" w:lineRule="auto"/>
        <w:jc w:val="left"/>
        <w:sectPr>
          <w:type w:val="continuous"/>
          <w:pgSz w:w="11910" w:h="16840"/>
          <w:pgMar w:top="1060" w:bottom="1180" w:left="980" w:right="940"/>
          <w:cols w:num="2" w:equalWidth="0">
            <w:col w:w="6514" w:space="1984"/>
            <w:col w:w="1492"/>
          </w:cols>
        </w:sectPr>
      </w:pP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494"/>
        <w:gridCol w:w="2497"/>
        <w:gridCol w:w="2695"/>
      </w:tblGrid>
      <w:tr>
        <w:trPr>
          <w:trHeight w:val="435" w:hRule="exact"/>
        </w:trPr>
        <w:tc>
          <w:tcPr>
            <w:tcW w:w="44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97" w:type="dxa"/>
            <w:tcBorders>
              <w:top w:val="single" w:sz="12" w:space="0" w:color="000000"/>
              <w:left w:val="single" w:sz="6" w:space="0" w:color="000000"/>
              <w:bottom w:val="single" w:sz="12" w:space="0" w:color="000000"/>
              <w:right w:val="single" w:sz="6" w:space="0" w:color="000000"/>
            </w:tcBorders>
          </w:tcPr>
          <w:p>
            <w:pPr/>
          </w:p>
        </w:tc>
        <w:tc>
          <w:tcPr>
            <w:tcW w:w="2695"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25,750,281.07</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39,043,673.69</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14,197,441.54</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20,588,005.02</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13,894,570.34</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15,599,245.62</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592,968,638.49</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666,563,916.25</w:t>
            </w:r>
          </w:p>
        </w:tc>
      </w:tr>
      <w:tr>
        <w:trPr>
          <w:trHeight w:val="432" w:hRule="exact"/>
        </w:trPr>
        <w:tc>
          <w:tcPr>
            <w:tcW w:w="44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4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646,810,931.44</w:t>
            </w:r>
          </w:p>
        </w:tc>
        <w:tc>
          <w:tcPr>
            <w:tcW w:w="26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741,794,840.58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181"/>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日，本集团无需要披露的重大承诺事项。</w:t>
      </w:r>
    </w:p>
    <w:p>
      <w:pPr>
        <w:spacing w:line="240" w:lineRule="auto" w:before="12"/>
        <w:rPr>
          <w:rFonts w:ascii="宋体" w:hAnsi="宋体" w:cs="宋体" w:eastAsia="宋体" w:hint="default"/>
          <w:sz w:val="23"/>
          <w:szCs w:val="23"/>
        </w:rPr>
      </w:pPr>
    </w:p>
    <w:p>
      <w:pPr>
        <w:pStyle w:val="Heading2"/>
        <w:spacing w:line="240" w:lineRule="auto"/>
        <w:ind w:right="181"/>
        <w:jc w:val="left"/>
        <w:rPr>
          <w:b w:val="0"/>
          <w:bCs w:val="0"/>
        </w:rPr>
      </w:pPr>
      <w:r>
        <w:rPr/>
        <w:t>十二、其他重要事项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1"/>
        <w:jc w:val="left"/>
        <w:rPr>
          <w:b w:val="0"/>
          <w:bCs w:val="0"/>
        </w:rPr>
      </w:pPr>
      <w:r>
        <w:rPr>
          <w:rFonts w:ascii="Times New Roman" w:hAnsi="Times New Roman" w:cs="Times New Roman" w:eastAsia="Times New Roman" w:hint="default"/>
        </w:rPr>
        <w:t>1</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3"/>
        <w:gridCol w:w="1532"/>
        <w:gridCol w:w="1516"/>
        <w:gridCol w:w="1523"/>
        <w:gridCol w:w="1522"/>
        <w:gridCol w:w="1522"/>
      </w:tblGrid>
      <w:tr>
        <w:trPr>
          <w:trHeight w:val="161" w:hRule="exact"/>
        </w:trPr>
        <w:tc>
          <w:tcPr>
            <w:tcW w:w="19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23" w:type="dxa"/>
            <w:vMerge/>
            <w:tcBorders>
              <w:left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23" w:type="dxa"/>
            <w:vMerge/>
            <w:tcBorders>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959,061,500.85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3" w:right="0"/>
              <w:jc w:val="left"/>
              <w:rPr>
                <w:rFonts w:ascii="宋体" w:hAnsi="宋体" w:cs="宋体" w:eastAsia="宋体" w:hint="default"/>
                <w:sz w:val="18"/>
                <w:szCs w:val="18"/>
              </w:rPr>
            </w:pPr>
            <w:r>
              <w:rPr>
                <w:rFonts w:ascii="宋体"/>
                <w:sz w:val="18"/>
              </w:rPr>
              <w:t>47,822,076.87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宋体" w:hAnsi="宋体" w:cs="宋体" w:eastAsia="宋体" w:hint="default"/>
                <w:sz w:val="18"/>
                <w:szCs w:val="18"/>
              </w:rPr>
            </w:pPr>
            <w:r>
              <w:rPr>
                <w:rFonts w:ascii="宋体"/>
                <w:sz w:val="18"/>
              </w:rPr>
              <w:t>177,821,813.40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1,169,269,054.15</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2</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1"/>
        <w:gridCol w:w="1517"/>
        <w:gridCol w:w="1518"/>
        <w:gridCol w:w="1505"/>
      </w:tblGrid>
      <w:tr>
        <w:trPr>
          <w:trHeight w:val="160" w:hRule="exact"/>
        </w:trPr>
        <w:tc>
          <w:tcPr>
            <w:tcW w:w="19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4"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2" w:hRule="exact"/>
        </w:trPr>
        <w:tc>
          <w:tcPr>
            <w:tcW w:w="19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485,800,323.80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314,173,046.44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52"/>
        <w:gridCol w:w="1546"/>
        <w:gridCol w:w="1517"/>
        <w:gridCol w:w="1517"/>
        <w:gridCol w:w="1518"/>
        <w:gridCol w:w="1517"/>
      </w:tblGrid>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249,074,382.49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302,171,666.34</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405,323,953.66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315,038,730.07</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1,140,198,659.95</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931,383,442.85</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4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6,261,633,933.79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6,195,056,274.80</w:t>
            </w:r>
          </w:p>
        </w:tc>
      </w:tr>
    </w:tbl>
    <w:p>
      <w:pPr>
        <w:spacing w:line="240" w:lineRule="auto" w:before="2"/>
        <w:rPr>
          <w:rFonts w:ascii="宋体" w:hAnsi="宋体" w:cs="宋体" w:eastAsia="宋体" w:hint="default"/>
          <w:sz w:val="19"/>
          <w:szCs w:val="19"/>
        </w:rPr>
      </w:pPr>
    </w:p>
    <w:p>
      <w:pPr>
        <w:pStyle w:val="Heading3"/>
        <w:spacing w:line="240" w:lineRule="auto" w:before="35"/>
        <w:ind w:right="131"/>
        <w:jc w:val="left"/>
        <w:rPr>
          <w:b w:val="0"/>
          <w:bCs w:val="0"/>
        </w:rPr>
      </w:pPr>
      <w:r>
        <w:rPr>
          <w:rFonts w:ascii="Times New Roman" w:hAnsi="Times New Roman" w:cs="Times New Roman" w:eastAsia="Times New Roman" w:hint="default"/>
        </w:rPr>
        <w:t>3</w:t>
      </w:r>
      <w:r>
        <w:rPr/>
        <w:t>、 公司回购境内上市外资股（</w:t>
      </w:r>
      <w:r>
        <w:rPr>
          <w:rFonts w:ascii="Times New Roman" w:hAnsi="Times New Roman" w:cs="Times New Roman" w:eastAsia="Times New Roman" w:hint="default"/>
        </w:rPr>
        <w:t>B</w:t>
      </w:r>
      <w:r>
        <w:rPr>
          <w:rFonts w:ascii="Times New Roman" w:hAnsi="Times New Roman" w:cs="Times New Roman" w:eastAsia="Times New Roman" w:hint="default"/>
          <w:spacing w:val="-10"/>
        </w:rPr>
        <w:t> </w:t>
      </w:r>
      <w:r>
        <w:rPr/>
        <w:t>股）股份的说明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229"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日，公司第三次临时股东大会山东晨鸣纸业集团股份有限公司（以下简称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 的</w:t>
      </w:r>
      <w:r>
        <w:rPr>
          <w:rFonts w:ascii="Times New Roman" w:hAnsi="Times New Roman" w:cs="Times New Roman" w:eastAsia="Times New Roman" w:hint="default"/>
        </w:rPr>
        <w:t>2012</w:t>
      </w:r>
      <w:r>
        <w:rPr/>
        <w:t>年第三次临时股东大会、</w:t>
      </w:r>
      <w:r>
        <w:rPr>
          <w:rFonts w:ascii="Times New Roman" w:hAnsi="Times New Roman" w:cs="Times New Roman" w:eastAsia="Times New Roman" w:hint="default"/>
        </w:rPr>
        <w:t>2012</w:t>
      </w:r>
      <w:r>
        <w:rPr/>
        <w:t>年第一次境内上市股份（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w:t>
      </w:r>
      <w:r>
        <w:rPr>
          <w:rFonts w:ascii="Times New Roman" w:hAnsi="Times New Roman" w:cs="Times New Roman" w:eastAsia="Times New Roman" w:hint="default"/>
        </w:rPr>
        <w:t>2012</w:t>
      </w:r>
      <w:r>
        <w:rPr/>
        <w:t>年第一次境外上市股份（</w:t>
      </w:r>
      <w:r>
        <w:rPr>
          <w:rFonts w:ascii="Times New Roman" w:hAnsi="Times New Roman" w:cs="Times New Roman" w:eastAsia="Times New Roman" w:hint="default"/>
        </w:rPr>
        <w:t>H </w:t>
      </w:r>
      <w:r>
        <w:rPr>
          <w:spacing w:val="-1"/>
        </w:rPr>
        <w:t>股）类别股东大会决议，审计通过了公司第六届董事会第十四次会议《关于回购公司部分境内上市外资股（</w:t>
      </w:r>
      <w:r>
        <w:rPr>
          <w:rFonts w:ascii="Times New Roman" w:hAnsi="Times New Roman" w:cs="Times New Roman" w:eastAsia="Times New Roman" w:hint="default"/>
          <w:spacing w:val="-1"/>
        </w:rPr>
        <w:t>B</w:t>
      </w:r>
      <w:r>
        <w:rPr>
          <w:spacing w:val="-1"/>
        </w:rPr>
        <w:t>股）股份的议</w:t>
      </w:r>
      <w:r>
        <w:rPr>
          <w:spacing w:val="-60"/>
        </w:rPr>
        <w:t> </w:t>
      </w:r>
      <w:r>
        <w:rPr>
          <w:spacing w:val="-60"/>
        </w:rPr>
      </w:r>
      <w:r>
        <w:rPr>
          <w:spacing w:val="-2"/>
        </w:rPr>
        <w:t>案》，在本次股东大会及类别股东大会通过之日起</w:t>
      </w:r>
      <w:r>
        <w:rPr>
          <w:rFonts w:ascii="Times New Roman" w:hAnsi="Times New Roman" w:cs="Times New Roman" w:eastAsia="Times New Roman" w:hint="default"/>
          <w:spacing w:val="-2"/>
        </w:rPr>
        <w:t>12</w:t>
      </w:r>
      <w:r>
        <w:rPr>
          <w:spacing w:val="-2"/>
        </w:rPr>
        <w:t>个月内回购不超过</w:t>
      </w:r>
      <w:r>
        <w:rPr>
          <w:rFonts w:ascii="Times New Roman" w:hAnsi="Times New Roman" w:cs="Times New Roman" w:eastAsia="Times New Roman" w:hint="default"/>
          <w:spacing w:val="-2"/>
        </w:rPr>
        <w:t>1.5</w:t>
      </w:r>
      <w:r>
        <w:rPr>
          <w:spacing w:val="-2"/>
        </w:rPr>
        <w:t>亿股境内上市外资股（</w:t>
      </w:r>
      <w:r>
        <w:rPr>
          <w:rFonts w:ascii="Times New Roman" w:hAnsi="Times New Roman" w:cs="Times New Roman" w:eastAsia="Times New Roman" w:hint="default"/>
          <w:spacing w:val="-2"/>
        </w:rPr>
        <w:t>B</w:t>
      </w:r>
      <w:r>
        <w:rPr>
          <w:spacing w:val="-2"/>
        </w:rPr>
        <w:t>股）股份，回购价格不高</w:t>
      </w:r>
      <w:r>
        <w:rPr>
          <w:spacing w:val="-50"/>
        </w:rPr>
        <w:t> </w:t>
      </w:r>
      <w:r>
        <w:rPr>
          <w:spacing w:val="-50"/>
        </w:rPr>
      </w:r>
      <w:r>
        <w:rPr>
          <w:spacing w:val="-5"/>
        </w:rPr>
        <w:t>于</w:t>
      </w:r>
      <w:r>
        <w:rPr>
          <w:rFonts w:ascii="Times New Roman" w:hAnsi="Times New Roman" w:cs="Times New Roman" w:eastAsia="Times New Roman" w:hint="default"/>
          <w:spacing w:val="-5"/>
        </w:rPr>
        <w:t>4</w:t>
      </w:r>
      <w:r>
        <w:rPr>
          <w:spacing w:val="-5"/>
        </w:rPr>
        <w:t>港元</w:t>
      </w:r>
      <w:r>
        <w:rPr>
          <w:rFonts w:ascii="Times New Roman" w:hAnsi="Times New Roman" w:cs="Times New Roman" w:eastAsia="Times New Roman" w:hint="default"/>
          <w:spacing w:val="-5"/>
        </w:rPr>
        <w:t>/</w:t>
      </w:r>
      <w:r>
        <w:rPr>
          <w:spacing w:val="-5"/>
        </w:rPr>
        <w:t>股，且回购价款总额不超过</w:t>
      </w:r>
      <w:r>
        <w:rPr>
          <w:rFonts w:ascii="Times New Roman" w:hAnsi="Times New Roman" w:cs="Times New Roman" w:eastAsia="Times New Roman" w:hint="default"/>
          <w:spacing w:val="-5"/>
        </w:rPr>
        <w:t>4</w:t>
      </w:r>
      <w:r>
        <w:rPr>
          <w:spacing w:val="-5"/>
        </w:rPr>
        <w:t>亿港元（折合</w:t>
      </w:r>
      <w:r>
        <w:rPr>
          <w:rFonts w:ascii="Times New Roman" w:hAnsi="Times New Roman" w:cs="Times New Roman" w:eastAsia="Times New Roman" w:hint="default"/>
          <w:spacing w:val="-5"/>
        </w:rPr>
        <w:t>3.27</w:t>
      </w:r>
      <w:r>
        <w:rPr>
          <w:spacing w:val="-5"/>
        </w:rPr>
        <w:t>亿元人民币，按</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20</w:t>
      </w:r>
      <w:r>
        <w:rPr>
          <w:spacing w:val="-5"/>
        </w:rPr>
        <w:t>日港币对人民币汇率中间价：</w:t>
      </w:r>
      <w:r>
        <w:rPr>
          <w:rFonts w:ascii="Times New Roman" w:hAnsi="Times New Roman" w:cs="Times New Roman" w:eastAsia="Times New Roman" w:hint="default"/>
          <w:spacing w:val="-5"/>
        </w:rPr>
        <w:t>1</w:t>
      </w:r>
      <w:r>
        <w:rPr>
          <w:spacing w:val="-5"/>
        </w:rPr>
        <w:t>港币</w:t>
      </w:r>
      <w:r>
        <w:rPr>
          <w:rFonts w:ascii="Times New Roman" w:hAnsi="Times New Roman" w:cs="Times New Roman" w:eastAsia="Times New Roman" w:hint="default"/>
          <w:spacing w:val="-5"/>
        </w:rPr>
        <w:t>=0.8175</w:t>
      </w:r>
      <w:r>
        <w:rPr>
          <w:rFonts w:ascii="Times New Roman" w:hAnsi="Times New Roman" w:cs="Times New Roman" w:eastAsia="Times New Roman" w:hint="default"/>
          <w:spacing w:val="-38"/>
        </w:rPr>
        <w:t> </w:t>
      </w:r>
      <w:r>
        <w:rPr/>
        <w:t>人民币换算）。</w:t>
      </w:r>
    </w:p>
    <w:p>
      <w:pPr>
        <w:pStyle w:val="BodyText"/>
        <w:spacing w:line="300" w:lineRule="auto" w:before="31"/>
        <w:ind w:left="153" w:right="131" w:firstLine="419"/>
        <w:jc w:val="left"/>
      </w:pPr>
      <w:r>
        <w:rPr>
          <w:spacing w:val="-4"/>
        </w:rPr>
        <w:t>在上述回购期限届满或回购方案实施完毕后，公司将依法注销回购的</w:t>
      </w:r>
      <w:r>
        <w:rPr>
          <w:rFonts w:ascii="Times New Roman" w:hAnsi="Times New Roman" w:cs="Times New Roman" w:eastAsia="Times New Roman" w:hint="default"/>
          <w:spacing w:val="-4"/>
        </w:rPr>
        <w:t>B</w:t>
      </w:r>
      <w:r>
        <w:rPr>
          <w:spacing w:val="-4"/>
        </w:rPr>
        <w:t>股股份，并相应减少注册资本。按回购上限测算，</w:t>
      </w:r>
      <w:r>
        <w:rPr/>
        <w:t> 公司注册资本届时将由目前的</w:t>
      </w:r>
      <w:r>
        <w:rPr>
          <w:rFonts w:ascii="Times New Roman" w:hAnsi="Times New Roman" w:cs="Times New Roman" w:eastAsia="Times New Roman" w:hint="default"/>
        </w:rPr>
        <w:t>2,062,045,941</w:t>
      </w:r>
      <w:r>
        <w:rPr/>
        <w:t>元人民币减少至不低于</w:t>
      </w:r>
      <w:r>
        <w:rPr>
          <w:rFonts w:ascii="Times New Roman" w:hAnsi="Times New Roman" w:cs="Times New Roman" w:eastAsia="Times New Roman" w:hint="default"/>
        </w:rPr>
        <w:t>1,912,045,941</w:t>
      </w:r>
      <w:r>
        <w:rPr/>
        <w:t>元人民币；股本总额届时也将由目前 </w:t>
      </w:r>
      <w:r>
        <w:rPr>
          <w:rFonts w:ascii="Times New Roman" w:hAnsi="Times New Roman" w:cs="Times New Roman" w:eastAsia="Times New Roman" w:hint="default"/>
        </w:rPr>
        <w:t>2,062,045,941</w:t>
      </w:r>
      <w:r>
        <w:rPr/>
        <w:t>股减少至不低于</w:t>
      </w:r>
      <w:r>
        <w:rPr>
          <w:rFonts w:ascii="Times New Roman" w:hAnsi="Times New Roman" w:cs="Times New Roman" w:eastAsia="Times New Roman" w:hint="default"/>
        </w:rPr>
        <w:t>1,912,045,941</w:t>
      </w:r>
      <w:r>
        <w:rPr/>
        <w:t>股。</w:t>
      </w:r>
    </w:p>
    <w:p>
      <w:pPr>
        <w:pStyle w:val="BodyText"/>
        <w:spacing w:line="240" w:lineRule="auto" w:before="53"/>
        <w:ind w:left="444" w:right="131"/>
        <w:jc w:val="left"/>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日，公司已完成了回购</w:t>
      </w:r>
      <w:r>
        <w:rPr>
          <w:rFonts w:ascii="Times New Roman" w:hAnsi="Times New Roman" w:cs="Times New Roman" w:eastAsia="Times New Roman" w:hint="default"/>
        </w:rPr>
        <w:t>B</w:t>
      </w:r>
      <w:r>
        <w:rPr/>
        <w:t>股事宜的所有审批手续。</w:t>
      </w:r>
    </w:p>
    <w:p>
      <w:pPr>
        <w:spacing w:line="240" w:lineRule="auto" w:before="11"/>
        <w:rPr>
          <w:rFonts w:ascii="宋体" w:hAnsi="宋体" w:cs="宋体" w:eastAsia="宋体" w:hint="default"/>
          <w:sz w:val="25"/>
          <w:szCs w:val="25"/>
        </w:rPr>
      </w:pPr>
    </w:p>
    <w:p>
      <w:pPr>
        <w:pStyle w:val="Heading3"/>
        <w:spacing w:line="240" w:lineRule="auto"/>
        <w:ind w:right="131"/>
        <w:jc w:val="left"/>
        <w:rPr>
          <w:b w:val="0"/>
          <w:bCs w:val="0"/>
        </w:rPr>
      </w:pPr>
      <w:r>
        <w:rPr>
          <w:rFonts w:ascii="Times New Roman" w:hAnsi="Times New Roman" w:cs="Times New Roman" w:eastAsia="Times New Roman" w:hint="default"/>
        </w:rPr>
        <w:t>4</w:t>
      </w:r>
      <w:r>
        <w:rPr/>
        <w:t>、</w:t>
      </w:r>
      <w:r>
        <w:rPr>
          <w:spacing w:val="-6"/>
        </w:rPr>
        <w:t> </w:t>
      </w:r>
      <w:r>
        <w:rPr/>
        <w:t>广东慧锐重大合同</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231" w:firstLine="290"/>
        <w:jc w:val="both"/>
      </w:pPr>
      <w:r>
        <w:rPr>
          <w:spacing w:val="-1"/>
        </w:rPr>
        <w:t>集团控股子公司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日广东慧锐投资有限公司与湛江市代建项目管理局签署重要合同：《湛江市海东新区岸线和</w:t>
      </w:r>
      <w:r>
        <w:rPr/>
        <w:t> 滩涂综合治理工程</w:t>
      </w:r>
      <w:r>
        <w:rPr>
          <w:rFonts w:ascii="Times New Roman" w:hAnsi="Times New Roman" w:cs="Times New Roman" w:eastAsia="Times New Roman" w:hint="default"/>
        </w:rPr>
        <w:t>BT</w:t>
      </w:r>
      <w:r>
        <w:rPr/>
        <w:t>建设项目</w:t>
      </w:r>
      <w:r>
        <w:rPr>
          <w:rFonts w:ascii="Times New Roman" w:hAnsi="Times New Roman" w:cs="Times New Roman" w:eastAsia="Times New Roman" w:hint="default"/>
        </w:rPr>
        <w:t>——</w:t>
      </w:r>
      <w:r>
        <w:rPr/>
        <w:t>投资建设</w:t>
      </w:r>
      <w:r>
        <w:rPr>
          <w:rFonts w:ascii="Times New Roman" w:hAnsi="Times New Roman" w:cs="Times New Roman" w:eastAsia="Times New Roman" w:hint="default"/>
        </w:rPr>
        <w:t>-</w:t>
      </w:r>
      <w:r>
        <w:rPr/>
        <w:t>移交回购（</w:t>
      </w:r>
      <w:r>
        <w:rPr>
          <w:rFonts w:ascii="Times New Roman" w:hAnsi="Times New Roman" w:cs="Times New Roman" w:eastAsia="Times New Roman" w:hint="default"/>
        </w:rPr>
        <w:t>BT</w:t>
      </w:r>
      <w:r>
        <w:rPr/>
        <w:t>）》合同，该项目投资约</w:t>
      </w:r>
      <w:r>
        <w:rPr>
          <w:rFonts w:ascii="Times New Roman" w:hAnsi="Times New Roman" w:cs="Times New Roman" w:eastAsia="Times New Roman" w:hint="default"/>
        </w:rPr>
        <w:t>46.07</w:t>
      </w:r>
      <w:r>
        <w:rPr/>
        <w:t>亿元。</w:t>
      </w:r>
    </w:p>
    <w:p>
      <w:pPr>
        <w:spacing w:line="240" w:lineRule="auto" w:before="1"/>
        <w:rPr>
          <w:rFonts w:ascii="宋体" w:hAnsi="宋体" w:cs="宋体" w:eastAsia="宋体" w:hint="default"/>
          <w:sz w:val="22"/>
          <w:szCs w:val="22"/>
        </w:rPr>
      </w:pPr>
    </w:p>
    <w:p>
      <w:pPr>
        <w:pStyle w:val="Heading3"/>
        <w:spacing w:line="240" w:lineRule="auto"/>
        <w:ind w:right="131"/>
        <w:jc w:val="left"/>
        <w:rPr>
          <w:b w:val="0"/>
          <w:bCs w:val="0"/>
        </w:rPr>
      </w:pPr>
      <w:r>
        <w:rPr>
          <w:rFonts w:ascii="Times New Roman" w:hAnsi="Times New Roman" w:cs="Times New Roman" w:eastAsia="Times New Roman" w:hint="default"/>
        </w:rPr>
        <w:t>5</w:t>
      </w:r>
      <w:r>
        <w:rPr/>
        <w:t>、</w:t>
      </w:r>
      <w:r>
        <w:rPr>
          <w:spacing w:val="-5"/>
        </w:rPr>
        <w:t> </w:t>
      </w:r>
      <w:r>
        <w:rPr/>
        <w:t>公司控股股东约定式回购证券交易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25" w:firstLine="290"/>
        <w:jc w:val="both"/>
      </w:pPr>
      <w:r>
        <w:rPr/>
        <w:t>公司第一大股东晨鸣控股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日通过约定回购式证券交易向广发证券股份有限公司售出公司股份</w:t>
      </w:r>
      <w:r>
        <w:rPr>
          <w:rFonts w:ascii="Times New Roman" w:hAnsi="Times New Roman" w:cs="Times New Roman" w:eastAsia="Times New Roman" w:hint="default"/>
        </w:rPr>
        <w:t>8,660</w:t>
      </w:r>
      <w:r>
        <w:rPr/>
        <w:t>万股，占 公司总股本的</w:t>
      </w:r>
      <w:r>
        <w:rPr>
          <w:rFonts w:ascii="Times New Roman" w:hAnsi="Times New Roman" w:cs="Times New Roman" w:eastAsia="Times New Roman" w:hint="default"/>
        </w:rPr>
        <w:t>4.2%</w:t>
      </w:r>
      <w:r>
        <w:rPr/>
        <w:t>，购回期限不超过</w:t>
      </w:r>
      <w:r>
        <w:rPr>
          <w:rFonts w:ascii="Times New Roman" w:hAnsi="Times New Roman" w:cs="Times New Roman" w:eastAsia="Times New Roman" w:hint="default"/>
        </w:rPr>
        <w:t>365</w:t>
      </w:r>
      <w:r>
        <w:rPr/>
        <w:t>天，待购回期间，标的股份出席股东大会，提案、表决权按照晨鸣控股意见行使， 标的股份产生的相关权益归晨鸣控股。</w:t>
      </w:r>
    </w:p>
    <w:p>
      <w:pPr>
        <w:spacing w:line="240" w:lineRule="auto" w:before="6"/>
        <w:rPr>
          <w:rFonts w:ascii="宋体" w:hAnsi="宋体" w:cs="宋体" w:eastAsia="宋体" w:hint="default"/>
          <w:sz w:val="23"/>
          <w:szCs w:val="23"/>
        </w:rPr>
      </w:pPr>
    </w:p>
    <w:p>
      <w:pPr>
        <w:pStyle w:val="Heading3"/>
        <w:spacing w:line="240" w:lineRule="auto"/>
        <w:ind w:right="131"/>
        <w:jc w:val="left"/>
        <w:rPr>
          <w:b w:val="0"/>
          <w:bCs w:val="0"/>
        </w:rPr>
      </w:pPr>
      <w:r>
        <w:rPr/>
        <w:t>十三、</w:t>
      </w:r>
      <w:r>
        <w:rPr>
          <w:spacing w:val="-6"/>
        </w:rPr>
        <w:t> </w:t>
      </w:r>
      <w:r>
        <w:rPr/>
        <w:t>财务风险管理及金融工具</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left="153" w:right="131" w:firstLine="420"/>
        <w:jc w:val="left"/>
      </w:pPr>
      <w:r>
        <w:rPr>
          <w:spacing w:val="-2"/>
        </w:rPr>
        <w:t>本集团的经营活动会面临各种金融风险：市场风险</w:t>
      </w:r>
      <w:r>
        <w:rPr>
          <w:rFonts w:ascii="Times New Roman" w:hAnsi="Times New Roman" w:cs="Times New Roman" w:eastAsia="Times New Roman" w:hint="default"/>
          <w:spacing w:val="-2"/>
        </w:rPr>
        <w:t>(</w:t>
      </w:r>
      <w:r>
        <w:rPr>
          <w:spacing w:val="-2"/>
        </w:rPr>
        <w:t>主要为外汇风险和利率风险</w:t>
      </w:r>
      <w:r>
        <w:rPr>
          <w:rFonts w:ascii="Times New Roman" w:hAnsi="Times New Roman" w:cs="Times New Roman" w:eastAsia="Times New Roman" w:hint="default"/>
          <w:spacing w:val="-2"/>
        </w:rPr>
        <w:t>)</w:t>
      </w:r>
      <w:r>
        <w:rPr>
          <w:spacing w:val="-2"/>
        </w:rPr>
        <w:t>、信用风险及流动风险。本集团的整体</w:t>
      </w:r>
      <w:r>
        <w:rPr/>
        <w:t> 风险管理计划针对金融市场的不可预见性，力求减少对本集团财务业绩的潜在不利影响。</w:t>
      </w:r>
    </w:p>
    <w:p>
      <w:pPr>
        <w:pStyle w:val="BodyText"/>
        <w:spacing w:line="240" w:lineRule="auto" w:before="72"/>
        <w:ind w:left="565" w:right="131"/>
        <w:jc w:val="left"/>
      </w:pPr>
      <w:r>
        <w:rPr>
          <w:rFonts w:ascii="Times New Roman" w:hAnsi="Times New Roman" w:cs="Times New Roman" w:eastAsia="Times New Roman" w:hint="default"/>
        </w:rPr>
        <w:t>1</w:t>
      </w:r>
      <w:r>
        <w:rPr/>
        <w:t>、市场风险</w:t>
      </w:r>
    </w:p>
    <w:p>
      <w:pPr>
        <w:pStyle w:val="BodyText"/>
        <w:spacing w:line="300" w:lineRule="auto" w:before="102"/>
        <w:ind w:left="574" w:right="131"/>
        <w:jc w:val="left"/>
      </w:pPr>
      <w:r>
        <w:rPr/>
        <w:t>（</w:t>
      </w:r>
      <w:r>
        <w:rPr>
          <w:rFonts w:ascii="Times New Roman" w:hAnsi="Times New Roman" w:cs="Times New Roman" w:eastAsia="Times New Roman" w:hint="default"/>
        </w:rPr>
        <w:t>1</w:t>
      </w:r>
      <w:r>
        <w:rPr/>
        <w:t>）</w:t>
      </w:r>
      <w:r>
        <w:rPr>
          <w:spacing w:val="-17"/>
        </w:rPr>
        <w:t> </w:t>
      </w:r>
      <w:r>
        <w:rPr/>
        <w:t>外汇风险</w:t>
      </w:r>
      <w:r>
        <w:rPr/>
        <w:t> </w:t>
      </w:r>
      <w:r>
        <w:rPr>
          <w:spacing w:val="-2"/>
        </w:rPr>
        <w:t>本集团的主要经营位于中国境内，主要业务以人民币结算。本集团的外汇风险来自于使用外币</w:t>
      </w:r>
      <w:r>
        <w:rPr>
          <w:rFonts w:ascii="Times New Roman" w:hAnsi="Times New Roman" w:cs="Times New Roman" w:eastAsia="Times New Roman" w:hint="default"/>
          <w:spacing w:val="-2"/>
        </w:rPr>
        <w:t>(</w:t>
      </w:r>
      <w:r>
        <w:rPr>
          <w:spacing w:val="-2"/>
        </w:rPr>
        <w:t>主要源于美元</w:t>
      </w:r>
      <w:r>
        <w:rPr>
          <w:rFonts w:ascii="Times New Roman" w:hAnsi="Times New Roman" w:cs="Times New Roman" w:eastAsia="Times New Roman" w:hint="default"/>
          <w:spacing w:val="-2"/>
        </w:rPr>
        <w:t>)</w:t>
      </w:r>
      <w:r>
        <w:rPr>
          <w:spacing w:val="-2"/>
        </w:rPr>
        <w:t>进行的筹</w:t>
      </w:r>
    </w:p>
    <w:p>
      <w:pPr>
        <w:pStyle w:val="BodyText"/>
        <w:spacing w:line="316" w:lineRule="auto" w:before="13"/>
        <w:ind w:left="153" w:right="131"/>
        <w:jc w:val="left"/>
      </w:pPr>
      <w:r>
        <w:rPr>
          <w:spacing w:val="-4"/>
        </w:rPr>
        <w:t>资活动及商业交易。本集团总部财务部门负责监控集团外币交易和外币资产及负债的规模，以最大程度降低面临的外汇风险；</w:t>
      </w:r>
      <w:r>
        <w:rPr>
          <w:spacing w:val="-44"/>
        </w:rPr>
        <w:t> </w:t>
      </w:r>
      <w:r>
        <w:rPr>
          <w:spacing w:val="-44"/>
        </w:rPr>
      </w:r>
      <w:r>
        <w:rPr/>
        <w:t>为此，本集团可能会以签署远期外汇合约方式来达到规避外汇风险的目的。</w:t>
      </w:r>
      <w:r>
        <w:rPr>
          <w:rFonts w:ascii="Times New Roman" w:hAnsi="Times New Roman" w:cs="Times New Roman" w:eastAsia="Times New Roman" w:hint="default"/>
        </w:rPr>
        <w:t>2012</w:t>
      </w:r>
      <w:r>
        <w:rPr/>
        <w:t>年度，本集团未签署任何远期外汇合约。</w:t>
      </w:r>
    </w:p>
    <w:p>
      <w:pPr>
        <w:pStyle w:val="BodyText"/>
        <w:spacing w:line="248" w:lineRule="exact"/>
        <w:ind w:left="573" w:right="131"/>
        <w:jc w:val="left"/>
      </w:pP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日，本集团持有的外币金融资产和外币金融负债折算成人民币的金额列示如下：</w:t>
      </w:r>
    </w:p>
    <w:p>
      <w:pPr>
        <w:pStyle w:val="BodyText"/>
        <w:spacing w:line="240" w:lineRule="auto" w:before="103"/>
        <w:ind w:left="0" w:right="230"/>
        <w:jc w:val="righ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43"/>
        <w:gridCol w:w="1666"/>
        <w:gridCol w:w="1501"/>
        <w:gridCol w:w="1309"/>
        <w:gridCol w:w="1309"/>
        <w:gridCol w:w="1403"/>
      </w:tblGrid>
      <w:tr>
        <w:trPr>
          <w:trHeight w:val="435" w:hRule="exact"/>
        </w:trPr>
        <w:tc>
          <w:tcPr>
            <w:tcW w:w="2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5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87"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666" w:type="dxa"/>
            <w:tcBorders>
              <w:top w:val="single" w:sz="12" w:space="0" w:color="000000"/>
              <w:left w:val="single" w:sz="6" w:space="0" w:color="000000"/>
              <w:bottom w:val="single" w:sz="12" w:space="0" w:color="000000"/>
              <w:right w:val="single" w:sz="6" w:space="0" w:color="000000"/>
            </w:tcBorders>
          </w:tcPr>
          <w:p>
            <w:pP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0"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43"/>
        <w:gridCol w:w="1666"/>
        <w:gridCol w:w="1501"/>
        <w:gridCol w:w="1309"/>
        <w:gridCol w:w="1309"/>
        <w:gridCol w:w="1403"/>
      </w:tblGrid>
      <w:tr>
        <w:trPr>
          <w:trHeight w:val="435" w:hRule="exact"/>
        </w:trPr>
        <w:tc>
          <w:tcPr>
            <w:tcW w:w="2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307,044,780.19</w:t>
            </w:r>
          </w:p>
        </w:tc>
        <w:tc>
          <w:tcPr>
            <w:tcW w:w="15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674,668.15</w:t>
            </w:r>
          </w:p>
        </w:tc>
        <w:tc>
          <w:tcPr>
            <w:tcW w:w="1309" w:type="dxa"/>
            <w:tcBorders>
              <w:top w:val="single" w:sz="6" w:space="0" w:color="000000"/>
              <w:left w:val="single" w:sz="6" w:space="0" w:color="000000"/>
              <w:bottom w:val="single" w:sz="12" w:space="0" w:color="000000"/>
              <w:right w:val="single" w:sz="6" w:space="0" w:color="000000"/>
            </w:tcBorders>
          </w:tcPr>
          <w:p>
            <w:pP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177,396.54</w:t>
            </w:r>
          </w:p>
        </w:tc>
        <w:tc>
          <w:tcPr>
            <w:tcW w:w="14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6,276,201.56</w:t>
            </w: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294,683,799.78</w:t>
            </w: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7,487,866.56</w:t>
            </w: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267,749,941.56</w:t>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47,288,788.51</w:t>
            </w: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869,478,521.53</w:t>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47,963,456.66</w:t>
            </w: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177,396.54</w:t>
            </w:r>
          </w:p>
        </w:tc>
        <w:tc>
          <w:tcPr>
            <w:tcW w:w="14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13,764,068.12</w:t>
            </w: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666" w:type="dxa"/>
            <w:tcBorders>
              <w:top w:val="single" w:sz="12" w:space="0" w:color="000000"/>
              <w:left w:val="single" w:sz="6" w:space="0" w:color="000000"/>
              <w:bottom w:val="single" w:sz="12" w:space="0" w:color="000000"/>
              <w:right w:val="single" w:sz="6" w:space="0" w:color="000000"/>
            </w:tcBorders>
          </w:tcPr>
          <w:p>
            <w:pP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1,867,902,093.11</w:t>
            </w: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601,069,230.63</w:t>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13,093,037.42</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194,331.04</w:t>
            </w: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192,225,546.66</w:t>
            </w: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1,006,248,000.00</w:t>
            </w: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2,514,324,035.94</w:t>
            </w:r>
          </w:p>
        </w:tc>
        <w:tc>
          <w:tcPr>
            <w:tcW w:w="1501"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309" w:type="dxa"/>
            <w:tcBorders>
              <w:top w:val="single" w:sz="12" w:space="0" w:color="000000"/>
              <w:left w:val="single" w:sz="6" w:space="0" w:color="000000"/>
              <w:bottom w:val="single" w:sz="12" w:space="0" w:color="000000"/>
              <w:right w:val="single" w:sz="6" w:space="0" w:color="000000"/>
            </w:tcBorders>
          </w:tcPr>
          <w:p>
            <w:pPr/>
          </w:p>
        </w:tc>
        <w:tc>
          <w:tcPr>
            <w:tcW w:w="140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6,181,768,906.34</w:t>
            </w:r>
          </w:p>
        </w:tc>
        <w:tc>
          <w:tcPr>
            <w:tcW w:w="15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13,093,037.42</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194,331.04</w:t>
            </w:r>
          </w:p>
        </w:tc>
        <w:tc>
          <w:tcPr>
            <w:tcW w:w="1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w:t>
            </w:r>
          </w:p>
        </w:tc>
        <w:tc>
          <w:tcPr>
            <w:tcW w:w="1403"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1"/>
        <w:ind w:right="131"/>
        <w:jc w:val="left"/>
      </w:pPr>
      <w:r>
        <w:rPr/>
        <w:t>续</w:t>
      </w:r>
    </w:p>
    <w:p>
      <w:pPr>
        <w:pStyle w:val="BodyText"/>
        <w:spacing w:line="240" w:lineRule="auto" w:before="116"/>
        <w:ind w:left="0" w:right="230"/>
        <w:jc w:val="righ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550"/>
        <w:gridCol w:w="1729"/>
        <w:gridCol w:w="1507"/>
        <w:gridCol w:w="1319"/>
        <w:gridCol w:w="1320"/>
        <w:gridCol w:w="1306"/>
      </w:tblGrid>
      <w:tr>
        <w:trPr>
          <w:trHeight w:val="435" w:hRule="exact"/>
        </w:trPr>
        <w:tc>
          <w:tcPr>
            <w:tcW w:w="2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96"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85"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91"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729" w:type="dxa"/>
            <w:tcBorders>
              <w:top w:val="single" w:sz="12" w:space="0" w:color="000000"/>
              <w:left w:val="single" w:sz="6" w:space="0" w:color="000000"/>
              <w:bottom w:val="single" w:sz="12" w:space="0" w:color="000000"/>
              <w:right w:val="single" w:sz="6" w:space="0" w:color="000000"/>
            </w:tcBorders>
          </w:tcPr>
          <w:p>
            <w:pP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484,935,787.32</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840,647.39</w:t>
            </w: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23,889.09</w:t>
            </w: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249,074,382.49</w:t>
            </w: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333,207,561.94</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72,116,391.72</w:t>
            </w: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1,067,217,731.75</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72,957,039.11</w:t>
            </w: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23,889.09</w:t>
            </w: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729" w:type="dxa"/>
            <w:tcBorders>
              <w:top w:val="single" w:sz="12" w:space="0" w:color="000000"/>
              <w:left w:val="single" w:sz="6" w:space="0" w:color="000000"/>
              <w:bottom w:val="single" w:sz="12" w:space="0" w:color="000000"/>
              <w:right w:val="single" w:sz="6" w:space="0" w:color="000000"/>
            </w:tcBorders>
          </w:tcPr>
          <w:p>
            <w:pP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1,631,383,851.83</w:t>
            </w: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691,771,899.52</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31,038,477.79</w:t>
            </w:r>
          </w:p>
        </w:tc>
        <w:tc>
          <w:tcPr>
            <w:tcW w:w="13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185,734.35</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114,259,884.34</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9,118,313.89</w:t>
            </w: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41,017,624.02</w:t>
            </w: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3,742,858,148.05</w:t>
            </w:r>
          </w:p>
        </w:tc>
        <w:tc>
          <w:tcPr>
            <w:tcW w:w="1507" w:type="dxa"/>
            <w:tcBorders>
              <w:top w:val="single" w:sz="12" w:space="0" w:color="000000"/>
              <w:left w:val="single" w:sz="6" w:space="0" w:color="000000"/>
              <w:bottom w:val="single" w:sz="12" w:space="0" w:color="000000"/>
              <w:right w:val="single" w:sz="6" w:space="0" w:color="000000"/>
            </w:tcBorders>
          </w:tcPr>
          <w:p>
            <w:pPr/>
          </w:p>
        </w:tc>
        <w:tc>
          <w:tcPr>
            <w:tcW w:w="1319" w:type="dxa"/>
            <w:tcBorders>
              <w:top w:val="single" w:sz="12" w:space="0" w:color="000000"/>
              <w:left w:val="single" w:sz="6" w:space="0" w:color="000000"/>
              <w:bottom w:val="single" w:sz="12" w:space="0" w:color="000000"/>
              <w:right w:val="single" w:sz="6" w:space="0" w:color="000000"/>
            </w:tcBorders>
          </w:tcPr>
          <w:p>
            <w:pP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2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6,221,291,407.76</w:t>
            </w:r>
          </w:p>
        </w:tc>
        <w:tc>
          <w:tcPr>
            <w:tcW w:w="15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40,156,791.68</w:t>
            </w:r>
          </w:p>
        </w:tc>
        <w:tc>
          <w:tcPr>
            <w:tcW w:w="13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185,734.35</w:t>
            </w:r>
          </w:p>
        </w:tc>
        <w:tc>
          <w:tcPr>
            <w:tcW w:w="1320" w:type="dxa"/>
            <w:tcBorders>
              <w:top w:val="single" w:sz="12" w:space="0" w:color="000000"/>
              <w:left w:val="single" w:sz="6" w:space="0" w:color="000000"/>
              <w:bottom w:val="single" w:sz="12" w:space="0" w:color="000000"/>
              <w:right w:val="single" w:sz="6" w:space="0" w:color="000000"/>
            </w:tcBorders>
          </w:tcPr>
          <w:p>
            <w:pPr/>
          </w:p>
        </w:tc>
        <w:tc>
          <w:tcPr>
            <w:tcW w:w="130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1"/>
          <w:szCs w:val="21"/>
        </w:rPr>
      </w:pPr>
    </w:p>
    <w:p>
      <w:pPr>
        <w:pStyle w:val="BodyText"/>
        <w:spacing w:line="300" w:lineRule="auto" w:before="44"/>
        <w:ind w:right="131" w:firstLine="419"/>
        <w:jc w:val="left"/>
        <w:rPr>
          <w:rFonts w:ascii="Times New Roman" w:hAnsi="Times New Roman" w:cs="Times New Roman" w:eastAsia="Times New Roman" w:hint="default"/>
        </w:rPr>
      </w:pPr>
      <w:r>
        <w:rPr/>
        <w:t>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日，对于本集团各类美元、欧元、英镑、港币、日元金融资产和金融负债，如果人民币对美元、欧 元、英镑升值或贬值</w:t>
      </w:r>
      <w:r>
        <w:rPr>
          <w:rFonts w:ascii="Times New Roman" w:hAnsi="Times New Roman" w:cs="Times New Roman" w:eastAsia="Times New Roman" w:hint="default"/>
        </w:rPr>
        <w:t>5%</w:t>
      </w:r>
      <w:r>
        <w:rPr/>
        <w:t>，其它因素保持不变，则本集团将增加或减少利润约</w:t>
      </w:r>
      <w:r>
        <w:rPr>
          <w:rFonts w:ascii="Times New Roman" w:hAnsi="Times New Roman" w:cs="Times New Roman" w:eastAsia="Times New Roman" w:hint="default"/>
        </w:rPr>
        <w:t>263,183,641.60</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日：约 </w:t>
      </w:r>
      <w:r>
        <w:rPr>
          <w:rFonts w:ascii="Times New Roman" w:hAnsi="Times New Roman" w:cs="Times New Roman" w:eastAsia="Times New Roman" w:hint="default"/>
        </w:rPr>
        <w:t>256,071,763.69</w:t>
      </w:r>
      <w:r>
        <w:rPr/>
        <w:t>元</w:t>
      </w:r>
      <w:r>
        <w:rPr>
          <w:rFonts w:ascii="Times New Roman" w:hAnsi="Times New Roman" w:cs="Times New Roman" w:eastAsia="Times New Roman" w:hint="default"/>
        </w:rPr>
        <w:t>)</w:t>
      </w:r>
    </w:p>
    <w:p>
      <w:pPr>
        <w:pStyle w:val="BodyText"/>
        <w:spacing w:line="300" w:lineRule="auto" w:before="13"/>
        <w:ind w:left="574" w:right="250"/>
        <w:jc w:val="left"/>
      </w:pPr>
      <w:r>
        <w:rPr/>
        <w:t>（</w:t>
      </w:r>
      <w:r>
        <w:rPr>
          <w:rFonts w:ascii="Times New Roman" w:hAnsi="Times New Roman" w:cs="Times New Roman" w:eastAsia="Times New Roman" w:hint="default"/>
        </w:rPr>
        <w:t>2</w:t>
      </w:r>
      <w:r>
        <w:rPr/>
        <w:t>）</w:t>
      </w:r>
      <w:r>
        <w:rPr>
          <w:spacing w:val="-17"/>
        </w:rPr>
        <w:t> </w:t>
      </w:r>
      <w:r>
        <w:rPr/>
        <w:t>利率风险</w:t>
      </w:r>
      <w:r>
        <w:rPr/>
        <w:t> 本集团的利率风险产生于银行借款及应付债券等带息债务。浮动利率的金融负债使本集团面临现金流量利率风险，固</w:t>
      </w:r>
    </w:p>
    <w:p>
      <w:pPr>
        <w:pStyle w:val="BodyText"/>
        <w:spacing w:line="309" w:lineRule="auto" w:before="31"/>
        <w:ind w:right="131"/>
        <w:jc w:val="left"/>
      </w:pPr>
      <w:r>
        <w:rPr/>
        <w:t>定利率的金融负债使本集团面临公允价值利率风险。本集团根据当时的市场环境来决定固定利率及浮动利率合同的相对比 </w:t>
      </w:r>
      <w:r>
        <w:rPr>
          <w:spacing w:val="-10"/>
        </w:rPr>
        <w:t>例。于</w:t>
      </w:r>
      <w:r>
        <w:rPr>
          <w:rFonts w:ascii="Times New Roman" w:hAnsi="Times New Roman" w:cs="Times New Roman" w:eastAsia="Times New Roman" w:hint="default"/>
          <w:spacing w:val="-10"/>
        </w:rPr>
        <w:t>2012</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spacing w:val="-3"/>
        </w:rPr>
        <w:t>日，本集团的带息债务主要为以人民币和美元计价的浮动利率借款合同，金额合计为</w:t>
      </w:r>
      <w:r>
        <w:rPr>
          <w:rFonts w:ascii="Times New Roman" w:hAnsi="Times New Roman" w:cs="Times New Roman" w:eastAsia="Times New Roman" w:hint="default"/>
          <w:spacing w:val="-3"/>
        </w:rPr>
        <w:t>18,177,675,131.10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spacing w:val="-3"/>
        </w:rPr>
        <w:t>日：</w:t>
      </w:r>
      <w:r>
        <w:rPr>
          <w:rFonts w:ascii="Times New Roman" w:hAnsi="Times New Roman" w:cs="Times New Roman" w:eastAsia="Times New Roman" w:hint="default"/>
          <w:spacing w:val="-3"/>
        </w:rPr>
        <w:t>18,433,668,960.96</w:t>
      </w:r>
      <w:r>
        <w:rPr>
          <w:spacing w:val="-3"/>
        </w:rPr>
        <w:t>元</w:t>
      </w:r>
      <w:r>
        <w:rPr>
          <w:rFonts w:ascii="Times New Roman" w:hAnsi="Times New Roman" w:cs="Times New Roman" w:eastAsia="Times New Roman" w:hint="default"/>
          <w:spacing w:val="-3"/>
        </w:rPr>
        <w:t>)</w:t>
      </w:r>
      <w:r>
        <w:rPr>
          <w:spacing w:val="-3"/>
        </w:rPr>
        <w:t>，及以人民币计价的固定利率合同，金额为</w:t>
      </w:r>
      <w:r>
        <w:rPr>
          <w:rFonts w:ascii="Times New Roman" w:hAnsi="Times New Roman" w:cs="Times New Roman" w:eastAsia="Times New Roman" w:hint="default"/>
          <w:spacing w:val="-3"/>
        </w:rPr>
        <w:t>85</w:t>
      </w:r>
      <w:r>
        <w:rPr>
          <w:spacing w:val="-3"/>
        </w:rPr>
        <w:t>亿元</w:t>
      </w:r>
      <w:r>
        <w:rPr>
          <w:rFonts w:ascii="Times New Roman" w:hAnsi="Times New Roman" w:cs="Times New Roman" w:eastAsia="Times New Roman" w:hint="default"/>
          <w:spacing w:val="-3"/>
        </w:rPr>
        <w:t>(2011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48</w:t>
      </w:r>
      <w:r>
        <w:rPr>
          <w:spacing w:val="-4"/>
        </w:rPr>
        <w:t>亿元</w:t>
      </w:r>
      <w:r>
        <w:rPr>
          <w:rFonts w:ascii="Times New Roman" w:hAnsi="Times New Roman" w:cs="Times New Roman" w:eastAsia="Times New Roman" w:hint="default"/>
          <w:spacing w:val="-4"/>
        </w:rPr>
        <w:t>)</w:t>
      </w:r>
      <w:r>
        <w:rPr>
          <w:spacing w:val="-4"/>
        </w:rPr>
        <w:t>。</w:t>
      </w:r>
    </w:p>
    <w:p>
      <w:pPr>
        <w:spacing w:after="0" w:line="309" w:lineRule="auto"/>
        <w:jc w:val="left"/>
        <w:sectPr>
          <w:pgSz w:w="11910" w:h="16840"/>
          <w:pgMar w:header="0" w:footer="982" w:top="1060" w:bottom="1180" w:left="980" w:right="900"/>
        </w:sectPr>
      </w:pPr>
    </w:p>
    <w:p>
      <w:pPr>
        <w:spacing w:line="240" w:lineRule="auto" w:before="12"/>
        <w:rPr>
          <w:rFonts w:ascii="宋体" w:hAnsi="宋体" w:cs="宋体" w:eastAsia="宋体" w:hint="default"/>
          <w:sz w:val="25"/>
          <w:szCs w:val="25"/>
        </w:rPr>
      </w:pPr>
    </w:p>
    <w:p>
      <w:pPr>
        <w:pStyle w:val="BodyText"/>
        <w:spacing w:line="316" w:lineRule="auto" w:before="44"/>
        <w:ind w:right="350" w:firstLine="419"/>
        <w:jc w:val="both"/>
      </w:pPr>
      <w:r>
        <w:rPr/>
        <w:t>本集团总部财务部门持续监控集团利率水平。利率上升会增加新增带息债务的成本以及本集团尚未付清的以浮动利率 </w:t>
      </w:r>
      <w:r>
        <w:rPr>
          <w:spacing w:val="-2"/>
        </w:rPr>
        <w:t>计息的带息债务的利息支出，并对本集团的财务业绩产生重大的不利影响，管理层会依据最新的市场状况及时做出调整。本</w:t>
      </w:r>
      <w:r>
        <w:rPr>
          <w:spacing w:val="-66"/>
        </w:rPr>
        <w:t> </w:t>
      </w:r>
      <w:r>
        <w:rPr>
          <w:spacing w:val="-66"/>
        </w:rPr>
      </w:r>
      <w:r>
        <w:rPr/>
        <w:t>公司董事认为未来利率变化不会对本集团的经营业绩造成重大不利影响。</w:t>
      </w:r>
    </w:p>
    <w:p>
      <w:pPr>
        <w:pStyle w:val="BodyText"/>
        <w:spacing w:line="300" w:lineRule="auto" w:before="18"/>
        <w:ind w:right="349" w:firstLine="419"/>
        <w:jc w:val="both"/>
      </w:pPr>
      <w:r>
        <w:rPr/>
        <w:t>于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日，如果带息债务计算的借款利率上升或下跌</w:t>
      </w:r>
      <w:r>
        <w:rPr>
          <w:rFonts w:ascii="Times New Roman" w:hAnsi="Times New Roman" w:cs="Times New Roman" w:eastAsia="Times New Roman" w:hint="default"/>
        </w:rPr>
        <w:t>10%</w:t>
      </w:r>
      <w:r>
        <w:rPr/>
        <w:t>，而其他因素保持不变，则本年度利润将减少或 增加约人民币</w:t>
      </w:r>
      <w:r>
        <w:rPr>
          <w:rFonts w:ascii="Times New Roman" w:hAnsi="Times New Roman" w:cs="Times New Roman" w:eastAsia="Times New Roman" w:hint="default"/>
        </w:rPr>
        <w:t>100,696,983.81</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年度：人民币</w:t>
      </w:r>
      <w:r>
        <w:rPr>
          <w:rFonts w:ascii="Times New Roman" w:hAnsi="Times New Roman" w:cs="Times New Roman" w:eastAsia="Times New Roman" w:hint="default"/>
        </w:rPr>
        <w:t>35,292,312.78</w:t>
      </w:r>
      <w:r>
        <w:rPr/>
        <w:t>元</w:t>
      </w:r>
      <w:r>
        <w:rPr>
          <w:rFonts w:ascii="Times New Roman" w:hAnsi="Times New Roman" w:cs="Times New Roman" w:eastAsia="Times New Roman" w:hint="default"/>
        </w:rPr>
        <w:t>)</w:t>
      </w:r>
      <w:r>
        <w:rPr/>
        <w:t>，主要由于利息支出的增加和减少。</w:t>
      </w:r>
    </w:p>
    <w:p>
      <w:pPr>
        <w:pStyle w:val="BodyText"/>
        <w:spacing w:line="300" w:lineRule="auto" w:before="13"/>
        <w:ind w:left="573" w:right="371"/>
        <w:jc w:val="left"/>
      </w:pPr>
      <w:r>
        <w:rPr>
          <w:rFonts w:ascii="Times New Roman" w:hAnsi="Times New Roman" w:cs="Times New Roman" w:eastAsia="Times New Roman" w:hint="default"/>
        </w:rPr>
        <w:t>2</w:t>
      </w:r>
      <w:r>
        <w:rPr/>
        <w:t>、信用风险 本集团对信用风险按组合分类进行管理。信用风险主要产生于银行存款、应收账款、其他应收款和应收票据等。本集</w:t>
      </w:r>
    </w:p>
    <w:p>
      <w:pPr>
        <w:pStyle w:val="BodyText"/>
        <w:spacing w:line="312" w:lineRule="auto" w:before="31"/>
        <w:ind w:left="153" w:right="350"/>
        <w:jc w:val="both"/>
      </w:pPr>
      <w:r>
        <w:rPr>
          <w:spacing w:val="-2"/>
        </w:rPr>
        <w:t>团银行存款主要存放于国有银行和其它大中型上市银行，应收票据全部为银行承兑汇票，本集团认为其不存在重大的信用风</w:t>
      </w:r>
      <w:r>
        <w:rPr>
          <w:spacing w:val="-64"/>
        </w:rPr>
        <w:t> </w:t>
      </w:r>
      <w:r>
        <w:rPr>
          <w:spacing w:val="-64"/>
        </w:rPr>
      </w:r>
      <w:r>
        <w:rPr>
          <w:spacing w:val="-2"/>
        </w:rPr>
        <w:t>险，不会产生因对方单位违约而导致的任何重大损失。销售通过预收和赊销两种方式结合进行结算，赊销客户执行严格的信</w:t>
      </w:r>
      <w:r>
        <w:rPr>
          <w:spacing w:val="-66"/>
        </w:rPr>
        <w:t> </w:t>
      </w:r>
      <w:r>
        <w:rPr>
          <w:spacing w:val="-66"/>
        </w:rPr>
      </w:r>
      <w:r>
        <w:rPr/>
        <w:t>用批准制度，设立专职部门定期审核每个贸易客户信用状况，合理控制每个贸易客户的信用额度及账期</w:t>
      </w:r>
      <w:r>
        <w:rPr>
          <w:rFonts w:ascii="Times New Roman" w:hAnsi="Times New Roman" w:cs="Times New Roman" w:eastAsia="Times New Roman" w:hint="default"/>
        </w:rPr>
        <w:t>;</w:t>
      </w:r>
      <w:r>
        <w:rPr/>
        <w:t>及时追讨过期欠款</w:t>
      </w:r>
      <w:r>
        <w:rPr>
          <w:rFonts w:ascii="Times New Roman" w:hAnsi="Times New Roman" w:cs="Times New Roman" w:eastAsia="Times New Roman" w:hint="default"/>
        </w:rPr>
        <w:t>; </w:t>
      </w:r>
      <w:r>
        <w:rPr/>
        <w:t>期末逐一审核应收款项可收回金额并据此足额计提坏账准备，因而贸易客户不存在重大的信用风险。</w:t>
      </w:r>
    </w:p>
    <w:p>
      <w:pPr>
        <w:pStyle w:val="BodyText"/>
        <w:spacing w:line="240" w:lineRule="auto" w:before="22"/>
        <w:ind w:left="573" w:right="370"/>
        <w:jc w:val="left"/>
      </w:pPr>
      <w:r>
        <w:rPr/>
        <w:t>本集团管理层不认为会因以上各方的不履约行为而造成任何重大损失。</w:t>
      </w:r>
    </w:p>
    <w:p>
      <w:pPr>
        <w:pStyle w:val="BodyText"/>
        <w:spacing w:line="300" w:lineRule="auto" w:before="76"/>
        <w:ind w:left="647" w:right="348" w:hanging="74"/>
        <w:jc w:val="left"/>
      </w:pPr>
      <w:r>
        <w:rPr>
          <w:rFonts w:ascii="Times New Roman" w:hAnsi="Times New Roman" w:cs="Times New Roman" w:eastAsia="Times New Roman" w:hint="default"/>
        </w:rPr>
        <w:t>3</w:t>
      </w:r>
      <w:r>
        <w:rPr/>
        <w:t>、流动性风险 </w:t>
      </w:r>
      <w:r>
        <w:rPr>
          <w:spacing w:val="-1"/>
        </w:rPr>
        <w:t>本集团内各子公司负责其自身的现金流量预测。总部财务部门在汇总各子公司现金流量预测的基础上，在集团层面持</w:t>
      </w:r>
    </w:p>
    <w:p>
      <w:pPr>
        <w:pStyle w:val="BodyText"/>
        <w:spacing w:line="316" w:lineRule="auto" w:before="31"/>
        <w:ind w:left="153" w:right="351"/>
        <w:jc w:val="both"/>
      </w:pPr>
      <w:r>
        <w:rPr>
          <w:spacing w:val="-2"/>
        </w:rPr>
        <w:t>续监控短期和长期的资金需求，以确保维持充裕的现金储备；同时持续监控是否符合借款协议的规定，从主要金融机构获得</w:t>
      </w:r>
      <w:r>
        <w:rPr>
          <w:spacing w:val="-66"/>
        </w:rPr>
        <w:t> </w:t>
      </w:r>
      <w:r>
        <w:rPr>
          <w:spacing w:val="-66"/>
        </w:rPr>
      </w:r>
      <w:r>
        <w:rPr/>
        <w:t>提供足够备用资金的承诺，以满足短期和长期的资金需求。</w:t>
      </w:r>
    </w:p>
    <w:p>
      <w:pPr>
        <w:pStyle w:val="BodyText"/>
        <w:spacing w:line="240" w:lineRule="auto" w:before="18"/>
        <w:ind w:left="573" w:right="370"/>
        <w:jc w:val="left"/>
        <w:rPr>
          <w:rFonts w:ascii="Times New Roman" w:hAnsi="Times New Roman" w:cs="Times New Roman" w:eastAsia="Times New Roman" w:hint="default"/>
        </w:rPr>
      </w:pPr>
      <w:r>
        <w:rPr/>
        <w:t>于资产负债表日，本集团各项金融资产及金融负债合同现金流量按到期日列示如下</w:t>
      </w:r>
      <w:r>
        <w:rPr>
          <w:rFonts w:ascii="Times New Roman" w:hAnsi="Times New Roman" w:cs="Times New Roman" w:eastAsia="Times New Roman" w:hint="default"/>
        </w:rPr>
        <w:t>:</w:t>
      </w:r>
    </w:p>
    <w:p>
      <w:pPr>
        <w:pStyle w:val="BodyText"/>
        <w:spacing w:line="240" w:lineRule="auto" w:before="104"/>
        <w:ind w:left="0" w:right="350"/>
        <w:jc w:val="righ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60"/>
        <w:gridCol w:w="1606"/>
        <w:gridCol w:w="1578"/>
        <w:gridCol w:w="1772"/>
        <w:gridCol w:w="1772"/>
        <w:gridCol w:w="1859"/>
      </w:tblGrid>
      <w:tr>
        <w:trPr>
          <w:trHeight w:val="434" w:hRule="exact"/>
        </w:trPr>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3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2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19"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18"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8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606" w:type="dxa"/>
            <w:tcBorders>
              <w:top w:val="single" w:sz="12" w:space="0" w:color="000000"/>
              <w:left w:val="single" w:sz="6" w:space="0" w:color="000000"/>
              <w:bottom w:val="single" w:sz="12" w:space="0" w:color="000000"/>
              <w:right w:val="single" w:sz="6" w:space="0" w:color="000000"/>
            </w:tcBorders>
          </w:tcPr>
          <w:p>
            <w:pP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4,456,217,362.86</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4,456,217,362.86</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1,852,478,364.46</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1,852,478,364.46</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3,709,154,191.60</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65,152,312.73</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94,541,660.32</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3,868,848,164.65</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1,145,721,315.64</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131,913,116.61</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72,230,020.73</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1,349,864,452.98</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1,458,377,404.07</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177,856,520.57</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1,636,233,924.64</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12,621,948,638.63</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374,921,949.91</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166,771,681.05</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13,163,642,269.59</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p>
        </w:tc>
        <w:tc>
          <w:tcPr>
            <w:tcW w:w="1606" w:type="dxa"/>
            <w:tcBorders>
              <w:top w:val="single" w:sz="12" w:space="0" w:color="000000"/>
              <w:left w:val="single" w:sz="6" w:space="0" w:color="000000"/>
              <w:bottom w:val="single" w:sz="12" w:space="0" w:color="000000"/>
              <w:right w:val="single" w:sz="6" w:space="0" w:color="000000"/>
            </w:tcBorders>
          </w:tcPr>
          <w:p>
            <w:pP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12,876,398,495.16</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12,876,398,495.16</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1,285,627,762.07</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1,285,627,762.07</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2,937,983,262.67</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158,572,722.64</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143,225,739.50</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3,239,781,724.81</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340,139,089.13</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4,460,841.54</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3,235,870.20</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347,835,800.87</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310,080,861.84</w:t>
            </w: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58,740,745.82</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66,950,681.32</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435,772,288.98</w:t>
            </w:r>
          </w:p>
        </w:tc>
      </w:tr>
      <w:tr>
        <w:trPr>
          <w:trHeight w:val="744"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1"/>
              <w:jc w:val="left"/>
              <w:rPr>
                <w:rFonts w:ascii="宋体" w:hAnsi="宋体" w:cs="宋体" w:eastAsia="宋体" w:hint="default"/>
                <w:sz w:val="18"/>
                <w:szCs w:val="18"/>
              </w:rPr>
            </w:pPr>
            <w:r>
              <w:rPr>
                <w:rFonts w:ascii="宋体" w:hAnsi="宋体" w:cs="宋体" w:eastAsia="宋体" w:hint="default"/>
                <w:spacing w:val="24"/>
                <w:sz w:val="18"/>
                <w:szCs w:val="18"/>
              </w:rPr>
              <w:t>一年内到</w:t>
            </w:r>
            <w:r>
              <w:rPr>
                <w:rFonts w:ascii="宋体" w:hAnsi="宋体" w:cs="宋体" w:eastAsia="宋体" w:hint="default"/>
                <w:spacing w:val="-59"/>
                <w:sz w:val="18"/>
                <w:szCs w:val="18"/>
              </w:rPr>
              <w:t> </w:t>
            </w:r>
            <w:r>
              <w:rPr>
                <w:rFonts w:ascii="宋体" w:hAnsi="宋体" w:cs="宋体" w:eastAsia="宋体" w:hint="default"/>
                <w:sz w:val="18"/>
                <w:szCs w:val="18"/>
              </w:rPr>
              <w:t>期</w:t>
            </w:r>
            <w:r>
              <w:rPr>
                <w:rFonts w:ascii="宋体" w:hAnsi="宋体" w:cs="宋体" w:eastAsia="宋体" w:hint="default"/>
                <w:spacing w:val="-59"/>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非流动负债</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1,368,108,800.00</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1,368,108,800.00</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6" w:type="dxa"/>
            <w:tcBorders>
              <w:top w:val="single" w:sz="12" w:space="0" w:color="000000"/>
              <w:left w:val="single" w:sz="6" w:space="0" w:color="000000"/>
              <w:bottom w:val="single" w:sz="12" w:space="0" w:color="000000"/>
              <w:right w:val="single" w:sz="6" w:space="0" w:color="000000"/>
            </w:tcBorders>
          </w:tcPr>
          <w:p>
            <w:pPr/>
          </w:p>
        </w:tc>
        <w:tc>
          <w:tcPr>
            <w:tcW w:w="1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732,072,000.00</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102,692,035.94</w:t>
            </w: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3,098,403,800.00</w:t>
            </w: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3,933,167,835.94</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06" w:type="dxa"/>
            <w:tcBorders>
              <w:top w:val="single" w:sz="12" w:space="0" w:color="000000"/>
              <w:left w:val="single" w:sz="6" w:space="0" w:color="000000"/>
              <w:bottom w:val="single" w:sz="12" w:space="0" w:color="000000"/>
              <w:right w:val="single" w:sz="6" w:space="0" w:color="000000"/>
            </w:tcBorders>
          </w:tcPr>
          <w:p>
            <w:pP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6,300,000,000.00</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6,300,000,000.00</w:t>
            </w:r>
          </w:p>
        </w:tc>
      </w:tr>
      <w:tr>
        <w:trPr>
          <w:trHeight w:val="432" w:hRule="exact"/>
        </w:trPr>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1,100,000,000.00</w:t>
            </w:r>
          </w:p>
        </w:tc>
        <w:tc>
          <w:tcPr>
            <w:tcW w:w="1578" w:type="dxa"/>
            <w:tcBorders>
              <w:top w:val="single" w:sz="12" w:space="0" w:color="000000"/>
              <w:left w:val="single" w:sz="6" w:space="0" w:color="000000"/>
              <w:bottom w:val="single" w:sz="12" w:space="0" w:color="000000"/>
              <w:right w:val="single" w:sz="6" w:space="0" w:color="000000"/>
            </w:tcBorders>
          </w:tcPr>
          <w:p>
            <w:pPr/>
          </w:p>
        </w:tc>
        <w:tc>
          <w:tcPr>
            <w:tcW w:w="1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1,100,000,000.00</w:t>
            </w:r>
          </w:p>
        </w:tc>
        <w:tc>
          <w:tcPr>
            <w:tcW w:w="1772" w:type="dxa"/>
            <w:tcBorders>
              <w:top w:val="single" w:sz="12" w:space="0" w:color="000000"/>
              <w:left w:val="single" w:sz="6" w:space="0" w:color="000000"/>
              <w:bottom w:val="single" w:sz="12" w:space="0" w:color="000000"/>
              <w:right w:val="single" w:sz="6" w:space="0" w:color="000000"/>
            </w:tcBorders>
          </w:tcPr>
          <w:p>
            <w:pPr/>
          </w:p>
        </w:tc>
        <w:tc>
          <w:tcPr>
            <w:tcW w:w="18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60"/>
        <w:gridCol w:w="1606"/>
        <w:gridCol w:w="1578"/>
        <w:gridCol w:w="1772"/>
        <w:gridCol w:w="1772"/>
        <w:gridCol w:w="1859"/>
      </w:tblGrid>
      <w:tr>
        <w:trPr>
          <w:trHeight w:val="435" w:hRule="exact"/>
        </w:trPr>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37" w:right="0"/>
              <w:jc w:val="left"/>
              <w:rPr>
                <w:rFonts w:ascii="Times New Roman" w:hAnsi="Times New Roman" w:cs="Times New Roman" w:eastAsia="Times New Roman" w:hint="default"/>
                <w:sz w:val="18"/>
                <w:szCs w:val="18"/>
              </w:rPr>
            </w:pPr>
            <w:r>
              <w:rPr>
                <w:rFonts w:ascii="Times New Roman"/>
                <w:sz w:val="18"/>
              </w:rPr>
              <w:t>20,218,338,270.87</w:t>
            </w:r>
          </w:p>
        </w:tc>
        <w:tc>
          <w:tcPr>
            <w:tcW w:w="1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437" w:right="0"/>
              <w:jc w:val="left"/>
              <w:rPr>
                <w:rFonts w:ascii="Times New Roman" w:hAnsi="Times New Roman" w:cs="Times New Roman" w:eastAsia="Times New Roman" w:hint="default"/>
                <w:sz w:val="18"/>
                <w:szCs w:val="18"/>
              </w:rPr>
            </w:pPr>
            <w:r>
              <w:rPr>
                <w:rFonts w:ascii="Times New Roman"/>
                <w:sz w:val="18"/>
              </w:rPr>
              <w:t>953,846,310.00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496" w:right="0"/>
              <w:jc w:val="left"/>
              <w:rPr>
                <w:rFonts w:ascii="Times New Roman" w:hAnsi="Times New Roman" w:cs="Times New Roman" w:eastAsia="Times New Roman" w:hint="default"/>
                <w:sz w:val="18"/>
                <w:szCs w:val="18"/>
              </w:rPr>
            </w:pPr>
            <w:r>
              <w:rPr>
                <w:rFonts w:ascii="Times New Roman"/>
                <w:sz w:val="18"/>
              </w:rPr>
              <w:t>7,716,104,326.96</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3,098,403,800.00</w:t>
            </w:r>
          </w:p>
        </w:tc>
        <w:tc>
          <w:tcPr>
            <w:tcW w:w="18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left="498" w:right="0"/>
              <w:jc w:val="left"/>
              <w:rPr>
                <w:rFonts w:ascii="Times New Roman" w:hAnsi="Times New Roman" w:cs="Times New Roman" w:eastAsia="Times New Roman" w:hint="default"/>
                <w:sz w:val="18"/>
                <w:szCs w:val="18"/>
              </w:rPr>
            </w:pPr>
            <w:r>
              <w:rPr>
                <w:rFonts w:ascii="Times New Roman"/>
                <w:sz w:val="18"/>
              </w:rPr>
              <w:t>31,986,692,707.83</w:t>
            </w:r>
          </w:p>
        </w:tc>
      </w:tr>
    </w:tbl>
    <w:p>
      <w:pPr>
        <w:pStyle w:val="BodyText"/>
        <w:spacing w:line="240" w:lineRule="auto" w:before="51"/>
        <w:ind w:right="370"/>
        <w:jc w:val="left"/>
      </w:pPr>
      <w:r>
        <w:rPr/>
        <w:t>续</w:t>
      </w:r>
    </w:p>
    <w:p>
      <w:pPr>
        <w:pStyle w:val="BodyText"/>
        <w:spacing w:line="240" w:lineRule="auto" w:before="116"/>
        <w:ind w:left="0" w:right="350"/>
        <w:jc w:val="righ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331"/>
        <w:gridCol w:w="1778"/>
        <w:gridCol w:w="1656"/>
        <w:gridCol w:w="1656"/>
        <w:gridCol w:w="1645"/>
        <w:gridCol w:w="1781"/>
      </w:tblGrid>
      <w:tr>
        <w:trPr>
          <w:trHeight w:val="434" w:hRule="exact"/>
        </w:trPr>
        <w:tc>
          <w:tcPr>
            <w:tcW w:w="13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52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45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459"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448"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8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5" w:hRule="exact"/>
        </w:trPr>
        <w:tc>
          <w:tcPr>
            <w:tcW w:w="13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78"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
        </w:tc>
        <w:tc>
          <w:tcPr>
            <w:tcW w:w="1645"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nil" w:sz="6" w:space="0" w:color="auto"/>
            </w:tcBorders>
          </w:tcPr>
          <w:p>
            <w:pP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3,529,938,211.47</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3,529,938,211.47</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2,444,508,997.74</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2,444,508,997.74</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3,011,123,696.78</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23,656,767.35</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94,206,538.30</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3,128,987,002.43</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290,861,260.47</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22,447,913.22</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77,981,875.54</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391,291,049.23</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582,653,900.45</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182,226,337.45</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764,880,237.90</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9,859,086,066.91</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228,331,018.02</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172,188,413.84</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10,259,605,498.77</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12,086,984,606.69</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12,086,984,606.69</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615,327,402.85</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615,327,402.85</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4,420,184,816.30</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117,265,142.92</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148,136,038.38</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4,685,585,997.60</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211,879,347.81</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19,548,665.64</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231,428,013.45</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525,381,372.20</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176,020,931.91</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62,219,234.84</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763,621,538.95</w:t>
            </w:r>
          </w:p>
        </w:tc>
      </w:tr>
      <w:tr>
        <w:trPr>
          <w:trHeight w:val="744"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5"/>
              <w:jc w:val="left"/>
              <w:rPr>
                <w:rFonts w:ascii="宋体" w:hAnsi="宋体" w:cs="宋体" w:eastAsia="宋体" w:hint="default"/>
                <w:sz w:val="18"/>
                <w:szCs w:val="18"/>
              </w:rPr>
            </w:pPr>
            <w:r>
              <w:rPr>
                <w:rFonts w:ascii="宋体" w:hAnsi="宋体" w:cs="宋体" w:eastAsia="宋体" w:hint="default"/>
                <w:spacing w:val="8"/>
                <w:sz w:val="18"/>
                <w:szCs w:val="18"/>
              </w:rPr>
              <w:t>一年内到期的非 </w:t>
            </w:r>
            <w:r>
              <w:rPr>
                <w:rFonts w:ascii="宋体" w:hAnsi="宋体" w:cs="宋体" w:eastAsia="宋体" w:hint="default"/>
                <w:sz w:val="18"/>
                <w:szCs w:val="18"/>
              </w:rPr>
              <w:t>流动负债</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1,203,616,858.22</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1,203,616,858.22</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1,232,657,500.00</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390,797,660.11</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3,519,612,335.94</w:t>
            </w: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5,143,067,496.05</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2,500,000,000.00</w:t>
            </w: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2,500,000,000.00</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1,200,000,000.00</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1,100,000,000.00</w:t>
            </w:r>
          </w:p>
        </w:tc>
        <w:tc>
          <w:tcPr>
            <w:tcW w:w="1656" w:type="dxa"/>
            <w:tcBorders>
              <w:top w:val="single" w:sz="12" w:space="0" w:color="000000"/>
              <w:left w:val="single" w:sz="6" w:space="0" w:color="000000"/>
              <w:bottom w:val="single" w:sz="12" w:space="0" w:color="000000"/>
              <w:right w:val="single" w:sz="6" w:space="0" w:color="000000"/>
            </w:tcBorders>
          </w:tcPr>
          <w:p>
            <w:pPr/>
          </w:p>
        </w:tc>
        <w:tc>
          <w:tcPr>
            <w:tcW w:w="1645" w:type="dxa"/>
            <w:tcBorders>
              <w:top w:val="single" w:sz="12" w:space="0" w:color="000000"/>
              <w:left w:val="single" w:sz="6" w:space="0" w:color="000000"/>
              <w:bottom w:val="single" w:sz="12" w:space="0" w:color="000000"/>
              <w:right w:val="single" w:sz="6" w:space="0" w:color="000000"/>
            </w:tcBorders>
          </w:tcPr>
          <w:p>
            <w:pP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2,300,000,000.00</w:t>
            </w:r>
          </w:p>
        </w:tc>
      </w:tr>
      <w:tr>
        <w:trPr>
          <w:trHeight w:val="432" w:hRule="exact"/>
        </w:trPr>
        <w:tc>
          <w:tcPr>
            <w:tcW w:w="1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20,263,374,404.07</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2,645,492,240.47</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3,101,152,933.33</w:t>
            </w:r>
          </w:p>
        </w:tc>
        <w:tc>
          <w:tcPr>
            <w:tcW w:w="16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3,519,612,335.94</w:t>
            </w:r>
          </w:p>
        </w:tc>
        <w:tc>
          <w:tcPr>
            <w:tcW w:w="17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29,529,631,913.81</w:t>
            </w:r>
          </w:p>
        </w:tc>
      </w:tr>
    </w:tbl>
    <w:p>
      <w:pPr>
        <w:spacing w:line="240" w:lineRule="auto" w:before="6"/>
        <w:rPr>
          <w:rFonts w:ascii="宋体" w:hAnsi="宋体" w:cs="宋体" w:eastAsia="宋体" w:hint="default"/>
          <w:sz w:val="27"/>
          <w:szCs w:val="27"/>
        </w:rPr>
      </w:pPr>
    </w:p>
    <w:p>
      <w:pPr>
        <w:pStyle w:val="BodyText"/>
        <w:spacing w:line="240" w:lineRule="auto" w:before="44"/>
        <w:ind w:right="370"/>
        <w:jc w:val="left"/>
      </w:pPr>
      <w:r>
        <w:rPr/>
        <w:t>银行借款及应付债券偿还期分析如下：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317"/>
        <w:gridCol w:w="1607"/>
        <w:gridCol w:w="1517"/>
        <w:gridCol w:w="1722"/>
        <w:gridCol w:w="1524"/>
      </w:tblGrid>
      <w:tr>
        <w:trPr>
          <w:trHeight w:val="435" w:hRule="exact"/>
        </w:trPr>
        <w:tc>
          <w:tcPr>
            <w:tcW w:w="3317" w:type="dxa"/>
            <w:vMerge w:val="restart"/>
            <w:tcBorders>
              <w:top w:val="single" w:sz="6" w:space="0" w:color="000000"/>
              <w:left w:val="single" w:sz="6" w:space="0" w:color="000000"/>
              <w:right w:val="single" w:sz="6" w:space="0" w:color="000000"/>
            </w:tcBorders>
          </w:tcPr>
          <w:p>
            <w:pPr/>
          </w:p>
        </w:tc>
        <w:tc>
          <w:tcPr>
            <w:tcW w:w="312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4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3317" w:type="dxa"/>
            <w:vMerge/>
            <w:tcBorders>
              <w:left w:val="single" w:sz="6" w:space="0" w:color="000000"/>
              <w:bottom w:val="single" w:sz="12" w:space="0" w:color="000000"/>
              <w:right w:val="single" w:sz="6" w:space="0" w:color="000000"/>
            </w:tcBorders>
          </w:tcPr>
          <w:p>
            <w:pPr/>
          </w:p>
        </w:tc>
        <w:tc>
          <w:tcPr>
            <w:tcW w:w="1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应付债券</w:t>
            </w:r>
          </w:p>
        </w:tc>
      </w:tr>
      <w:tr>
        <w:trPr>
          <w:trHeight w:val="43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15,079,271,331.10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8,500,000,000.00</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14,914,056,625.02</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4,800,000,000.00</w:t>
            </w:r>
          </w:p>
        </w:tc>
      </w:tr>
      <w:tr>
        <w:trPr>
          <w:trHeight w:val="43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3,098,403,800.00</w:t>
            </w:r>
          </w:p>
        </w:tc>
        <w:tc>
          <w:tcPr>
            <w:tcW w:w="1517" w:type="dxa"/>
            <w:tcBorders>
              <w:top w:val="single" w:sz="12" w:space="0" w:color="000000"/>
              <w:left w:val="single" w:sz="6" w:space="0" w:color="000000"/>
              <w:bottom w:val="single" w:sz="12" w:space="0" w:color="000000"/>
              <w:right w:val="single" w:sz="6" w:space="0" w:color="000000"/>
            </w:tcBorders>
          </w:tcPr>
          <w:p>
            <w:pP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3,519,612,335.94</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18,177,675,131.10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8,500,000,000.00</w:t>
            </w:r>
          </w:p>
        </w:tc>
        <w:tc>
          <w:tcPr>
            <w:tcW w:w="17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18,433,668,960.96</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4,800,000,000.00</w:t>
            </w:r>
          </w:p>
        </w:tc>
      </w:tr>
    </w:tbl>
    <w:p>
      <w:pPr>
        <w:pStyle w:val="BodyText"/>
        <w:spacing w:line="240" w:lineRule="auto" w:before="51"/>
        <w:ind w:left="565" w:right="370"/>
        <w:jc w:val="left"/>
      </w:pPr>
      <w:r>
        <w:rPr>
          <w:rFonts w:ascii="Times New Roman" w:hAnsi="Times New Roman" w:cs="Times New Roman" w:eastAsia="Times New Roman" w:hint="default"/>
        </w:rPr>
        <w:t>4</w:t>
      </w:r>
      <w:r>
        <w:rPr/>
        <w:t>、公允价值</w:t>
      </w:r>
    </w:p>
    <w:p>
      <w:pPr>
        <w:pStyle w:val="BodyText"/>
        <w:spacing w:line="340" w:lineRule="auto" w:before="102"/>
        <w:ind w:left="469" w:right="295" w:firstLine="210"/>
        <w:jc w:val="left"/>
      </w:pPr>
      <w:r>
        <w:rPr/>
        <w:t>（</w:t>
      </w:r>
      <w:r>
        <w:rPr>
          <w:rFonts w:ascii="Times New Roman" w:hAnsi="Times New Roman" w:cs="Times New Roman" w:eastAsia="Times New Roman" w:hint="default"/>
        </w:rPr>
        <w:t>1</w:t>
      </w:r>
      <w:r>
        <w:rPr/>
        <w:t>）</w:t>
      </w:r>
      <w:r>
        <w:rPr>
          <w:spacing w:val="-17"/>
        </w:rPr>
        <w:t> </w:t>
      </w:r>
      <w:r>
        <w:rPr/>
        <w:t>不以公允价值计量的金融工具</w:t>
      </w:r>
      <w:r>
        <w:rPr/>
        <w:t> 不以公允价值计量的金融资产和负债主要包括：应收款项、短期借款、应付款项、长期借款、应付债券和长期应付款。</w:t>
      </w:r>
    </w:p>
    <w:p>
      <w:pPr>
        <w:spacing w:after="0" w:line="340" w:lineRule="auto"/>
        <w:jc w:val="left"/>
        <w:sectPr>
          <w:pgSz w:w="11910" w:h="16840"/>
          <w:pgMar w:header="0" w:footer="982" w:top="1060" w:bottom="1180" w:left="980" w:right="780"/>
        </w:sectPr>
      </w:pP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除下述金融负债外，其他不以公允价值计量的金融资产和负债的账面价值与公允价值相差很小。</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047"/>
        <w:gridCol w:w="1696"/>
        <w:gridCol w:w="1573"/>
        <w:gridCol w:w="1790"/>
        <w:gridCol w:w="1580"/>
      </w:tblGrid>
      <w:tr>
        <w:trPr>
          <w:trHeight w:val="435" w:hRule="exact"/>
        </w:trPr>
        <w:tc>
          <w:tcPr>
            <w:tcW w:w="3047" w:type="dxa"/>
            <w:vMerge w:val="restart"/>
            <w:tcBorders>
              <w:top w:val="single" w:sz="6" w:space="0" w:color="000000"/>
              <w:left w:val="single" w:sz="6" w:space="0" w:color="000000"/>
              <w:right w:val="single" w:sz="6" w:space="0" w:color="000000"/>
            </w:tcBorders>
          </w:tcPr>
          <w:p>
            <w:pPr/>
          </w:p>
        </w:tc>
        <w:tc>
          <w:tcPr>
            <w:tcW w:w="326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37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3047" w:type="dxa"/>
            <w:vMerge/>
            <w:tcBorders>
              <w:left w:val="single" w:sz="6" w:space="0" w:color="000000"/>
              <w:bottom w:val="single" w:sz="12" w:space="0" w:color="000000"/>
              <w:right w:val="single" w:sz="6" w:space="0" w:color="000000"/>
            </w:tcBorders>
          </w:tcPr>
          <w:p>
            <w:pPr/>
          </w:p>
        </w:tc>
        <w:tc>
          <w:tcPr>
            <w:tcW w:w="1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7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432" w:hRule="exact"/>
        </w:trPr>
        <w:tc>
          <w:tcPr>
            <w:tcW w:w="30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应付债券</w:t>
            </w:r>
          </w:p>
        </w:tc>
        <w:tc>
          <w:tcPr>
            <w:tcW w:w="16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8,440,533,343.80</w:t>
            </w:r>
          </w:p>
        </w:tc>
        <w:tc>
          <w:tcPr>
            <w:tcW w:w="15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8,500,000,000.00</w:t>
            </w:r>
          </w:p>
        </w:tc>
        <w:tc>
          <w:tcPr>
            <w:tcW w:w="17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4,769,303,254.71</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4,800,000,000.00</w:t>
            </w:r>
          </w:p>
        </w:tc>
      </w:tr>
    </w:tbl>
    <w:p>
      <w:pPr>
        <w:pStyle w:val="BodyText"/>
        <w:spacing w:line="316" w:lineRule="auto" w:before="51"/>
        <w:ind w:right="181" w:firstLine="419"/>
        <w:jc w:val="left"/>
      </w:pPr>
      <w:r>
        <w:rPr/>
        <w:t>长期借款、长期应付款以及应付债券，以合同规定的未来现金流量按照市场上具有可比信用等级并在相同条件下提供</w:t>
      </w:r>
      <w:r>
        <w:rPr>
          <w:spacing w:val="1"/>
        </w:rPr>
        <w:t> </w:t>
      </w:r>
      <w:r>
        <w:rPr/>
        <w:t>几乎相同现金流量的利率进行折现后的现值确定其公允价值。</w:t>
      </w:r>
    </w:p>
    <w:p>
      <w:pPr>
        <w:pStyle w:val="BodyText"/>
        <w:spacing w:line="240" w:lineRule="auto" w:before="59"/>
        <w:ind w:left="364" w:right="181"/>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日，本集团无以公允价值计量的金融工具</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pStyle w:val="Heading2"/>
        <w:spacing w:line="240" w:lineRule="auto"/>
        <w:ind w:right="181"/>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1"/>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94" w:right="181"/>
        <w:jc w:val="left"/>
      </w:pPr>
      <w:r>
        <w:rPr/>
        <w:t>应收账款按种类列示</w:t>
      </w:r>
    </w:p>
    <w:p>
      <w:pPr>
        <w:pStyle w:val="BodyText"/>
        <w:spacing w:line="240" w:lineRule="auto" w:before="116"/>
        <w:ind w:left="7767" w:right="189"/>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93"/>
        <w:gridCol w:w="1235"/>
        <w:gridCol w:w="720"/>
        <w:gridCol w:w="1098"/>
        <w:gridCol w:w="619"/>
        <w:gridCol w:w="1337"/>
        <w:gridCol w:w="659"/>
        <w:gridCol w:w="1334"/>
        <w:gridCol w:w="659"/>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3D3D3"/>
          </w:tcPr>
          <w:p>
            <w:pPr/>
          </w:p>
        </w:tc>
        <w:tc>
          <w:tcPr>
            <w:tcW w:w="36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993" w:type="dxa"/>
            <w:vMerge/>
            <w:tcBorders>
              <w:left w:val="single" w:sz="4" w:space="0" w:color="000000"/>
              <w:bottom w:val="nil" w:sz="6" w:space="0" w:color="auto"/>
              <w:right w:val="single" w:sz="4" w:space="0" w:color="000000"/>
            </w:tcBorders>
            <w:shd w:val="clear" w:color="auto" w:fill="D3D3D3"/>
          </w:tcPr>
          <w:p>
            <w:pPr/>
          </w:p>
        </w:tc>
        <w:tc>
          <w:tcPr>
            <w:tcW w:w="19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19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种类</w:t>
            </w:r>
          </w:p>
        </w:tc>
        <w:tc>
          <w:tcPr>
            <w:tcW w:w="1955" w:type="dxa"/>
            <w:gridSpan w:val="2"/>
            <w:vMerge/>
            <w:tcBorders>
              <w:left w:val="single" w:sz="4" w:space="0" w:color="000000"/>
              <w:bottom w:val="single" w:sz="4" w:space="0" w:color="000000"/>
              <w:right w:val="single" w:sz="4" w:space="0" w:color="000000"/>
            </w:tcBorders>
            <w:shd w:val="clear" w:color="auto" w:fill="D3D3D3"/>
          </w:tcPr>
          <w:p>
            <w:pPr/>
          </w:p>
        </w:tc>
        <w:tc>
          <w:tcPr>
            <w:tcW w:w="1717" w:type="dxa"/>
            <w:gridSpan w:val="2"/>
            <w:vMerge/>
            <w:tcBorders>
              <w:left w:val="single" w:sz="4" w:space="0" w:color="000000"/>
              <w:bottom w:val="single" w:sz="4" w:space="0" w:color="000000"/>
              <w:right w:val="single" w:sz="4" w:space="0" w:color="000000"/>
            </w:tcBorders>
            <w:shd w:val="clear" w:color="auto" w:fill="D3D3D3"/>
          </w:tcPr>
          <w:p>
            <w:pPr/>
          </w:p>
        </w:tc>
        <w:tc>
          <w:tcPr>
            <w:tcW w:w="1996"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r>
      <w:tr>
        <w:trPr>
          <w:trHeight w:val="156" w:hRule="exact"/>
        </w:trPr>
        <w:tc>
          <w:tcPr>
            <w:tcW w:w="1993" w:type="dxa"/>
            <w:vMerge/>
            <w:tcBorders>
              <w:left w:val="single" w:sz="4" w:space="0" w:color="000000"/>
              <w:bottom w:val="single" w:sz="6" w:space="0" w:color="FFFFFF"/>
              <w:right w:val="single" w:sz="4" w:space="0" w:color="000000"/>
            </w:tcBorders>
            <w:shd w:val="clear" w:color="auto" w:fill="D3D3D3"/>
          </w:tcPr>
          <w:p>
            <w:pPr/>
          </w:p>
        </w:tc>
        <w:tc>
          <w:tcPr>
            <w:tcW w:w="123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20"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1098"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5" w:right="0"/>
              <w:jc w:val="left"/>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993" w:type="dxa"/>
            <w:vMerge w:val="restart"/>
            <w:tcBorders>
              <w:top w:val="single" w:sz="6" w:space="0" w:color="FFFFFF"/>
              <w:left w:val="single" w:sz="4" w:space="0" w:color="000000"/>
              <w:right w:val="single" w:sz="4" w:space="0" w:color="000000"/>
            </w:tcBorders>
            <w:shd w:val="clear" w:color="auto" w:fill="D3D3D3"/>
          </w:tcPr>
          <w:p>
            <w:pPr/>
          </w:p>
        </w:tc>
        <w:tc>
          <w:tcPr>
            <w:tcW w:w="1235"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8"/>
              <w:ind w:left="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8"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8"/>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9" w:type="dxa"/>
            <w:vMerge/>
            <w:tcBorders>
              <w:left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r>
      <w:tr>
        <w:trPr>
          <w:trHeight w:val="162"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235"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vMerge/>
            <w:tcBorders>
              <w:left w:val="single" w:sz="4" w:space="0" w:color="000000"/>
              <w:bottom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0"/>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235" w:type="dxa"/>
            <w:tcBorders>
              <w:top w:val="single" w:sz="4" w:space="0" w:color="000000"/>
              <w:left w:val="single" w:sz="10"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56,089,509.86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56,089,509.86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655"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335,827,030.39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96.73%</w:t>
            </w:r>
          </w:p>
        </w:tc>
        <w:tc>
          <w:tcPr>
            <w:tcW w:w="109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1,730,082,770.43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95.07%</w:t>
            </w: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11,346,123.83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4,675,772.65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33,541,440.60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20,589,929.06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61.39%</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347,173,154.22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4,675,772.65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1,763,624,211.03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96.92%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20,589,929.06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347,173,154.22</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4,675,772.65</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1,819,713,720.89</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76,679,438.92</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574" w:right="181"/>
        <w:jc w:val="left"/>
      </w:pPr>
      <w:r>
        <w:rPr/>
        <w:t>应收账款按账龄列示</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34"/>
        <w:gridCol w:w="2412"/>
        <w:gridCol w:w="1885"/>
        <w:gridCol w:w="2164"/>
        <w:gridCol w:w="1792"/>
      </w:tblGrid>
      <w:tr>
        <w:trPr>
          <w:trHeight w:val="435" w:hRule="exact"/>
        </w:trPr>
        <w:tc>
          <w:tcPr>
            <w:tcW w:w="1434" w:type="dxa"/>
            <w:vMerge w:val="restart"/>
            <w:tcBorders>
              <w:top w:val="single" w:sz="6" w:space="0" w:color="000000"/>
              <w:left w:val="single" w:sz="6" w:space="0" w:color="000000"/>
              <w:right w:val="single" w:sz="6" w:space="0" w:color="000000"/>
            </w:tcBorders>
          </w:tcPr>
          <w:p>
            <w:pPr>
              <w:pStyle w:val="TableParagraph"/>
              <w:spacing w:line="240" w:lineRule="auto" w:before="62"/>
              <w:ind w:left="45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9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5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1434" w:type="dxa"/>
            <w:vMerge/>
            <w:tcBorders>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342,848,452.68</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98.75%</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1,718,434,986.05</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94.43%</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
        </w:tc>
        <w:tc>
          <w:tcPr>
            <w:tcW w:w="1885" w:type="dxa"/>
            <w:tcBorders>
              <w:top w:val="single" w:sz="12" w:space="0" w:color="000000"/>
              <w:left w:val="single" w:sz="6" w:space="0" w:color="000000"/>
              <w:bottom w:val="single" w:sz="12" w:space="0" w:color="000000"/>
              <w:right w:val="single" w:sz="6" w:space="0" w:color="000000"/>
            </w:tcBorders>
          </w:tcPr>
          <w:p>
            <w:pP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35,110,491.10</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1.93%</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
        </w:tc>
        <w:tc>
          <w:tcPr>
            <w:tcW w:w="1885" w:type="dxa"/>
            <w:tcBorders>
              <w:top w:val="single" w:sz="12" w:space="0" w:color="000000"/>
              <w:left w:val="single" w:sz="6" w:space="0" w:color="000000"/>
              <w:bottom w:val="single" w:sz="12" w:space="0" w:color="000000"/>
              <w:right w:val="single" w:sz="6" w:space="0" w:color="000000"/>
            </w:tcBorders>
          </w:tcPr>
          <w:p>
            <w:pP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13,018,745.26</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0.72%</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4,324,701.54</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1.25%</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53,149,498.48</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2.92%</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347,173,154.22</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100.00%</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1,819,713,720.89</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4"/>
          <w:szCs w:val="24"/>
        </w:rPr>
      </w:pPr>
    </w:p>
    <w:p>
      <w:pPr>
        <w:pStyle w:val="BodyText"/>
        <w:spacing w:line="240" w:lineRule="auto" w:before="44"/>
        <w:ind w:right="181"/>
        <w:jc w:val="left"/>
      </w:pPr>
      <w:r>
        <w:rPr/>
        <w:t>期末单项金额重大并单项计提坏账准备的应收账款</w:t>
      </w:r>
    </w:p>
    <w:p>
      <w:pPr>
        <w:spacing w:after="0" w:line="240" w:lineRule="auto"/>
        <w:jc w:val="left"/>
        <w:sectPr>
          <w:pgSz w:w="11910" w:h="16840"/>
          <w:pgMar w:header="0" w:footer="982" w:top="1060" w:bottom="1180" w:left="980" w:right="9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82" w:top="1060" w:bottom="1180" w:left="980" w:right="980"/>
        </w:sectPr>
      </w:pPr>
    </w:p>
    <w:p>
      <w:pPr>
        <w:pStyle w:val="BodyText"/>
        <w:spacing w:line="338" w:lineRule="auto" w:before="44"/>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7,021,422.29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351,071.11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7,038,534.93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351,926.75</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7,021,422.29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351,071.11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7,038,534.93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351,926.75</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3,726,896.05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372,689.61</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3,638,371.15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727,674.23</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4,324,701.54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38.12%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4,324,701.54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19,137,638.47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19,137,638.47</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11,346,123.83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4,675,772.65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33,541,440.60</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20,589,929.06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组合中，采用余额百分比法计提坏账准备的应收账款</w:t>
      </w:r>
    </w:p>
    <w:p>
      <w:pPr>
        <w:pStyle w:val="BodyText"/>
        <w:spacing w:line="340" w:lineRule="auto" w:before="116"/>
        <w:ind w:right="3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335,827,030.39</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335,827,030.39</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期末单项金额虽不重大但单项计提坏账准备的应收账款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15"/>
        <w:gridCol w:w="2189"/>
        <w:gridCol w:w="2003"/>
        <w:gridCol w:w="2063"/>
        <w:gridCol w:w="2024"/>
      </w:tblGrid>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87" w:right="35" w:hanging="450"/>
              <w:jc w:val="left"/>
              <w:rPr>
                <w:rFonts w:ascii="宋体" w:hAnsi="宋体" w:cs="宋体" w:eastAsia="宋体" w:hint="default"/>
                <w:sz w:val="18"/>
                <w:szCs w:val="18"/>
              </w:rPr>
            </w:pPr>
            <w:r>
              <w:rPr>
                <w:rFonts w:ascii="宋体" w:hAnsi="宋体" w:cs="宋体" w:eastAsia="宋体" w:hint="default"/>
                <w:sz w:val="18"/>
                <w:szCs w:val="18"/>
              </w:rPr>
              <w:t>转回或收回前累计已计提 坏账准备金额</w:t>
            </w:r>
          </w:p>
        </w:tc>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收回货款</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年以上，预计收回可能 性极小</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7,306,110.01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7,306,110.01</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收回前期已核销的坏账</w:t>
            </w:r>
          </w:p>
        </w:tc>
        <w:tc>
          <w:tcPr>
            <w:tcW w:w="2003"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28,253.86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28,253.86</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7,334,363.87</w:t>
            </w:r>
          </w:p>
        </w:tc>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期末单项金额重大或虽不重大但单独进行减值测试的应收账款坏账准备计提：无。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报告期无实际核销的应收账款情况.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41" w:firstLine="360"/>
        <w:jc w:val="left"/>
      </w:pPr>
      <w:r>
        <w:rPr/>
        <w:t>本报告期中，将纳入本公司汇总范围的销售分公司应收账款余额</w:t>
      </w:r>
      <w:r>
        <w:rPr>
          <w:rFonts w:ascii="Times New Roman" w:hAnsi="Times New Roman" w:cs="Times New Roman" w:eastAsia="Times New Roman" w:hint="default"/>
        </w:rPr>
        <w:t>63,311,678.78</w:t>
      </w:r>
      <w:r>
        <w:rPr/>
        <w:t>元，应收账款坏账准备</w:t>
      </w:r>
      <w:r>
        <w:rPr>
          <w:rFonts w:ascii="Times New Roman" w:hAnsi="Times New Roman" w:cs="Times New Roman" w:eastAsia="Times New Roman" w:hint="default"/>
        </w:rPr>
        <w:t>65,525,580.86</w:t>
      </w:r>
      <w:r>
        <w:rPr/>
        <w:t>元转 入了本公司的全资子公司山东晨鸣纸业销售有限公司。</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35"/>
        <w:gridCol w:w="2005"/>
        <w:gridCol w:w="1458"/>
        <w:gridCol w:w="1030"/>
        <w:gridCol w:w="2340"/>
      </w:tblGrid>
      <w:tr>
        <w:trPr>
          <w:trHeight w:val="401"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sz w:val="18"/>
                <w:szCs w:val="18"/>
              </w:rPr>
              <w:t>年限</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256,685,496.50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73.94%</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60,086,757.90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17.31%</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8,744,844.82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寿光蔡伦北海粉体有限公司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5,236,505.16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4,207,722.89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w:t>
            </w:r>
          </w:p>
        </w:tc>
      </w:tr>
      <w:tr>
        <w:trPr>
          <w:trHeight w:val="401"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334,961,327.27</w:t>
            </w:r>
          </w:p>
        </w:tc>
        <w:tc>
          <w:tcPr>
            <w:tcW w:w="1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96.49%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00"/>
        <w:gridCol w:w="2160"/>
        <w:gridCol w:w="2278"/>
        <w:gridCol w:w="2430"/>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60,086,757.90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17.31%</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4,207,722.89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578,093.05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256,685,496.54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73.94%</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1,365,537.18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4,158,578.01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8,744,844.82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335,827,030.39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8</w:t>
      </w:r>
      <w:r>
        <w:rPr/>
        <w:t>）不符合终止确认条件的应收账款的转移金额为</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94" w:right="181"/>
        <w:jc w:val="left"/>
      </w:pPr>
      <w:r>
        <w:rPr/>
        <w:t>其他应收款按种类列示</w:t>
      </w:r>
    </w:p>
    <w:p>
      <w:pPr>
        <w:pStyle w:val="BodyText"/>
        <w:spacing w:line="240" w:lineRule="auto" w:before="117"/>
        <w:ind w:left="7767" w:right="189"/>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132"/>
        <w:gridCol w:w="1424"/>
        <w:gridCol w:w="605"/>
        <w:gridCol w:w="1283"/>
        <w:gridCol w:w="606"/>
        <w:gridCol w:w="1321"/>
        <w:gridCol w:w="605"/>
        <w:gridCol w:w="1113"/>
        <w:gridCol w:w="605"/>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3D3D3"/>
          </w:tcPr>
          <w:p>
            <w:pPr/>
          </w:p>
        </w:tc>
        <w:tc>
          <w:tcPr>
            <w:tcW w:w="39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20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029" w:type="dxa"/>
            <w:gridSpan w:val="2"/>
            <w:vMerge/>
            <w:tcBorders>
              <w:left w:val="single" w:sz="4" w:space="0" w:color="000000"/>
              <w:bottom w:val="single" w:sz="4" w:space="0" w:color="000000"/>
              <w:right w:val="single" w:sz="4" w:space="0" w:color="000000"/>
            </w:tcBorders>
            <w:shd w:val="clear" w:color="auto" w:fill="D3D3D3"/>
          </w:tcPr>
          <w:p>
            <w:pPr/>
          </w:p>
        </w:tc>
        <w:tc>
          <w:tcPr>
            <w:tcW w:w="1889" w:type="dxa"/>
            <w:gridSpan w:val="2"/>
            <w:vMerge/>
            <w:tcBorders>
              <w:left w:val="single" w:sz="4" w:space="0" w:color="000000"/>
              <w:bottom w:val="single" w:sz="4" w:space="0" w:color="000000"/>
              <w:right w:val="single" w:sz="4" w:space="0" w:color="000000"/>
            </w:tcBorders>
            <w:shd w:val="clear" w:color="auto" w:fill="D3D3D3"/>
          </w:tcPr>
          <w:p>
            <w:pPr/>
          </w:p>
        </w:tc>
        <w:tc>
          <w:tcPr>
            <w:tcW w:w="1927" w:type="dxa"/>
            <w:gridSpan w:val="2"/>
            <w:vMerge/>
            <w:tcBorders>
              <w:left w:val="single" w:sz="4" w:space="0" w:color="000000"/>
              <w:bottom w:val="single" w:sz="4" w:space="0" w:color="000000"/>
              <w:right w:val="single" w:sz="4" w:space="0" w:color="000000"/>
            </w:tcBorders>
            <w:shd w:val="clear" w:color="auto" w:fill="D3D3D3"/>
          </w:tcPr>
          <w:p>
            <w:pPr/>
          </w:p>
        </w:tc>
        <w:tc>
          <w:tcPr>
            <w:tcW w:w="1718"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32" w:type="dxa"/>
            <w:vMerge/>
            <w:tcBorders>
              <w:left w:val="single" w:sz="4" w:space="0" w:color="000000"/>
              <w:bottom w:val="single" w:sz="6" w:space="0" w:color="FFFFFF"/>
              <w:right w:val="single" w:sz="4" w:space="0" w:color="000000"/>
            </w:tcBorders>
            <w:shd w:val="clear" w:color="auto" w:fill="D3D3D3"/>
          </w:tcPr>
          <w:p>
            <w:pPr/>
          </w:p>
        </w:tc>
        <w:tc>
          <w:tcPr>
            <w:tcW w:w="1424"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59" w:right="0"/>
              <w:jc w:val="left"/>
              <w:rPr>
                <w:rFonts w:ascii="Times New Roman" w:hAnsi="Times New Roman" w:cs="Times New Roman" w:eastAsia="Times New Roman" w:hint="default"/>
                <w:sz w:val="18"/>
                <w:szCs w:val="18"/>
              </w:rPr>
            </w:pPr>
            <w:r>
              <w:rPr>
                <w:rFonts w:ascii="Times New Roman"/>
                <w:sz w:val="18"/>
              </w:rPr>
              <w:t>(%)</w:t>
            </w:r>
          </w:p>
        </w:tc>
        <w:tc>
          <w:tcPr>
            <w:tcW w:w="12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0"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0" w:right="0"/>
              <w:jc w:val="left"/>
              <w:rPr>
                <w:rFonts w:ascii="Times New Roman" w:hAnsi="Times New Roman" w:cs="Times New Roman" w:eastAsia="Times New Roman" w:hint="default"/>
                <w:sz w:val="18"/>
                <w:szCs w:val="18"/>
              </w:rPr>
            </w:pPr>
            <w:r>
              <w:rPr>
                <w:rFonts w:ascii="Times New Roman"/>
                <w:sz w:val="18"/>
              </w:rPr>
              <w:t>(%)</w:t>
            </w:r>
          </w:p>
        </w:tc>
        <w:tc>
          <w:tcPr>
            <w:tcW w:w="1113"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59"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132" w:type="dxa"/>
            <w:vMerge w:val="restart"/>
            <w:tcBorders>
              <w:top w:val="single" w:sz="6" w:space="0" w:color="FFFFFF"/>
              <w:left w:val="single" w:sz="4" w:space="0" w:color="000000"/>
              <w:right w:val="single" w:sz="4" w:space="0" w:color="000000"/>
            </w:tcBorders>
            <w:shd w:val="clear" w:color="auto" w:fill="D3D3D3"/>
          </w:tcPr>
          <w:p>
            <w:pPr/>
          </w:p>
        </w:tc>
        <w:tc>
          <w:tcPr>
            <w:tcW w:w="1424"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6" w:type="dxa"/>
            <w:vMerge/>
            <w:tcBorders>
              <w:left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c>
          <w:tcPr>
            <w:tcW w:w="11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r>
      <w:tr>
        <w:trPr>
          <w:trHeight w:val="161" w:hRule="exact"/>
        </w:trPr>
        <w:tc>
          <w:tcPr>
            <w:tcW w:w="2132" w:type="dxa"/>
            <w:vMerge/>
            <w:tcBorders>
              <w:left w:val="single" w:sz="4" w:space="0" w:color="000000"/>
              <w:bottom w:val="single" w:sz="4" w:space="0" w:color="000000"/>
              <w:right w:val="single" w:sz="4" w:space="0" w:color="000000"/>
            </w:tcBorders>
            <w:shd w:val="clear" w:color="auto" w:fill="D3D3D3"/>
          </w:tcPr>
          <w:p>
            <w:pPr/>
          </w:p>
        </w:tc>
        <w:tc>
          <w:tcPr>
            <w:tcW w:w="1424"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12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06" w:type="dxa"/>
            <w:vMerge/>
            <w:tcBorders>
              <w:left w:val="single" w:sz="4" w:space="0" w:color="000000"/>
              <w:bottom w:val="single" w:sz="4" w:space="0" w:color="000000"/>
              <w:right w:val="single" w:sz="4" w:space="0" w:color="000000"/>
            </w:tcBorders>
            <w:shd w:val="clear" w:color="auto" w:fill="D3D3D3"/>
          </w:tcPr>
          <w:p>
            <w:pPr/>
          </w:p>
        </w:tc>
        <w:tc>
          <w:tcPr>
            <w:tcW w:w="1321"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1113"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8,918,424.06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8,918,424.06</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9,330,331.45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9,330,331.45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9,181,123,808.55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c>
          <w:tcPr>
            <w:tcW w:w="1283"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6,894,133,462.44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98.88%</w:t>
            </w:r>
          </w:p>
        </w:tc>
        <w:tc>
          <w:tcPr>
            <w:tcW w:w="111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70,216,527.05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18,561,336.28</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26.43%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53,445,787.71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19,499,404.97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9,251,340,335.60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99.76%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18,561,336.28</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6,947,579,250.15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99.64%</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19,499,404.97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1026"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13,771,354.38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13,771,354.38</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15,554,009.74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15,554,009.74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9,274,030,114.04</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41,251,114.72</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6,972,463,591.34</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44,383,746.16</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26"/>
        <w:ind w:right="181"/>
        <w:jc w:val="left"/>
      </w:pPr>
      <w:r>
        <w:rPr/>
        <w:t>其他应收款按账龄列示</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434"/>
        <w:gridCol w:w="2412"/>
        <w:gridCol w:w="1885"/>
        <w:gridCol w:w="2164"/>
        <w:gridCol w:w="1792"/>
      </w:tblGrid>
      <w:tr>
        <w:trPr>
          <w:trHeight w:val="435" w:hRule="exact"/>
        </w:trPr>
        <w:tc>
          <w:tcPr>
            <w:tcW w:w="1434" w:type="dxa"/>
            <w:vMerge w:val="restart"/>
            <w:tcBorders>
              <w:top w:val="single" w:sz="6" w:space="0" w:color="000000"/>
              <w:left w:val="single" w:sz="6" w:space="0" w:color="000000"/>
              <w:right w:val="single" w:sz="6" w:space="0" w:color="000000"/>
            </w:tcBorders>
          </w:tcPr>
          <w:p>
            <w:pPr>
              <w:pStyle w:val="TableParagraph"/>
              <w:tabs>
                <w:tab w:pos="817" w:val="left" w:leader="none"/>
              </w:tabs>
              <w:spacing w:line="240" w:lineRule="auto" w:before="62"/>
              <w:ind w:left="42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29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5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32" w:hRule="exact"/>
        </w:trPr>
        <w:tc>
          <w:tcPr>
            <w:tcW w:w="1434" w:type="dxa"/>
            <w:vMerge/>
            <w:tcBorders>
              <w:left w:val="single" w:sz="6" w:space="0" w:color="000000"/>
              <w:bottom w:val="single" w:sz="12" w:space="0" w:color="000000"/>
              <w:right w:val="single" w:sz="6" w:space="0" w:color="000000"/>
            </w:tcBorders>
          </w:tcPr>
          <w:p>
            <w:pP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8,748,242,463.91</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94.33%</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6,589,642,880.16</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94.51%</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476,756,180.58</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5.14%</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263,422,203.29</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3.78%</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12,693,819.63</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0.14%</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77,724,175.01</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1.11%</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36,337,649.92</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0.39%</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41,674,332.88</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0.60%</w:t>
            </w:r>
          </w:p>
        </w:tc>
      </w:tr>
      <w:tr>
        <w:trPr>
          <w:trHeight w:val="432" w:hRule="exact"/>
        </w:trPr>
        <w:tc>
          <w:tcPr>
            <w:tcW w:w="1434" w:type="dxa"/>
            <w:tcBorders>
              <w:top w:val="single" w:sz="12" w:space="0" w:color="000000"/>
              <w:left w:val="single" w:sz="6" w:space="0" w:color="000000"/>
              <w:bottom w:val="single" w:sz="12" w:space="0" w:color="000000"/>
              <w:right w:val="single" w:sz="6" w:space="0" w:color="000000"/>
            </w:tcBorders>
          </w:tcPr>
          <w:p>
            <w:pPr>
              <w:pStyle w:val="TableParagraph"/>
              <w:tabs>
                <w:tab w:pos="817" w:val="left" w:leader="none"/>
              </w:tabs>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9,274,030,114.04</w:t>
            </w:r>
          </w:p>
        </w:tc>
        <w:tc>
          <w:tcPr>
            <w:tcW w:w="18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100.00%</w:t>
            </w:r>
          </w:p>
        </w:tc>
        <w:tc>
          <w:tcPr>
            <w:tcW w:w="2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6,972,463,591.34</w:t>
            </w:r>
          </w:p>
        </w:tc>
        <w:tc>
          <w:tcPr>
            <w:tcW w:w="17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524"/>
        <w:gridCol w:w="1201"/>
        <w:gridCol w:w="1202"/>
        <w:gridCol w:w="1493"/>
        <w:gridCol w:w="4273"/>
      </w:tblGrid>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8,918,424.06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8,918,424.06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主要是账龄五年以上的往来款，预计收回可能性小</w:t>
            </w:r>
          </w:p>
        </w:tc>
      </w:tr>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8,918,424.06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8,918,424.06</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81"/>
        <w:jc w:val="left"/>
      </w:pPr>
      <w:r>
        <w:rPr/>
        <w:t>组合中，采用账龄分析法计提坏账准备的其他应收款</w:t>
      </w:r>
    </w:p>
    <w:p>
      <w:pPr>
        <w:spacing w:after="0" w:line="240" w:lineRule="auto"/>
        <w:jc w:val="left"/>
        <w:sectPr>
          <w:type w:val="continuous"/>
          <w:pgSz w:w="11910" w:h="16840"/>
          <w:pgMar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35,120,692.33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1,756,034.63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28,392,081.38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53.12%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1,419,604.07</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35,120,692.33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1,756,034.63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28,392,081.38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53.12%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1,419,604.07</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11,321,624.73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1,132,162.48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3,011,095.47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301,109.55</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10,126,338.52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2,025,267.70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5,329,899.38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1,065,979.87</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13,647,871.47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13,647,871.47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16,712,711.48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31.27%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16,712,711.48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70,216,527.05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18,561,336.28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53,445,787.71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19,499,404.97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pStyle w:val="BodyText"/>
        <w:spacing w:line="240" w:lineRule="auto" w:before="51"/>
        <w:ind w:right="-20"/>
        <w:jc w:val="left"/>
      </w:pPr>
      <w:r>
        <w:rPr/>
        <w:t>组合中，采用余额百分比法计提坏账准备的其他应收款</w:t>
      </w:r>
    </w:p>
    <w:p>
      <w:pPr>
        <w:pStyle w:val="BodyText"/>
        <w:spacing w:line="357" w:lineRule="auto" w:before="117"/>
        <w:ind w:left="153" w:right="341"/>
        <w:jc w:val="left"/>
      </w:pPr>
      <w:r>
        <w:rPr/>
        <w:t>□ 适用 √ 不适用 组合中，采用其他方法计提坏账准备的其他应收款</w:t>
      </w:r>
    </w:p>
    <w:p>
      <w:pPr>
        <w:pStyle w:val="BodyText"/>
        <w:spacing w:line="240" w:lineRule="auto" w:before="27"/>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9,181,123,808.55</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9,181,123,808.55</w:t>
            </w:r>
          </w:p>
        </w:tc>
        <w:tc>
          <w:tcPr>
            <w:tcW w:w="27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240" w:lineRule="auto" w:before="51"/>
        <w:ind w:right="-20"/>
        <w:jc w:val="left"/>
      </w:pPr>
      <w:r>
        <w:rPr/>
        <w:t>期末单项金额虽不重大但单项计提坏账准备的其他应收款</w:t>
      </w:r>
    </w:p>
    <w:p>
      <w:pPr>
        <w:pStyle w:val="BodyText"/>
        <w:spacing w:line="240" w:lineRule="auto" w:before="117"/>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501"/>
        <w:gridCol w:w="1274"/>
        <w:gridCol w:w="1274"/>
        <w:gridCol w:w="1470"/>
        <w:gridCol w:w="4174"/>
      </w:tblGrid>
      <w:tr>
        <w:trPr>
          <w:trHeight w:val="402" w:hRule="exact"/>
        </w:trPr>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13,771,354.38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13,771,354.38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主要是账龄五年以上的往来款，预计收回可能性小</w:t>
            </w:r>
          </w:p>
        </w:tc>
      </w:tr>
      <w:tr>
        <w:trPr>
          <w:trHeight w:val="402" w:hRule="exact"/>
        </w:trPr>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13,771,354.38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13,771,354.38</w:t>
            </w:r>
          </w:p>
        </w:tc>
        <w:tc>
          <w:tcPr>
            <w:tcW w:w="1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500"/>
        <w:gridCol w:w="1501"/>
        <w:gridCol w:w="2558"/>
        <w:gridCol w:w="2635"/>
        <w:gridCol w:w="1499"/>
      </w:tblGrid>
      <w:tr>
        <w:trPr>
          <w:trHeight w:val="714"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41" w:right="53" w:hanging="990"/>
              <w:jc w:val="left"/>
              <w:rPr>
                <w:rFonts w:ascii="宋体" w:hAnsi="宋体" w:cs="宋体" w:eastAsia="宋体" w:hint="default"/>
                <w:sz w:val="18"/>
                <w:szCs w:val="18"/>
              </w:rPr>
            </w:pPr>
            <w:r>
              <w:rPr>
                <w:rFonts w:ascii="宋体" w:hAnsi="宋体" w:cs="宋体" w:eastAsia="宋体" w:hint="default"/>
                <w:sz w:val="18"/>
                <w:szCs w:val="18"/>
              </w:rPr>
              <w:t>转回或收回前累计已计提坏账准 备金额</w:t>
            </w:r>
          </w:p>
        </w:tc>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年以上，预计收回可能性极小</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2,194,562.75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2,194,562.75</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2,194,562.75</w:t>
            </w:r>
          </w:p>
        </w:tc>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报告期无实际核销的其他应收款情况。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66" w:firstLine="290"/>
        <w:jc w:val="left"/>
      </w:pPr>
      <w:r>
        <w:rPr/>
        <w:t>本报告期中，将纳入本公司汇总范围的销售分公司其他应收款余额</w:t>
      </w:r>
      <w:r>
        <w:rPr>
          <w:rFonts w:ascii="Times New Roman" w:hAnsi="Times New Roman" w:cs="Times New Roman" w:eastAsia="Times New Roman" w:hint="default"/>
        </w:rPr>
        <w:t>1,046,953.35</w:t>
      </w:r>
      <w:r>
        <w:rPr/>
        <w:t>元、其他应收款坏账准备</w:t>
      </w:r>
      <w:r>
        <w:rPr>
          <w:rFonts w:ascii="Times New Roman" w:hAnsi="Times New Roman" w:cs="Times New Roman" w:eastAsia="Times New Roman" w:hint="default"/>
        </w:rPr>
        <w:t>646,953.35</w:t>
      </w:r>
      <w:r>
        <w:rPr/>
        <w:t>元转 入了本公司的全资子公司山东晨鸣纸业销售有限公司。</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28"/>
        <w:gridCol w:w="1772"/>
        <w:gridCol w:w="1648"/>
        <w:gridCol w:w="1607"/>
        <w:gridCol w:w="1939"/>
      </w:tblGrid>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0" w:right="62"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4,833,605,646.83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52.12%</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1,364,329,209.96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616,083,550.68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540,816,621.08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351,265,925.55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7,706,100,954.10</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20"/>
        <w:gridCol w:w="2340"/>
        <w:gridCol w:w="1378"/>
        <w:gridCol w:w="2430"/>
      </w:tblGrid>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1,142,777.77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616,083,550.68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540,816,621.08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199,418,920.21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2,627,479.46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188,345.63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88,353,925.90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135,906,234.70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1,364,329,209.96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14.71%</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4,833,605,646.83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20"/>
        <w:gridCol w:w="2340"/>
        <w:gridCol w:w="1378"/>
        <w:gridCol w:w="2430"/>
      </w:tblGrid>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71,107,018.08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寿光市晨鸣天园林业有限公司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2,427,092.83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351,265,925.55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81,395,327.06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106,534,807.81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70,002,500.00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182,360,556.22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60,982,331.69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1,276,579.99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8,717,824,851.45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7"/>
        <w:gridCol w:w="1026"/>
        <w:gridCol w:w="953"/>
        <w:gridCol w:w="1080"/>
        <w:gridCol w:w="900"/>
        <w:gridCol w:w="720"/>
        <w:gridCol w:w="540"/>
        <w:gridCol w:w="900"/>
        <w:gridCol w:w="493"/>
        <w:gridCol w:w="875"/>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在被</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49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967" w:type="dxa"/>
            <w:tcBorders>
              <w:top w:val="nil" w:sz="6" w:space="0" w:color="auto"/>
              <w:left w:val="single" w:sz="4" w:space="0" w:color="000000"/>
              <w:bottom w:val="nil" w:sz="6" w:space="0" w:color="auto"/>
              <w:right w:val="single" w:sz="4" w:space="0" w:color="000000"/>
            </w:tcBorders>
            <w:shd w:val="clear" w:color="auto" w:fill="D3D3D3"/>
          </w:tcPr>
          <w:p>
            <w:pPr/>
          </w:p>
        </w:tc>
        <w:tc>
          <w:tcPr>
            <w:tcW w:w="1026"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493" w:type="dxa"/>
            <w:tcBorders>
              <w:top w:val="nil" w:sz="6" w:space="0" w:color="auto"/>
              <w:left w:val="single" w:sz="4" w:space="0" w:color="000000"/>
              <w:bottom w:val="nil" w:sz="6" w:space="0" w:color="auto"/>
              <w:right w:val="single" w:sz="4" w:space="0" w:color="000000"/>
            </w:tcBorders>
            <w:shd w:val="clear" w:color="auto" w:fill="D3D3D3"/>
          </w:tcPr>
          <w:p>
            <w:pPr/>
          </w:p>
        </w:tc>
        <w:tc>
          <w:tcPr>
            <w:tcW w:w="87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967" w:type="dxa"/>
            <w:tcBorders>
              <w:top w:val="nil" w:sz="6" w:space="0" w:color="auto"/>
              <w:left w:val="single" w:sz="4" w:space="0" w:color="000000"/>
              <w:bottom w:val="nil" w:sz="6" w:space="0" w:color="auto"/>
              <w:right w:val="single" w:sz="4" w:space="0" w:color="000000"/>
            </w:tcBorders>
            <w:shd w:val="clear" w:color="auto" w:fill="D3D3D3"/>
          </w:tcPr>
          <w:p>
            <w:pPr/>
          </w:p>
        </w:tc>
        <w:tc>
          <w:tcPr>
            <w:tcW w:w="1026"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493" w:type="dxa"/>
            <w:tcBorders>
              <w:top w:val="nil" w:sz="6" w:space="0" w:color="auto"/>
              <w:left w:val="single" w:sz="4" w:space="0" w:color="000000"/>
              <w:bottom w:val="nil" w:sz="6" w:space="0" w:color="auto"/>
              <w:right w:val="single" w:sz="4" w:space="0" w:color="000000"/>
            </w:tcBorders>
            <w:shd w:val="clear" w:color="auto" w:fill="D3D3D3"/>
          </w:tcPr>
          <w:p>
            <w:pPr/>
          </w:p>
        </w:tc>
        <w:tc>
          <w:tcPr>
            <w:tcW w:w="87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560"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8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9" w:right="38"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83" w:right="84"/>
              <w:jc w:val="both"/>
              <w:rPr>
                <w:rFonts w:ascii="宋体" w:hAnsi="宋体" w:cs="宋体" w:eastAsia="宋体" w:hint="default"/>
                <w:sz w:val="18"/>
                <w:szCs w:val="18"/>
              </w:rPr>
            </w:pPr>
            <w:r>
              <w:rPr>
                <w:rFonts w:ascii="宋体" w:hAnsi="宋体" w:cs="宋体" w:eastAsia="宋体" w:hint="default"/>
                <w:sz w:val="18"/>
                <w:szCs w:val="18"/>
              </w:rPr>
              <w:t>持股 比例 与表 决权 比例</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8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53" w:right="7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1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967" w:type="dxa"/>
            <w:tcBorders>
              <w:top w:val="nil" w:sz="6" w:space="0" w:color="auto"/>
              <w:left w:val="single" w:sz="4" w:space="0" w:color="000000"/>
              <w:bottom w:val="nil" w:sz="6" w:space="0" w:color="auto"/>
              <w:right w:val="single" w:sz="4" w:space="0" w:color="000000"/>
            </w:tcBorders>
            <w:shd w:val="clear" w:color="auto" w:fill="D3D3D3"/>
          </w:tcPr>
          <w:p>
            <w:pPr/>
          </w:p>
        </w:tc>
        <w:tc>
          <w:tcPr>
            <w:tcW w:w="1026"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不一</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493" w:type="dxa"/>
            <w:tcBorders>
              <w:top w:val="nil" w:sz="6" w:space="0" w:color="auto"/>
              <w:left w:val="single" w:sz="4" w:space="0" w:color="000000"/>
              <w:bottom w:val="nil" w:sz="6" w:space="0" w:color="auto"/>
              <w:right w:val="single" w:sz="4" w:space="0" w:color="000000"/>
            </w:tcBorders>
            <w:shd w:val="clear" w:color="auto" w:fill="D3D3D3"/>
          </w:tcPr>
          <w:p>
            <w:pPr/>
          </w:p>
        </w:tc>
        <w:tc>
          <w:tcPr>
            <w:tcW w:w="87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967" w:type="dxa"/>
            <w:tcBorders>
              <w:top w:val="nil" w:sz="6" w:space="0" w:color="auto"/>
              <w:left w:val="single" w:sz="4" w:space="0" w:color="000000"/>
              <w:bottom w:val="nil" w:sz="6" w:space="0" w:color="auto"/>
              <w:right w:val="single" w:sz="4" w:space="0" w:color="000000"/>
            </w:tcBorders>
            <w:shd w:val="clear" w:color="auto" w:fill="D3D3D3"/>
          </w:tcPr>
          <w:p>
            <w:pPr/>
          </w:p>
        </w:tc>
        <w:tc>
          <w:tcPr>
            <w:tcW w:w="1026" w:type="dxa"/>
            <w:tcBorders>
              <w:top w:val="nil" w:sz="6" w:space="0" w:color="auto"/>
              <w:left w:val="single" w:sz="4" w:space="0" w:color="000000"/>
              <w:bottom w:val="nil" w:sz="6" w:space="0" w:color="auto"/>
              <w:right w:val="single" w:sz="4" w:space="0" w:color="000000"/>
            </w:tcBorders>
            <w:shd w:val="clear" w:color="auto" w:fill="D3D3D3"/>
          </w:tcPr>
          <w:p>
            <w:pPr/>
          </w:p>
        </w:tc>
        <w:tc>
          <w:tcPr>
            <w:tcW w:w="953"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致的</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493" w:type="dxa"/>
            <w:tcBorders>
              <w:top w:val="nil" w:sz="6" w:space="0" w:color="auto"/>
              <w:left w:val="single" w:sz="4" w:space="0" w:color="000000"/>
              <w:bottom w:val="nil" w:sz="6" w:space="0" w:color="auto"/>
              <w:right w:val="single" w:sz="4" w:space="0" w:color="000000"/>
            </w:tcBorders>
            <w:shd w:val="clear" w:color="auto" w:fill="D3D3D3"/>
          </w:tcPr>
          <w:p>
            <w:pPr/>
          </w:p>
        </w:tc>
        <w:tc>
          <w:tcPr>
            <w:tcW w:w="87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493" w:type="dxa"/>
            <w:tcBorders>
              <w:top w:val="nil" w:sz="6" w:space="0" w:color="auto"/>
              <w:left w:val="single" w:sz="4" w:space="0" w:color="000000"/>
              <w:bottom w:val="single" w:sz="4" w:space="0" w:color="000000"/>
              <w:right w:val="single" w:sz="4" w:space="0" w:color="000000"/>
            </w:tcBorders>
            <w:shd w:val="clear" w:color="auto" w:fill="D3D3D3"/>
          </w:tcPr>
          <w:p>
            <w:pPr/>
          </w:p>
        </w:tc>
        <w:tc>
          <w:tcPr>
            <w:tcW w:w="87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寿光丽奔 制纸有限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15,850,354.1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-15,850,354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山东晨鸣 热电股份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157,810,117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157,810,117.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157,810,117.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86.71%</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28,487,270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汉阳纸业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202,824,716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202,824,716.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202,824,716.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50.93%</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50.93%</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海拉尔晨 鸣纸业有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7"/>
        <w:gridCol w:w="1026"/>
        <w:gridCol w:w="953"/>
        <w:gridCol w:w="1080"/>
        <w:gridCol w:w="900"/>
        <w:gridCol w:w="720"/>
        <w:gridCol w:w="540"/>
        <w:gridCol w:w="900"/>
        <w:gridCol w:w="493"/>
        <w:gridCol w:w="875"/>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限责任公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纸业集团 齐河板纸 有限责任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-376,200,00</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0.00</w:t>
            </w: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412,453,35</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0.99</w:t>
            </w: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延边晨鸣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96,725,533.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96,725,533.0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96,725,533.0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99,762,582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天园林业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7,199,000.00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697,548,406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697,548,406.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697,548,406.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鄄城晨鸣 板材有限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山东御景 大酒店有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1,501,350,0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1,501,350,00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1,501,350,00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湛江晨鸣 浆纸有限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31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783,310.00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783,310.00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783,310.00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现代物流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富裕晨鸣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美术纸有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113,616,063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113,616,063.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113,616,063.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7"/>
        <w:gridCol w:w="1026"/>
        <w:gridCol w:w="953"/>
        <w:gridCol w:w="1080"/>
        <w:gridCol w:w="900"/>
        <w:gridCol w:w="720"/>
        <w:gridCol w:w="540"/>
        <w:gridCol w:w="900"/>
        <w:gridCol w:w="493"/>
        <w:gridCol w:w="875"/>
      </w:tblGrid>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林业发展 有限责任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黄岗晨鸣 浆纸有限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寿光美伦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2,200,000,0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晨鸣国际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19,861,955.0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19,861,955.0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寿光顺达 报关有限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山东晨鸣 纸业销售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寿光恒丰</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31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仓储有限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500,000.00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进出口贸 易有限公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佳泰物业 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造纸机械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工业物流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宏欣包装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上海润晨 股权投资 基金有限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98.36%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7"/>
        <w:gridCol w:w="1026"/>
        <w:gridCol w:w="953"/>
        <w:gridCol w:w="1080"/>
        <w:gridCol w:w="900"/>
        <w:gridCol w:w="720"/>
        <w:gridCol w:w="540"/>
        <w:gridCol w:w="900"/>
        <w:gridCol w:w="493"/>
        <w:gridCol w:w="875"/>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晨鸣纸业 日本株式 会社</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9,306,351.2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9,306,351.2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9,306,351.20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海城海鸣 矿业有限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青州市晨</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4"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鸣变性淀 粉有限责</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54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900,000.00</w:t>
            </w: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根斯晨鸣 特种纸有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80,100,000.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19,385,301.1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-19,385,301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4,788,278.79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4,396.33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4,792,675.12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山东纸业</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31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集团总公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w:t>
            </w:r>
          </w:p>
        </w:tc>
        <w:tc>
          <w:tcPr>
            <w:tcW w:w="54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200,000.00</w:t>
            </w: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济南商友</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31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商务有限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350,000.00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350,000.00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w:t>
            </w:r>
          </w:p>
        </w:tc>
        <w:tc>
          <w:tcPr>
            <w:tcW w:w="54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350,000.00</w:t>
            </w: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浙江省广</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育报业印 务有限公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寿光弥河 水务有限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上海林嘉</w:t>
            </w:r>
          </w:p>
        </w:tc>
        <w:tc>
          <w:tcPr>
            <w:tcW w:w="79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875"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纸电子商 务有限公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953"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54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1,139,574.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493" w:type="dxa"/>
            <w:vMerge/>
            <w:tcBorders>
              <w:left w:val="single" w:sz="4" w:space="0" w:color="000000"/>
              <w:right w:val="single" w:sz="4" w:space="0" w:color="000000"/>
            </w:tcBorders>
          </w:tcPr>
          <w:p>
            <w:pPr/>
          </w:p>
        </w:tc>
        <w:tc>
          <w:tcPr>
            <w:tcW w:w="875"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潍坊新业 资本投资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967"/>
        <w:gridCol w:w="1026"/>
        <w:gridCol w:w="953"/>
        <w:gridCol w:w="1080"/>
        <w:gridCol w:w="900"/>
        <w:gridCol w:w="720"/>
        <w:gridCol w:w="540"/>
        <w:gridCol w:w="900"/>
        <w:gridCol w:w="493"/>
        <w:gridCol w:w="875"/>
      </w:tblGrid>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山东虹桥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16.67%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16.67%</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9,486,225,4</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53.18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8,751,293,03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242,875,09</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2.20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8,994,168,12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8.30</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493"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540,703,20</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3.89</w:t>
            </w:r>
          </w:p>
        </w:tc>
      </w:tr>
    </w:tbl>
    <w:p>
      <w:pPr>
        <w:pStyle w:val="BodyText"/>
        <w:spacing w:line="360" w:lineRule="auto" w:before="51"/>
        <w:ind w:left="573" w:right="7211" w:hanging="420"/>
        <w:jc w:val="left"/>
      </w:pPr>
      <w:r>
        <w:rPr/>
        <w:t>长期股权投资的说明 长期股权投资减值准备明细情况</w:t>
      </w:r>
    </w:p>
    <w:tbl>
      <w:tblPr>
        <w:tblW w:w="0" w:type="auto"/>
        <w:jc w:val="left"/>
        <w:tblInd w:w="146" w:type="dxa"/>
        <w:tblLayout w:type="fixed"/>
        <w:tblCellMar>
          <w:top w:w="0" w:type="dxa"/>
          <w:left w:w="0" w:type="dxa"/>
          <w:bottom w:w="0" w:type="dxa"/>
          <w:right w:w="0" w:type="dxa"/>
        </w:tblCellMar>
        <w:tblLook w:val="01E0"/>
      </w:tblPr>
      <w:tblGrid>
        <w:gridCol w:w="2850"/>
        <w:gridCol w:w="1921"/>
        <w:gridCol w:w="1567"/>
        <w:gridCol w:w="1477"/>
        <w:gridCol w:w="1871"/>
      </w:tblGrid>
      <w:tr>
        <w:trPr>
          <w:trHeight w:val="435" w:hRule="exact"/>
        </w:trPr>
        <w:tc>
          <w:tcPr>
            <w:tcW w:w="2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9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1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900,000.00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900,000.00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山东纸业集团总公司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200,000.00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200,000.00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济南商友商务有限责任公司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350,000.00</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350,000.00</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上海林嘉纸电子商务有限公司</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1,139,574.47</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1,139,574.47</w:t>
            </w:r>
          </w:p>
        </w:tc>
      </w:tr>
      <w:tr>
        <w:trPr>
          <w:trHeight w:val="43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567" w:type="dxa"/>
            <w:tcBorders>
              <w:top w:val="single" w:sz="12" w:space="0" w:color="000000"/>
              <w:left w:val="single" w:sz="6" w:space="0" w:color="000000"/>
              <w:bottom w:val="single" w:sz="12" w:space="0" w:color="000000"/>
              <w:right w:val="single" w:sz="6" w:space="0" w:color="000000"/>
            </w:tcBorders>
          </w:tcPr>
          <w:p>
            <w:pPr/>
          </w:p>
        </w:tc>
        <w:tc>
          <w:tcPr>
            <w:tcW w:w="1477" w:type="dxa"/>
            <w:tcBorders>
              <w:top w:val="single" w:sz="12" w:space="0" w:color="000000"/>
              <w:left w:val="single" w:sz="6" w:space="0" w:color="000000"/>
              <w:bottom w:val="single" w:sz="12" w:space="0" w:color="000000"/>
              <w:right w:val="single" w:sz="6" w:space="0" w:color="000000"/>
            </w:tcBorders>
          </w:tcPr>
          <w:p>
            <w:pPr/>
          </w:p>
        </w:tc>
        <w:tc>
          <w:tcPr>
            <w:tcW w:w="18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2,589,574.47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1"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5"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7,725,612,244.79</w:t>
            </w:r>
          </w:p>
        </w:tc>
        <w:tc>
          <w:tcPr>
            <w:tcW w:w="358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7,803,739,278.88</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915,596,697.75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1,193,782,420.72</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8,641,208,942.54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8,997,521,699.60</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7,177,585,076.21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7,477,073,368.37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6,517,417,558.81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5,371,654,396.22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6,903,702,662.57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5,552,255,528.50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热力、电力行业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1,208,194,685.98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936,846,647.26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900,036,616.31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824,573,519.57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7,725,612,244.79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6,308,501,043.48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7,803,739,278.88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6,376,829,048.07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30"/>
        <w:jc w:val="right"/>
      </w:pPr>
      <w:r>
        <w:rPr/>
        <w:t>单位： 元</w:t>
      </w:r>
    </w:p>
    <w:p>
      <w:pPr>
        <w:spacing w:after="0" w:line="240" w:lineRule="auto"/>
        <w:jc w:val="right"/>
        <w:sectPr>
          <w:pgSz w:w="11910" w:h="16840"/>
          <w:pgMar w:header="0" w:footer="982" w:top="1060" w:bottom="1180" w:left="980" w:right="6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6,517,417,558.81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5,371,654,396.22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6,903,702,662.57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5,552,255,528.50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电及汽</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1,208,194,685.98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936,846,647.26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900,036,616.31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824,573,519.57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7,725,612,244.79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6,308,501,043.48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7,803,739,278.88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6,376,829,048.07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7,276,157,262.26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5,934,723,083.20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7,168,402,453.99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5,872,300,364.61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449,454,982.53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373,777,960.28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635,336,824.89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504,528,683.46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7,725,612,244.79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6,308,501,043.48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7,803,739,278.88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6,376,829,048.07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51"/>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0" w:right="1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6,492,496,014.66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6,828,355,135.30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540,703,203.89</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120,530,024.40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-3,246,150.00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36,409,219.10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84,199,287.36</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109,626,047.04</w:t>
            </w: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601,171,586.41</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263,319,140.54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0"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28,487,270.13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34,530,024.40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山东晨鸣纸业集团齐河板纸有限责任公司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412,453,350.99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99,762,582.77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540,703,203.89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120,530,024.40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-19,385,301.17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-2,266,198.68</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-149,675.19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寿光丽奔制纸有限公司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-830,276.13</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-3,246,150.00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81"/>
        <w:jc w:val="left"/>
      </w:pPr>
      <w:r>
        <w:rPr/>
        <w:t>投资收益的说明</w:t>
      </w:r>
    </w:p>
    <w:p>
      <w:pPr>
        <w:spacing w:line="240" w:lineRule="auto" w:before="11"/>
        <w:rPr>
          <w:rFonts w:ascii="宋体" w:hAnsi="宋体" w:cs="宋体" w:eastAsia="宋体" w:hint="default"/>
          <w:sz w:val="26"/>
          <w:szCs w:val="26"/>
        </w:rPr>
      </w:pPr>
    </w:p>
    <w:p>
      <w:pPr>
        <w:pStyle w:val="Heading3"/>
        <w:spacing w:line="240" w:lineRule="auto"/>
        <w:ind w:right="181"/>
        <w:jc w:val="left"/>
        <w:rPr>
          <w:b w:val="0"/>
          <w:bCs w:val="0"/>
        </w:rPr>
      </w:pPr>
      <w:r>
        <w:rPr/>
        <w:t>（</w:t>
      </w:r>
      <w:r>
        <w:rPr>
          <w:rFonts w:ascii="Times New Roman" w:hAnsi="Times New Roman" w:cs="Times New Roman" w:eastAsia="Times New Roman" w:hint="default"/>
        </w:rPr>
        <w:t>4</w:t>
      </w:r>
      <w:r>
        <w:rPr/>
        <w:t>）</w:t>
      </w:r>
      <w:r>
        <w:rPr>
          <w:spacing w:val="-7"/>
        </w:rPr>
        <w:t> </w:t>
      </w:r>
      <w:r>
        <w:rPr/>
        <w:t>吸收合并全资子公司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5296"/>
        <w:gridCol w:w="2177"/>
        <w:gridCol w:w="2214"/>
      </w:tblGrid>
      <w:tr>
        <w:trPr>
          <w:trHeight w:val="435" w:hRule="exact"/>
        </w:trPr>
        <w:tc>
          <w:tcPr>
            <w:tcW w:w="5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63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65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32" w:hRule="exact"/>
        </w:trPr>
        <w:tc>
          <w:tcPr>
            <w:tcW w:w="5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合并日净资产</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66,123,366.16</w:t>
            </w:r>
          </w:p>
        </w:tc>
        <w:tc>
          <w:tcPr>
            <w:tcW w:w="221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减：投资成本</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15,850,354.16</w:t>
            </w:r>
          </w:p>
        </w:tc>
        <w:tc>
          <w:tcPr>
            <w:tcW w:w="2214"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5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50,273,012.00</w:t>
            </w:r>
          </w:p>
        </w:tc>
        <w:tc>
          <w:tcPr>
            <w:tcW w:w="2214"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444" w:right="181"/>
        <w:jc w:val="left"/>
      </w:pPr>
      <w:r>
        <w:rPr/>
        <w:t>注：公司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日吸收合并全资子公司寿光丽奔制纸有限公司。</w:t>
      </w:r>
    </w:p>
    <w:p>
      <w:pPr>
        <w:spacing w:line="240" w:lineRule="auto" w:before="11"/>
        <w:rPr>
          <w:rFonts w:ascii="宋体" w:hAnsi="宋体" w:cs="宋体" w:eastAsia="宋体" w:hint="default"/>
          <w:sz w:val="25"/>
          <w:szCs w:val="25"/>
        </w:rPr>
      </w:pPr>
    </w:p>
    <w:p>
      <w:pPr>
        <w:pStyle w:val="Heading3"/>
        <w:spacing w:line="240" w:lineRule="auto"/>
        <w:ind w:right="181"/>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816,640,510.85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856,054,254.12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-8,963,763.50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-67,463,391.85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547,076,293.15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594,607,496.51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9,268,344.48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8,971,589.70</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-22,464,472.24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1,804,139.43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856,109,701.51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530,061,654.52</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-601,171,586.41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-263,319,140.54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19,870,870.48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18,916,904.81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236,731,919.18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-375,391,873.34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-1,793,247,193.24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-1,821,739,352.28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76,765,601.15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626,769,940.95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136,616,225.41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109,272,222.03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1,786,622,854.08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1,290,039,078.57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1,290,039,078.57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662,209,607.29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496,583,775.51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627,829,471.28</w:t>
            </w:r>
          </w:p>
        </w:tc>
      </w:tr>
    </w:tbl>
    <w:p>
      <w:pPr>
        <w:spacing w:line="240" w:lineRule="auto" w:before="2"/>
        <w:rPr>
          <w:rFonts w:ascii="宋体" w:hAnsi="宋体" w:cs="宋体" w:eastAsia="宋体" w:hint="default"/>
          <w:sz w:val="18"/>
          <w:szCs w:val="18"/>
        </w:rPr>
      </w:pPr>
    </w:p>
    <w:p>
      <w:pPr>
        <w:pStyle w:val="Heading2"/>
        <w:spacing w:line="240" w:lineRule="auto" w:before="26"/>
        <w:ind w:right="181"/>
        <w:jc w:val="left"/>
        <w:rPr>
          <w:b w:val="0"/>
          <w:bCs w:val="0"/>
        </w:rPr>
      </w:pP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1"/>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09"/>
        <w:gridCol w:w="1397"/>
        <w:gridCol w:w="1914"/>
        <w:gridCol w:w="1927"/>
      </w:tblGrid>
      <w:tr>
        <w:trPr>
          <w:trHeight w:val="200" w:hRule="exact"/>
        </w:trPr>
        <w:tc>
          <w:tcPr>
            <w:tcW w:w="43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67" w:right="61" w:hanging="105"/>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43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97" w:type="dxa"/>
            <w:vMerge/>
            <w:tcBorders>
              <w:left w:val="single" w:sz="4" w:space="0" w:color="000000"/>
              <w:right w:val="single" w:sz="4" w:space="0" w:color="000000"/>
            </w:tcBorders>
            <w:shd w:val="clear" w:color="auto" w:fill="D3D3D3"/>
          </w:tcPr>
          <w:p>
            <w:pPr/>
          </w:p>
        </w:tc>
        <w:tc>
          <w:tcPr>
            <w:tcW w:w="384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4309" w:type="dxa"/>
            <w:vMerge/>
            <w:tcBorders>
              <w:left w:val="single" w:sz="4" w:space="0" w:color="000000"/>
              <w:bottom w:val="nil" w:sz="6" w:space="0" w:color="auto"/>
              <w:right w:val="single" w:sz="4" w:space="0" w:color="000000"/>
            </w:tcBorders>
            <w:shd w:val="clear" w:color="auto" w:fill="D3D3D3"/>
          </w:tcPr>
          <w:p>
            <w:pPr/>
          </w:p>
        </w:tc>
        <w:tc>
          <w:tcPr>
            <w:tcW w:w="1397"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2" w:hRule="exact"/>
        </w:trPr>
        <w:tc>
          <w:tcPr>
            <w:tcW w:w="43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97"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z w:val="18"/>
              </w:rPr>
              <w:t>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sz w:val="19"/>
          <w:szCs w:val="19"/>
        </w:rPr>
      </w:pPr>
    </w:p>
    <w:p>
      <w:pPr>
        <w:pStyle w:val="Heading3"/>
        <w:spacing w:line="240" w:lineRule="auto" w:before="35"/>
        <w:ind w:right="181"/>
        <w:jc w:val="left"/>
        <w:rPr>
          <w:b w:val="0"/>
          <w:bCs w:val="0"/>
        </w:rPr>
      </w:pPr>
      <w:r>
        <w:rPr>
          <w:rFonts w:ascii="Times New Roman" w:hAnsi="Times New Roman" w:cs="Times New Roman" w:eastAsia="Times New Roman" w:hint="default"/>
        </w:rPr>
        <w:t>2</w:t>
      </w:r>
      <w:r>
        <w:rPr/>
        <w:t>、</w:t>
      </w:r>
      <w:r>
        <w:rPr>
          <w:spacing w:val="-4"/>
        </w:rPr>
        <w:t> </w:t>
      </w:r>
      <w:r>
        <w:rPr/>
        <w:t>非经常性损益明细表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6791"/>
        <w:gridCol w:w="1403"/>
        <w:gridCol w:w="1493"/>
      </w:tblGrid>
      <w:tr>
        <w:trPr>
          <w:trHeight w:val="435" w:hRule="exact"/>
        </w:trPr>
        <w:tc>
          <w:tcPr>
            <w:tcW w:w="6791" w:type="dxa"/>
            <w:tcBorders>
              <w:top w:val="single" w:sz="6" w:space="0" w:color="000000"/>
              <w:left w:val="single" w:sz="6" w:space="0" w:color="000000"/>
              <w:bottom w:val="single" w:sz="12" w:space="0" w:color="000000"/>
              <w:right w:val="single" w:sz="6" w:space="0" w:color="000000"/>
            </w:tcBorders>
          </w:tcPr>
          <w:p>
            <w:pPr>
              <w:pStyle w:val="TableParagraph"/>
              <w:tabs>
                <w:tab w:pos="543" w:val="left" w:leader="none"/>
              </w:tabs>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24"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4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72"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26,092,788.22</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26,249,093.41</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越权审批，或无正式批准文件，或偶发的税收返还、减免</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744"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计入当期损益的政府补助，但与企业正常经营业务密切相关，符合国家政策规定，按照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一定标准定额或定量持续享受的政府补助除外</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235,157,521.57</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236,198,625.29</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744"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企业取得子公司、联营企业及合营企业的投资成本小于取得投资时应享有被投资单位可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辨认净资产公允价值产生的收益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44,188,866.15</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941,444.43</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-18,179,889.32</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0"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6791"/>
        <w:gridCol w:w="1403"/>
        <w:gridCol w:w="1493"/>
      </w:tblGrid>
      <w:tr>
        <w:trPr>
          <w:trHeight w:val="435" w:hRule="exact"/>
        </w:trPr>
        <w:tc>
          <w:tcPr>
            <w:tcW w:w="6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03" w:type="dxa"/>
            <w:tcBorders>
              <w:top w:val="single" w:sz="6" w:space="0" w:color="000000"/>
              <w:left w:val="single" w:sz="6" w:space="0" w:color="000000"/>
              <w:bottom w:val="single" w:sz="12" w:space="0" w:color="000000"/>
              <w:right w:val="single" w:sz="6" w:space="0" w:color="000000"/>
            </w:tcBorders>
          </w:tcPr>
          <w:p>
            <w:pPr/>
          </w:p>
        </w:tc>
        <w:tc>
          <w:tcPr>
            <w:tcW w:w="1493" w:type="dxa"/>
            <w:tcBorders>
              <w:top w:val="single" w:sz="6"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同一控制下企业合并产生的子公司年初至合并日的当期净损益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1056"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 w:right="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负债产生的公允价值变动损益，以及处置交易性金融资产、交易性金融负债和可供出售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金融资产取得的投资收益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消耗性生物资产公允价值变动损益</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47,882,076.87</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48,173,926.26</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114,342,091.81</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31,840,643.86</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03" w:type="dxa"/>
            <w:tcBorders>
              <w:top w:val="single" w:sz="12" w:space="0" w:color="000000"/>
              <w:left w:val="single" w:sz="6"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424,415,922.90</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368,471,265.65</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40,604,179.01</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32,413,333.65</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2,999,020.98</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12,908,587.34</w:t>
            </w:r>
          </w:p>
        </w:tc>
      </w:tr>
      <w:tr>
        <w:trPr>
          <w:trHeight w:val="432" w:hRule="exact"/>
        </w:trPr>
        <w:tc>
          <w:tcPr>
            <w:tcW w:w="6791"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380,812,722.91</w:t>
            </w:r>
          </w:p>
        </w:tc>
        <w:tc>
          <w:tcPr>
            <w:tcW w:w="14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323,149,344.66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81"/>
        <w:jc w:val="left"/>
        <w:rPr>
          <w:b w:val="0"/>
          <w:bCs w:val="0"/>
        </w:rPr>
      </w:pPr>
      <w:r>
        <w:rPr>
          <w:rFonts w:ascii="Times New Roman" w:hAnsi="Times New Roman" w:cs="Times New Roman" w:eastAsia="Times New Roman" w:hint="default"/>
        </w:rPr>
        <w:t>3</w:t>
      </w:r>
      <w:r>
        <w:rPr/>
        <w:t>、公司主要会计报表项目的异常情况及原因的说明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181"/>
        <w:jc w:val="left"/>
      </w:pPr>
      <w:r>
        <w:rPr>
          <w:rFonts w:ascii="Times New Roman" w:hAnsi="Times New Roman" w:cs="Times New Roman" w:eastAsia="Times New Roman" w:hint="default"/>
        </w:rPr>
        <w:t>1</w:t>
      </w:r>
      <w:r>
        <w:rPr/>
        <w:t>、资产负债表项目：</w:t>
      </w:r>
    </w:p>
    <w:p>
      <w:pPr>
        <w:pStyle w:val="BodyText"/>
        <w:spacing w:line="302" w:lineRule="auto" w:before="101"/>
        <w:ind w:right="181" w:firstLine="419"/>
        <w:jc w:val="left"/>
      </w:pPr>
      <w:r>
        <w:rPr/>
        <w:t>（</w:t>
      </w:r>
      <w:r>
        <w:rPr>
          <w:rFonts w:ascii="Times New Roman" w:hAnsi="Times New Roman" w:cs="Times New Roman" w:eastAsia="Times New Roman" w:hint="default"/>
        </w:rPr>
        <w:t>1</w:t>
      </w:r>
      <w:r>
        <w:rPr/>
        <w:t>）预付账款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1,636,233,924.64</w:t>
      </w:r>
      <w:r>
        <w:rPr/>
        <w:t>元，比年初数增加</w:t>
      </w:r>
      <w:r>
        <w:rPr>
          <w:rFonts w:ascii="Times New Roman" w:hAnsi="Times New Roman" w:cs="Times New Roman" w:eastAsia="Times New Roman" w:hint="default"/>
        </w:rPr>
        <w:t>113.92%</w:t>
      </w:r>
      <w:r>
        <w:rPr/>
        <w:t>，其主要原因是：公司子公司广东 慧锐投资有限公司预付</w:t>
      </w:r>
      <w:r>
        <w:rPr>
          <w:rFonts w:ascii="Times New Roman" w:hAnsi="Times New Roman" w:cs="Times New Roman" w:eastAsia="Times New Roman" w:hint="default"/>
        </w:rPr>
        <w:t>BT</w:t>
      </w:r>
      <w:r>
        <w:rPr/>
        <w:t>建设项目款</w:t>
      </w:r>
      <w:r>
        <w:rPr>
          <w:rFonts w:ascii="Times New Roman" w:hAnsi="Times New Roman" w:cs="Times New Roman" w:eastAsia="Times New Roman" w:hint="default"/>
        </w:rPr>
        <w:t>7.8</w:t>
      </w:r>
      <w:r>
        <w:rPr/>
        <w:t>亿。</w:t>
      </w:r>
    </w:p>
    <w:p>
      <w:pPr>
        <w:pStyle w:val="BodyText"/>
        <w:spacing w:line="302" w:lineRule="auto" w:before="50"/>
        <w:ind w:right="181" w:firstLine="419"/>
        <w:jc w:val="left"/>
      </w:pPr>
      <w:r>
        <w:rPr/>
        <w:t>（</w:t>
      </w:r>
      <w:r>
        <w:rPr>
          <w:rFonts w:ascii="Times New Roman" w:hAnsi="Times New Roman" w:cs="Times New Roman" w:eastAsia="Times New Roman" w:hint="default"/>
        </w:rPr>
        <w:t>2</w:t>
      </w:r>
      <w:r>
        <w:rPr/>
        <w:t>）其他应收款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1,284,655,342.63</w:t>
      </w:r>
      <w:r>
        <w:rPr/>
        <w:t>元，比年初数增加</w:t>
      </w:r>
      <w:r>
        <w:rPr>
          <w:rFonts w:ascii="Times New Roman" w:hAnsi="Times New Roman" w:cs="Times New Roman" w:eastAsia="Times New Roman" w:hint="default"/>
        </w:rPr>
        <w:t>294.61%</w:t>
      </w:r>
      <w:r>
        <w:rPr/>
        <w:t>，其主要原因是：公司应收出售 子公司山东晨鸣纸业集团齐河晨鸣板纸有限公司股权转让款</w:t>
      </w:r>
      <w:r>
        <w:rPr>
          <w:rFonts w:ascii="Times New Roman" w:hAnsi="Times New Roman" w:cs="Times New Roman" w:eastAsia="Times New Roman" w:hint="default"/>
        </w:rPr>
        <w:t>2.74</w:t>
      </w:r>
      <w:r>
        <w:rPr/>
        <w:t>亿元及出售子公司欠本公司的往来款5.9.亿元未支付。</w:t>
      </w:r>
    </w:p>
    <w:p>
      <w:pPr>
        <w:pStyle w:val="BodyText"/>
        <w:spacing w:line="302" w:lineRule="auto" w:before="49"/>
        <w:ind w:right="181" w:firstLine="419"/>
        <w:jc w:val="left"/>
      </w:pPr>
      <w:r>
        <w:rPr>
          <w:spacing w:val="-1"/>
        </w:rPr>
        <w:t>（</w:t>
      </w:r>
      <w:r>
        <w:rPr>
          <w:rFonts w:ascii="Times New Roman" w:hAnsi="Times New Roman" w:cs="Times New Roman" w:eastAsia="Times New Roman" w:hint="default"/>
          <w:spacing w:val="-1"/>
        </w:rPr>
        <w:t>3</w:t>
      </w:r>
      <w:r>
        <w:rPr>
          <w:spacing w:val="-1"/>
        </w:rPr>
        <w:t>）长期股权投资</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w:t>
      </w:r>
      <w:r>
        <w:rPr>
          <w:rFonts w:ascii="Times New Roman" w:hAnsi="Times New Roman" w:cs="Times New Roman" w:eastAsia="Times New Roman" w:hint="default"/>
          <w:spacing w:val="-1"/>
        </w:rPr>
        <w:t>356,796,777.78</w:t>
      </w:r>
      <w:r>
        <w:rPr>
          <w:spacing w:val="-1"/>
        </w:rPr>
        <w:t>元，比年初数增加</w:t>
      </w:r>
      <w:r>
        <w:rPr>
          <w:rFonts w:ascii="Times New Roman" w:hAnsi="Times New Roman" w:cs="Times New Roman" w:eastAsia="Times New Roman" w:hint="default"/>
          <w:spacing w:val="-1"/>
        </w:rPr>
        <w:t>360.78%</w:t>
      </w:r>
      <w:r>
        <w:rPr>
          <w:spacing w:val="-1"/>
        </w:rPr>
        <w:t>，其主要原因是：公司子公司上海</w:t>
      </w:r>
      <w:r>
        <w:rPr/>
        <w:t> 润晨股权投资基金有限公司对外投资。</w:t>
      </w:r>
    </w:p>
    <w:p>
      <w:pPr>
        <w:pStyle w:val="BodyText"/>
        <w:spacing w:line="302" w:lineRule="auto" w:before="68"/>
        <w:ind w:right="181" w:firstLine="419"/>
        <w:jc w:val="left"/>
      </w:pPr>
      <w:r>
        <w:rPr>
          <w:spacing w:val="-2"/>
        </w:rPr>
        <w:t>（</w:t>
      </w:r>
      <w:r>
        <w:rPr>
          <w:rFonts w:ascii="Times New Roman" w:hAnsi="Times New Roman" w:cs="Times New Roman" w:eastAsia="Times New Roman" w:hint="default"/>
          <w:spacing w:val="-2"/>
        </w:rPr>
        <w:t>4</w:t>
      </w:r>
      <w:r>
        <w:rPr>
          <w:spacing w:val="-2"/>
        </w:rPr>
        <w:t>）在建工程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w:t>
      </w:r>
      <w:r>
        <w:rPr>
          <w:rFonts w:ascii="Times New Roman" w:hAnsi="Times New Roman" w:cs="Times New Roman" w:eastAsia="Times New Roman" w:hint="default"/>
          <w:spacing w:val="-2"/>
        </w:rPr>
        <w:t>5,017,604,821.59</w:t>
      </w:r>
      <w:r>
        <w:rPr>
          <w:spacing w:val="-2"/>
        </w:rPr>
        <w:t>元，比年初数增加</w:t>
      </w:r>
      <w:r>
        <w:rPr>
          <w:rFonts w:ascii="Times New Roman" w:hAnsi="Times New Roman" w:cs="Times New Roman" w:eastAsia="Times New Roman" w:hint="default"/>
          <w:spacing w:val="-2"/>
        </w:rPr>
        <w:t>91.66%</w:t>
      </w:r>
      <w:r>
        <w:rPr>
          <w:spacing w:val="-2"/>
        </w:rPr>
        <w:t>，其主要原因是：吉林晨鸣新厂迁建项</w:t>
      </w:r>
      <w:r>
        <w:rPr/>
        <w:t> 目、白牛卡项目及电厂三期再扩建等项目投入。</w:t>
      </w:r>
    </w:p>
    <w:p>
      <w:pPr>
        <w:pStyle w:val="BodyText"/>
        <w:spacing w:line="302" w:lineRule="auto" w:before="69"/>
        <w:ind w:right="99" w:firstLine="419"/>
        <w:jc w:val="left"/>
      </w:pPr>
      <w:r>
        <w:rPr>
          <w:spacing w:val="-1"/>
        </w:rPr>
        <w:t>（</w:t>
      </w:r>
      <w:r>
        <w:rPr>
          <w:rFonts w:ascii="Times New Roman" w:hAnsi="Times New Roman" w:cs="Times New Roman" w:eastAsia="Times New Roman" w:hint="default"/>
          <w:spacing w:val="-1"/>
        </w:rPr>
        <w:t>5</w:t>
      </w:r>
      <w:r>
        <w:rPr>
          <w:spacing w:val="-1"/>
        </w:rPr>
        <w:t>）递延所得税资产</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w:t>
      </w:r>
      <w:r>
        <w:rPr>
          <w:rFonts w:ascii="Times New Roman" w:hAnsi="Times New Roman" w:cs="Times New Roman" w:eastAsia="Times New Roman" w:hint="default"/>
          <w:spacing w:val="-1"/>
        </w:rPr>
        <w:t>376,938,086.60</w:t>
      </w:r>
      <w:r>
        <w:rPr>
          <w:spacing w:val="-1"/>
        </w:rPr>
        <w:t>元，比年初数增加</w:t>
      </w:r>
      <w:r>
        <w:rPr>
          <w:rFonts w:ascii="Times New Roman" w:hAnsi="Times New Roman" w:cs="Times New Roman" w:eastAsia="Times New Roman" w:hint="default"/>
          <w:spacing w:val="-1"/>
        </w:rPr>
        <w:t>116.6%</w:t>
      </w:r>
      <w:r>
        <w:rPr>
          <w:spacing w:val="-1"/>
        </w:rPr>
        <w:t>元，其主要原因是：受市场影响，</w:t>
      </w:r>
      <w:r>
        <w:rPr/>
        <w:t> 部分公司亏损计提递延所得税资产。</w:t>
      </w:r>
    </w:p>
    <w:p>
      <w:pPr>
        <w:pStyle w:val="BodyText"/>
        <w:spacing w:line="240" w:lineRule="auto" w:before="68"/>
        <w:ind w:left="574" w:right="99"/>
        <w:jc w:val="left"/>
      </w:pPr>
      <w:r>
        <w:rPr/>
        <w:t>（</w:t>
      </w:r>
      <w:r>
        <w:rPr>
          <w:rFonts w:ascii="Times New Roman" w:hAnsi="Times New Roman" w:cs="Times New Roman" w:eastAsia="Times New Roman" w:hint="default"/>
        </w:rPr>
        <w:t>6</w:t>
      </w:r>
      <w:r>
        <w:rPr/>
        <w:t>）其他非流动性资产年末数比年初数减少，其主要原因为公司参股公司潍坊新业资本投资有限公司投资转入股权投</w:t>
      </w:r>
    </w:p>
    <w:p>
      <w:pPr>
        <w:pStyle w:val="BodyText"/>
        <w:spacing w:line="240" w:lineRule="auto" w:before="64"/>
        <w:ind w:right="181"/>
        <w:jc w:val="left"/>
      </w:pPr>
      <w:r>
        <w:rPr/>
        <w:t>资。</w:t>
      </w:r>
    </w:p>
    <w:p>
      <w:pPr>
        <w:pStyle w:val="BodyText"/>
        <w:spacing w:line="240" w:lineRule="auto" w:before="115"/>
        <w:ind w:left="574" w:right="99"/>
        <w:jc w:val="left"/>
      </w:pPr>
      <w:r>
        <w:rPr/>
        <w:t>（</w:t>
      </w:r>
      <w:r>
        <w:rPr>
          <w:rFonts w:ascii="Times New Roman" w:hAnsi="Times New Roman" w:cs="Times New Roman" w:eastAsia="Times New Roman" w:hint="default"/>
        </w:rPr>
        <w:t>7</w:t>
      </w:r>
      <w:r>
        <w:rPr/>
        <w:t>）应付票据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w:t>
      </w:r>
      <w:r>
        <w:rPr>
          <w:rFonts w:ascii="Times New Roman" w:hAnsi="Times New Roman" w:cs="Times New Roman" w:eastAsia="Times New Roman" w:hint="default"/>
        </w:rPr>
        <w:t>1,285,627,762.07</w:t>
      </w:r>
      <w:r>
        <w:rPr/>
        <w:t>元，比年初数增加</w:t>
      </w:r>
      <w:r>
        <w:rPr>
          <w:rFonts w:ascii="Times New Roman" w:hAnsi="Times New Roman" w:cs="Times New Roman" w:eastAsia="Times New Roman" w:hint="default"/>
        </w:rPr>
        <w:t>108.93%</w:t>
      </w:r>
      <w:r>
        <w:rPr/>
        <w:t>，其主要原因是：公司本期开具银行</w:t>
      </w:r>
    </w:p>
    <w:p>
      <w:pPr>
        <w:pStyle w:val="BodyText"/>
        <w:spacing w:line="240" w:lineRule="auto" w:before="64"/>
        <w:ind w:right="181"/>
        <w:jc w:val="left"/>
      </w:pPr>
      <w:r>
        <w:rPr/>
        <w:t>承兑汇票支付货款增加。</w:t>
      </w:r>
    </w:p>
    <w:p>
      <w:pPr>
        <w:pStyle w:val="BodyText"/>
        <w:spacing w:line="240" w:lineRule="auto" w:before="115"/>
        <w:ind w:left="573" w:right="0"/>
        <w:jc w:val="left"/>
      </w:pPr>
      <w:r>
        <w:rPr/>
        <w:t>（</w:t>
      </w:r>
      <w:r>
        <w:rPr>
          <w:rFonts w:ascii="Times New Roman" w:hAnsi="Times New Roman" w:cs="Times New Roman" w:eastAsia="Times New Roman" w:hint="default"/>
        </w:rPr>
        <w:t>8</w:t>
      </w:r>
      <w:r>
        <w:rPr/>
        <w:t>）应付账款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w:t>
      </w:r>
      <w:r>
        <w:rPr>
          <w:rFonts w:ascii="Times New Roman" w:hAnsi="Times New Roman" w:cs="Times New Roman" w:eastAsia="Times New Roman" w:hint="default"/>
        </w:rPr>
        <w:t>3,239,781,724.81</w:t>
      </w:r>
      <w:r>
        <w:rPr/>
        <w:t>元，比年初数减少</w:t>
      </w:r>
      <w:r>
        <w:rPr>
          <w:rFonts w:ascii="Times New Roman" w:hAnsi="Times New Roman" w:cs="Times New Roman" w:eastAsia="Times New Roman" w:hint="default"/>
        </w:rPr>
        <w:t>30.86%</w:t>
      </w:r>
      <w:r>
        <w:rPr/>
        <w:t>，其主要原因是：公司本期支付货款增</w:t>
      </w:r>
    </w:p>
    <w:p>
      <w:pPr>
        <w:pStyle w:val="BodyText"/>
        <w:spacing w:line="240" w:lineRule="auto" w:before="64"/>
        <w:ind w:right="181"/>
        <w:jc w:val="left"/>
      </w:pPr>
      <w:r>
        <w:rPr/>
        <w:t>加。</w:t>
      </w:r>
    </w:p>
    <w:p>
      <w:pPr>
        <w:spacing w:after="0" w:line="240" w:lineRule="auto"/>
        <w:jc w:val="left"/>
        <w:sectPr>
          <w:pgSz w:w="11910" w:h="16840"/>
          <w:pgMar w:header="0"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right="99" w:firstLine="419"/>
        <w:jc w:val="left"/>
      </w:pPr>
      <w:r>
        <w:rPr>
          <w:spacing w:val="-2"/>
        </w:rPr>
        <w:t>（</w:t>
      </w:r>
      <w:r>
        <w:rPr>
          <w:rFonts w:ascii="Times New Roman" w:hAnsi="Times New Roman" w:cs="Times New Roman" w:eastAsia="Times New Roman" w:hint="default"/>
          <w:spacing w:val="-2"/>
        </w:rPr>
        <w:t>9</w:t>
      </w:r>
      <w:r>
        <w:rPr>
          <w:spacing w:val="-2"/>
        </w:rPr>
        <w:t>）预收账款</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w:t>
      </w:r>
      <w:r>
        <w:rPr>
          <w:rFonts w:ascii="Times New Roman" w:hAnsi="Times New Roman" w:cs="Times New Roman" w:eastAsia="Times New Roman" w:hint="default"/>
          <w:spacing w:val="-2"/>
        </w:rPr>
        <w:t>347,835,800.87</w:t>
      </w:r>
      <w:r>
        <w:rPr>
          <w:spacing w:val="-2"/>
        </w:rPr>
        <w:t>元，比年初数增加</w:t>
      </w:r>
      <w:r>
        <w:rPr>
          <w:rFonts w:ascii="Times New Roman" w:hAnsi="Times New Roman" w:cs="Times New Roman" w:eastAsia="Times New Roman" w:hint="default"/>
          <w:spacing w:val="-2"/>
        </w:rPr>
        <w:t>50.3%</w:t>
      </w:r>
      <w:r>
        <w:rPr>
          <w:spacing w:val="-2"/>
        </w:rPr>
        <w:t>，其主要原因是：公司加大客户开发力度，</w:t>
      </w:r>
      <w:r>
        <w:rPr/>
        <w:t> 预收账款增加。</w:t>
      </w:r>
    </w:p>
    <w:p>
      <w:pPr>
        <w:pStyle w:val="BodyText"/>
        <w:spacing w:line="240" w:lineRule="auto" w:before="69"/>
        <w:ind w:left="574" w:right="99"/>
        <w:jc w:val="left"/>
      </w:pPr>
      <w:r>
        <w:rPr/>
        <w:t>（</w:t>
      </w:r>
      <w:r>
        <w:rPr>
          <w:rFonts w:ascii="Times New Roman" w:hAnsi="Times New Roman" w:cs="Times New Roman" w:eastAsia="Times New Roman" w:hint="default"/>
        </w:rPr>
        <w:t>10</w:t>
      </w:r>
      <w:r>
        <w:rPr/>
        <w:t>）应交税费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w:t>
      </w:r>
      <w:r>
        <w:rPr>
          <w:rFonts w:ascii="Times New Roman" w:hAnsi="Times New Roman" w:cs="Times New Roman" w:eastAsia="Times New Roman" w:hint="default"/>
        </w:rPr>
        <w:t>106,816,413.87</w:t>
      </w:r>
      <w:r>
        <w:rPr/>
        <w:t>元，比年初数增加</w:t>
      </w:r>
      <w:r>
        <w:rPr>
          <w:rFonts w:ascii="Times New Roman" w:hAnsi="Times New Roman" w:cs="Times New Roman" w:eastAsia="Times New Roman" w:hint="default"/>
        </w:rPr>
        <w:t>56.53%</w:t>
      </w:r>
      <w:r>
        <w:rPr/>
        <w:t>，其主要原因是：年末纳税义务增加。</w:t>
      </w:r>
    </w:p>
    <w:p>
      <w:pPr>
        <w:pStyle w:val="BodyText"/>
        <w:spacing w:line="302" w:lineRule="auto" w:before="102"/>
        <w:ind w:right="181" w:firstLine="419"/>
        <w:jc w:val="left"/>
      </w:pPr>
      <w:r>
        <w:rPr>
          <w:spacing w:val="-1"/>
        </w:rPr>
        <w:t>（</w:t>
      </w:r>
      <w:r>
        <w:rPr>
          <w:rFonts w:ascii="Times New Roman" w:hAnsi="Times New Roman" w:cs="Times New Roman" w:eastAsia="Times New Roman" w:hint="default"/>
          <w:spacing w:val="-1"/>
        </w:rPr>
        <w:t>11</w:t>
      </w:r>
      <w:r>
        <w:rPr>
          <w:spacing w:val="-1"/>
        </w:rPr>
        <w:t>）其他应付款</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w:t>
      </w:r>
      <w:r>
        <w:rPr>
          <w:rFonts w:ascii="Times New Roman" w:hAnsi="Times New Roman" w:cs="Times New Roman" w:eastAsia="Times New Roman" w:hint="default"/>
          <w:spacing w:val="-1"/>
        </w:rPr>
        <w:t>435,772,288.98</w:t>
      </w:r>
      <w:r>
        <w:rPr>
          <w:spacing w:val="-1"/>
        </w:rPr>
        <w:t>元，比年初数减少</w:t>
      </w:r>
      <w:r>
        <w:rPr>
          <w:rFonts w:ascii="Times New Roman" w:hAnsi="Times New Roman" w:cs="Times New Roman" w:eastAsia="Times New Roman" w:hint="default"/>
          <w:spacing w:val="-1"/>
        </w:rPr>
        <w:t>42.93%</w:t>
      </w:r>
      <w:r>
        <w:rPr>
          <w:spacing w:val="-1"/>
        </w:rPr>
        <w:t>，其主要原因是：公司子公司湛江晨</w:t>
      </w:r>
      <w:r>
        <w:rPr/>
        <w:t> 鸣浆纸有限公司2011年收到的湛江市财政款项</w:t>
      </w:r>
      <w:r>
        <w:rPr>
          <w:rFonts w:ascii="Times New Roman" w:hAnsi="Times New Roman" w:cs="Times New Roman" w:eastAsia="Times New Roman" w:hint="default"/>
        </w:rPr>
        <w:t>2</w:t>
      </w:r>
      <w:r>
        <w:rPr/>
        <w:t>亿元，本期转入其他非流动负债；以及出售子公司导致合并范围的变化。</w:t>
      </w:r>
    </w:p>
    <w:p>
      <w:pPr>
        <w:pStyle w:val="BodyText"/>
        <w:spacing w:line="302" w:lineRule="auto" w:before="49"/>
        <w:ind w:right="181" w:firstLine="419"/>
        <w:jc w:val="left"/>
      </w:pPr>
      <w:r>
        <w:rPr/>
        <w:t>（</w:t>
      </w:r>
      <w:r>
        <w:rPr>
          <w:rFonts w:ascii="Times New Roman" w:hAnsi="Times New Roman" w:cs="Times New Roman" w:eastAsia="Times New Roman" w:hint="default"/>
        </w:rPr>
        <w:t>12</w:t>
      </w:r>
      <w:r>
        <w:rPr/>
        <w:t>）其他流动负债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w:t>
      </w:r>
      <w:r>
        <w:rPr>
          <w:rFonts w:ascii="Times New Roman" w:hAnsi="Times New Roman" w:cs="Times New Roman" w:eastAsia="Times New Roman" w:hint="default"/>
        </w:rPr>
        <w:t>17,659,498.56</w:t>
      </w:r>
      <w:r>
        <w:rPr/>
        <w:t>元，比年初数增加</w:t>
      </w:r>
      <w:r>
        <w:rPr>
          <w:rFonts w:ascii="Times New Roman" w:hAnsi="Times New Roman" w:cs="Times New Roman" w:eastAsia="Times New Roman" w:hint="default"/>
        </w:rPr>
        <w:t>72.68%</w:t>
      </w:r>
      <w:r>
        <w:rPr/>
        <w:t>，其主要原因是：公司未来一年内 摊销的递延收益增加。</w:t>
      </w:r>
    </w:p>
    <w:p>
      <w:pPr>
        <w:pStyle w:val="BodyText"/>
        <w:spacing w:line="302" w:lineRule="auto" w:before="68"/>
        <w:ind w:left="153" w:right="181" w:firstLine="420"/>
        <w:jc w:val="left"/>
      </w:pPr>
      <w:r>
        <w:rPr/>
        <w:t>（</w:t>
      </w:r>
      <w:r>
        <w:rPr>
          <w:rFonts w:ascii="Times New Roman" w:hAnsi="Times New Roman" w:cs="Times New Roman" w:eastAsia="Times New Roman" w:hint="default"/>
        </w:rPr>
        <w:t>13</w:t>
      </w:r>
      <w:r>
        <w:rPr/>
        <w:t>）应付债券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w:t>
      </w:r>
      <w:r>
        <w:rPr>
          <w:rFonts w:ascii="Times New Roman" w:hAnsi="Times New Roman" w:cs="Times New Roman" w:eastAsia="Times New Roman" w:hint="default"/>
        </w:rPr>
        <w:t>6,256,263,237.00</w:t>
      </w:r>
      <w:r>
        <w:rPr/>
        <w:t>元，比年初数增加</w:t>
      </w:r>
      <w:r>
        <w:rPr>
          <w:rFonts w:ascii="Times New Roman" w:hAnsi="Times New Roman" w:cs="Times New Roman" w:eastAsia="Times New Roman" w:hint="default"/>
        </w:rPr>
        <w:t>152.58%</w:t>
      </w:r>
      <w:r>
        <w:rPr/>
        <w:t>，其主要原因是：公司本期发行</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亿公司债。</w:t>
      </w:r>
    </w:p>
    <w:p>
      <w:pPr>
        <w:pStyle w:val="BodyText"/>
        <w:spacing w:line="240" w:lineRule="auto" w:before="70"/>
        <w:ind w:left="573" w:right="181"/>
        <w:jc w:val="left"/>
      </w:pPr>
      <w:r>
        <w:rPr>
          <w:rFonts w:ascii="Times New Roman" w:hAnsi="Times New Roman" w:cs="Times New Roman" w:eastAsia="Times New Roman" w:hint="default"/>
        </w:rPr>
        <w:t>2</w:t>
      </w:r>
      <w:r>
        <w:rPr/>
        <w:t>、利润表、现金流量表项目：</w:t>
      </w:r>
    </w:p>
    <w:p>
      <w:pPr>
        <w:pStyle w:val="BodyText"/>
        <w:spacing w:line="240" w:lineRule="auto" w:before="101"/>
        <w:ind w:left="633" w:right="99"/>
        <w:jc w:val="left"/>
      </w:pPr>
      <w:r>
        <w:rPr/>
        <w:t>（</w:t>
      </w:r>
      <w:r>
        <w:rPr>
          <w:rFonts w:ascii="Times New Roman" w:hAnsi="Times New Roman" w:cs="Times New Roman" w:eastAsia="Times New Roman" w:hint="default"/>
        </w:rPr>
        <w:t>1</w:t>
      </w:r>
      <w:r>
        <w:rPr/>
        <w:t>）营业收入</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19,761,679,230.05</w:t>
      </w:r>
      <w:r>
        <w:rPr/>
        <w:t>元，比上年数增加</w:t>
      </w:r>
      <w:r>
        <w:rPr>
          <w:rFonts w:ascii="Times New Roman" w:hAnsi="Times New Roman" w:cs="Times New Roman" w:eastAsia="Times New Roman" w:hint="default"/>
        </w:rPr>
        <w:t>11.35%</w:t>
      </w:r>
      <w:r>
        <w:rPr/>
        <w:t>，其主要原因是：公司规模扩大，销量增</w:t>
      </w:r>
    </w:p>
    <w:p>
      <w:pPr>
        <w:pStyle w:val="BodyText"/>
        <w:spacing w:line="240" w:lineRule="auto" w:before="64"/>
        <w:ind w:left="153" w:right="181"/>
        <w:jc w:val="left"/>
      </w:pPr>
      <w:r>
        <w:rPr/>
        <w:t>加。</w:t>
      </w:r>
    </w:p>
    <w:p>
      <w:pPr>
        <w:pStyle w:val="BodyText"/>
        <w:spacing w:line="240" w:lineRule="auto" w:before="115"/>
        <w:ind w:left="633" w:right="181"/>
        <w:jc w:val="left"/>
      </w:pPr>
      <w:r>
        <w:rPr/>
        <w:t>（</w:t>
      </w:r>
      <w:r>
        <w:rPr>
          <w:rFonts w:ascii="Times New Roman" w:hAnsi="Times New Roman" w:cs="Times New Roman" w:eastAsia="Times New Roman" w:hint="default"/>
        </w:rPr>
        <w:t>2</w:t>
      </w:r>
      <w:r>
        <w:rPr/>
        <w:t>）营业成本</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16,693,768,322.36</w:t>
      </w:r>
      <w:r>
        <w:rPr/>
        <w:t>元，比上年数增加</w:t>
      </w:r>
      <w:r>
        <w:rPr>
          <w:rFonts w:ascii="Times New Roman" w:hAnsi="Times New Roman" w:cs="Times New Roman" w:eastAsia="Times New Roman" w:hint="default"/>
        </w:rPr>
        <w:t>11.8%</w:t>
      </w:r>
      <w:r>
        <w:rPr/>
        <w:t>，其主要原因是：公司规模扩大，销量增</w:t>
      </w:r>
    </w:p>
    <w:p>
      <w:pPr>
        <w:pStyle w:val="BodyText"/>
        <w:spacing w:line="240" w:lineRule="auto" w:before="64"/>
        <w:ind w:left="153" w:right="181"/>
        <w:jc w:val="left"/>
      </w:pPr>
      <w:r>
        <w:rPr/>
        <w:t>加。</w:t>
      </w:r>
    </w:p>
    <w:p>
      <w:pPr>
        <w:pStyle w:val="BodyText"/>
        <w:spacing w:line="240" w:lineRule="auto" w:before="116"/>
        <w:ind w:left="634" w:right="99"/>
        <w:jc w:val="left"/>
      </w:pPr>
      <w:r>
        <w:rPr/>
        <w:t>（</w:t>
      </w:r>
      <w:r>
        <w:rPr>
          <w:rFonts w:ascii="Times New Roman" w:hAnsi="Times New Roman" w:cs="Times New Roman" w:eastAsia="Times New Roman" w:hint="default"/>
        </w:rPr>
        <w:t>3</w:t>
      </w:r>
      <w:r>
        <w:rPr/>
        <w:t>）财务费用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1,092,760,015.04</w:t>
      </w:r>
      <w:r>
        <w:rPr/>
        <w:t>元，比上年数增加</w:t>
      </w:r>
      <w:r>
        <w:rPr>
          <w:rFonts w:ascii="Times New Roman" w:hAnsi="Times New Roman" w:cs="Times New Roman" w:eastAsia="Times New Roman" w:hint="default"/>
        </w:rPr>
        <w:t>152.94%</w:t>
      </w:r>
      <w:r>
        <w:rPr/>
        <w:t>，其主要原因是：受项目投入影响，借款</w:t>
      </w:r>
    </w:p>
    <w:p>
      <w:pPr>
        <w:pStyle w:val="BodyText"/>
        <w:spacing w:line="240" w:lineRule="auto" w:before="64"/>
        <w:ind w:right="181"/>
        <w:jc w:val="left"/>
      </w:pPr>
      <w:r>
        <w:rPr/>
        <w:t>增加，同时项目完工转资后资本化利息费用化。</w:t>
      </w:r>
    </w:p>
    <w:p>
      <w:pPr>
        <w:pStyle w:val="BodyText"/>
        <w:spacing w:line="302" w:lineRule="auto" w:before="115"/>
        <w:ind w:right="181" w:firstLine="480"/>
        <w:jc w:val="left"/>
      </w:pPr>
      <w:r>
        <w:rPr>
          <w:spacing w:val="-2"/>
        </w:rPr>
        <w:t>（</w:t>
      </w:r>
      <w:r>
        <w:rPr>
          <w:rFonts w:ascii="Times New Roman" w:hAnsi="Times New Roman" w:cs="Times New Roman" w:eastAsia="Times New Roman" w:hint="default"/>
          <w:spacing w:val="-2"/>
        </w:rPr>
        <w:t>4</w:t>
      </w:r>
      <w:r>
        <w:rPr>
          <w:spacing w:val="-2"/>
        </w:rPr>
        <w:t>）资产减值损失</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70,250,158.94</w:t>
      </w:r>
      <w:r>
        <w:rPr>
          <w:spacing w:val="-2"/>
        </w:rPr>
        <w:t>元，比上年数增加</w:t>
      </w:r>
      <w:r>
        <w:rPr>
          <w:rFonts w:ascii="Times New Roman" w:hAnsi="Times New Roman" w:cs="Times New Roman" w:eastAsia="Times New Roman" w:hint="default"/>
          <w:spacing w:val="-2"/>
        </w:rPr>
        <w:t>70.44%</w:t>
      </w:r>
      <w:r>
        <w:rPr>
          <w:spacing w:val="-2"/>
        </w:rPr>
        <w:t>，其主要原因是：坏账准备增加，同时公</w:t>
      </w:r>
      <w:r>
        <w:rPr/>
        <w:t> 司子公司海拉尔晨鸣纸业有限责任公司处于清算期，对其资产提取减值。</w:t>
      </w:r>
    </w:p>
    <w:p>
      <w:pPr>
        <w:pStyle w:val="BodyText"/>
        <w:spacing w:line="302" w:lineRule="auto" w:before="68"/>
        <w:ind w:right="181" w:firstLine="479"/>
        <w:jc w:val="left"/>
      </w:pPr>
      <w:r>
        <w:rPr/>
        <w:t>（</w:t>
      </w:r>
      <w:r>
        <w:rPr>
          <w:rFonts w:ascii="Times New Roman" w:hAnsi="Times New Roman" w:cs="Times New Roman" w:eastAsia="Times New Roman" w:hint="default"/>
        </w:rPr>
        <w:t>5</w:t>
      </w:r>
      <w:r>
        <w:rPr/>
        <w:t>）投资收益</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-35,524,960.75</w:t>
      </w:r>
      <w:r>
        <w:rPr/>
        <w:t>元，比上年数减少</w:t>
      </w:r>
      <w:r>
        <w:rPr>
          <w:rFonts w:ascii="Times New Roman" w:hAnsi="Times New Roman" w:cs="Times New Roman" w:eastAsia="Times New Roman" w:hint="default"/>
        </w:rPr>
        <w:t>-551.32%</w:t>
      </w:r>
      <w:r>
        <w:rPr/>
        <w:t>，其主要原因是：处置子公司产生投资损 失</w:t>
      </w:r>
      <w:r>
        <w:rPr>
          <w:rFonts w:ascii="Times New Roman" w:hAnsi="Times New Roman" w:cs="Times New Roman" w:eastAsia="Times New Roman" w:hint="default"/>
        </w:rPr>
        <w:t>3,489</w:t>
      </w:r>
      <w:r>
        <w:rPr/>
        <w:t>万。</w:t>
      </w:r>
    </w:p>
    <w:p>
      <w:pPr>
        <w:pStyle w:val="BodyText"/>
        <w:spacing w:line="240" w:lineRule="auto" w:before="52"/>
        <w:ind w:left="634" w:right="181"/>
        <w:jc w:val="left"/>
      </w:pPr>
      <w:r>
        <w:rPr/>
        <w:t>（</w:t>
      </w:r>
      <w:r>
        <w:rPr>
          <w:rFonts w:ascii="Times New Roman" w:hAnsi="Times New Roman" w:cs="Times New Roman" w:eastAsia="Times New Roman" w:hint="default"/>
        </w:rPr>
        <w:t>6</w:t>
      </w:r>
      <w:r>
        <w:rPr/>
        <w:t>）营业外支出</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21,440,038.10</w:t>
      </w:r>
      <w:r>
        <w:rPr/>
        <w:t>元，比上年数减少</w:t>
      </w:r>
      <w:r>
        <w:rPr>
          <w:rFonts w:ascii="Times New Roman" w:hAnsi="Times New Roman" w:cs="Times New Roman" w:eastAsia="Times New Roman" w:hint="default"/>
        </w:rPr>
        <w:t>48.81%</w:t>
      </w:r>
      <w:r>
        <w:rPr/>
        <w:t>，其主要原因是：债务重组损失减少。</w:t>
      </w:r>
    </w:p>
    <w:p>
      <w:pPr>
        <w:pStyle w:val="BodyText"/>
        <w:spacing w:line="302" w:lineRule="auto" w:before="101"/>
        <w:ind w:right="186" w:firstLine="479"/>
        <w:jc w:val="left"/>
      </w:pPr>
      <w:r>
        <w:rPr>
          <w:spacing w:val="-1"/>
        </w:rPr>
        <w:t>（</w:t>
      </w:r>
      <w:r>
        <w:rPr>
          <w:rFonts w:ascii="Times New Roman" w:hAnsi="Times New Roman" w:cs="Times New Roman" w:eastAsia="Times New Roman" w:hint="default"/>
          <w:spacing w:val="-1"/>
        </w:rPr>
        <w:t>7</w:t>
      </w:r>
      <w:r>
        <w:rPr>
          <w:spacing w:val="-1"/>
        </w:rPr>
        <w:t>）所得税费用</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-62,826,238.51</w:t>
      </w:r>
      <w:r>
        <w:rPr>
          <w:spacing w:val="-1"/>
        </w:rPr>
        <w:t>元，比上年数减少</w:t>
      </w:r>
      <w:r>
        <w:rPr>
          <w:rFonts w:ascii="Times New Roman" w:hAnsi="Times New Roman" w:cs="Times New Roman" w:eastAsia="Times New Roman" w:hint="default"/>
          <w:spacing w:val="-1"/>
        </w:rPr>
        <w:t>156.98%</w:t>
      </w:r>
      <w:r>
        <w:rPr>
          <w:spacing w:val="-1"/>
        </w:rPr>
        <w:t>，其主要原因是：部分公司亏损提取递延</w:t>
      </w:r>
      <w:r>
        <w:rPr/>
        <w:t> 所得税。</w:t>
      </w:r>
    </w:p>
    <w:p>
      <w:pPr>
        <w:pStyle w:val="BodyText"/>
        <w:spacing w:line="302" w:lineRule="auto" w:before="68"/>
        <w:ind w:right="181" w:firstLine="479"/>
        <w:jc w:val="left"/>
      </w:pPr>
      <w:r>
        <w:rPr>
          <w:spacing w:val="-1"/>
        </w:rPr>
        <w:t>（</w:t>
      </w:r>
      <w:r>
        <w:rPr>
          <w:rFonts w:ascii="Times New Roman" w:hAnsi="Times New Roman" w:cs="Times New Roman" w:eastAsia="Times New Roman" w:hint="default"/>
          <w:spacing w:val="-1"/>
        </w:rPr>
        <w:t>8</w:t>
      </w:r>
      <w:r>
        <w:rPr>
          <w:spacing w:val="-1"/>
        </w:rPr>
        <w:t>）经营活动产生的现金净流量</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1,956,866,477.99</w:t>
      </w:r>
      <w:r>
        <w:rPr>
          <w:spacing w:val="-1"/>
        </w:rPr>
        <w:t>元，比上年数增加</w:t>
      </w:r>
      <w:r>
        <w:rPr>
          <w:rFonts w:ascii="Times New Roman" w:hAnsi="Times New Roman" w:cs="Times New Roman" w:eastAsia="Times New Roman" w:hint="default"/>
          <w:spacing w:val="-1"/>
        </w:rPr>
        <w:t>547.32%</w:t>
      </w:r>
      <w:r>
        <w:rPr>
          <w:spacing w:val="-1"/>
        </w:rPr>
        <w:t>，其主要原因是：公司</w:t>
      </w:r>
      <w:r>
        <w:rPr/>
        <w:t> 加大货款回收力度，销售商品收到的现金增加，同时公司增加票据支付货款支付比例。</w:t>
      </w:r>
    </w:p>
    <w:p>
      <w:pPr>
        <w:pStyle w:val="BodyText"/>
        <w:spacing w:line="302" w:lineRule="auto" w:before="69"/>
        <w:ind w:right="181" w:firstLine="480"/>
        <w:jc w:val="left"/>
      </w:pPr>
      <w:r>
        <w:rPr>
          <w:spacing w:val="-1"/>
        </w:rPr>
        <w:t>（</w:t>
      </w:r>
      <w:r>
        <w:rPr>
          <w:rFonts w:ascii="Times New Roman" w:hAnsi="Times New Roman" w:cs="Times New Roman" w:eastAsia="Times New Roman" w:hint="default"/>
          <w:spacing w:val="-1"/>
        </w:rPr>
        <w:t>9</w:t>
      </w:r>
      <w:r>
        <w:rPr>
          <w:spacing w:val="-1"/>
        </w:rPr>
        <w:t>）投资活动产生的现金净流量</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-2,646,124,915.29</w:t>
      </w:r>
      <w:r>
        <w:rPr>
          <w:spacing w:val="-1"/>
        </w:rPr>
        <w:t>元，比上年数增加</w:t>
      </w:r>
      <w:r>
        <w:rPr>
          <w:rFonts w:ascii="Times New Roman" w:hAnsi="Times New Roman" w:cs="Times New Roman" w:eastAsia="Times New Roman" w:hint="default"/>
          <w:spacing w:val="-1"/>
        </w:rPr>
        <w:t>38.10%</w:t>
      </w:r>
      <w:r>
        <w:rPr>
          <w:spacing w:val="-1"/>
        </w:rPr>
        <w:t>，其主要原因是：公司</w:t>
      </w:r>
      <w:r>
        <w:rPr/>
        <w:t> 新增项目投资较上年度下降。</w:t>
      </w:r>
    </w:p>
    <w:p>
      <w:pPr>
        <w:pStyle w:val="BodyText"/>
        <w:spacing w:line="302" w:lineRule="auto" w:before="68"/>
        <w:ind w:right="181" w:firstLine="479"/>
        <w:jc w:val="left"/>
      </w:pPr>
      <w:r>
        <w:rPr>
          <w:spacing w:val="-2"/>
        </w:rPr>
        <w:t>（</w:t>
      </w:r>
      <w:r>
        <w:rPr>
          <w:rFonts w:ascii="Times New Roman" w:hAnsi="Times New Roman" w:cs="Times New Roman" w:eastAsia="Times New Roman" w:hint="default"/>
          <w:spacing w:val="-2"/>
        </w:rPr>
        <w:t>10</w:t>
      </w:r>
      <w:r>
        <w:rPr>
          <w:spacing w:val="-2"/>
        </w:rPr>
        <w:t>）筹资活动产生的现金净流量</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723,196,444.34</w:t>
      </w:r>
      <w:r>
        <w:rPr>
          <w:spacing w:val="-2"/>
        </w:rPr>
        <w:t>元，比上年数减少</w:t>
      </w:r>
      <w:r>
        <w:rPr>
          <w:rFonts w:ascii="Times New Roman" w:hAnsi="Times New Roman" w:cs="Times New Roman" w:eastAsia="Times New Roman" w:hint="default"/>
          <w:spacing w:val="-2"/>
        </w:rPr>
        <w:t>86.05%</w:t>
      </w:r>
      <w:r>
        <w:rPr>
          <w:spacing w:val="-2"/>
        </w:rPr>
        <w:t>，其主要原因是：公司新</w:t>
      </w:r>
      <w:r>
        <w:rPr/>
        <w:t> 增项目投资较上年度下降，投资资金需求较上年度明显下降。</w:t>
      </w:r>
    </w:p>
    <w:p>
      <w:pPr>
        <w:spacing w:after="0" w:line="302" w:lineRule="auto"/>
        <w:jc w:val="left"/>
        <w:sectPr>
          <w:pgSz w:w="11910" w:h="16840"/>
          <w:pgMar w:header="0"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bookmark11" w:id="13"/>
      <w:bookmarkEnd w:id="13"/>
      <w:r>
        <w:rPr>
          <w:b w:val="0"/>
          <w:bCs w:val="0"/>
        </w:rPr>
      </w:r>
      <w:r>
        <w:rPr/>
        <w:t>第十二节</w:t>
      </w:r>
      <w:r>
        <w:rPr>
          <w:spacing w:val="-9"/>
        </w:rPr>
        <w:t> </w:t>
      </w:r>
      <w:r>
        <w:rPr/>
        <w:t>备查文件目录</w:t>
      </w:r>
      <w:r>
        <w:rPr>
          <w:b w:val="0"/>
          <w:bCs w:val="0"/>
        </w:rPr>
      </w:r>
    </w:p>
    <w:p>
      <w:pPr>
        <w:spacing w:line="240" w:lineRule="auto" w:before="10"/>
        <w:rPr>
          <w:rFonts w:ascii="宋体" w:hAnsi="宋体" w:cs="宋体" w:eastAsia="宋体" w:hint="default"/>
          <w:b/>
          <w:bCs/>
          <w:sz w:val="38"/>
          <w:szCs w:val="38"/>
        </w:rPr>
      </w:pPr>
    </w:p>
    <w:p>
      <w:pPr>
        <w:spacing w:line="537" w:lineRule="auto" w:before="0"/>
        <w:ind w:left="153" w:right="171" w:firstLine="0"/>
        <w:jc w:val="left"/>
        <w:rPr>
          <w:rFonts w:ascii="宋体" w:hAnsi="宋体" w:cs="宋体" w:eastAsia="宋体" w:hint="default"/>
          <w:sz w:val="24"/>
          <w:szCs w:val="24"/>
        </w:rPr>
      </w:pPr>
      <w:r>
        <w:rPr>
          <w:rFonts w:ascii="宋体" w:hAnsi="宋体" w:cs="宋体" w:eastAsia="宋体" w:hint="default"/>
          <w:sz w:val="24"/>
          <w:szCs w:val="24"/>
        </w:rPr>
        <w:t>一、载有法定代表人、财务总监、会计机构负责人签名并盖章的会计报表 二、载有会计师事务所盖章、注册会计师签名并盖章的审计报告原件 三、报告期内在中国证监会指定报纸及网站上公开披露过的所有公司文件的正本及公告原稿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Heading2"/>
        <w:spacing w:line="477" w:lineRule="auto"/>
        <w:ind w:left="6761" w:right="134" w:hanging="344"/>
        <w:jc w:val="left"/>
        <w:rPr>
          <w:b w:val="0"/>
          <w:bCs w:val="0"/>
        </w:rPr>
      </w:pPr>
      <w:r>
        <w:rPr/>
        <w:t>山东晨鸣纸业集团股份有限公司</w:t>
      </w:r>
      <w:r>
        <w:rPr>
          <w:spacing w:val="1"/>
          <w:w w:val="99"/>
        </w:rPr>
        <w:t> </w:t>
      </w:r>
      <w:r>
        <w:rPr/>
        <w:t>二○一三年三月二十七日</w:t>
      </w:r>
      <w:r>
        <w:rPr>
          <w:b w:val="0"/>
          <w:bCs w:val="0"/>
        </w:rPr>
      </w:r>
    </w:p>
    <w:sectPr>
      <w:pgSz w:w="11910" w:h="16840"/>
      <w:pgMar w:header="0"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371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371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7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71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5pt;height:11.5pt;mso-position-horizontal-relative:page;mso-position-vertical-relative:page;z-index:-1371496"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74"/>
      <w:outlineLvl w:val="4"/>
    </w:pPr>
    <w:rPr>
      <w:rFonts w:ascii="宋体" w:hAnsi="宋体" w:eastAsia="宋体"/>
      <w:sz w:val="21"/>
      <w:szCs w:val="21"/>
    </w:rPr>
  </w:style>
  <w:style w:styleId="Heading5" w:type="paragraph">
    <w:name w:val="Heading 5"/>
    <w:basedOn w:val="Normal"/>
    <w:uiPriority w:val="1"/>
    <w:qFormat/>
    <w:pPr>
      <w:spacing w:before="90"/>
      <w:ind w:left="707"/>
      <w:outlineLvl w:val="5"/>
    </w:pPr>
    <w:rPr>
      <w:rFonts w:ascii="宋体" w:hAnsi="宋体" w:eastAsia="宋体"/>
      <w:sz w:val="20"/>
      <w:szCs w:val="20"/>
    </w:rPr>
  </w:style>
  <w:style w:styleId="Heading6" w:type="paragraph">
    <w:name w:val="Heading 6"/>
    <w:basedOn w:val="Normal"/>
    <w:uiPriority w:val="1"/>
    <w:qFormat/>
    <w:pPr>
      <w:ind w:left="1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enmingpaper.com/" TargetMode="External"/><Relationship Id="rId10" Type="http://schemas.openxmlformats.org/officeDocument/2006/relationships/hyperlink" Target="mailto:chenmmingpaper@163.com" TargetMode="External"/><Relationship Id="rId11" Type="http://schemas.openxmlformats.org/officeDocument/2006/relationships/hyperlink" Target="mailto:kentpoon_1009@yahoo.com.hk" TargetMode="External"/><Relationship Id="rId12" Type="http://schemas.openxmlformats.org/officeDocument/2006/relationships/hyperlink" Target="http://www.cninfo.com.cn/" TargetMode="External"/><Relationship Id="rId13" Type="http://schemas.openxmlformats.org/officeDocument/2006/relationships/hyperlink" Target="http://www.hkex.com.hk/" TargetMode="External"/><Relationship Id="rId14" Type="http://schemas.openxmlformats.org/officeDocument/2006/relationships/hyperlink" Target="http://www.cninfo.com.cn/finalpage/2011-03-31/59206783.PDF" TargetMode="External"/><Relationship Id="rId15" Type="http://schemas.openxmlformats.org/officeDocument/2006/relationships/hyperlink" Target="http://www.cninfo.com.cn/finalpage/2011-03-31/59206782.PDF"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w/" TargetMode="External"/><Relationship Id="rId20" Type="http://schemas.openxmlformats.org/officeDocument/2006/relationships/hyperlink" Target="http://www.wfcqjy.cn/"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www.cninfo.co/"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2.xml"/><Relationship Id="rId28" Type="http://schemas.openxmlformats.org/officeDocument/2006/relationships/footer" Target="footer8.xml"/><Relationship Id="rId29" Type="http://schemas.openxmlformats.org/officeDocument/2006/relationships/image" Target="media/image5.png"/><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山东晨鸣纸业集团股份有限公司</dc:creator>
  <dc:title>山东晨鸣纸业集团股份有限公司2012年度报告全文</dc:title>
  <dcterms:created xsi:type="dcterms:W3CDTF">2020-05-03T23:01:56Z</dcterms:created>
  <dcterms:modified xsi:type="dcterms:W3CDTF">2020-05-03T23:01:56Z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Acrobat PDFMaker 7.0 for Word</vt:lpwstr>
  </property>
  <property fmtid="{D5CDD505-2E9C-101B-9397-08002B2CF9AE}" pid="4" name="LastSaved">
    <vt:filetime>2020-05-03T00:00:00Z</vt:filetime>
  </property>
</Properties>
</file>